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BA" w:rsidRPr="00F4231A" w:rsidRDefault="002945BA" w:rsidP="00F4231A">
      <w:pPr>
        <w:snapToGrid w:val="0"/>
        <w:spacing w:line="360" w:lineRule="auto"/>
        <w:rPr>
          <w:rFonts w:ascii="Book Antiqua" w:hAnsi="Book Antiqua" w:cs="Arial"/>
          <w:b/>
          <w:i/>
          <w:sz w:val="24"/>
          <w:szCs w:val="24"/>
        </w:rPr>
      </w:pPr>
      <w:r w:rsidRPr="00F4231A">
        <w:rPr>
          <w:rFonts w:ascii="Book Antiqua" w:hAnsi="Book Antiqua" w:cs="Arial"/>
          <w:b/>
          <w:sz w:val="24"/>
          <w:szCs w:val="24"/>
        </w:rPr>
        <w:t xml:space="preserve">Name of </w:t>
      </w:r>
      <w:r w:rsidRPr="00F4231A">
        <w:rPr>
          <w:rFonts w:ascii="Book Antiqua" w:hAnsi="Book Antiqua" w:cs="Arial"/>
          <w:b/>
          <w:caps/>
          <w:sz w:val="24"/>
          <w:szCs w:val="24"/>
        </w:rPr>
        <w:t>j</w:t>
      </w:r>
      <w:r w:rsidRPr="00F4231A">
        <w:rPr>
          <w:rFonts w:ascii="Book Antiqua" w:hAnsi="Book Antiqua" w:cs="Arial"/>
          <w:b/>
          <w:sz w:val="24"/>
          <w:szCs w:val="24"/>
        </w:rPr>
        <w:t>ournal:</w:t>
      </w:r>
      <w:r w:rsidR="00C84934" w:rsidRPr="00F4231A">
        <w:rPr>
          <w:rFonts w:ascii="Book Antiqua" w:hAnsi="Book Antiqua" w:cs="Arial"/>
          <w:b/>
          <w:sz w:val="24"/>
          <w:szCs w:val="24"/>
        </w:rPr>
        <w:t xml:space="preserve"> </w:t>
      </w:r>
      <w:r w:rsidRPr="00F4231A">
        <w:rPr>
          <w:rFonts w:ascii="Book Antiqua" w:hAnsi="Book Antiqua" w:cs="Arial"/>
          <w:b/>
          <w:i/>
          <w:sz w:val="24"/>
          <w:szCs w:val="24"/>
        </w:rPr>
        <w:t>World Journal of Gastroenterology</w:t>
      </w:r>
    </w:p>
    <w:p w:rsidR="002945BA" w:rsidRPr="00F4231A" w:rsidRDefault="002945BA" w:rsidP="00F4231A">
      <w:pPr>
        <w:snapToGrid w:val="0"/>
        <w:spacing w:line="360" w:lineRule="auto"/>
        <w:rPr>
          <w:rFonts w:ascii="Book Antiqua" w:hAnsi="Book Antiqua" w:cs="Arial"/>
          <w:b/>
          <w:sz w:val="24"/>
          <w:szCs w:val="24"/>
        </w:rPr>
      </w:pPr>
      <w:r w:rsidRPr="00F4231A">
        <w:rPr>
          <w:rFonts w:ascii="Book Antiqua" w:hAnsi="Book Antiqua" w:cs="Arial"/>
          <w:b/>
          <w:sz w:val="24"/>
          <w:szCs w:val="24"/>
        </w:rPr>
        <w:t>ESPS Manuscript NO:</w:t>
      </w:r>
      <w:r w:rsidR="00C84934" w:rsidRPr="00F4231A">
        <w:rPr>
          <w:rFonts w:ascii="Book Antiqua" w:hAnsi="Book Antiqua" w:cs="Arial"/>
          <w:b/>
          <w:sz w:val="24"/>
          <w:szCs w:val="24"/>
        </w:rPr>
        <w:t xml:space="preserve"> </w:t>
      </w:r>
      <w:r w:rsidRPr="00F4231A">
        <w:rPr>
          <w:rFonts w:ascii="Book Antiqua" w:hAnsi="Book Antiqua" w:cs="Arial"/>
          <w:b/>
          <w:sz w:val="24"/>
          <w:szCs w:val="24"/>
        </w:rPr>
        <w:t>30135</w:t>
      </w:r>
    </w:p>
    <w:p w:rsidR="00C84934" w:rsidRPr="00F4231A" w:rsidRDefault="00C84934" w:rsidP="00F4231A">
      <w:pPr>
        <w:snapToGrid w:val="0"/>
        <w:spacing w:line="360" w:lineRule="auto"/>
        <w:rPr>
          <w:rFonts w:ascii="Book Antiqua" w:hAnsi="Book Antiqua" w:cs="Arial"/>
          <w:b/>
          <w:sz w:val="24"/>
          <w:szCs w:val="24"/>
        </w:rPr>
      </w:pPr>
      <w:r w:rsidRPr="00F4231A">
        <w:rPr>
          <w:rFonts w:ascii="Book Antiqua" w:hAnsi="Book Antiqua" w:cs="Arial"/>
          <w:b/>
          <w:sz w:val="24"/>
          <w:szCs w:val="24"/>
        </w:rPr>
        <w:t>Manuscript Type: ORIGINAL ARTICLE</w:t>
      </w:r>
    </w:p>
    <w:p w:rsidR="00C84934" w:rsidRPr="00F4231A" w:rsidRDefault="00C84934" w:rsidP="00F4231A">
      <w:pPr>
        <w:snapToGrid w:val="0"/>
        <w:spacing w:line="360" w:lineRule="auto"/>
        <w:rPr>
          <w:rFonts w:ascii="Book Antiqua" w:hAnsi="Book Antiqua" w:cs="Arial"/>
          <w:sz w:val="24"/>
          <w:szCs w:val="24"/>
        </w:rPr>
      </w:pPr>
    </w:p>
    <w:p w:rsidR="00083602" w:rsidRPr="00F4231A" w:rsidRDefault="007A42CC" w:rsidP="00F4231A">
      <w:pPr>
        <w:snapToGrid w:val="0"/>
        <w:spacing w:line="360" w:lineRule="auto"/>
        <w:rPr>
          <w:rFonts w:ascii="Book Antiqua" w:hAnsi="Book Antiqua" w:cs="Arial"/>
          <w:b/>
          <w:i/>
          <w:sz w:val="24"/>
          <w:szCs w:val="24"/>
        </w:rPr>
      </w:pPr>
      <w:r w:rsidRPr="00F4231A">
        <w:rPr>
          <w:rFonts w:ascii="Book Antiqua" w:hAnsi="Book Antiqua" w:cs="Arial"/>
          <w:b/>
          <w:i/>
          <w:sz w:val="24"/>
          <w:szCs w:val="24"/>
        </w:rPr>
        <w:t>Observational Study</w:t>
      </w:r>
    </w:p>
    <w:p w:rsidR="002945BA" w:rsidRPr="00F4231A" w:rsidRDefault="0066065C" w:rsidP="00F4231A">
      <w:pPr>
        <w:snapToGrid w:val="0"/>
        <w:spacing w:line="360" w:lineRule="auto"/>
        <w:rPr>
          <w:rFonts w:ascii="Book Antiqua" w:hAnsi="Book Antiqua" w:cs="Arial"/>
          <w:b/>
          <w:sz w:val="24"/>
          <w:szCs w:val="24"/>
        </w:rPr>
      </w:pPr>
      <w:r w:rsidRPr="00F4231A">
        <w:rPr>
          <w:rFonts w:ascii="Book Antiqua" w:hAnsi="Book Antiqua" w:cs="Arial"/>
          <w:b/>
          <w:sz w:val="24"/>
          <w:szCs w:val="24"/>
        </w:rPr>
        <w:t>Association between endotox</w:t>
      </w:r>
      <w:r w:rsidR="00561C61" w:rsidRPr="00F4231A">
        <w:rPr>
          <w:rFonts w:ascii="Book Antiqua" w:hAnsi="Book Antiqua" w:cs="Arial"/>
          <w:b/>
          <w:sz w:val="24"/>
          <w:szCs w:val="24"/>
        </w:rPr>
        <w:t xml:space="preserve">emia and histological features of </w:t>
      </w:r>
      <w:r w:rsidR="00CB79F5" w:rsidRPr="00F4231A">
        <w:rPr>
          <w:rFonts w:ascii="Book Antiqua" w:hAnsi="Book Antiqua" w:cs="Arial"/>
          <w:b/>
          <w:sz w:val="24"/>
          <w:szCs w:val="24"/>
        </w:rPr>
        <w:t>nonalcoholic fatty liver disease</w:t>
      </w:r>
    </w:p>
    <w:p w:rsidR="000246D6" w:rsidRPr="00F4231A" w:rsidRDefault="000246D6" w:rsidP="00F4231A">
      <w:pPr>
        <w:snapToGrid w:val="0"/>
        <w:spacing w:line="360" w:lineRule="auto"/>
        <w:rPr>
          <w:rFonts w:ascii="Book Antiqua" w:hAnsi="Book Antiqua" w:cs="Arial"/>
          <w:sz w:val="24"/>
          <w:szCs w:val="24"/>
        </w:rPr>
      </w:pPr>
    </w:p>
    <w:p w:rsidR="00BE59F1" w:rsidRPr="00F4231A" w:rsidRDefault="00C84934" w:rsidP="00F4231A">
      <w:pPr>
        <w:snapToGrid w:val="0"/>
        <w:spacing w:line="360" w:lineRule="auto"/>
        <w:rPr>
          <w:rFonts w:ascii="Book Antiqua" w:hAnsi="Book Antiqua" w:cs="Arial"/>
          <w:b/>
          <w:sz w:val="24"/>
          <w:szCs w:val="24"/>
        </w:rPr>
      </w:pPr>
      <w:r w:rsidRPr="00F4231A">
        <w:rPr>
          <w:rFonts w:ascii="Book Antiqua" w:hAnsi="Book Antiqua" w:cs="Arial"/>
          <w:sz w:val="24"/>
          <w:szCs w:val="24"/>
        </w:rPr>
        <w:t xml:space="preserve">Kitabatake H </w:t>
      </w:r>
      <w:r w:rsidRPr="00F4231A">
        <w:rPr>
          <w:rFonts w:ascii="Book Antiqua" w:hAnsi="Book Antiqua" w:cs="Arial"/>
          <w:i/>
          <w:sz w:val="24"/>
          <w:szCs w:val="24"/>
        </w:rPr>
        <w:t>et al</w:t>
      </w:r>
      <w:r w:rsidRPr="00F4231A">
        <w:rPr>
          <w:rFonts w:ascii="Book Antiqua" w:hAnsi="Book Antiqua" w:cs="Arial"/>
          <w:sz w:val="24"/>
          <w:szCs w:val="24"/>
        </w:rPr>
        <w:t xml:space="preserve">. </w:t>
      </w:r>
      <w:r w:rsidR="007F211D" w:rsidRPr="00F4231A">
        <w:rPr>
          <w:rFonts w:ascii="Book Antiqua" w:hAnsi="Book Antiqua" w:cs="Arial"/>
          <w:sz w:val="24"/>
          <w:szCs w:val="24"/>
        </w:rPr>
        <w:t>Endotox</w:t>
      </w:r>
      <w:r w:rsidR="00BE59F1" w:rsidRPr="00F4231A">
        <w:rPr>
          <w:rFonts w:ascii="Book Antiqua" w:hAnsi="Book Antiqua" w:cs="Arial"/>
          <w:sz w:val="24"/>
          <w:szCs w:val="24"/>
        </w:rPr>
        <w:t>emia and NAFLD/NASH</w:t>
      </w:r>
    </w:p>
    <w:p w:rsidR="00BE59F1" w:rsidRPr="00F4231A" w:rsidRDefault="00BE59F1" w:rsidP="00F4231A">
      <w:pPr>
        <w:snapToGrid w:val="0"/>
        <w:spacing w:line="360" w:lineRule="auto"/>
        <w:rPr>
          <w:rFonts w:ascii="Book Antiqua" w:hAnsi="Book Antiqua" w:cs="Arial"/>
          <w:b/>
          <w:sz w:val="24"/>
          <w:szCs w:val="24"/>
        </w:rPr>
      </w:pPr>
    </w:p>
    <w:p w:rsidR="00187760" w:rsidRPr="00C71230" w:rsidRDefault="003677D5" w:rsidP="00F4231A">
      <w:pPr>
        <w:snapToGrid w:val="0"/>
        <w:spacing w:line="360" w:lineRule="auto"/>
        <w:rPr>
          <w:rFonts w:ascii="Book Antiqua" w:hAnsi="Book Antiqua" w:cs="Arial"/>
          <w:sz w:val="24"/>
          <w:szCs w:val="24"/>
        </w:rPr>
      </w:pPr>
      <w:r w:rsidRPr="00C71230">
        <w:rPr>
          <w:rFonts w:ascii="Book Antiqua" w:hAnsi="Book Antiqua" w:cs="Arial"/>
          <w:sz w:val="24"/>
          <w:szCs w:val="24"/>
        </w:rPr>
        <w:t>Hiroyuki Kitabatake</w:t>
      </w:r>
      <w:r w:rsidR="00AB20D1" w:rsidRPr="00C71230">
        <w:rPr>
          <w:rFonts w:ascii="Book Antiqua" w:hAnsi="Book Antiqua" w:cs="Arial"/>
          <w:sz w:val="24"/>
          <w:szCs w:val="24"/>
        </w:rPr>
        <w:t>,</w:t>
      </w:r>
      <w:r w:rsidR="00C84934" w:rsidRPr="00C71230">
        <w:rPr>
          <w:rFonts w:ascii="Book Antiqua" w:hAnsi="Book Antiqua" w:cs="Arial"/>
          <w:sz w:val="24"/>
          <w:szCs w:val="24"/>
        </w:rPr>
        <w:t xml:space="preserve"> </w:t>
      </w:r>
      <w:r w:rsidR="0001771B" w:rsidRPr="00C71230">
        <w:rPr>
          <w:rFonts w:ascii="Book Antiqua" w:hAnsi="Book Antiqua" w:cs="Arial"/>
          <w:sz w:val="24"/>
          <w:szCs w:val="24"/>
        </w:rPr>
        <w:t xml:space="preserve">Naoki Tanaka, </w:t>
      </w:r>
      <w:r w:rsidRPr="00C71230">
        <w:rPr>
          <w:rFonts w:ascii="Book Antiqua" w:hAnsi="Book Antiqua" w:cs="Arial"/>
          <w:sz w:val="24"/>
          <w:szCs w:val="24"/>
        </w:rPr>
        <w:t>Naoyuki Fujimori</w:t>
      </w:r>
      <w:r w:rsidR="00AB20D1" w:rsidRPr="00C71230">
        <w:rPr>
          <w:rFonts w:ascii="Book Antiqua" w:hAnsi="Book Antiqua" w:cs="Arial"/>
          <w:sz w:val="24"/>
          <w:szCs w:val="24"/>
        </w:rPr>
        <w:t xml:space="preserve">, </w:t>
      </w:r>
      <w:r w:rsidR="00DB77D0" w:rsidRPr="00C71230">
        <w:rPr>
          <w:rFonts w:ascii="Book Antiqua" w:hAnsi="Book Antiqua" w:cs="Arial"/>
          <w:sz w:val="24"/>
          <w:szCs w:val="24"/>
        </w:rPr>
        <w:t xml:space="preserve">Michiharu Komatsu, </w:t>
      </w:r>
      <w:r w:rsidR="00804EFC" w:rsidRPr="00C71230">
        <w:rPr>
          <w:rFonts w:ascii="Book Antiqua" w:hAnsi="Book Antiqua" w:cs="Arial"/>
          <w:sz w:val="24"/>
          <w:szCs w:val="24"/>
        </w:rPr>
        <w:t>Ayaka</w:t>
      </w:r>
      <w:r w:rsidR="002A0793" w:rsidRPr="00C71230">
        <w:rPr>
          <w:rFonts w:ascii="Book Antiqua" w:hAnsi="Book Antiqua" w:cs="Arial"/>
          <w:sz w:val="24"/>
          <w:szCs w:val="24"/>
        </w:rPr>
        <w:t xml:space="preserve"> </w:t>
      </w:r>
      <w:r w:rsidR="004C5EB4" w:rsidRPr="00C71230">
        <w:rPr>
          <w:rFonts w:ascii="Book Antiqua" w:hAnsi="Book Antiqua" w:cs="Arial"/>
          <w:sz w:val="24"/>
          <w:szCs w:val="24"/>
        </w:rPr>
        <w:t xml:space="preserve">Okubo, </w:t>
      </w:r>
      <w:r w:rsidR="00804EFC" w:rsidRPr="00C71230">
        <w:rPr>
          <w:rFonts w:ascii="Book Antiqua" w:hAnsi="Book Antiqua" w:cs="Arial"/>
          <w:sz w:val="24"/>
          <w:szCs w:val="24"/>
        </w:rPr>
        <w:t xml:space="preserve">Kyogo </w:t>
      </w:r>
      <w:r w:rsidR="004C5EB4" w:rsidRPr="00C71230">
        <w:rPr>
          <w:rFonts w:ascii="Book Antiqua" w:hAnsi="Book Antiqua" w:cs="Arial"/>
          <w:sz w:val="24"/>
          <w:szCs w:val="24"/>
        </w:rPr>
        <w:t>Kakegawa</w:t>
      </w:r>
      <w:r w:rsidR="00DB77D0" w:rsidRPr="00C71230">
        <w:rPr>
          <w:rFonts w:ascii="Book Antiqua" w:hAnsi="Book Antiqua" w:cs="Arial"/>
          <w:sz w:val="24"/>
          <w:szCs w:val="24"/>
        </w:rPr>
        <w:t xml:space="preserve">, </w:t>
      </w:r>
      <w:r w:rsidR="000675A4" w:rsidRPr="00C71230">
        <w:rPr>
          <w:rFonts w:ascii="Book Antiqua" w:hAnsi="Book Antiqua" w:cs="Arial"/>
          <w:sz w:val="24"/>
          <w:szCs w:val="24"/>
        </w:rPr>
        <w:t xml:space="preserve">Takefumi Kimura, </w:t>
      </w:r>
      <w:r w:rsidRPr="00C71230">
        <w:rPr>
          <w:rFonts w:ascii="Book Antiqua" w:hAnsi="Book Antiqua" w:cs="Arial"/>
          <w:sz w:val="24"/>
          <w:szCs w:val="24"/>
        </w:rPr>
        <w:t>Ayumi Sugiura</w:t>
      </w:r>
      <w:r w:rsidR="004C5EB4" w:rsidRPr="00C71230">
        <w:rPr>
          <w:rFonts w:ascii="Book Antiqua" w:hAnsi="Book Antiqua" w:cs="Arial"/>
          <w:sz w:val="24"/>
          <w:szCs w:val="24"/>
        </w:rPr>
        <w:t xml:space="preserve">, </w:t>
      </w:r>
      <w:r w:rsidRPr="00C71230">
        <w:rPr>
          <w:rFonts w:ascii="Book Antiqua" w:hAnsi="Book Antiqua" w:cs="Arial"/>
          <w:sz w:val="24"/>
          <w:szCs w:val="24"/>
        </w:rPr>
        <w:t>Tomoo Yamazaki</w:t>
      </w:r>
      <w:r w:rsidR="004C5EB4" w:rsidRPr="00C71230">
        <w:rPr>
          <w:rFonts w:ascii="Book Antiqua" w:hAnsi="Book Antiqua" w:cs="Arial"/>
          <w:sz w:val="24"/>
          <w:szCs w:val="24"/>
        </w:rPr>
        <w:t xml:space="preserve">, </w:t>
      </w:r>
      <w:r w:rsidR="003C3C62" w:rsidRPr="00C71230">
        <w:rPr>
          <w:rFonts w:ascii="Book Antiqua" w:hAnsi="Book Antiqua" w:cs="Arial"/>
          <w:sz w:val="24"/>
          <w:szCs w:val="24"/>
        </w:rPr>
        <w:t>Soichiro Shibata</w:t>
      </w:r>
      <w:r w:rsidR="000675A4" w:rsidRPr="00C71230">
        <w:rPr>
          <w:rFonts w:ascii="Book Antiqua" w:hAnsi="Book Antiqua" w:cs="Arial"/>
          <w:sz w:val="24"/>
          <w:szCs w:val="24"/>
        </w:rPr>
        <w:t xml:space="preserve">, </w:t>
      </w:r>
      <w:r w:rsidR="003C3C62" w:rsidRPr="00C71230">
        <w:rPr>
          <w:rFonts w:ascii="Book Antiqua" w:hAnsi="Book Antiqua" w:cs="Arial"/>
          <w:sz w:val="24"/>
          <w:szCs w:val="24"/>
        </w:rPr>
        <w:t>Yuki Ichikawa</w:t>
      </w:r>
      <w:r w:rsidR="004C5EB4" w:rsidRPr="00C71230">
        <w:rPr>
          <w:rFonts w:ascii="Book Antiqua" w:hAnsi="Book Antiqua" w:cs="Arial"/>
          <w:sz w:val="24"/>
          <w:szCs w:val="24"/>
        </w:rPr>
        <w:t xml:space="preserve">, </w:t>
      </w:r>
      <w:r w:rsidRPr="00C71230">
        <w:rPr>
          <w:rFonts w:ascii="Book Antiqua" w:hAnsi="Book Antiqua" w:cs="Arial"/>
          <w:sz w:val="24"/>
          <w:szCs w:val="24"/>
        </w:rPr>
        <w:t>Satoru Joshita</w:t>
      </w:r>
      <w:r w:rsidR="004C5EB4" w:rsidRPr="00C71230">
        <w:rPr>
          <w:rFonts w:ascii="Book Antiqua" w:hAnsi="Book Antiqua" w:cs="Arial"/>
          <w:sz w:val="24"/>
          <w:szCs w:val="24"/>
        </w:rPr>
        <w:t xml:space="preserve">, </w:t>
      </w:r>
      <w:r w:rsidR="00057714" w:rsidRPr="00C71230">
        <w:rPr>
          <w:rFonts w:ascii="Book Antiqua" w:hAnsi="Book Antiqua" w:cs="Arial"/>
          <w:sz w:val="24"/>
          <w:szCs w:val="24"/>
        </w:rPr>
        <w:t>Takeji Umemura</w:t>
      </w:r>
      <w:r w:rsidR="004C5EB4" w:rsidRPr="00C71230">
        <w:rPr>
          <w:rFonts w:ascii="Book Antiqua" w:hAnsi="Book Antiqua" w:cs="Arial"/>
          <w:sz w:val="24"/>
          <w:szCs w:val="24"/>
        </w:rPr>
        <w:t xml:space="preserve">, </w:t>
      </w:r>
      <w:r w:rsidR="00057714" w:rsidRPr="00C71230">
        <w:rPr>
          <w:rFonts w:ascii="Book Antiqua" w:hAnsi="Book Antiqua" w:cs="Arial"/>
          <w:sz w:val="24"/>
          <w:szCs w:val="24"/>
        </w:rPr>
        <w:t>Akihiro Matsumoto</w:t>
      </w:r>
      <w:r w:rsidR="00BE59F1" w:rsidRPr="00C71230">
        <w:rPr>
          <w:rFonts w:ascii="Book Antiqua" w:hAnsi="Book Antiqua" w:cs="Arial"/>
          <w:sz w:val="24"/>
          <w:szCs w:val="24"/>
        </w:rPr>
        <w:t>, Masayoshi</w:t>
      </w:r>
      <w:r w:rsidR="00C84934" w:rsidRPr="00C71230">
        <w:rPr>
          <w:rFonts w:ascii="Book Antiqua" w:hAnsi="Book Antiqua" w:cs="Arial"/>
          <w:sz w:val="24"/>
          <w:szCs w:val="24"/>
        </w:rPr>
        <w:t xml:space="preserve"> </w:t>
      </w:r>
      <w:r w:rsidR="00BE59F1" w:rsidRPr="00C71230">
        <w:rPr>
          <w:rFonts w:ascii="Book Antiqua" w:hAnsi="Book Antiqua" w:cs="Arial"/>
          <w:sz w:val="24"/>
          <w:szCs w:val="24"/>
        </w:rPr>
        <w:t xml:space="preserve">Koinuma, </w:t>
      </w:r>
      <w:r w:rsidRPr="00C71230">
        <w:rPr>
          <w:rFonts w:ascii="Book Antiqua" w:hAnsi="Book Antiqua" w:cs="Arial"/>
          <w:sz w:val="24"/>
          <w:szCs w:val="24"/>
        </w:rPr>
        <w:t>Kenji Sano</w:t>
      </w:r>
      <w:r w:rsidR="004C5EB4" w:rsidRPr="00C71230">
        <w:rPr>
          <w:rFonts w:ascii="Book Antiqua" w:hAnsi="Book Antiqua" w:cs="Arial"/>
          <w:sz w:val="24"/>
          <w:szCs w:val="24"/>
        </w:rPr>
        <w:t xml:space="preserve">, </w:t>
      </w:r>
      <w:r w:rsidR="00AB20D1" w:rsidRPr="00C71230">
        <w:rPr>
          <w:rFonts w:ascii="Book Antiqua" w:hAnsi="Book Antiqua" w:cs="Arial"/>
          <w:sz w:val="24"/>
          <w:szCs w:val="24"/>
        </w:rPr>
        <w:t>Toshifumi Aoyama</w:t>
      </w:r>
      <w:r w:rsidR="004C5EB4" w:rsidRPr="00C71230">
        <w:rPr>
          <w:rFonts w:ascii="Book Antiqua" w:hAnsi="Book Antiqua" w:cs="Arial"/>
          <w:sz w:val="24"/>
          <w:szCs w:val="24"/>
        </w:rPr>
        <w:t xml:space="preserve">, </w:t>
      </w:r>
      <w:r w:rsidR="00187760" w:rsidRPr="00C71230">
        <w:rPr>
          <w:rFonts w:ascii="Book Antiqua" w:hAnsi="Book Antiqua" w:cs="Arial"/>
          <w:sz w:val="24"/>
          <w:szCs w:val="24"/>
        </w:rPr>
        <w:t>Eiji Tanaka</w:t>
      </w:r>
    </w:p>
    <w:p w:rsidR="00187760" w:rsidRPr="00F4231A" w:rsidRDefault="00187760" w:rsidP="00F4231A">
      <w:pPr>
        <w:snapToGrid w:val="0"/>
        <w:spacing w:line="360" w:lineRule="auto"/>
        <w:rPr>
          <w:rFonts w:ascii="Book Antiqua" w:hAnsi="Book Antiqua" w:cs="Arial"/>
          <w:sz w:val="24"/>
          <w:szCs w:val="24"/>
          <w:vertAlign w:val="superscript"/>
        </w:rPr>
      </w:pPr>
    </w:p>
    <w:p w:rsidR="00114757" w:rsidRPr="00F4231A" w:rsidRDefault="00114757" w:rsidP="00F4231A">
      <w:pPr>
        <w:snapToGrid w:val="0"/>
        <w:spacing w:line="360" w:lineRule="auto"/>
        <w:rPr>
          <w:rFonts w:ascii="Book Antiqua" w:hAnsi="Book Antiqua" w:cs="Arial"/>
          <w:b/>
          <w:sz w:val="24"/>
          <w:szCs w:val="24"/>
        </w:rPr>
      </w:pPr>
      <w:r w:rsidRPr="00F4231A">
        <w:rPr>
          <w:rFonts w:ascii="Book Antiqua" w:hAnsi="Book Antiqua" w:cs="Arial"/>
          <w:b/>
          <w:sz w:val="24"/>
          <w:szCs w:val="24"/>
        </w:rPr>
        <w:t xml:space="preserve">Hiroyuki Kitabatake, Naoki Tanaka, Toshifumi Aoyama, </w:t>
      </w:r>
      <w:r w:rsidRPr="00F4231A">
        <w:rPr>
          <w:rFonts w:ascii="Book Antiqua" w:hAnsi="Book Antiqua" w:cs="Arial"/>
          <w:sz w:val="24"/>
          <w:szCs w:val="24"/>
        </w:rPr>
        <w:t>Department of Metabolic Regulation, Shinshu University Graduate School of Medicine, Matsumoto</w:t>
      </w:r>
      <w:r w:rsidR="00C84934" w:rsidRPr="00F4231A">
        <w:rPr>
          <w:rFonts w:ascii="Book Antiqua" w:hAnsi="Book Antiqua" w:cs="Arial"/>
          <w:sz w:val="24"/>
          <w:szCs w:val="24"/>
        </w:rPr>
        <w:t xml:space="preserve"> </w:t>
      </w:r>
      <w:r w:rsidRPr="00F4231A">
        <w:rPr>
          <w:rFonts w:ascii="Book Antiqua" w:hAnsi="Book Antiqua" w:cs="Arial"/>
          <w:sz w:val="24"/>
          <w:szCs w:val="24"/>
        </w:rPr>
        <w:t>390-8621, Japan</w:t>
      </w:r>
    </w:p>
    <w:p w:rsidR="00C84934" w:rsidRPr="00F4231A" w:rsidRDefault="00C84934" w:rsidP="00F4231A">
      <w:pPr>
        <w:snapToGrid w:val="0"/>
        <w:spacing w:line="360" w:lineRule="auto"/>
        <w:rPr>
          <w:rFonts w:ascii="Book Antiqua" w:hAnsi="Book Antiqua" w:cs="Arial"/>
          <w:b/>
          <w:sz w:val="24"/>
          <w:szCs w:val="24"/>
        </w:rPr>
      </w:pPr>
    </w:p>
    <w:p w:rsidR="00114757" w:rsidRPr="00F4231A" w:rsidRDefault="00114757" w:rsidP="00F4231A">
      <w:pPr>
        <w:snapToGrid w:val="0"/>
        <w:spacing w:line="360" w:lineRule="auto"/>
        <w:rPr>
          <w:rFonts w:ascii="Book Antiqua" w:hAnsi="Book Antiqua" w:cs="Arial"/>
          <w:sz w:val="24"/>
          <w:szCs w:val="24"/>
        </w:rPr>
      </w:pPr>
      <w:r w:rsidRPr="00F4231A">
        <w:rPr>
          <w:rFonts w:ascii="Book Antiqua" w:hAnsi="Book Antiqua" w:cs="Arial"/>
          <w:b/>
          <w:sz w:val="24"/>
          <w:szCs w:val="24"/>
        </w:rPr>
        <w:t>Hiroyuki Kitabatake, Naoyuki Fujimori, Michiharu Komatsu, Ayaka Okubo, Kyogo Kakegawa, Takefumi Kimura, Ayumi Sugiura, Tomoo Yamazaki, Soichiro Shibata, Yuki Ichikawa, Satoru Joshita, Takeji Umemura, Akihiro Matsumoto,</w:t>
      </w:r>
      <w:r w:rsidR="00C84934" w:rsidRPr="00F4231A">
        <w:rPr>
          <w:rFonts w:ascii="Book Antiqua" w:hAnsi="Book Antiqua" w:cs="Arial"/>
          <w:b/>
          <w:sz w:val="24"/>
          <w:szCs w:val="24"/>
        </w:rPr>
        <w:t xml:space="preserve"> </w:t>
      </w:r>
      <w:r w:rsidRPr="00F4231A">
        <w:rPr>
          <w:rFonts w:ascii="Book Antiqua" w:hAnsi="Book Antiqua" w:cs="Arial"/>
          <w:b/>
          <w:sz w:val="24"/>
          <w:szCs w:val="24"/>
        </w:rPr>
        <w:t>Eiji Tanaka,</w:t>
      </w:r>
      <w:r w:rsidRPr="00F4231A">
        <w:rPr>
          <w:rFonts w:ascii="Book Antiqua" w:hAnsi="Book Antiqua" w:cs="Arial"/>
          <w:sz w:val="24"/>
          <w:szCs w:val="24"/>
        </w:rPr>
        <w:t xml:space="preserve"> </w:t>
      </w:r>
      <w:r w:rsidR="00FC4703" w:rsidRPr="00F4231A">
        <w:rPr>
          <w:rFonts w:ascii="Book Antiqua" w:hAnsi="Book Antiqua" w:cs="Arial"/>
          <w:sz w:val="24"/>
          <w:szCs w:val="24"/>
        </w:rPr>
        <w:t xml:space="preserve">Department of Internal Medicine, Division of Gastroenterology, </w:t>
      </w:r>
      <w:r w:rsidR="00187760" w:rsidRPr="00F4231A">
        <w:rPr>
          <w:rFonts w:ascii="Book Antiqua" w:hAnsi="Book Antiqua" w:cs="Arial"/>
          <w:sz w:val="24"/>
          <w:szCs w:val="24"/>
        </w:rPr>
        <w:t>Shinshu</w:t>
      </w:r>
      <w:r w:rsidR="001D652D" w:rsidRPr="00F4231A">
        <w:rPr>
          <w:rFonts w:ascii="Book Antiqua" w:hAnsi="Book Antiqua" w:cs="Arial"/>
          <w:sz w:val="24"/>
          <w:szCs w:val="24"/>
        </w:rPr>
        <w:t xml:space="preserve"> University School of Medicine, </w:t>
      </w:r>
      <w:r w:rsidR="00187760" w:rsidRPr="00F4231A">
        <w:rPr>
          <w:rFonts w:ascii="Book Antiqua" w:hAnsi="Book Antiqua" w:cs="Arial"/>
          <w:sz w:val="24"/>
          <w:szCs w:val="24"/>
        </w:rPr>
        <w:t>Matsumoto</w:t>
      </w:r>
      <w:r w:rsidR="00C84934" w:rsidRPr="00F4231A">
        <w:rPr>
          <w:rFonts w:ascii="Book Antiqua" w:hAnsi="Book Antiqua" w:cs="Arial"/>
          <w:sz w:val="24"/>
          <w:szCs w:val="24"/>
        </w:rPr>
        <w:t xml:space="preserve"> </w:t>
      </w:r>
      <w:r w:rsidR="001D652D" w:rsidRPr="00F4231A">
        <w:rPr>
          <w:rFonts w:ascii="Book Antiqua" w:hAnsi="Book Antiqua" w:cs="Arial"/>
          <w:sz w:val="24"/>
          <w:szCs w:val="24"/>
        </w:rPr>
        <w:t xml:space="preserve">390-8621, </w:t>
      </w:r>
      <w:r w:rsidR="00187760" w:rsidRPr="00F4231A">
        <w:rPr>
          <w:rFonts w:ascii="Book Antiqua" w:hAnsi="Book Antiqua" w:cs="Arial"/>
          <w:sz w:val="24"/>
          <w:szCs w:val="24"/>
        </w:rPr>
        <w:t>Japan</w:t>
      </w:r>
    </w:p>
    <w:p w:rsidR="00C84934" w:rsidRPr="00F4231A" w:rsidRDefault="00C84934" w:rsidP="00F4231A">
      <w:pPr>
        <w:snapToGrid w:val="0"/>
        <w:spacing w:line="360" w:lineRule="auto"/>
        <w:rPr>
          <w:rFonts w:ascii="Book Antiqua" w:hAnsi="Book Antiqua" w:cs="Arial"/>
          <w:b/>
          <w:sz w:val="24"/>
          <w:szCs w:val="24"/>
        </w:rPr>
      </w:pPr>
    </w:p>
    <w:p w:rsidR="00C84934" w:rsidRPr="00F4231A" w:rsidRDefault="00114757" w:rsidP="00F4231A">
      <w:pPr>
        <w:snapToGrid w:val="0"/>
        <w:spacing w:line="360" w:lineRule="auto"/>
        <w:rPr>
          <w:rFonts w:ascii="Book Antiqua" w:hAnsi="Book Antiqua" w:cs="Arial"/>
          <w:sz w:val="24"/>
          <w:szCs w:val="24"/>
        </w:rPr>
      </w:pPr>
      <w:r w:rsidRPr="00F4231A">
        <w:rPr>
          <w:rFonts w:ascii="Book Antiqua" w:hAnsi="Book Antiqua" w:cs="Arial"/>
          <w:b/>
          <w:sz w:val="24"/>
          <w:szCs w:val="24"/>
        </w:rPr>
        <w:t>Masayoshi</w:t>
      </w:r>
      <w:r w:rsidR="00C84934" w:rsidRPr="00F4231A">
        <w:rPr>
          <w:rFonts w:ascii="Book Antiqua" w:hAnsi="Book Antiqua" w:cs="Arial"/>
          <w:b/>
          <w:sz w:val="24"/>
          <w:szCs w:val="24"/>
        </w:rPr>
        <w:t xml:space="preserve"> </w:t>
      </w:r>
      <w:r w:rsidRPr="00F4231A">
        <w:rPr>
          <w:rFonts w:ascii="Book Antiqua" w:hAnsi="Book Antiqua" w:cs="Arial"/>
          <w:b/>
          <w:sz w:val="24"/>
          <w:szCs w:val="24"/>
        </w:rPr>
        <w:t>Koinuma,</w:t>
      </w:r>
      <w:r w:rsidRPr="00F4231A">
        <w:rPr>
          <w:rFonts w:ascii="Book Antiqua" w:hAnsi="Book Antiqua" w:cs="Arial"/>
          <w:sz w:val="24"/>
          <w:szCs w:val="24"/>
        </w:rPr>
        <w:t xml:space="preserve"> </w:t>
      </w:r>
      <w:r w:rsidR="00BE59F1" w:rsidRPr="00F4231A">
        <w:rPr>
          <w:rFonts w:ascii="Book Antiqua" w:hAnsi="Book Antiqua" w:cs="Arial"/>
          <w:sz w:val="24"/>
          <w:szCs w:val="24"/>
        </w:rPr>
        <w:t>Center for Clinical Research, Shinshu University Hospital, Matsumoto</w:t>
      </w:r>
      <w:r w:rsidR="00C84934" w:rsidRPr="00F4231A">
        <w:rPr>
          <w:rFonts w:ascii="Book Antiqua" w:hAnsi="Book Antiqua" w:cs="Arial"/>
          <w:sz w:val="24"/>
          <w:szCs w:val="24"/>
        </w:rPr>
        <w:t xml:space="preserve"> </w:t>
      </w:r>
      <w:r w:rsidR="00D45050" w:rsidRPr="00F4231A">
        <w:rPr>
          <w:rFonts w:ascii="Book Antiqua" w:hAnsi="Book Antiqua" w:cs="Arial"/>
          <w:sz w:val="24"/>
          <w:szCs w:val="24"/>
        </w:rPr>
        <w:t xml:space="preserve">390-8621, </w:t>
      </w:r>
      <w:r w:rsidR="00BE59F1" w:rsidRPr="00F4231A">
        <w:rPr>
          <w:rFonts w:ascii="Book Antiqua" w:hAnsi="Book Antiqua" w:cs="Arial"/>
          <w:sz w:val="24"/>
          <w:szCs w:val="24"/>
        </w:rPr>
        <w:t>Japan</w:t>
      </w:r>
    </w:p>
    <w:p w:rsidR="00C84934" w:rsidRPr="00F4231A" w:rsidRDefault="00C84934" w:rsidP="00F4231A">
      <w:pPr>
        <w:snapToGrid w:val="0"/>
        <w:spacing w:line="360" w:lineRule="auto"/>
        <w:rPr>
          <w:rFonts w:ascii="Book Antiqua" w:hAnsi="Book Antiqua" w:cs="Arial"/>
          <w:b/>
          <w:sz w:val="24"/>
          <w:szCs w:val="24"/>
        </w:rPr>
      </w:pPr>
    </w:p>
    <w:p w:rsidR="00114757" w:rsidRPr="00F4231A" w:rsidRDefault="00C84934" w:rsidP="00F4231A">
      <w:pPr>
        <w:snapToGrid w:val="0"/>
        <w:spacing w:line="360" w:lineRule="auto"/>
        <w:rPr>
          <w:rFonts w:ascii="Book Antiqua" w:hAnsi="Book Antiqua" w:cs="Arial"/>
          <w:sz w:val="24"/>
          <w:szCs w:val="24"/>
        </w:rPr>
      </w:pPr>
      <w:r w:rsidRPr="00F4231A">
        <w:rPr>
          <w:rFonts w:ascii="Book Antiqua" w:hAnsi="Book Antiqua" w:cs="Arial"/>
          <w:b/>
          <w:sz w:val="24"/>
          <w:szCs w:val="24"/>
        </w:rPr>
        <w:lastRenderedPageBreak/>
        <w:t xml:space="preserve">Masayoshi Koinuma, </w:t>
      </w:r>
      <w:r w:rsidR="00BE59F1" w:rsidRPr="00F4231A">
        <w:rPr>
          <w:rFonts w:ascii="Book Antiqua" w:hAnsi="Book Antiqua" w:cs="Arial"/>
          <w:sz w:val="24"/>
          <w:szCs w:val="24"/>
        </w:rPr>
        <w:t>Faculity of Pharmaceutical Sciences, Teikyo Heisei University, Tokyo</w:t>
      </w:r>
      <w:r w:rsidRPr="00F4231A">
        <w:rPr>
          <w:rFonts w:ascii="Book Antiqua" w:hAnsi="Book Antiqua" w:cs="Arial"/>
          <w:sz w:val="24"/>
          <w:szCs w:val="24"/>
        </w:rPr>
        <w:t xml:space="preserve"> </w:t>
      </w:r>
      <w:r w:rsidR="00995940" w:rsidRPr="00F4231A">
        <w:rPr>
          <w:rFonts w:ascii="Book Antiqua" w:hAnsi="Book Antiqua" w:cs="Arial"/>
          <w:sz w:val="24"/>
          <w:szCs w:val="24"/>
        </w:rPr>
        <w:t xml:space="preserve">164-8530, </w:t>
      </w:r>
      <w:r w:rsidR="00BE59F1" w:rsidRPr="00F4231A">
        <w:rPr>
          <w:rFonts w:ascii="Book Antiqua" w:hAnsi="Book Antiqua" w:cs="Arial"/>
          <w:sz w:val="24"/>
          <w:szCs w:val="24"/>
        </w:rPr>
        <w:t>Japan</w:t>
      </w:r>
    </w:p>
    <w:p w:rsidR="00C84934" w:rsidRPr="00F4231A" w:rsidRDefault="00C84934" w:rsidP="00F4231A">
      <w:pPr>
        <w:snapToGrid w:val="0"/>
        <w:spacing w:line="360" w:lineRule="auto"/>
        <w:rPr>
          <w:rFonts w:ascii="Book Antiqua" w:hAnsi="Book Antiqua" w:cs="Arial"/>
          <w:b/>
          <w:sz w:val="24"/>
          <w:szCs w:val="24"/>
        </w:rPr>
      </w:pPr>
    </w:p>
    <w:p w:rsidR="00BE59F1" w:rsidRPr="00F4231A" w:rsidRDefault="00114757" w:rsidP="00F4231A">
      <w:pPr>
        <w:snapToGrid w:val="0"/>
        <w:spacing w:line="360" w:lineRule="auto"/>
        <w:rPr>
          <w:rFonts w:ascii="Book Antiqua" w:hAnsi="Book Antiqua" w:cs="Arial"/>
          <w:sz w:val="24"/>
          <w:szCs w:val="24"/>
        </w:rPr>
      </w:pPr>
      <w:r w:rsidRPr="00F4231A">
        <w:rPr>
          <w:rFonts w:ascii="Book Antiqua" w:hAnsi="Book Antiqua" w:cs="Arial"/>
          <w:b/>
          <w:sz w:val="24"/>
          <w:szCs w:val="24"/>
        </w:rPr>
        <w:t xml:space="preserve">Kenji Sano, </w:t>
      </w:r>
      <w:r w:rsidR="00252FF6" w:rsidRPr="00F4231A">
        <w:rPr>
          <w:rFonts w:ascii="Book Antiqua" w:hAnsi="Book Antiqua" w:cs="Arial"/>
          <w:sz w:val="24"/>
          <w:szCs w:val="24"/>
        </w:rPr>
        <w:t>Department of Laboratory Medicine, Shinshu University Hospital, Matsumoto</w:t>
      </w:r>
      <w:r w:rsidR="00C84934" w:rsidRPr="00F4231A">
        <w:rPr>
          <w:rFonts w:ascii="Book Antiqua" w:hAnsi="Book Antiqua" w:cs="Arial"/>
          <w:sz w:val="24"/>
          <w:szCs w:val="24"/>
        </w:rPr>
        <w:t xml:space="preserve"> </w:t>
      </w:r>
      <w:r w:rsidR="00D45050" w:rsidRPr="00F4231A">
        <w:rPr>
          <w:rFonts w:ascii="Book Antiqua" w:hAnsi="Book Antiqua" w:cs="Arial"/>
          <w:sz w:val="24"/>
          <w:szCs w:val="24"/>
        </w:rPr>
        <w:t xml:space="preserve">390-8621, </w:t>
      </w:r>
      <w:r w:rsidR="00252FF6" w:rsidRPr="00F4231A">
        <w:rPr>
          <w:rFonts w:ascii="Book Antiqua" w:hAnsi="Book Antiqua" w:cs="Arial"/>
          <w:sz w:val="24"/>
          <w:szCs w:val="24"/>
        </w:rPr>
        <w:t>Japan</w:t>
      </w:r>
    </w:p>
    <w:p w:rsidR="00AA4292" w:rsidRPr="00F4231A" w:rsidRDefault="00AA4292" w:rsidP="00F4231A">
      <w:pPr>
        <w:snapToGrid w:val="0"/>
        <w:spacing w:line="360" w:lineRule="auto"/>
        <w:rPr>
          <w:rFonts w:ascii="Book Antiqua" w:hAnsi="Book Antiqua" w:cs="Arial"/>
          <w:b/>
          <w:sz w:val="24"/>
          <w:szCs w:val="24"/>
        </w:rPr>
      </w:pPr>
    </w:p>
    <w:p w:rsidR="00BE59F1" w:rsidRPr="00F4231A" w:rsidRDefault="00BE59F1" w:rsidP="00F4231A">
      <w:pPr>
        <w:snapToGrid w:val="0"/>
        <w:spacing w:line="360" w:lineRule="auto"/>
        <w:rPr>
          <w:rFonts w:ascii="Book Antiqua" w:hAnsi="Book Antiqua" w:cs="Arial"/>
          <w:b/>
          <w:sz w:val="24"/>
          <w:szCs w:val="24"/>
        </w:rPr>
      </w:pPr>
      <w:r w:rsidRPr="00F4231A">
        <w:rPr>
          <w:rFonts w:ascii="Book Antiqua" w:hAnsi="Book Antiqua" w:cs="Arial"/>
          <w:b/>
          <w:sz w:val="24"/>
          <w:szCs w:val="24"/>
        </w:rPr>
        <w:t>Author contributions</w:t>
      </w:r>
      <w:r w:rsidR="001D652D" w:rsidRPr="00F4231A">
        <w:rPr>
          <w:rFonts w:ascii="Book Antiqua" w:hAnsi="Book Antiqua" w:cs="Arial"/>
          <w:b/>
          <w:sz w:val="24"/>
          <w:szCs w:val="24"/>
        </w:rPr>
        <w:t xml:space="preserve">: </w:t>
      </w:r>
      <w:r w:rsidR="00291F63" w:rsidRPr="00F4231A">
        <w:rPr>
          <w:rFonts w:ascii="Book Antiqua" w:hAnsi="Book Antiqua" w:cs="Arial"/>
          <w:sz w:val="24"/>
          <w:szCs w:val="24"/>
        </w:rPr>
        <w:t xml:space="preserve">Tanaka N </w:t>
      </w:r>
      <w:r w:rsidR="005F77DB" w:rsidRPr="00F4231A">
        <w:rPr>
          <w:rFonts w:ascii="Book Antiqua" w:hAnsi="Book Antiqua" w:cs="Arial"/>
          <w:sz w:val="24"/>
          <w:szCs w:val="24"/>
        </w:rPr>
        <w:t xml:space="preserve">designed research; </w:t>
      </w:r>
      <w:r w:rsidR="00291F63" w:rsidRPr="00F4231A">
        <w:rPr>
          <w:rFonts w:ascii="Book Antiqua" w:hAnsi="Book Antiqua" w:cs="Arial"/>
          <w:sz w:val="24"/>
          <w:szCs w:val="24"/>
        </w:rPr>
        <w:t>Kitabatake H,</w:t>
      </w:r>
      <w:r w:rsidR="00DA4A68" w:rsidRPr="00F4231A">
        <w:rPr>
          <w:rFonts w:ascii="Book Antiqua" w:hAnsi="Book Antiqua" w:cs="Arial"/>
          <w:sz w:val="24"/>
          <w:szCs w:val="24"/>
        </w:rPr>
        <w:t xml:space="preserve"> Okubo A</w:t>
      </w:r>
      <w:r w:rsidR="00E52410" w:rsidRPr="00F4231A">
        <w:rPr>
          <w:rFonts w:ascii="Book Antiqua" w:hAnsi="Book Antiqua" w:cs="Arial"/>
          <w:sz w:val="24"/>
          <w:szCs w:val="24"/>
        </w:rPr>
        <w:t>, Kakegawa K, Sano K</w:t>
      </w:r>
      <w:r w:rsidR="00C84934" w:rsidRPr="00F4231A">
        <w:rPr>
          <w:rFonts w:ascii="Book Antiqua" w:hAnsi="Book Antiqua" w:cs="Arial"/>
          <w:sz w:val="24"/>
          <w:szCs w:val="24"/>
        </w:rPr>
        <w:t xml:space="preserve"> </w:t>
      </w:r>
      <w:r w:rsidR="00DA4A68" w:rsidRPr="00F4231A">
        <w:rPr>
          <w:rFonts w:ascii="Book Antiqua" w:hAnsi="Book Antiqua" w:cs="Arial"/>
          <w:sz w:val="24"/>
          <w:szCs w:val="24"/>
        </w:rPr>
        <w:t xml:space="preserve">and Tanaka N performed research; </w:t>
      </w:r>
      <w:r w:rsidR="00E52410" w:rsidRPr="00F4231A">
        <w:rPr>
          <w:rFonts w:ascii="Book Antiqua" w:hAnsi="Book Antiqua" w:cs="Arial"/>
          <w:sz w:val="24"/>
          <w:szCs w:val="24"/>
        </w:rPr>
        <w:t xml:space="preserve">Kitabatake H, </w:t>
      </w:r>
      <w:r w:rsidR="00DA4A68" w:rsidRPr="00F4231A">
        <w:rPr>
          <w:rFonts w:ascii="Book Antiqua" w:hAnsi="Book Antiqua" w:cs="Arial"/>
          <w:sz w:val="24"/>
          <w:szCs w:val="24"/>
        </w:rPr>
        <w:t>Fujimori N, Tanaka N</w:t>
      </w:r>
      <w:r w:rsidR="00C84934" w:rsidRPr="00F4231A">
        <w:rPr>
          <w:rFonts w:ascii="Book Antiqua" w:hAnsi="Book Antiqua" w:cs="Arial"/>
          <w:sz w:val="24"/>
          <w:szCs w:val="24"/>
        </w:rPr>
        <w:t xml:space="preserve"> </w:t>
      </w:r>
      <w:r w:rsidR="00DA4A68" w:rsidRPr="00F4231A">
        <w:rPr>
          <w:rFonts w:ascii="Book Antiqua" w:hAnsi="Book Antiqua" w:cs="Arial"/>
          <w:sz w:val="24"/>
          <w:szCs w:val="24"/>
        </w:rPr>
        <w:t xml:space="preserve">and Koinuma M </w:t>
      </w:r>
      <w:r w:rsidR="005F77DB" w:rsidRPr="00F4231A">
        <w:rPr>
          <w:rFonts w:ascii="Book Antiqua" w:hAnsi="Book Antiqua" w:cs="Arial"/>
          <w:sz w:val="24"/>
          <w:szCs w:val="24"/>
        </w:rPr>
        <w:t xml:space="preserve">analyzed data; </w:t>
      </w:r>
      <w:r w:rsidR="00E52410" w:rsidRPr="00F4231A">
        <w:rPr>
          <w:rFonts w:ascii="Book Antiqua" w:hAnsi="Book Antiqua" w:cs="Arial"/>
          <w:sz w:val="24"/>
          <w:szCs w:val="24"/>
        </w:rPr>
        <w:t>Fujimori N, Tanaka N, Komatsu M, Kimura T, Sugiura A, Yamazaki T, Shibata S, Ichikawa Y, Joshita S, Umemura T</w:t>
      </w:r>
      <w:r w:rsidR="00C84934" w:rsidRPr="00F4231A">
        <w:rPr>
          <w:rFonts w:ascii="Book Antiqua" w:hAnsi="Book Antiqua" w:cs="Arial"/>
          <w:sz w:val="24"/>
          <w:szCs w:val="24"/>
        </w:rPr>
        <w:t xml:space="preserve"> </w:t>
      </w:r>
      <w:r w:rsidR="00E52410" w:rsidRPr="00F4231A">
        <w:rPr>
          <w:rFonts w:ascii="Book Antiqua" w:hAnsi="Book Antiqua" w:cs="Arial"/>
          <w:sz w:val="24"/>
          <w:szCs w:val="24"/>
        </w:rPr>
        <w:t>and Matsumoto A collected data; Kitabatake H and Tanaka N</w:t>
      </w:r>
      <w:r w:rsidR="005F77DB" w:rsidRPr="00F4231A">
        <w:rPr>
          <w:rFonts w:ascii="Book Antiqua" w:hAnsi="Book Antiqua" w:cs="Arial"/>
          <w:sz w:val="24"/>
          <w:szCs w:val="24"/>
        </w:rPr>
        <w:t xml:space="preserve"> wrote the </w:t>
      </w:r>
      <w:r w:rsidR="009C630E" w:rsidRPr="00F4231A">
        <w:rPr>
          <w:rFonts w:ascii="Book Antiqua" w:hAnsi="Book Antiqua" w:cs="Arial"/>
          <w:sz w:val="24"/>
          <w:szCs w:val="24"/>
        </w:rPr>
        <w:t>manuscript</w:t>
      </w:r>
      <w:r w:rsidR="00E52410" w:rsidRPr="00F4231A">
        <w:rPr>
          <w:rFonts w:ascii="Book Antiqua" w:hAnsi="Book Antiqua" w:cs="Arial"/>
          <w:sz w:val="24"/>
          <w:szCs w:val="24"/>
        </w:rPr>
        <w:t xml:space="preserve">; Aoyama T and Tanaka E supervised the </w:t>
      </w:r>
      <w:r w:rsidR="000D78B3" w:rsidRPr="00F4231A">
        <w:rPr>
          <w:rFonts w:ascii="Book Antiqua" w:hAnsi="Book Antiqua" w:cs="Arial"/>
          <w:sz w:val="24"/>
          <w:szCs w:val="24"/>
        </w:rPr>
        <w:t xml:space="preserve">manuscript. </w:t>
      </w:r>
    </w:p>
    <w:p w:rsidR="00AA4292" w:rsidRPr="00F4231A" w:rsidRDefault="00AA4292" w:rsidP="00F4231A">
      <w:pPr>
        <w:snapToGrid w:val="0"/>
        <w:spacing w:line="360" w:lineRule="auto"/>
        <w:rPr>
          <w:rFonts w:ascii="Book Antiqua" w:hAnsi="Book Antiqua" w:cs="Arial"/>
          <w:sz w:val="24"/>
          <w:szCs w:val="24"/>
        </w:rPr>
      </w:pPr>
    </w:p>
    <w:p w:rsidR="00AA4292" w:rsidRPr="00F4231A" w:rsidRDefault="00AA4292" w:rsidP="00F4231A">
      <w:pPr>
        <w:snapToGrid w:val="0"/>
        <w:spacing w:line="360" w:lineRule="auto"/>
        <w:rPr>
          <w:rFonts w:ascii="Book Antiqua" w:hAnsi="Book Antiqua" w:cs="Arial"/>
          <w:b/>
          <w:sz w:val="24"/>
          <w:szCs w:val="24"/>
        </w:rPr>
      </w:pPr>
      <w:r w:rsidRPr="00F4231A">
        <w:rPr>
          <w:rFonts w:ascii="Book Antiqua" w:hAnsi="Book Antiqua" w:cs="Arial"/>
          <w:b/>
          <w:sz w:val="24"/>
          <w:szCs w:val="24"/>
        </w:rPr>
        <w:t>Institutional review board statement</w:t>
      </w:r>
      <w:r w:rsidR="009E182C" w:rsidRPr="00F4231A">
        <w:rPr>
          <w:rFonts w:ascii="Book Antiqua" w:hAnsi="Book Antiqua" w:cs="Arial"/>
          <w:b/>
          <w:sz w:val="24"/>
          <w:szCs w:val="24"/>
        </w:rPr>
        <w:t>:</w:t>
      </w:r>
      <w:r w:rsidR="00C84934" w:rsidRPr="00F4231A">
        <w:rPr>
          <w:rFonts w:ascii="Book Antiqua" w:hAnsi="Book Antiqua" w:cs="Arial"/>
          <w:b/>
          <w:sz w:val="24"/>
          <w:szCs w:val="24"/>
        </w:rPr>
        <w:t xml:space="preserve"> </w:t>
      </w:r>
      <w:r w:rsidR="0050100A" w:rsidRPr="00F4231A">
        <w:rPr>
          <w:rFonts w:ascii="Book Antiqua" w:hAnsi="Book Antiqua" w:cs="Arial"/>
          <w:sz w:val="24"/>
          <w:szCs w:val="24"/>
        </w:rPr>
        <w:t>The</w:t>
      </w:r>
      <w:r w:rsidRPr="00F4231A">
        <w:rPr>
          <w:rFonts w:ascii="Book Antiqua" w:hAnsi="Book Antiqua" w:cs="Arial"/>
          <w:sz w:val="24"/>
          <w:szCs w:val="24"/>
        </w:rPr>
        <w:t xml:space="preserve"> study was </w:t>
      </w:r>
      <w:r w:rsidR="0050100A" w:rsidRPr="00F4231A">
        <w:rPr>
          <w:rFonts w:ascii="Book Antiqua" w:hAnsi="Book Antiqua" w:cs="Arial"/>
          <w:sz w:val="24"/>
          <w:szCs w:val="24"/>
        </w:rPr>
        <w:t xml:space="preserve">reviewed and </w:t>
      </w:r>
      <w:r w:rsidRPr="00F4231A">
        <w:rPr>
          <w:rFonts w:ascii="Book Antiqua" w:hAnsi="Book Antiqua" w:cs="Arial"/>
          <w:sz w:val="24"/>
          <w:szCs w:val="24"/>
        </w:rPr>
        <w:t>approved by the Committee for Medical Ethics of Shinshu</w:t>
      </w:r>
      <w:r w:rsidR="006D5956" w:rsidRPr="00F4231A">
        <w:rPr>
          <w:rFonts w:ascii="Book Antiqua" w:hAnsi="Book Antiqua" w:cs="Arial"/>
          <w:sz w:val="24"/>
          <w:szCs w:val="24"/>
        </w:rPr>
        <w:t xml:space="preserve"> University School of Medic</w:t>
      </w:r>
      <w:r w:rsidR="0050100A" w:rsidRPr="00F4231A">
        <w:rPr>
          <w:rFonts w:ascii="Book Antiqua" w:hAnsi="Book Antiqua" w:cs="Arial"/>
          <w:sz w:val="24"/>
          <w:szCs w:val="24"/>
        </w:rPr>
        <w:t>ine Institutional Review Board.</w:t>
      </w:r>
    </w:p>
    <w:p w:rsidR="00AA4292" w:rsidRPr="00F4231A" w:rsidRDefault="00AA4292" w:rsidP="00F4231A">
      <w:pPr>
        <w:snapToGrid w:val="0"/>
        <w:spacing w:line="360" w:lineRule="auto"/>
        <w:rPr>
          <w:rFonts w:ascii="Book Antiqua" w:hAnsi="Book Antiqua" w:cs="Arial"/>
          <w:sz w:val="24"/>
          <w:szCs w:val="24"/>
        </w:rPr>
      </w:pPr>
    </w:p>
    <w:p w:rsidR="00AA4292" w:rsidRPr="00F4231A" w:rsidRDefault="00AA4292" w:rsidP="00F4231A">
      <w:pPr>
        <w:snapToGrid w:val="0"/>
        <w:spacing w:line="360" w:lineRule="auto"/>
        <w:rPr>
          <w:rFonts w:ascii="Book Antiqua" w:hAnsi="Book Antiqua" w:cs="Arial"/>
          <w:b/>
          <w:sz w:val="24"/>
          <w:szCs w:val="24"/>
        </w:rPr>
      </w:pPr>
      <w:r w:rsidRPr="00F4231A">
        <w:rPr>
          <w:rFonts w:ascii="Book Antiqua" w:hAnsi="Book Antiqua" w:cs="Arial"/>
          <w:b/>
          <w:sz w:val="24"/>
          <w:szCs w:val="24"/>
        </w:rPr>
        <w:t>Informed consent statement</w:t>
      </w:r>
      <w:r w:rsidR="009E182C" w:rsidRPr="00F4231A">
        <w:rPr>
          <w:rFonts w:ascii="Book Antiqua" w:hAnsi="Book Antiqua" w:cs="Arial"/>
          <w:b/>
          <w:sz w:val="24"/>
          <w:szCs w:val="24"/>
        </w:rPr>
        <w:t>:</w:t>
      </w:r>
      <w:r w:rsidR="00C84934" w:rsidRPr="00F4231A">
        <w:rPr>
          <w:rFonts w:ascii="Book Antiqua" w:hAnsi="Book Antiqua" w:cs="Arial"/>
          <w:b/>
          <w:sz w:val="24"/>
          <w:szCs w:val="24"/>
        </w:rPr>
        <w:t xml:space="preserve"> </w:t>
      </w:r>
      <w:r w:rsidRPr="00F4231A">
        <w:rPr>
          <w:rFonts w:ascii="Book Antiqua" w:hAnsi="Book Antiqua" w:cs="Arial"/>
          <w:sz w:val="24"/>
          <w:szCs w:val="24"/>
        </w:rPr>
        <w:t>Informed written consent was obtained from all patients.</w:t>
      </w:r>
    </w:p>
    <w:p w:rsidR="00E55AEB" w:rsidRPr="00F4231A" w:rsidRDefault="00E55AEB" w:rsidP="00F4231A">
      <w:pPr>
        <w:snapToGrid w:val="0"/>
        <w:spacing w:line="360" w:lineRule="auto"/>
        <w:rPr>
          <w:rFonts w:ascii="Book Antiqua" w:hAnsi="Book Antiqua" w:cs="Arial"/>
          <w:sz w:val="24"/>
          <w:szCs w:val="24"/>
        </w:rPr>
      </w:pPr>
    </w:p>
    <w:p w:rsidR="00AA4292" w:rsidRPr="00F4231A" w:rsidRDefault="00AA4292" w:rsidP="00F4231A">
      <w:pPr>
        <w:snapToGrid w:val="0"/>
        <w:spacing w:line="360" w:lineRule="auto"/>
        <w:rPr>
          <w:rFonts w:ascii="Book Antiqua" w:hAnsi="Book Antiqua" w:cs="Arial"/>
          <w:b/>
          <w:sz w:val="24"/>
          <w:szCs w:val="24"/>
        </w:rPr>
      </w:pPr>
      <w:r w:rsidRPr="00F4231A">
        <w:rPr>
          <w:rFonts w:ascii="Book Antiqua" w:hAnsi="Book Antiqua" w:cs="Arial"/>
          <w:b/>
          <w:sz w:val="24"/>
          <w:szCs w:val="24"/>
        </w:rPr>
        <w:t>Conflict</w:t>
      </w:r>
      <w:r w:rsidR="00E34257" w:rsidRPr="00F4231A">
        <w:rPr>
          <w:rFonts w:ascii="Book Antiqua" w:hAnsi="Book Antiqua" w:cs="Arial"/>
          <w:b/>
          <w:sz w:val="24"/>
          <w:szCs w:val="24"/>
        </w:rPr>
        <w:t>-of-</w:t>
      </w:r>
      <w:r w:rsidRPr="00F4231A">
        <w:rPr>
          <w:rFonts w:ascii="Book Antiqua" w:hAnsi="Book Antiqua" w:cs="Arial"/>
          <w:b/>
          <w:sz w:val="24"/>
          <w:szCs w:val="24"/>
        </w:rPr>
        <w:t>interest statement</w:t>
      </w:r>
      <w:r w:rsidR="009E182C" w:rsidRPr="00F4231A">
        <w:rPr>
          <w:rFonts w:ascii="Book Antiqua" w:hAnsi="Book Antiqua" w:cs="Arial"/>
          <w:b/>
          <w:sz w:val="24"/>
          <w:szCs w:val="24"/>
        </w:rPr>
        <w:t>:</w:t>
      </w:r>
      <w:r w:rsidR="00C84934" w:rsidRPr="00F4231A">
        <w:rPr>
          <w:rFonts w:ascii="Book Antiqua" w:hAnsi="Book Antiqua" w:cs="Arial"/>
          <w:b/>
          <w:sz w:val="24"/>
          <w:szCs w:val="24"/>
        </w:rPr>
        <w:t xml:space="preserve"> </w:t>
      </w:r>
      <w:r w:rsidRPr="00F4231A">
        <w:rPr>
          <w:rFonts w:ascii="Book Antiqua" w:hAnsi="Book Antiqua" w:cs="Arial"/>
          <w:sz w:val="24"/>
          <w:szCs w:val="24"/>
        </w:rPr>
        <w:t xml:space="preserve">The authors declare that no conflicts of interest exist. </w:t>
      </w:r>
    </w:p>
    <w:p w:rsidR="00AA4292" w:rsidRPr="00F4231A" w:rsidRDefault="00AA4292" w:rsidP="00F4231A">
      <w:pPr>
        <w:snapToGrid w:val="0"/>
        <w:spacing w:line="360" w:lineRule="auto"/>
        <w:rPr>
          <w:rFonts w:ascii="Book Antiqua" w:hAnsi="Book Antiqua" w:cs="Arial"/>
          <w:sz w:val="24"/>
          <w:szCs w:val="24"/>
        </w:rPr>
      </w:pPr>
    </w:p>
    <w:p w:rsidR="00AA4292" w:rsidRPr="00F4231A" w:rsidRDefault="00AA4292" w:rsidP="00F4231A">
      <w:pPr>
        <w:snapToGrid w:val="0"/>
        <w:spacing w:line="360" w:lineRule="auto"/>
        <w:rPr>
          <w:rFonts w:ascii="Book Antiqua" w:hAnsi="Book Antiqua" w:cs="Arial"/>
          <w:b/>
          <w:sz w:val="24"/>
          <w:szCs w:val="24"/>
        </w:rPr>
      </w:pPr>
      <w:r w:rsidRPr="00F4231A">
        <w:rPr>
          <w:rFonts w:ascii="Book Antiqua" w:hAnsi="Book Antiqua" w:cs="Arial"/>
          <w:b/>
          <w:sz w:val="24"/>
          <w:szCs w:val="24"/>
        </w:rPr>
        <w:t>Data sharing statement</w:t>
      </w:r>
      <w:r w:rsidR="009E182C" w:rsidRPr="00F4231A">
        <w:rPr>
          <w:rFonts w:ascii="Book Antiqua" w:hAnsi="Book Antiqua" w:cs="Arial"/>
          <w:b/>
          <w:sz w:val="24"/>
          <w:szCs w:val="24"/>
        </w:rPr>
        <w:t>:</w:t>
      </w:r>
      <w:r w:rsidR="00C84934" w:rsidRPr="00F4231A">
        <w:rPr>
          <w:rFonts w:ascii="Book Antiqua" w:hAnsi="Book Antiqua" w:cs="Arial"/>
          <w:b/>
          <w:sz w:val="24"/>
          <w:szCs w:val="24"/>
        </w:rPr>
        <w:t xml:space="preserve"> </w:t>
      </w:r>
      <w:r w:rsidRPr="00F4231A">
        <w:rPr>
          <w:rFonts w:ascii="Book Antiqua" w:hAnsi="Book Antiqua" w:cs="Arial"/>
          <w:sz w:val="24"/>
          <w:szCs w:val="24"/>
        </w:rPr>
        <w:t>No additional data are available.</w:t>
      </w:r>
    </w:p>
    <w:p w:rsidR="00AA4292" w:rsidRPr="00F4231A" w:rsidRDefault="00AA4292" w:rsidP="00F4231A">
      <w:pPr>
        <w:snapToGrid w:val="0"/>
        <w:spacing w:line="360" w:lineRule="auto"/>
        <w:rPr>
          <w:rFonts w:ascii="Book Antiqua" w:hAnsi="Book Antiqua" w:cs="Arial"/>
          <w:sz w:val="24"/>
          <w:szCs w:val="24"/>
        </w:rPr>
      </w:pPr>
    </w:p>
    <w:p w:rsidR="00C84934" w:rsidRPr="00F4231A" w:rsidRDefault="00C84934" w:rsidP="00F4231A">
      <w:pPr>
        <w:pStyle w:val="1"/>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F4231A">
        <w:rPr>
          <w:rFonts w:ascii="Book Antiqua" w:hAnsi="Book Antiqua" w:cs="Times New Roman"/>
          <w:b/>
          <w:bCs/>
          <w:color w:val="auto"/>
          <w:sz w:val="24"/>
          <w:szCs w:val="24"/>
          <w:highlight w:val="white"/>
          <w:lang w:val="en-US"/>
        </w:rPr>
        <w:t>Open-Access:</w:t>
      </w:r>
      <w:r w:rsidRPr="00F4231A">
        <w:rPr>
          <w:rFonts w:ascii="Book Antiqua" w:hAnsi="Book Antiqua" w:cs="Times New Roman"/>
          <w:bCs/>
          <w:color w:val="auto"/>
          <w:sz w:val="24"/>
          <w:szCs w:val="24"/>
          <w:highlight w:val="white"/>
          <w:lang w:val="en-US"/>
        </w:rPr>
        <w:t xml:space="preserve"> </w:t>
      </w:r>
      <w:bookmarkStart w:id="8" w:name="OLE_LINK479"/>
      <w:bookmarkStart w:id="9" w:name="OLE_LINK496"/>
      <w:bookmarkStart w:id="10" w:name="OLE_LINK506"/>
      <w:bookmarkStart w:id="11" w:name="OLE_LINK507"/>
      <w:r w:rsidRPr="00F4231A">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F4231A">
        <w:rPr>
          <w:rFonts w:ascii="Book Antiqua" w:hAnsi="Book Antiqua" w:cs="Times New Roman"/>
          <w:bCs/>
          <w:color w:val="auto"/>
          <w:sz w:val="24"/>
          <w:szCs w:val="24"/>
          <w:highlight w:val="white"/>
          <w:lang w:val="en-US" w:eastAsia="zh-CN"/>
        </w:rPr>
        <w:t xml:space="preserve"> </w:t>
      </w:r>
      <w:r w:rsidRPr="00F4231A">
        <w:rPr>
          <w:rFonts w:ascii="Book Antiqua" w:hAnsi="Book Antiqua" w:cs="Times New Roman"/>
          <w:bCs/>
          <w:color w:val="auto"/>
          <w:sz w:val="24"/>
          <w:szCs w:val="24"/>
          <w:highlight w:val="white"/>
          <w:lang w:val="en-US"/>
        </w:rPr>
        <w:t>in</w:t>
      </w:r>
      <w:r w:rsidRPr="00F4231A">
        <w:rPr>
          <w:rFonts w:ascii="Book Antiqua" w:hAnsi="Book Antiqua" w:cs="Times New Roman"/>
          <w:bCs/>
          <w:color w:val="auto"/>
          <w:sz w:val="24"/>
          <w:szCs w:val="24"/>
          <w:highlight w:val="white"/>
          <w:lang w:val="en-US" w:eastAsia="zh-CN"/>
        </w:rPr>
        <w:t xml:space="preserve"> </w:t>
      </w:r>
      <w:r w:rsidRPr="00F4231A">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w:t>
      </w:r>
      <w:r w:rsidRPr="00F4231A">
        <w:rPr>
          <w:rFonts w:ascii="Book Antiqua" w:hAnsi="Book Antiqua" w:cs="Times New Roman"/>
          <w:bCs/>
          <w:color w:val="auto"/>
          <w:sz w:val="24"/>
          <w:szCs w:val="24"/>
          <w:highlight w:val="white"/>
          <w:lang w:val="en-US"/>
        </w:rPr>
        <w:lastRenderedPageBreak/>
        <w:t xml:space="preserve">this work non-commercially, and license their derivative works on different terms, provided the original work is properly cited and the use is non-commercial. See: </w:t>
      </w:r>
      <w:hyperlink r:id="rId8" w:history="1">
        <w:r w:rsidRPr="00F4231A">
          <w:rPr>
            <w:rStyle w:val="Hyperlink"/>
            <w:rFonts w:ascii="Book Antiqua" w:hAnsi="Book Antiqua" w:cs="Times New Roman"/>
            <w:bCs/>
            <w:color w:val="auto"/>
            <w:sz w:val="24"/>
            <w:szCs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rsidR="00C84934" w:rsidRPr="00F4231A" w:rsidRDefault="00C84934" w:rsidP="00F4231A">
      <w:pPr>
        <w:pStyle w:val="1"/>
        <w:snapToGrid w:val="0"/>
        <w:spacing w:line="360" w:lineRule="auto"/>
        <w:jc w:val="both"/>
        <w:rPr>
          <w:rFonts w:ascii="Book Antiqua" w:hAnsi="Book Antiqua" w:cs="Times New Roman"/>
          <w:b/>
          <w:bCs/>
          <w:color w:val="auto"/>
          <w:sz w:val="24"/>
          <w:szCs w:val="24"/>
          <w:highlight w:val="white"/>
          <w:lang w:val="en-US" w:eastAsia="zh-CN"/>
        </w:rPr>
      </w:pPr>
    </w:p>
    <w:p w:rsidR="00C84934" w:rsidRPr="00F4231A" w:rsidRDefault="00C84934" w:rsidP="00F4231A">
      <w:pPr>
        <w:pStyle w:val="1"/>
        <w:snapToGrid w:val="0"/>
        <w:spacing w:line="360" w:lineRule="auto"/>
        <w:jc w:val="both"/>
        <w:rPr>
          <w:rFonts w:ascii="Book Antiqua" w:hAnsi="Book Antiqua" w:cs="Times New Roman"/>
          <w:b/>
          <w:bCs/>
          <w:color w:val="auto"/>
          <w:sz w:val="24"/>
          <w:szCs w:val="24"/>
          <w:highlight w:val="white"/>
          <w:lang w:val="en-US" w:eastAsia="zh-CN"/>
        </w:rPr>
      </w:pPr>
      <w:r w:rsidRPr="00F4231A">
        <w:rPr>
          <w:rFonts w:ascii="Book Antiqua" w:hAnsi="Book Antiqua" w:cs="Times New Roman"/>
          <w:b/>
          <w:bCs/>
          <w:color w:val="auto"/>
          <w:sz w:val="24"/>
          <w:szCs w:val="24"/>
          <w:highlight w:val="white"/>
          <w:lang w:val="en-US"/>
        </w:rPr>
        <w:t>Manuscript source:</w:t>
      </w:r>
      <w:r w:rsidRPr="00F4231A">
        <w:rPr>
          <w:rFonts w:ascii="Book Antiqua" w:hAnsi="Book Antiqua" w:cs="Times New Roman"/>
          <w:b/>
          <w:bCs/>
          <w:color w:val="auto"/>
          <w:sz w:val="24"/>
          <w:szCs w:val="24"/>
          <w:highlight w:val="white"/>
          <w:lang w:val="en-US" w:eastAsia="zh-CN"/>
        </w:rPr>
        <w:t xml:space="preserve"> </w:t>
      </w:r>
      <w:r w:rsidRPr="00F4231A">
        <w:rPr>
          <w:rFonts w:ascii="Book Antiqua" w:hAnsi="Book Antiqua" w:cs="Times New Roman"/>
          <w:bCs/>
          <w:color w:val="auto"/>
          <w:sz w:val="24"/>
          <w:szCs w:val="24"/>
          <w:highlight w:val="white"/>
          <w:lang w:val="en-US"/>
        </w:rPr>
        <w:t>Invited manuscript</w:t>
      </w:r>
    </w:p>
    <w:bookmarkEnd w:id="6"/>
    <w:bookmarkEnd w:id="7"/>
    <w:p w:rsidR="00C84934" w:rsidRPr="00F4231A" w:rsidRDefault="00C84934" w:rsidP="00F4231A">
      <w:pPr>
        <w:snapToGrid w:val="0"/>
        <w:spacing w:line="360" w:lineRule="auto"/>
        <w:rPr>
          <w:rFonts w:ascii="Book Antiqua" w:hAnsi="Book Antiqua" w:cs="Arial"/>
          <w:sz w:val="24"/>
          <w:szCs w:val="24"/>
        </w:rPr>
      </w:pPr>
    </w:p>
    <w:p w:rsidR="00187760" w:rsidRPr="00F4231A" w:rsidRDefault="00C345B0" w:rsidP="00F4231A">
      <w:pPr>
        <w:snapToGrid w:val="0"/>
        <w:spacing w:line="360" w:lineRule="auto"/>
        <w:rPr>
          <w:rFonts w:ascii="Book Antiqua" w:hAnsi="Book Antiqua" w:cs="Arial"/>
          <w:sz w:val="24"/>
          <w:szCs w:val="24"/>
        </w:rPr>
      </w:pPr>
      <w:r w:rsidRPr="00F4231A">
        <w:rPr>
          <w:rFonts w:ascii="Book Antiqua" w:hAnsi="Book Antiqua" w:cs="Arial"/>
          <w:b/>
          <w:sz w:val="24"/>
          <w:szCs w:val="24"/>
        </w:rPr>
        <w:t>Correspondence</w:t>
      </w:r>
      <w:r w:rsidR="00E34257" w:rsidRPr="00F4231A">
        <w:rPr>
          <w:rFonts w:ascii="Book Antiqua" w:hAnsi="Book Antiqua" w:cs="Arial"/>
          <w:b/>
          <w:sz w:val="24"/>
          <w:szCs w:val="24"/>
        </w:rPr>
        <w:t xml:space="preserve"> to</w:t>
      </w:r>
      <w:r w:rsidR="00187760" w:rsidRPr="00F4231A">
        <w:rPr>
          <w:rFonts w:ascii="Book Antiqua" w:hAnsi="Book Antiqua" w:cs="Arial"/>
          <w:b/>
          <w:sz w:val="24"/>
          <w:szCs w:val="24"/>
        </w:rPr>
        <w:t>:</w:t>
      </w:r>
      <w:r w:rsidR="00187760" w:rsidRPr="00F4231A">
        <w:rPr>
          <w:rFonts w:ascii="Book Antiqua" w:hAnsi="Book Antiqua" w:cs="Arial"/>
          <w:sz w:val="24"/>
          <w:szCs w:val="24"/>
        </w:rPr>
        <w:t xml:space="preserve"> </w:t>
      </w:r>
      <w:bookmarkStart w:id="12" w:name="OLE_LINK1"/>
      <w:bookmarkStart w:id="13" w:name="OLE_LINK2"/>
      <w:r w:rsidR="00FC4703" w:rsidRPr="00F4231A">
        <w:rPr>
          <w:rFonts w:ascii="Book Antiqua" w:hAnsi="Book Antiqua" w:cs="Arial"/>
          <w:b/>
          <w:sz w:val="24"/>
          <w:szCs w:val="24"/>
        </w:rPr>
        <w:t>Naoki Tanaka</w:t>
      </w:r>
      <w:r w:rsidR="00C84934" w:rsidRPr="00F4231A">
        <w:rPr>
          <w:rFonts w:ascii="Book Antiqua" w:hAnsi="Book Antiqua" w:cs="Arial"/>
          <w:b/>
          <w:sz w:val="24"/>
          <w:szCs w:val="24"/>
        </w:rPr>
        <w:t>, MD</w:t>
      </w:r>
      <w:r w:rsidR="00FC101C" w:rsidRPr="00F4231A">
        <w:rPr>
          <w:rFonts w:ascii="Book Antiqua" w:hAnsi="Book Antiqua" w:cs="Arial"/>
          <w:b/>
          <w:sz w:val="24"/>
          <w:szCs w:val="24"/>
        </w:rPr>
        <w:t xml:space="preserve">, PhD, </w:t>
      </w:r>
      <w:r w:rsidR="00FC4703" w:rsidRPr="00F4231A">
        <w:rPr>
          <w:rFonts w:ascii="Book Antiqua" w:hAnsi="Book Antiqua" w:cs="Arial"/>
          <w:sz w:val="24"/>
          <w:szCs w:val="24"/>
        </w:rPr>
        <w:t>Department of Metabolic Regulation, Shinshu University Graduate School of Medicine, Asahi 3-1-1, Matsumoto, Nagano</w:t>
      </w:r>
      <w:r w:rsidR="00C84934" w:rsidRPr="00F4231A">
        <w:rPr>
          <w:rFonts w:ascii="Book Antiqua" w:hAnsi="Book Antiqua" w:cs="Arial"/>
          <w:sz w:val="24"/>
          <w:szCs w:val="24"/>
        </w:rPr>
        <w:t xml:space="preserve"> </w:t>
      </w:r>
      <w:r w:rsidR="00A76BCB" w:rsidRPr="00F4231A">
        <w:rPr>
          <w:rFonts w:ascii="Book Antiqua" w:hAnsi="Book Antiqua" w:cs="Arial"/>
          <w:sz w:val="24"/>
          <w:szCs w:val="24"/>
        </w:rPr>
        <w:t xml:space="preserve">390-8621, </w:t>
      </w:r>
      <w:r w:rsidR="00FC4703" w:rsidRPr="00F4231A">
        <w:rPr>
          <w:rFonts w:ascii="Book Antiqua" w:hAnsi="Book Antiqua" w:cs="Arial"/>
          <w:sz w:val="24"/>
          <w:szCs w:val="24"/>
        </w:rPr>
        <w:t>Japan</w:t>
      </w:r>
      <w:r w:rsidR="00FC101C" w:rsidRPr="00F4231A">
        <w:rPr>
          <w:rFonts w:ascii="Book Antiqua" w:hAnsi="Book Antiqua" w:cs="Arial"/>
          <w:sz w:val="24"/>
          <w:szCs w:val="24"/>
        </w:rPr>
        <w:t xml:space="preserve">. </w:t>
      </w:r>
      <w:hyperlink r:id="rId9" w:history="1">
        <w:r w:rsidR="00FC101C" w:rsidRPr="00F4231A">
          <w:rPr>
            <w:rStyle w:val="Hyperlink"/>
            <w:rFonts w:ascii="Book Antiqua" w:hAnsi="Book Antiqua" w:cs="Arial"/>
            <w:color w:val="auto"/>
            <w:sz w:val="24"/>
            <w:szCs w:val="24"/>
            <w:lang w:val="fr-FR"/>
          </w:rPr>
          <w:t>naopi@shinshu-u.ac.jp</w:t>
        </w:r>
      </w:hyperlink>
    </w:p>
    <w:p w:rsidR="00D52349" w:rsidRPr="00F4231A" w:rsidRDefault="00D52349" w:rsidP="00F4231A">
      <w:pPr>
        <w:snapToGrid w:val="0"/>
        <w:spacing w:line="360" w:lineRule="auto"/>
        <w:rPr>
          <w:rFonts w:ascii="Book Antiqua" w:hAnsi="Book Antiqua" w:cs="Arial"/>
          <w:sz w:val="24"/>
          <w:szCs w:val="24"/>
        </w:rPr>
      </w:pPr>
      <w:r w:rsidRPr="00F4231A">
        <w:rPr>
          <w:rFonts w:ascii="Book Antiqua" w:hAnsi="Book Antiqua" w:cs="Arial"/>
          <w:b/>
          <w:sz w:val="24"/>
          <w:szCs w:val="24"/>
        </w:rPr>
        <w:t>Tel</w:t>
      </w:r>
      <w:r w:rsidR="00B45765" w:rsidRPr="00F4231A">
        <w:rPr>
          <w:rFonts w:ascii="Book Antiqua" w:hAnsi="Book Antiqua" w:cs="Arial"/>
          <w:b/>
          <w:sz w:val="24"/>
          <w:szCs w:val="24"/>
        </w:rPr>
        <w:t>ephone</w:t>
      </w:r>
      <w:r w:rsidRPr="00F4231A">
        <w:rPr>
          <w:rFonts w:ascii="Book Antiqua" w:hAnsi="Book Antiqua" w:cs="Arial"/>
          <w:b/>
          <w:sz w:val="24"/>
          <w:szCs w:val="24"/>
        </w:rPr>
        <w:t xml:space="preserve">: </w:t>
      </w:r>
      <w:r w:rsidR="00405E3D">
        <w:rPr>
          <w:rFonts w:ascii="Book Antiqua" w:hAnsi="Book Antiqua" w:cs="Arial"/>
          <w:sz w:val="24"/>
          <w:szCs w:val="24"/>
        </w:rPr>
        <w:t>+81-263-37</w:t>
      </w:r>
      <w:r w:rsidRPr="00F4231A">
        <w:rPr>
          <w:rFonts w:ascii="Book Antiqua" w:hAnsi="Book Antiqua" w:cs="Arial"/>
          <w:sz w:val="24"/>
          <w:szCs w:val="24"/>
        </w:rPr>
        <w:t>2634</w:t>
      </w:r>
    </w:p>
    <w:p w:rsidR="00D52349" w:rsidRPr="00F4231A" w:rsidRDefault="00D52349" w:rsidP="00F4231A">
      <w:pPr>
        <w:snapToGrid w:val="0"/>
        <w:spacing w:line="360" w:lineRule="auto"/>
        <w:rPr>
          <w:rFonts w:ascii="Book Antiqua" w:hAnsi="Book Antiqua" w:cs="Arial"/>
          <w:sz w:val="24"/>
          <w:szCs w:val="24"/>
        </w:rPr>
      </w:pPr>
      <w:r w:rsidRPr="00F4231A">
        <w:rPr>
          <w:rFonts w:ascii="Book Antiqua" w:hAnsi="Book Antiqua" w:cs="Arial"/>
          <w:b/>
          <w:sz w:val="24"/>
          <w:szCs w:val="24"/>
        </w:rPr>
        <w:t>Fax:</w:t>
      </w:r>
      <w:r w:rsidR="00405E3D">
        <w:rPr>
          <w:rFonts w:ascii="Book Antiqua" w:hAnsi="Book Antiqua" w:cs="Arial"/>
          <w:sz w:val="24"/>
          <w:szCs w:val="24"/>
        </w:rPr>
        <w:t xml:space="preserve"> +81-263-32</w:t>
      </w:r>
      <w:r w:rsidRPr="00F4231A">
        <w:rPr>
          <w:rFonts w:ascii="Book Antiqua" w:hAnsi="Book Antiqua" w:cs="Arial"/>
          <w:sz w:val="24"/>
          <w:szCs w:val="24"/>
        </w:rPr>
        <w:t>9412</w:t>
      </w:r>
    </w:p>
    <w:bookmarkEnd w:id="12"/>
    <w:bookmarkEnd w:id="13"/>
    <w:p w:rsidR="00AA4292" w:rsidRPr="00F4231A" w:rsidRDefault="00AA4292" w:rsidP="00F4231A">
      <w:pPr>
        <w:snapToGrid w:val="0"/>
        <w:spacing w:line="360" w:lineRule="auto"/>
        <w:rPr>
          <w:rFonts w:ascii="Book Antiqua" w:hAnsi="Book Antiqua" w:cs="Arial"/>
          <w:b/>
          <w:sz w:val="24"/>
          <w:szCs w:val="24"/>
        </w:rPr>
      </w:pPr>
    </w:p>
    <w:p w:rsidR="00C84934" w:rsidRPr="00F4231A" w:rsidRDefault="00C84934" w:rsidP="00F4231A">
      <w:pPr>
        <w:widowControl/>
        <w:snapToGrid w:val="0"/>
        <w:spacing w:line="360" w:lineRule="auto"/>
        <w:rPr>
          <w:rFonts w:ascii="Book Antiqua" w:eastAsia="SimSun" w:hAnsi="Book Antiqua" w:cs="SimSun"/>
          <w:b/>
          <w:kern w:val="0"/>
          <w:sz w:val="24"/>
          <w:szCs w:val="24"/>
          <w:lang w:eastAsia="zh-CN"/>
        </w:rPr>
      </w:pPr>
      <w:bookmarkStart w:id="14" w:name="OLE_LINK952"/>
      <w:r w:rsidRPr="00F4231A">
        <w:rPr>
          <w:rFonts w:ascii="Book Antiqua" w:eastAsia="SimSun" w:hAnsi="Book Antiqua" w:cs="SimSun"/>
          <w:b/>
          <w:kern w:val="0"/>
          <w:sz w:val="24"/>
          <w:szCs w:val="24"/>
          <w:lang w:eastAsia="zh-CN"/>
        </w:rPr>
        <w:t xml:space="preserve">Received: </w:t>
      </w:r>
      <w:r w:rsidRPr="00F4231A">
        <w:rPr>
          <w:rFonts w:ascii="Book Antiqua" w:eastAsia="SimSun" w:hAnsi="Book Antiqua" w:cs="SimSun"/>
          <w:kern w:val="0"/>
          <w:sz w:val="24"/>
          <w:szCs w:val="24"/>
          <w:lang w:eastAsia="zh-CN"/>
        </w:rPr>
        <w:t>September 13, 2016</w:t>
      </w:r>
    </w:p>
    <w:p w:rsidR="00C84934" w:rsidRPr="00F4231A" w:rsidRDefault="00C84934" w:rsidP="00F4231A">
      <w:pPr>
        <w:widowControl/>
        <w:snapToGrid w:val="0"/>
        <w:spacing w:line="360" w:lineRule="auto"/>
        <w:rPr>
          <w:rFonts w:ascii="Book Antiqua" w:eastAsia="SimSun" w:hAnsi="Book Antiqua" w:cs="SimSun"/>
          <w:b/>
          <w:kern w:val="0"/>
          <w:sz w:val="24"/>
          <w:szCs w:val="24"/>
          <w:lang w:eastAsia="zh-CN"/>
        </w:rPr>
      </w:pPr>
      <w:r w:rsidRPr="00F4231A">
        <w:rPr>
          <w:rFonts w:ascii="Book Antiqua" w:eastAsia="SimSun" w:hAnsi="Book Antiqua" w:cs="SimSun"/>
          <w:b/>
          <w:kern w:val="0"/>
          <w:sz w:val="24"/>
          <w:szCs w:val="24"/>
          <w:lang w:eastAsia="zh-CN"/>
        </w:rPr>
        <w:t xml:space="preserve">Peer-review started: </w:t>
      </w:r>
      <w:r w:rsidRPr="00F4231A">
        <w:rPr>
          <w:rFonts w:ascii="Book Antiqua" w:eastAsia="SimSun" w:hAnsi="Book Antiqua" w:cs="SimSun"/>
          <w:kern w:val="0"/>
          <w:sz w:val="24"/>
          <w:szCs w:val="24"/>
          <w:lang w:eastAsia="zh-CN"/>
        </w:rPr>
        <w:t>September 16, 2016</w:t>
      </w:r>
    </w:p>
    <w:p w:rsidR="00C84934" w:rsidRPr="00F4231A" w:rsidRDefault="00C84934" w:rsidP="00F4231A">
      <w:pPr>
        <w:widowControl/>
        <w:snapToGrid w:val="0"/>
        <w:spacing w:line="360" w:lineRule="auto"/>
        <w:rPr>
          <w:rFonts w:ascii="Book Antiqua" w:eastAsia="SimSun" w:hAnsi="Book Antiqua" w:cs="SimSun"/>
          <w:b/>
          <w:kern w:val="0"/>
          <w:sz w:val="24"/>
          <w:szCs w:val="24"/>
          <w:lang w:eastAsia="zh-CN"/>
        </w:rPr>
      </w:pPr>
      <w:r w:rsidRPr="00F4231A">
        <w:rPr>
          <w:rFonts w:ascii="Book Antiqua" w:eastAsia="SimSun" w:hAnsi="Book Antiqua" w:cs="SimSun"/>
          <w:b/>
          <w:kern w:val="0"/>
          <w:sz w:val="24"/>
          <w:szCs w:val="24"/>
          <w:lang w:eastAsia="zh-CN"/>
        </w:rPr>
        <w:t xml:space="preserve">First decision: </w:t>
      </w:r>
      <w:r w:rsidRPr="00F4231A">
        <w:rPr>
          <w:rFonts w:ascii="Book Antiqua" w:eastAsia="SimSun" w:hAnsi="Book Antiqua" w:cs="SimSun"/>
          <w:kern w:val="0"/>
          <w:sz w:val="24"/>
          <w:szCs w:val="24"/>
          <w:lang w:eastAsia="zh-CN"/>
        </w:rPr>
        <w:t>September 20, 2016</w:t>
      </w:r>
    </w:p>
    <w:p w:rsidR="00C84934" w:rsidRPr="00F4231A" w:rsidRDefault="00C84934" w:rsidP="00F4231A">
      <w:pPr>
        <w:widowControl/>
        <w:snapToGrid w:val="0"/>
        <w:spacing w:line="360" w:lineRule="auto"/>
        <w:rPr>
          <w:rFonts w:ascii="Book Antiqua" w:eastAsia="SimSun" w:hAnsi="Book Antiqua" w:cs="SimSun"/>
          <w:b/>
          <w:kern w:val="0"/>
          <w:sz w:val="24"/>
          <w:szCs w:val="24"/>
          <w:lang w:eastAsia="zh-CN"/>
        </w:rPr>
      </w:pPr>
      <w:r w:rsidRPr="00F4231A">
        <w:rPr>
          <w:rFonts w:ascii="Book Antiqua" w:eastAsia="SimSun" w:hAnsi="Book Antiqua" w:cs="SimSun"/>
          <w:b/>
          <w:kern w:val="0"/>
          <w:sz w:val="24"/>
          <w:szCs w:val="24"/>
          <w:lang w:eastAsia="zh-CN"/>
        </w:rPr>
        <w:t xml:space="preserve">Revised: </w:t>
      </w:r>
      <w:r w:rsidRPr="00F4231A">
        <w:rPr>
          <w:rFonts w:ascii="Book Antiqua" w:eastAsia="SimSun" w:hAnsi="Book Antiqua" w:cs="SimSun"/>
          <w:kern w:val="0"/>
          <w:sz w:val="24"/>
          <w:szCs w:val="24"/>
          <w:lang w:eastAsia="zh-CN"/>
        </w:rPr>
        <w:t>November 14, 2016</w:t>
      </w:r>
    </w:p>
    <w:p w:rsidR="00C84934" w:rsidRPr="009416AE" w:rsidRDefault="00C84934" w:rsidP="009416AE">
      <w:pPr>
        <w:spacing w:line="360" w:lineRule="auto"/>
        <w:rPr>
          <w:rFonts w:ascii="Book Antiqua" w:hAnsi="Book Antiqua"/>
          <w:color w:val="000000"/>
          <w:sz w:val="24"/>
        </w:rPr>
      </w:pPr>
      <w:r w:rsidRPr="00F4231A">
        <w:rPr>
          <w:rFonts w:ascii="Book Antiqua" w:eastAsia="SimSun" w:hAnsi="Book Antiqua" w:cs="SimSun"/>
          <w:b/>
          <w:kern w:val="0"/>
          <w:sz w:val="24"/>
          <w:szCs w:val="24"/>
          <w:lang w:eastAsia="zh-CN"/>
        </w:rPr>
        <w:t>Accepted:</w:t>
      </w:r>
      <w:r w:rsidR="009416AE" w:rsidRPr="009416AE">
        <w:rPr>
          <w:rFonts w:ascii="Book Antiqua" w:hAnsi="Book Antiqua"/>
          <w:color w:val="000000"/>
          <w:sz w:val="24"/>
        </w:rPr>
        <w:t xml:space="preserve"> </w:t>
      </w:r>
      <w:r w:rsidR="009416AE">
        <w:rPr>
          <w:rFonts w:ascii="Book Antiqua" w:hAnsi="Book Antiqua"/>
          <w:color w:val="000000"/>
          <w:sz w:val="24"/>
        </w:rPr>
        <w:t>January 2, 2017</w:t>
      </w:r>
      <w:bookmarkStart w:id="15" w:name="_GoBack"/>
      <w:bookmarkEnd w:id="15"/>
    </w:p>
    <w:p w:rsidR="00C84934" w:rsidRPr="00F4231A" w:rsidRDefault="00C84934" w:rsidP="00F4231A">
      <w:pPr>
        <w:widowControl/>
        <w:snapToGrid w:val="0"/>
        <w:spacing w:line="360" w:lineRule="auto"/>
        <w:rPr>
          <w:rFonts w:ascii="Book Antiqua" w:eastAsia="SimSun" w:hAnsi="Book Antiqua" w:cs="SimSun"/>
          <w:b/>
          <w:kern w:val="0"/>
          <w:sz w:val="24"/>
          <w:szCs w:val="24"/>
          <w:lang w:eastAsia="zh-CN"/>
        </w:rPr>
      </w:pPr>
      <w:r w:rsidRPr="00F4231A">
        <w:rPr>
          <w:rFonts w:ascii="Book Antiqua" w:eastAsia="SimSun" w:hAnsi="Book Antiqua" w:cs="SimSun"/>
          <w:b/>
          <w:kern w:val="0"/>
          <w:sz w:val="24"/>
          <w:szCs w:val="24"/>
          <w:lang w:eastAsia="zh-CN"/>
        </w:rPr>
        <w:t>Article in press:</w:t>
      </w:r>
    </w:p>
    <w:p w:rsidR="00C84934" w:rsidRPr="00F4231A" w:rsidRDefault="00C84934" w:rsidP="00F4231A">
      <w:pPr>
        <w:widowControl/>
        <w:snapToGrid w:val="0"/>
        <w:spacing w:line="360" w:lineRule="auto"/>
        <w:rPr>
          <w:rFonts w:ascii="Book Antiqua" w:eastAsia="SimSun" w:hAnsi="Book Antiqua" w:cs="Arial"/>
          <w:b/>
          <w:kern w:val="0"/>
          <w:sz w:val="24"/>
          <w:szCs w:val="24"/>
          <w:lang w:val="pl-PL" w:eastAsia="zh-CN"/>
        </w:rPr>
      </w:pPr>
      <w:r w:rsidRPr="00F4231A">
        <w:rPr>
          <w:rFonts w:ascii="Book Antiqua" w:eastAsia="SimSun" w:hAnsi="Book Antiqua" w:cs="Arial"/>
          <w:b/>
          <w:kern w:val="0"/>
          <w:sz w:val="24"/>
          <w:szCs w:val="24"/>
          <w:lang w:val="pl-PL" w:eastAsia="pl-PL"/>
        </w:rPr>
        <w:t>Published online:</w:t>
      </w:r>
    </w:p>
    <w:bookmarkEnd w:id="14"/>
    <w:p w:rsidR="00C84934" w:rsidRPr="00F4231A" w:rsidRDefault="00C84934" w:rsidP="00F4231A">
      <w:pPr>
        <w:snapToGrid w:val="0"/>
        <w:spacing w:line="360" w:lineRule="auto"/>
        <w:rPr>
          <w:rFonts w:ascii="Book Antiqua" w:hAnsi="Book Antiqua" w:cs="Arial"/>
          <w:b/>
          <w:sz w:val="24"/>
          <w:szCs w:val="24"/>
        </w:rPr>
      </w:pPr>
    </w:p>
    <w:p w:rsidR="009A3D08" w:rsidRPr="00F4231A" w:rsidRDefault="008A7168" w:rsidP="00F4231A">
      <w:pPr>
        <w:snapToGrid w:val="0"/>
        <w:spacing w:line="360" w:lineRule="auto"/>
        <w:rPr>
          <w:rFonts w:ascii="Book Antiqua" w:hAnsi="Book Antiqua" w:cs="Arial"/>
          <w:sz w:val="24"/>
          <w:szCs w:val="24"/>
        </w:rPr>
      </w:pPr>
      <w:r w:rsidRPr="00F4231A">
        <w:rPr>
          <w:rFonts w:ascii="Book Antiqua" w:hAnsi="Book Antiqua" w:cs="Arial"/>
          <w:b/>
          <w:sz w:val="24"/>
          <w:szCs w:val="24"/>
        </w:rPr>
        <w:br w:type="page"/>
      </w:r>
      <w:r w:rsidR="001303A0" w:rsidRPr="00F4231A">
        <w:rPr>
          <w:rFonts w:ascii="Book Antiqua" w:hAnsi="Book Antiqua" w:cs="Arial"/>
          <w:b/>
          <w:sz w:val="24"/>
          <w:szCs w:val="24"/>
        </w:rPr>
        <w:lastRenderedPageBreak/>
        <w:t>Abstract</w:t>
      </w:r>
    </w:p>
    <w:p w:rsidR="00C84934" w:rsidRPr="00F4231A" w:rsidRDefault="001254AA" w:rsidP="00F4231A">
      <w:pPr>
        <w:pStyle w:val="15"/>
        <w:snapToGrid w:val="0"/>
        <w:ind w:left="1"/>
        <w:rPr>
          <w:rFonts w:ascii="Book Antiqua" w:hAnsi="Book Antiqua" w:cs="Arial"/>
          <w:b/>
          <w:i/>
          <w:sz w:val="24"/>
          <w:szCs w:val="24"/>
        </w:rPr>
      </w:pPr>
      <w:r w:rsidRPr="00F4231A">
        <w:rPr>
          <w:rFonts w:ascii="Book Antiqua" w:hAnsi="Book Antiqua" w:cs="Arial"/>
          <w:b/>
          <w:i/>
          <w:sz w:val="24"/>
          <w:szCs w:val="24"/>
        </w:rPr>
        <w:t>AIM</w:t>
      </w:r>
    </w:p>
    <w:p w:rsidR="00A3360E" w:rsidRPr="00F4231A" w:rsidRDefault="002F5E10" w:rsidP="00F4231A">
      <w:pPr>
        <w:pStyle w:val="15"/>
        <w:snapToGrid w:val="0"/>
        <w:ind w:left="1"/>
        <w:rPr>
          <w:rFonts w:ascii="Book Antiqua" w:hAnsi="Book Antiqua" w:cs="Arial"/>
          <w:sz w:val="24"/>
          <w:szCs w:val="24"/>
        </w:rPr>
      </w:pPr>
      <w:r w:rsidRPr="00F4231A">
        <w:rPr>
          <w:rFonts w:ascii="Book Antiqua" w:hAnsi="Book Antiqua" w:cs="Arial"/>
          <w:sz w:val="24"/>
          <w:szCs w:val="24"/>
        </w:rPr>
        <w:t>To assess whether s</w:t>
      </w:r>
      <w:r w:rsidR="007F211D" w:rsidRPr="00F4231A">
        <w:rPr>
          <w:rFonts w:ascii="Book Antiqua" w:hAnsi="Book Antiqua" w:cs="Arial"/>
          <w:sz w:val="24"/>
          <w:szCs w:val="24"/>
        </w:rPr>
        <w:t>urrogate biomarkers of endotox</w:t>
      </w:r>
      <w:r w:rsidRPr="00F4231A">
        <w:rPr>
          <w:rFonts w:ascii="Book Antiqua" w:hAnsi="Book Antiqua" w:cs="Arial"/>
          <w:sz w:val="24"/>
          <w:szCs w:val="24"/>
        </w:rPr>
        <w:t>emia were correlated with the histological features of nonalcohol</w:t>
      </w:r>
      <w:r w:rsidR="00C84934" w:rsidRPr="00F4231A">
        <w:rPr>
          <w:rFonts w:ascii="Book Antiqua" w:hAnsi="Book Antiqua" w:cs="Arial"/>
          <w:sz w:val="24"/>
          <w:szCs w:val="24"/>
        </w:rPr>
        <w:t>ic fatty liver disease (NAFLD).</w:t>
      </w:r>
    </w:p>
    <w:p w:rsidR="00C84934" w:rsidRPr="00F4231A" w:rsidRDefault="00C84934" w:rsidP="00F4231A">
      <w:pPr>
        <w:pStyle w:val="15"/>
        <w:snapToGrid w:val="0"/>
        <w:rPr>
          <w:rFonts w:ascii="Book Antiqua" w:hAnsi="Book Antiqua" w:cs="Arial"/>
          <w:b/>
          <w:sz w:val="24"/>
          <w:szCs w:val="24"/>
        </w:rPr>
      </w:pPr>
    </w:p>
    <w:p w:rsidR="00C84934" w:rsidRPr="00F4231A" w:rsidRDefault="001303A0" w:rsidP="00F4231A">
      <w:pPr>
        <w:pStyle w:val="15"/>
        <w:snapToGrid w:val="0"/>
        <w:rPr>
          <w:rFonts w:ascii="Book Antiqua" w:hAnsi="Book Antiqua" w:cs="Arial"/>
          <w:b/>
          <w:i/>
          <w:sz w:val="24"/>
          <w:szCs w:val="24"/>
        </w:rPr>
      </w:pPr>
      <w:r w:rsidRPr="00F4231A">
        <w:rPr>
          <w:rFonts w:ascii="Book Antiqua" w:hAnsi="Book Antiqua" w:cs="Arial"/>
          <w:b/>
          <w:i/>
          <w:sz w:val="24"/>
          <w:szCs w:val="24"/>
        </w:rPr>
        <w:t>M</w:t>
      </w:r>
      <w:r w:rsidR="001254AA" w:rsidRPr="00F4231A">
        <w:rPr>
          <w:rFonts w:ascii="Book Antiqua" w:hAnsi="Book Antiqua" w:cs="Arial"/>
          <w:b/>
          <w:i/>
          <w:sz w:val="24"/>
          <w:szCs w:val="24"/>
        </w:rPr>
        <w:t>ETHODS</w:t>
      </w:r>
    </w:p>
    <w:p w:rsidR="002B4323" w:rsidRPr="00F4231A" w:rsidRDefault="008A1763" w:rsidP="00F4231A">
      <w:pPr>
        <w:pStyle w:val="15"/>
        <w:snapToGrid w:val="0"/>
        <w:rPr>
          <w:rFonts w:ascii="Book Antiqua" w:hAnsi="Book Antiqua" w:cs="Arial"/>
          <w:sz w:val="24"/>
          <w:szCs w:val="24"/>
        </w:rPr>
      </w:pPr>
      <w:r w:rsidRPr="00F4231A">
        <w:rPr>
          <w:rFonts w:ascii="Book Antiqua" w:hAnsi="Book Antiqua" w:cs="Arial"/>
          <w:sz w:val="24"/>
          <w:szCs w:val="24"/>
        </w:rPr>
        <w:t>One</w:t>
      </w:r>
      <w:r w:rsidR="00AB4871" w:rsidRPr="00F4231A">
        <w:rPr>
          <w:rFonts w:ascii="Book Antiqua" w:hAnsi="Book Antiqua" w:cs="Arial"/>
          <w:sz w:val="24"/>
          <w:szCs w:val="24"/>
        </w:rPr>
        <w:t xml:space="preserve"> </w:t>
      </w:r>
      <w:r w:rsidRPr="00F4231A">
        <w:rPr>
          <w:rFonts w:ascii="Book Antiqua" w:hAnsi="Book Antiqua" w:cs="Arial"/>
          <w:sz w:val="24"/>
          <w:szCs w:val="24"/>
        </w:rPr>
        <w:t>hundred twenty-six NAFLD patients</w:t>
      </w:r>
      <w:r w:rsidR="0026300B" w:rsidRPr="00F4231A">
        <w:rPr>
          <w:rFonts w:ascii="Book Antiqua" w:hAnsi="Book Antiqua" w:cs="Arial"/>
          <w:sz w:val="24"/>
          <w:szCs w:val="24"/>
        </w:rPr>
        <w:t xml:space="preserve"> </w:t>
      </w:r>
      <w:r w:rsidR="00AB4871" w:rsidRPr="00F4231A">
        <w:rPr>
          <w:rFonts w:ascii="Book Antiqua" w:hAnsi="Book Antiqua" w:cs="Arial"/>
          <w:sz w:val="24"/>
          <w:szCs w:val="24"/>
        </w:rPr>
        <w:t xml:space="preserve">who had </w:t>
      </w:r>
      <w:r w:rsidR="002B6D1A" w:rsidRPr="00F4231A">
        <w:rPr>
          <w:rFonts w:ascii="Book Antiqua" w:hAnsi="Book Antiqua" w:cs="Arial"/>
          <w:sz w:val="24"/>
          <w:szCs w:val="24"/>
        </w:rPr>
        <w:t>under</w:t>
      </w:r>
      <w:r w:rsidR="00AB4871" w:rsidRPr="00F4231A">
        <w:rPr>
          <w:rFonts w:ascii="Book Antiqua" w:hAnsi="Book Antiqua" w:cs="Arial"/>
          <w:sz w:val="24"/>
          <w:szCs w:val="24"/>
        </w:rPr>
        <w:t xml:space="preserve">gone </w:t>
      </w:r>
      <w:r w:rsidR="002B6D1A" w:rsidRPr="00F4231A">
        <w:rPr>
          <w:rFonts w:ascii="Book Antiqua" w:hAnsi="Book Antiqua" w:cs="Arial"/>
          <w:sz w:val="24"/>
          <w:szCs w:val="24"/>
        </w:rPr>
        <w:t xml:space="preserve">percutaneous liver biopsy </w:t>
      </w:r>
      <w:r w:rsidR="0026300B" w:rsidRPr="00F4231A">
        <w:rPr>
          <w:rFonts w:ascii="Book Antiqua" w:hAnsi="Book Antiqua" w:cs="Arial"/>
          <w:sz w:val="24"/>
          <w:szCs w:val="24"/>
        </w:rPr>
        <w:t>were enrolled</w:t>
      </w:r>
      <w:r w:rsidR="00AB4871" w:rsidRPr="00F4231A">
        <w:rPr>
          <w:rFonts w:ascii="Book Antiqua" w:hAnsi="Book Antiqua" w:cs="Arial"/>
          <w:sz w:val="24"/>
          <w:szCs w:val="24"/>
        </w:rPr>
        <w:t xml:space="preserve">. </w:t>
      </w:r>
      <w:r w:rsidR="002F5E10" w:rsidRPr="00F4231A">
        <w:rPr>
          <w:rFonts w:ascii="Book Antiqua" w:hAnsi="Book Antiqua" w:cs="Arial"/>
          <w:sz w:val="24"/>
          <w:szCs w:val="24"/>
        </w:rPr>
        <w:t xml:space="preserve">Serum </w:t>
      </w:r>
      <w:r w:rsidR="0043473E" w:rsidRPr="00F4231A">
        <w:rPr>
          <w:rFonts w:ascii="Book Antiqua" w:hAnsi="Book Antiqua" w:cs="Arial"/>
          <w:sz w:val="24"/>
          <w:szCs w:val="24"/>
        </w:rPr>
        <w:t>lipopolysaccharide (</w:t>
      </w:r>
      <w:r w:rsidR="002F5E10" w:rsidRPr="00F4231A">
        <w:rPr>
          <w:rFonts w:ascii="Book Antiqua" w:hAnsi="Book Antiqua" w:cs="Arial"/>
          <w:sz w:val="24"/>
          <w:szCs w:val="24"/>
        </w:rPr>
        <w:t>LPS</w:t>
      </w:r>
      <w:r w:rsidR="0043473E" w:rsidRPr="00F4231A">
        <w:rPr>
          <w:rFonts w:ascii="Book Antiqua" w:hAnsi="Book Antiqua" w:cs="Arial"/>
          <w:sz w:val="24"/>
          <w:szCs w:val="24"/>
        </w:rPr>
        <w:t>)</w:t>
      </w:r>
      <w:r w:rsidR="002F5E10" w:rsidRPr="00F4231A">
        <w:rPr>
          <w:rFonts w:ascii="Book Antiqua" w:hAnsi="Book Antiqua" w:cs="Arial"/>
          <w:sz w:val="24"/>
          <w:szCs w:val="24"/>
        </w:rPr>
        <w:t xml:space="preserve">-binding protein (LBP) and anti-endotoxin core immunoglobulin G (EndoCab IgG) antibody </w:t>
      </w:r>
      <w:r w:rsidR="004A18C1" w:rsidRPr="00F4231A">
        <w:rPr>
          <w:rFonts w:ascii="Book Antiqua" w:hAnsi="Book Antiqua" w:cs="Arial"/>
          <w:sz w:val="24"/>
          <w:szCs w:val="24"/>
        </w:rPr>
        <w:t xml:space="preserve">concentrations </w:t>
      </w:r>
      <w:r w:rsidR="0085045A" w:rsidRPr="00F4231A">
        <w:rPr>
          <w:rFonts w:ascii="Book Antiqua" w:hAnsi="Book Antiqua" w:cs="Arial"/>
          <w:sz w:val="24"/>
          <w:szCs w:val="24"/>
        </w:rPr>
        <w:t xml:space="preserve">at the time of liver biopsy </w:t>
      </w:r>
      <w:r w:rsidRPr="00F4231A">
        <w:rPr>
          <w:rFonts w:ascii="Book Antiqua" w:hAnsi="Book Antiqua" w:cs="Arial"/>
          <w:sz w:val="24"/>
          <w:szCs w:val="24"/>
        </w:rPr>
        <w:t xml:space="preserve">were </w:t>
      </w:r>
      <w:r w:rsidR="00B0467D" w:rsidRPr="00F4231A">
        <w:rPr>
          <w:rFonts w:ascii="Book Antiqua" w:hAnsi="Book Antiqua" w:cs="Arial"/>
          <w:sz w:val="24"/>
          <w:szCs w:val="24"/>
        </w:rPr>
        <w:t xml:space="preserve">measured </w:t>
      </w:r>
      <w:r w:rsidR="007E4F4F" w:rsidRPr="00F4231A">
        <w:rPr>
          <w:rFonts w:ascii="Book Antiqua" w:hAnsi="Book Antiqua" w:cs="Arial"/>
          <w:sz w:val="24"/>
          <w:szCs w:val="24"/>
        </w:rPr>
        <w:t xml:space="preserve">using </w:t>
      </w:r>
      <w:r w:rsidR="00CF4436" w:rsidRPr="00F4231A">
        <w:rPr>
          <w:rFonts w:ascii="Book Antiqua" w:hAnsi="Book Antiqua" w:cs="Arial"/>
          <w:sz w:val="24"/>
          <w:szCs w:val="24"/>
        </w:rPr>
        <w:t xml:space="preserve">the </w:t>
      </w:r>
      <w:r w:rsidR="009B5DDF" w:rsidRPr="00F4231A">
        <w:rPr>
          <w:rFonts w:ascii="Book Antiqua" w:hAnsi="Book Antiqua" w:cs="Arial"/>
          <w:sz w:val="24"/>
          <w:szCs w:val="24"/>
        </w:rPr>
        <w:t>enzyme-linked immunosorbent assays</w:t>
      </w:r>
      <w:r w:rsidR="00AB4871" w:rsidRPr="00F4231A">
        <w:rPr>
          <w:rFonts w:ascii="Book Antiqua" w:hAnsi="Book Antiqua" w:cs="Arial"/>
          <w:sz w:val="24"/>
          <w:szCs w:val="24"/>
        </w:rPr>
        <w:t xml:space="preserve"> to examine for relationships between biomarker levels </w:t>
      </w:r>
      <w:r w:rsidR="002B6D1A" w:rsidRPr="00F4231A">
        <w:rPr>
          <w:rFonts w:ascii="Book Antiqua" w:hAnsi="Book Antiqua" w:cs="Arial"/>
          <w:sz w:val="24"/>
          <w:szCs w:val="24"/>
        </w:rPr>
        <w:t xml:space="preserve">and </w:t>
      </w:r>
      <w:r w:rsidR="00560DC6" w:rsidRPr="00F4231A">
        <w:rPr>
          <w:rFonts w:ascii="Book Antiqua" w:hAnsi="Book Antiqua" w:cs="Arial"/>
          <w:sz w:val="24"/>
          <w:szCs w:val="24"/>
        </w:rPr>
        <w:t>histological scores</w:t>
      </w:r>
      <w:r w:rsidR="00C23EDA" w:rsidRPr="00F4231A">
        <w:rPr>
          <w:rFonts w:ascii="Book Antiqua" w:hAnsi="Book Antiqua" w:cs="Arial"/>
          <w:sz w:val="24"/>
          <w:szCs w:val="24"/>
        </w:rPr>
        <w:t xml:space="preserve">. </w:t>
      </w:r>
    </w:p>
    <w:p w:rsidR="00C84934" w:rsidRPr="00F4231A" w:rsidRDefault="00C84934" w:rsidP="00F4231A">
      <w:pPr>
        <w:pStyle w:val="15"/>
        <w:snapToGrid w:val="0"/>
        <w:rPr>
          <w:rFonts w:ascii="Book Antiqua" w:hAnsi="Book Antiqua" w:cs="Arial"/>
          <w:b/>
          <w:sz w:val="24"/>
          <w:szCs w:val="24"/>
        </w:rPr>
      </w:pPr>
    </w:p>
    <w:p w:rsidR="00C84934" w:rsidRPr="00F4231A" w:rsidRDefault="001303A0" w:rsidP="00F4231A">
      <w:pPr>
        <w:pStyle w:val="15"/>
        <w:snapToGrid w:val="0"/>
        <w:rPr>
          <w:rFonts w:ascii="Book Antiqua" w:hAnsi="Book Antiqua" w:cs="Arial"/>
          <w:b/>
          <w:i/>
          <w:sz w:val="24"/>
          <w:szCs w:val="24"/>
        </w:rPr>
      </w:pPr>
      <w:r w:rsidRPr="00F4231A">
        <w:rPr>
          <w:rFonts w:ascii="Book Antiqua" w:hAnsi="Book Antiqua" w:cs="Arial"/>
          <w:b/>
          <w:i/>
          <w:sz w:val="24"/>
          <w:szCs w:val="24"/>
        </w:rPr>
        <w:t>R</w:t>
      </w:r>
      <w:r w:rsidR="001254AA" w:rsidRPr="00F4231A">
        <w:rPr>
          <w:rFonts w:ascii="Book Antiqua" w:hAnsi="Book Antiqua" w:cs="Arial"/>
          <w:b/>
          <w:i/>
          <w:sz w:val="24"/>
          <w:szCs w:val="24"/>
        </w:rPr>
        <w:t>ESULTS</w:t>
      </w:r>
    </w:p>
    <w:p w:rsidR="0022534B" w:rsidRPr="00F4231A" w:rsidRDefault="00F0360E" w:rsidP="00F4231A">
      <w:pPr>
        <w:pStyle w:val="15"/>
        <w:snapToGrid w:val="0"/>
        <w:rPr>
          <w:rFonts w:ascii="Book Antiqua" w:hAnsi="Book Antiqua" w:cs="Arial"/>
          <w:sz w:val="24"/>
          <w:szCs w:val="24"/>
        </w:rPr>
      </w:pPr>
      <w:r w:rsidRPr="00F4231A">
        <w:rPr>
          <w:rFonts w:ascii="Book Antiqua" w:hAnsi="Book Antiqua" w:cs="Arial"/>
          <w:sz w:val="24"/>
          <w:szCs w:val="24"/>
        </w:rPr>
        <w:t>Serum L</w:t>
      </w:r>
      <w:r w:rsidR="00A56CBF" w:rsidRPr="00F4231A">
        <w:rPr>
          <w:rFonts w:ascii="Book Antiqua" w:hAnsi="Book Antiqua" w:cs="Arial"/>
          <w:sz w:val="24"/>
          <w:szCs w:val="24"/>
        </w:rPr>
        <w:t>BP</w:t>
      </w:r>
      <w:r w:rsidRPr="00F4231A">
        <w:rPr>
          <w:rFonts w:ascii="Book Antiqua" w:hAnsi="Book Antiqua" w:cs="Arial"/>
          <w:sz w:val="24"/>
          <w:szCs w:val="24"/>
        </w:rPr>
        <w:t xml:space="preserve"> </w:t>
      </w:r>
      <w:r w:rsidR="00DF1A67" w:rsidRPr="00F4231A">
        <w:rPr>
          <w:rFonts w:ascii="Book Antiqua" w:hAnsi="Book Antiqua" w:cs="Arial"/>
          <w:sz w:val="24"/>
          <w:szCs w:val="24"/>
        </w:rPr>
        <w:t>concentration w</w:t>
      </w:r>
      <w:r w:rsidR="0020098B" w:rsidRPr="00F4231A">
        <w:rPr>
          <w:rFonts w:ascii="Book Antiqua" w:hAnsi="Book Antiqua" w:cs="Arial"/>
          <w:sz w:val="24"/>
          <w:szCs w:val="24"/>
        </w:rPr>
        <w:t xml:space="preserve">as significantly </w:t>
      </w:r>
      <w:r w:rsidRPr="00F4231A">
        <w:rPr>
          <w:rFonts w:ascii="Book Antiqua" w:hAnsi="Book Antiqua" w:cs="Arial"/>
          <w:sz w:val="24"/>
          <w:szCs w:val="24"/>
        </w:rPr>
        <w:t xml:space="preserve">increased in </w:t>
      </w:r>
      <w:r w:rsidR="00A609EF" w:rsidRPr="00F4231A">
        <w:rPr>
          <w:rFonts w:ascii="Book Antiqua" w:hAnsi="Book Antiqua" w:cs="Arial"/>
          <w:sz w:val="24"/>
          <w:szCs w:val="24"/>
        </w:rPr>
        <w:t xml:space="preserve">nonalcoholic steatohepatitis </w:t>
      </w:r>
      <w:r w:rsidR="00A609EF">
        <w:rPr>
          <w:rFonts w:ascii="Book Antiqua" w:eastAsia="SimSun" w:hAnsi="Book Antiqua" w:cs="Arial" w:hint="eastAsia"/>
          <w:sz w:val="24"/>
          <w:szCs w:val="24"/>
          <w:lang w:eastAsia="zh-CN"/>
        </w:rPr>
        <w:t>(</w:t>
      </w:r>
      <w:r w:rsidRPr="00F4231A">
        <w:rPr>
          <w:rFonts w:ascii="Book Antiqua" w:hAnsi="Book Antiqua" w:cs="Arial"/>
          <w:sz w:val="24"/>
          <w:szCs w:val="24"/>
        </w:rPr>
        <w:t>NASH</w:t>
      </w:r>
      <w:r w:rsidR="00A609EF">
        <w:rPr>
          <w:rFonts w:ascii="Book Antiqua" w:eastAsia="SimSun" w:hAnsi="Book Antiqua" w:cs="Arial" w:hint="eastAsia"/>
          <w:sz w:val="24"/>
          <w:szCs w:val="24"/>
          <w:lang w:eastAsia="zh-CN"/>
        </w:rPr>
        <w:t>)</w:t>
      </w:r>
      <w:r w:rsidRPr="00F4231A">
        <w:rPr>
          <w:rFonts w:ascii="Book Antiqua" w:hAnsi="Book Antiqua" w:cs="Arial"/>
          <w:sz w:val="24"/>
          <w:szCs w:val="24"/>
        </w:rPr>
        <w:t xml:space="preserve"> patients </w:t>
      </w:r>
      <w:r w:rsidR="0020098B" w:rsidRPr="00F4231A">
        <w:rPr>
          <w:rFonts w:ascii="Book Antiqua" w:hAnsi="Book Antiqua" w:cs="Arial"/>
          <w:sz w:val="24"/>
          <w:szCs w:val="24"/>
        </w:rPr>
        <w:t xml:space="preserve">as </w:t>
      </w:r>
      <w:r w:rsidRPr="00F4231A">
        <w:rPr>
          <w:rFonts w:ascii="Book Antiqua" w:hAnsi="Book Antiqua" w:cs="Arial"/>
          <w:sz w:val="24"/>
          <w:szCs w:val="24"/>
        </w:rPr>
        <w:t xml:space="preserve">compared with nonalcoholic fatty liver (NAFL) </w:t>
      </w:r>
      <w:r w:rsidR="0020098B" w:rsidRPr="00F4231A">
        <w:rPr>
          <w:rFonts w:ascii="Book Antiqua" w:hAnsi="Book Antiqua" w:cs="Arial"/>
          <w:sz w:val="24"/>
          <w:szCs w:val="24"/>
        </w:rPr>
        <w:t>subject</w:t>
      </w:r>
      <w:r w:rsidRPr="00F4231A">
        <w:rPr>
          <w:rFonts w:ascii="Book Antiqua" w:hAnsi="Book Antiqua" w:cs="Arial"/>
          <w:sz w:val="24"/>
          <w:szCs w:val="24"/>
        </w:rPr>
        <w:t xml:space="preserve">s and </w:t>
      </w:r>
      <w:r w:rsidR="00F65558" w:rsidRPr="00F4231A">
        <w:rPr>
          <w:rFonts w:ascii="Book Antiqua" w:hAnsi="Book Antiqua" w:cs="Arial"/>
          <w:sz w:val="24"/>
          <w:szCs w:val="24"/>
        </w:rPr>
        <w:t xml:space="preserve">was </w:t>
      </w:r>
      <w:r w:rsidRPr="00F4231A">
        <w:rPr>
          <w:rFonts w:ascii="Book Antiqua" w:hAnsi="Book Antiqua" w:cs="Arial"/>
          <w:sz w:val="24"/>
          <w:szCs w:val="24"/>
        </w:rPr>
        <w:t>correlated with steatosis (</w:t>
      </w:r>
      <w:r w:rsidRPr="00F4231A">
        <w:rPr>
          <w:rFonts w:ascii="Book Antiqua" w:hAnsi="Book Antiqua" w:cs="Arial"/>
          <w:i/>
          <w:sz w:val="24"/>
          <w:szCs w:val="24"/>
        </w:rPr>
        <w:t>r</w:t>
      </w:r>
      <w:r w:rsidR="0020098B" w:rsidRPr="00F4231A">
        <w:rPr>
          <w:rFonts w:ascii="Book Antiqua" w:hAnsi="Book Antiqua" w:cs="Arial"/>
          <w:i/>
          <w:sz w:val="24"/>
          <w:szCs w:val="24"/>
        </w:rPr>
        <w:t xml:space="preserve"> </w:t>
      </w:r>
      <w:r w:rsidR="00B340FA" w:rsidRPr="00F4231A">
        <w:rPr>
          <w:rFonts w:ascii="Book Antiqua" w:hAnsi="Book Antiqua" w:cs="Arial"/>
          <w:sz w:val="24"/>
          <w:szCs w:val="24"/>
        </w:rPr>
        <w:t>=</w:t>
      </w:r>
      <w:r w:rsidR="0020098B" w:rsidRPr="00F4231A">
        <w:rPr>
          <w:rFonts w:ascii="Book Antiqua" w:hAnsi="Book Antiqua" w:cs="Arial"/>
          <w:sz w:val="24"/>
          <w:szCs w:val="24"/>
        </w:rPr>
        <w:t xml:space="preserve"> </w:t>
      </w:r>
      <w:r w:rsidRPr="00F4231A">
        <w:rPr>
          <w:rFonts w:ascii="Book Antiqua" w:hAnsi="Book Antiqua" w:cs="Arial"/>
          <w:sz w:val="24"/>
          <w:szCs w:val="24"/>
        </w:rPr>
        <w:t>0.</w:t>
      </w:r>
      <w:r w:rsidR="00763298" w:rsidRPr="00F4231A">
        <w:rPr>
          <w:rFonts w:ascii="Book Antiqua" w:hAnsi="Book Antiqua" w:cs="Arial"/>
          <w:sz w:val="24"/>
          <w:szCs w:val="24"/>
        </w:rPr>
        <w:t>38</w:t>
      </w:r>
      <w:r w:rsidRPr="00F4231A">
        <w:rPr>
          <w:rFonts w:ascii="Book Antiqua" w:hAnsi="Book Antiqua" w:cs="Arial"/>
          <w:sz w:val="24"/>
          <w:szCs w:val="24"/>
        </w:rPr>
        <w:t xml:space="preserve">, </w:t>
      </w:r>
      <w:r w:rsidRPr="00F4231A">
        <w:rPr>
          <w:rFonts w:ascii="Book Antiqua" w:hAnsi="Book Antiqua" w:cs="Arial"/>
          <w:i/>
          <w:sz w:val="24"/>
          <w:szCs w:val="24"/>
        </w:rPr>
        <w:t>P</w:t>
      </w:r>
      <w:r w:rsidR="0020098B" w:rsidRPr="00F4231A">
        <w:rPr>
          <w:rFonts w:ascii="Book Antiqua" w:hAnsi="Book Antiqua" w:cs="Arial"/>
          <w:i/>
          <w:sz w:val="24"/>
          <w:szCs w:val="24"/>
        </w:rPr>
        <w:t xml:space="preserve"> </w:t>
      </w:r>
      <w:r w:rsidR="00B340FA" w:rsidRPr="00F4231A">
        <w:rPr>
          <w:rFonts w:ascii="Book Antiqua" w:hAnsi="Book Antiqua" w:cs="Arial"/>
          <w:sz w:val="24"/>
          <w:szCs w:val="24"/>
        </w:rPr>
        <w:t>&lt;</w:t>
      </w:r>
      <w:r w:rsidR="00C84934" w:rsidRPr="00F4231A">
        <w:rPr>
          <w:rFonts w:ascii="Book Antiqua" w:hAnsi="Book Antiqua" w:cs="Arial"/>
          <w:sz w:val="24"/>
          <w:szCs w:val="24"/>
        </w:rPr>
        <w:t xml:space="preserve"> </w:t>
      </w:r>
      <w:r w:rsidRPr="00F4231A">
        <w:rPr>
          <w:rFonts w:ascii="Book Antiqua" w:hAnsi="Book Antiqua" w:cs="Arial"/>
          <w:sz w:val="24"/>
          <w:szCs w:val="24"/>
        </w:rPr>
        <w:t xml:space="preserve">0.0001) and ballooning </w:t>
      </w:r>
      <w:r w:rsidR="00560DC6" w:rsidRPr="00F4231A">
        <w:rPr>
          <w:rFonts w:ascii="Book Antiqua" w:hAnsi="Book Antiqua" w:cs="Arial"/>
          <w:sz w:val="24"/>
          <w:szCs w:val="24"/>
        </w:rPr>
        <w:t xml:space="preserve">scores </w:t>
      </w:r>
      <w:r w:rsidRPr="00F4231A">
        <w:rPr>
          <w:rFonts w:ascii="Book Antiqua" w:hAnsi="Book Antiqua" w:cs="Arial"/>
          <w:sz w:val="24"/>
          <w:szCs w:val="24"/>
        </w:rPr>
        <w:t>(</w:t>
      </w:r>
      <w:r w:rsidRPr="00F4231A">
        <w:rPr>
          <w:rFonts w:ascii="Book Antiqua" w:hAnsi="Book Antiqua" w:cs="Arial"/>
          <w:i/>
          <w:sz w:val="24"/>
          <w:szCs w:val="24"/>
        </w:rPr>
        <w:t>r</w:t>
      </w:r>
      <w:r w:rsidR="0020098B" w:rsidRPr="00F4231A">
        <w:rPr>
          <w:rFonts w:ascii="Book Antiqua" w:hAnsi="Book Antiqua" w:cs="Arial"/>
          <w:i/>
          <w:sz w:val="24"/>
          <w:szCs w:val="24"/>
        </w:rPr>
        <w:t xml:space="preserve"> </w:t>
      </w:r>
      <w:r w:rsidR="00B340FA" w:rsidRPr="00F4231A">
        <w:rPr>
          <w:rFonts w:ascii="Book Antiqua" w:hAnsi="Book Antiqua" w:cs="Arial"/>
          <w:sz w:val="24"/>
          <w:szCs w:val="24"/>
        </w:rPr>
        <w:t>=</w:t>
      </w:r>
      <w:r w:rsidR="0020098B" w:rsidRPr="00F4231A">
        <w:rPr>
          <w:rFonts w:ascii="Book Antiqua" w:hAnsi="Book Antiqua" w:cs="Arial"/>
          <w:sz w:val="24"/>
          <w:szCs w:val="24"/>
        </w:rPr>
        <w:t xml:space="preserve"> </w:t>
      </w:r>
      <w:r w:rsidRPr="00F4231A">
        <w:rPr>
          <w:rFonts w:ascii="Book Antiqua" w:hAnsi="Book Antiqua" w:cs="Arial"/>
          <w:sz w:val="24"/>
          <w:szCs w:val="24"/>
        </w:rPr>
        <w:t>0.</w:t>
      </w:r>
      <w:r w:rsidR="00763298" w:rsidRPr="00F4231A">
        <w:rPr>
          <w:rFonts w:ascii="Book Antiqua" w:hAnsi="Book Antiqua" w:cs="Arial"/>
          <w:sz w:val="24"/>
          <w:szCs w:val="24"/>
        </w:rPr>
        <w:t>24</w:t>
      </w:r>
      <w:r w:rsidRPr="00F4231A">
        <w:rPr>
          <w:rFonts w:ascii="Book Antiqua" w:hAnsi="Book Antiqua" w:cs="Arial"/>
          <w:sz w:val="24"/>
          <w:szCs w:val="24"/>
        </w:rPr>
        <w:t xml:space="preserve">, </w:t>
      </w:r>
      <w:r w:rsidRPr="00F4231A">
        <w:rPr>
          <w:rFonts w:ascii="Book Antiqua" w:hAnsi="Book Antiqua" w:cs="Arial"/>
          <w:i/>
          <w:sz w:val="24"/>
          <w:szCs w:val="24"/>
        </w:rPr>
        <w:t>P</w:t>
      </w:r>
      <w:r w:rsidR="0020098B" w:rsidRPr="00F4231A">
        <w:rPr>
          <w:rFonts w:ascii="Book Antiqua" w:hAnsi="Book Antiqua" w:cs="Arial"/>
          <w:i/>
          <w:sz w:val="24"/>
          <w:szCs w:val="24"/>
        </w:rPr>
        <w:t xml:space="preserve"> </w:t>
      </w:r>
      <w:r w:rsidR="00763298" w:rsidRPr="00F4231A">
        <w:rPr>
          <w:rFonts w:ascii="Book Antiqua" w:hAnsi="Book Antiqua" w:cs="Arial"/>
          <w:sz w:val="24"/>
          <w:szCs w:val="24"/>
        </w:rPr>
        <w:t>=</w:t>
      </w:r>
      <w:r w:rsidR="0020098B" w:rsidRPr="00F4231A">
        <w:rPr>
          <w:rFonts w:ascii="Book Antiqua" w:hAnsi="Book Antiqua" w:cs="Arial"/>
          <w:sz w:val="24"/>
          <w:szCs w:val="24"/>
        </w:rPr>
        <w:t xml:space="preserve"> </w:t>
      </w:r>
      <w:r w:rsidRPr="00F4231A">
        <w:rPr>
          <w:rFonts w:ascii="Book Antiqua" w:hAnsi="Book Antiqua" w:cs="Arial"/>
          <w:sz w:val="24"/>
          <w:szCs w:val="24"/>
        </w:rPr>
        <w:t>0.00</w:t>
      </w:r>
      <w:r w:rsidR="00763298" w:rsidRPr="00F4231A">
        <w:rPr>
          <w:rFonts w:ascii="Book Antiqua" w:hAnsi="Book Antiqua" w:cs="Arial"/>
          <w:sz w:val="24"/>
          <w:szCs w:val="24"/>
        </w:rPr>
        <w:t>7</w:t>
      </w:r>
      <w:r w:rsidRPr="00F4231A">
        <w:rPr>
          <w:rFonts w:ascii="Book Antiqua" w:hAnsi="Book Antiqua" w:cs="Arial"/>
          <w:sz w:val="24"/>
          <w:szCs w:val="24"/>
        </w:rPr>
        <w:t xml:space="preserve">), but not </w:t>
      </w:r>
      <w:r w:rsidR="00C759FB" w:rsidRPr="00F4231A">
        <w:rPr>
          <w:rFonts w:ascii="Book Antiqua" w:hAnsi="Book Antiqua" w:cs="Arial"/>
          <w:sz w:val="24"/>
          <w:szCs w:val="24"/>
        </w:rPr>
        <w:t xml:space="preserve">with the </w:t>
      </w:r>
      <w:r w:rsidR="00560DC6" w:rsidRPr="00F4231A">
        <w:rPr>
          <w:rFonts w:ascii="Book Antiqua" w:hAnsi="Book Antiqua" w:cs="Arial"/>
          <w:sz w:val="24"/>
          <w:szCs w:val="24"/>
        </w:rPr>
        <w:t xml:space="preserve">severity of </w:t>
      </w:r>
      <w:r w:rsidRPr="00F4231A">
        <w:rPr>
          <w:rFonts w:ascii="Book Antiqua" w:hAnsi="Book Antiqua" w:cs="Arial"/>
          <w:sz w:val="24"/>
          <w:szCs w:val="24"/>
        </w:rPr>
        <w:t xml:space="preserve">lobular inflammation </w:t>
      </w:r>
      <w:r w:rsidR="00C759FB" w:rsidRPr="00F4231A">
        <w:rPr>
          <w:rFonts w:ascii="Book Antiqua" w:hAnsi="Book Antiqua" w:cs="Arial"/>
          <w:sz w:val="24"/>
          <w:szCs w:val="24"/>
        </w:rPr>
        <w:t xml:space="preserve">or </w:t>
      </w:r>
      <w:r w:rsidRPr="00F4231A">
        <w:rPr>
          <w:rFonts w:ascii="Book Antiqua" w:hAnsi="Book Antiqua" w:cs="Arial"/>
          <w:sz w:val="24"/>
          <w:szCs w:val="24"/>
        </w:rPr>
        <w:t>fibrosis</w:t>
      </w:r>
      <w:r w:rsidR="00DF1A67" w:rsidRPr="00F4231A">
        <w:rPr>
          <w:rFonts w:ascii="Book Antiqua" w:hAnsi="Book Antiqua" w:cs="Arial"/>
          <w:sz w:val="24"/>
          <w:szCs w:val="24"/>
        </w:rPr>
        <w:t xml:space="preserve">. </w:t>
      </w:r>
      <w:r w:rsidR="00DA4641" w:rsidRPr="00F4231A">
        <w:rPr>
          <w:rFonts w:ascii="Book Antiqua" w:hAnsi="Book Antiqua" w:cs="Arial"/>
          <w:sz w:val="24"/>
          <w:szCs w:val="24"/>
        </w:rPr>
        <w:t>Multivariate linear regression analysis revealed that LBP was asso</w:t>
      </w:r>
      <w:r w:rsidR="00CA65CB" w:rsidRPr="00F4231A">
        <w:rPr>
          <w:rFonts w:ascii="Book Antiqua" w:hAnsi="Book Antiqua" w:cs="Arial"/>
          <w:sz w:val="24"/>
          <w:szCs w:val="24"/>
        </w:rPr>
        <w:t xml:space="preserve">ciated with steatosis score and </w:t>
      </w:r>
      <w:r w:rsidR="00DA4641" w:rsidRPr="00F4231A">
        <w:rPr>
          <w:rFonts w:ascii="Book Antiqua" w:hAnsi="Book Antiqua" w:cs="Arial"/>
          <w:sz w:val="24"/>
          <w:szCs w:val="24"/>
        </w:rPr>
        <w:t>circulating C-reactive protein</w:t>
      </w:r>
      <w:r w:rsidR="00CA65CB" w:rsidRPr="00F4231A">
        <w:rPr>
          <w:rFonts w:ascii="Book Antiqua" w:hAnsi="Book Antiqua" w:cs="Arial"/>
          <w:sz w:val="24"/>
          <w:szCs w:val="24"/>
        </w:rPr>
        <w:t xml:space="preserve">, aspartate aminotransferase, and </w:t>
      </w:r>
      <w:r w:rsidR="00DA4641" w:rsidRPr="00F4231A">
        <w:rPr>
          <w:rFonts w:ascii="Book Antiqua" w:hAnsi="Book Antiqua" w:cs="Arial"/>
          <w:sz w:val="24"/>
          <w:szCs w:val="24"/>
        </w:rPr>
        <w:t>fibrino</w:t>
      </w:r>
      <w:r w:rsidR="00CA65CB" w:rsidRPr="00F4231A">
        <w:rPr>
          <w:rFonts w:ascii="Book Antiqua" w:hAnsi="Book Antiqua" w:cs="Arial"/>
          <w:sz w:val="24"/>
          <w:szCs w:val="24"/>
        </w:rPr>
        <w:t xml:space="preserve">gen levels. </w:t>
      </w:r>
      <w:r w:rsidR="00DE35D7" w:rsidRPr="00F4231A">
        <w:rPr>
          <w:rFonts w:ascii="Book Antiqua" w:hAnsi="Book Antiqua" w:cs="Arial"/>
          <w:sz w:val="24"/>
          <w:szCs w:val="24"/>
        </w:rPr>
        <w:t xml:space="preserve">Serum </w:t>
      </w:r>
      <w:r w:rsidR="00C759FB" w:rsidRPr="00F4231A">
        <w:rPr>
          <w:rFonts w:ascii="Book Antiqua" w:hAnsi="Book Antiqua" w:cs="Arial"/>
          <w:sz w:val="24"/>
          <w:szCs w:val="24"/>
        </w:rPr>
        <w:t>EndoCab IgG concentration</w:t>
      </w:r>
      <w:r w:rsidR="00DE35D7" w:rsidRPr="00F4231A">
        <w:rPr>
          <w:rFonts w:ascii="Book Antiqua" w:hAnsi="Book Antiqua" w:cs="Arial"/>
          <w:sz w:val="24"/>
          <w:szCs w:val="24"/>
        </w:rPr>
        <w:t xml:space="preserve"> w</w:t>
      </w:r>
      <w:r w:rsidR="00C759FB" w:rsidRPr="00F4231A">
        <w:rPr>
          <w:rFonts w:ascii="Book Antiqua" w:hAnsi="Book Antiqua" w:cs="Arial"/>
          <w:sz w:val="24"/>
          <w:szCs w:val="24"/>
        </w:rPr>
        <w:t>as</w:t>
      </w:r>
      <w:r w:rsidR="00DE35D7" w:rsidRPr="00F4231A">
        <w:rPr>
          <w:rFonts w:ascii="Book Antiqua" w:hAnsi="Book Antiqua" w:cs="Arial"/>
          <w:sz w:val="24"/>
          <w:szCs w:val="24"/>
        </w:rPr>
        <w:t xml:space="preserve"> </w:t>
      </w:r>
      <w:r w:rsidR="00C759FB" w:rsidRPr="00F4231A">
        <w:rPr>
          <w:rFonts w:ascii="Book Antiqua" w:hAnsi="Book Antiqua" w:cs="Arial"/>
          <w:sz w:val="24"/>
          <w:szCs w:val="24"/>
        </w:rPr>
        <w:t xml:space="preserve">comparable </w:t>
      </w:r>
      <w:r w:rsidR="00763298" w:rsidRPr="00F4231A">
        <w:rPr>
          <w:rFonts w:ascii="Book Antiqua" w:hAnsi="Book Antiqua" w:cs="Arial"/>
          <w:sz w:val="24"/>
          <w:szCs w:val="24"/>
        </w:rPr>
        <w:t>bet</w:t>
      </w:r>
      <w:r w:rsidR="00DE35D7" w:rsidRPr="00F4231A">
        <w:rPr>
          <w:rFonts w:ascii="Book Antiqua" w:hAnsi="Book Antiqua" w:cs="Arial"/>
          <w:sz w:val="24"/>
          <w:szCs w:val="24"/>
        </w:rPr>
        <w:t>ween NASH and NAFL patients</w:t>
      </w:r>
      <w:r w:rsidR="00C759FB" w:rsidRPr="00F4231A">
        <w:rPr>
          <w:rFonts w:ascii="Book Antiqua" w:hAnsi="Book Antiqua" w:cs="Arial"/>
          <w:sz w:val="24"/>
          <w:szCs w:val="24"/>
        </w:rPr>
        <w:t xml:space="preserve">. No </w:t>
      </w:r>
      <w:r w:rsidR="00763298" w:rsidRPr="00F4231A">
        <w:rPr>
          <w:rFonts w:ascii="Book Antiqua" w:hAnsi="Book Antiqua" w:cs="Arial"/>
          <w:sz w:val="24"/>
          <w:szCs w:val="24"/>
        </w:rPr>
        <w:t>meaningful correlation</w:t>
      </w:r>
      <w:r w:rsidR="00C759FB" w:rsidRPr="00F4231A">
        <w:rPr>
          <w:rFonts w:ascii="Book Antiqua" w:hAnsi="Book Antiqua" w:cs="Arial"/>
          <w:sz w:val="24"/>
          <w:szCs w:val="24"/>
        </w:rPr>
        <w:t>s</w:t>
      </w:r>
      <w:r w:rsidR="00763298" w:rsidRPr="00F4231A">
        <w:rPr>
          <w:rFonts w:ascii="Book Antiqua" w:hAnsi="Book Antiqua" w:cs="Arial"/>
          <w:sz w:val="24"/>
          <w:szCs w:val="24"/>
        </w:rPr>
        <w:t xml:space="preserve"> </w:t>
      </w:r>
      <w:r w:rsidR="00C759FB" w:rsidRPr="00F4231A">
        <w:rPr>
          <w:rFonts w:ascii="Book Antiqua" w:hAnsi="Book Antiqua" w:cs="Arial"/>
          <w:sz w:val="24"/>
          <w:szCs w:val="24"/>
        </w:rPr>
        <w:t xml:space="preserve">were </w:t>
      </w:r>
      <w:r w:rsidR="00DE35D7" w:rsidRPr="00F4231A">
        <w:rPr>
          <w:rFonts w:ascii="Book Antiqua" w:hAnsi="Book Antiqua" w:cs="Arial"/>
          <w:sz w:val="24"/>
          <w:szCs w:val="24"/>
        </w:rPr>
        <w:t xml:space="preserve">detected </w:t>
      </w:r>
      <w:r w:rsidR="00763298" w:rsidRPr="00F4231A">
        <w:rPr>
          <w:rFonts w:ascii="Book Antiqua" w:hAnsi="Book Antiqua" w:cs="Arial"/>
          <w:sz w:val="24"/>
          <w:szCs w:val="24"/>
        </w:rPr>
        <w:t xml:space="preserve">between EndoCab </w:t>
      </w:r>
      <w:r w:rsidR="0022534B" w:rsidRPr="00F4231A">
        <w:rPr>
          <w:rFonts w:ascii="Book Antiqua" w:hAnsi="Book Antiqua" w:cs="Arial"/>
          <w:sz w:val="24"/>
          <w:szCs w:val="24"/>
        </w:rPr>
        <w:t xml:space="preserve">IgG </w:t>
      </w:r>
      <w:r w:rsidR="00763298" w:rsidRPr="00F4231A">
        <w:rPr>
          <w:rFonts w:ascii="Book Antiqua" w:hAnsi="Book Antiqua" w:cs="Arial"/>
          <w:sz w:val="24"/>
          <w:szCs w:val="24"/>
        </w:rPr>
        <w:t xml:space="preserve">and </w:t>
      </w:r>
      <w:r w:rsidRPr="00F4231A">
        <w:rPr>
          <w:rFonts w:ascii="Book Antiqua" w:hAnsi="Book Antiqua" w:cs="Arial"/>
          <w:sz w:val="24"/>
          <w:szCs w:val="24"/>
        </w:rPr>
        <w:t>histologica</w:t>
      </w:r>
      <w:r w:rsidR="00763298" w:rsidRPr="00F4231A">
        <w:rPr>
          <w:rFonts w:ascii="Book Antiqua" w:hAnsi="Book Antiqua" w:cs="Arial"/>
          <w:sz w:val="24"/>
          <w:szCs w:val="24"/>
        </w:rPr>
        <w:t xml:space="preserve">l </w:t>
      </w:r>
      <w:r w:rsidR="0022534B" w:rsidRPr="00F4231A">
        <w:rPr>
          <w:rFonts w:ascii="Book Antiqua" w:hAnsi="Book Antiqua" w:cs="Arial"/>
          <w:sz w:val="24"/>
          <w:szCs w:val="24"/>
        </w:rPr>
        <w:t>findings</w:t>
      </w:r>
      <w:r w:rsidR="00B106D1" w:rsidRPr="00F4231A">
        <w:rPr>
          <w:rFonts w:ascii="Book Antiqua" w:hAnsi="Book Antiqua" w:cs="Arial"/>
          <w:sz w:val="24"/>
          <w:szCs w:val="24"/>
        </w:rPr>
        <w:t xml:space="preserve">. </w:t>
      </w:r>
    </w:p>
    <w:p w:rsidR="00C84934" w:rsidRPr="00F4231A" w:rsidRDefault="00C84934" w:rsidP="00F4231A">
      <w:pPr>
        <w:pStyle w:val="15"/>
        <w:snapToGrid w:val="0"/>
        <w:rPr>
          <w:rFonts w:ascii="Book Antiqua" w:hAnsi="Book Antiqua" w:cs="Arial"/>
          <w:b/>
          <w:sz w:val="24"/>
          <w:szCs w:val="24"/>
        </w:rPr>
      </w:pPr>
    </w:p>
    <w:p w:rsidR="00C84934" w:rsidRPr="00F4231A" w:rsidRDefault="001303A0" w:rsidP="00F4231A">
      <w:pPr>
        <w:pStyle w:val="15"/>
        <w:snapToGrid w:val="0"/>
        <w:rPr>
          <w:rFonts w:ascii="Book Antiqua" w:hAnsi="Book Antiqua" w:cs="Arial"/>
          <w:b/>
          <w:i/>
          <w:sz w:val="24"/>
          <w:szCs w:val="24"/>
        </w:rPr>
      </w:pPr>
      <w:r w:rsidRPr="00F4231A">
        <w:rPr>
          <w:rFonts w:ascii="Book Antiqua" w:hAnsi="Book Antiqua" w:cs="Arial"/>
          <w:b/>
          <w:i/>
          <w:sz w:val="24"/>
          <w:szCs w:val="24"/>
        </w:rPr>
        <w:t>C</w:t>
      </w:r>
      <w:r w:rsidR="00B106D1" w:rsidRPr="00F4231A">
        <w:rPr>
          <w:rFonts w:ascii="Book Antiqua" w:hAnsi="Book Antiqua" w:cs="Arial"/>
          <w:b/>
          <w:i/>
          <w:sz w:val="24"/>
          <w:szCs w:val="24"/>
        </w:rPr>
        <w:t>ONCLUSION</w:t>
      </w:r>
    </w:p>
    <w:p w:rsidR="00D1258D" w:rsidRPr="00F4231A" w:rsidRDefault="00430EF7" w:rsidP="00F4231A">
      <w:pPr>
        <w:pStyle w:val="15"/>
        <w:snapToGrid w:val="0"/>
        <w:rPr>
          <w:rFonts w:ascii="Book Antiqua" w:hAnsi="Book Antiqua" w:cs="Arial"/>
          <w:sz w:val="24"/>
          <w:szCs w:val="24"/>
        </w:rPr>
      </w:pPr>
      <w:r w:rsidRPr="00F4231A">
        <w:rPr>
          <w:rFonts w:ascii="Book Antiqua" w:hAnsi="Book Antiqua" w:cs="Arial"/>
          <w:sz w:val="24"/>
          <w:szCs w:val="24"/>
        </w:rPr>
        <w:t>LBP/EndoCab IgG</w:t>
      </w:r>
      <w:r w:rsidR="00C84934" w:rsidRPr="00F4231A">
        <w:rPr>
          <w:rFonts w:ascii="Book Antiqua" w:hAnsi="Book Antiqua" w:cs="Arial"/>
          <w:sz w:val="24"/>
          <w:szCs w:val="24"/>
        </w:rPr>
        <w:t xml:space="preserve"> </w:t>
      </w:r>
      <w:r w:rsidRPr="00F4231A">
        <w:rPr>
          <w:rFonts w:ascii="Book Antiqua" w:hAnsi="Book Antiqua" w:cs="Arial"/>
          <w:sz w:val="24"/>
          <w:szCs w:val="24"/>
        </w:rPr>
        <w:t>were not correlat</w:t>
      </w:r>
      <w:r w:rsidR="00617571" w:rsidRPr="00F4231A">
        <w:rPr>
          <w:rFonts w:ascii="Book Antiqua" w:hAnsi="Book Antiqua" w:cs="Arial"/>
          <w:sz w:val="24"/>
          <w:szCs w:val="24"/>
        </w:rPr>
        <w:t>ed with lobular inflammation or</w:t>
      </w:r>
      <w:r w:rsidRPr="00F4231A">
        <w:rPr>
          <w:rFonts w:ascii="Book Antiqua" w:hAnsi="Book Antiqua" w:cs="Arial"/>
          <w:sz w:val="24"/>
          <w:szCs w:val="24"/>
        </w:rPr>
        <w:t xml:space="preserve"> fibrosis. </w:t>
      </w:r>
      <w:r w:rsidR="00E035B7" w:rsidRPr="00F4231A">
        <w:rPr>
          <w:rFonts w:ascii="Book Antiqua" w:hAnsi="Book Antiqua" w:cs="Arial"/>
          <w:sz w:val="24"/>
          <w:szCs w:val="24"/>
        </w:rPr>
        <w:t>More a</w:t>
      </w:r>
      <w:r w:rsidR="00EF17C9" w:rsidRPr="00F4231A">
        <w:rPr>
          <w:rFonts w:ascii="Book Antiqua" w:hAnsi="Book Antiqua" w:cs="Arial"/>
          <w:sz w:val="24"/>
          <w:szCs w:val="24"/>
        </w:rPr>
        <w:t xml:space="preserve">ccurate </w:t>
      </w:r>
      <w:r w:rsidR="00E035B7" w:rsidRPr="00F4231A">
        <w:rPr>
          <w:rFonts w:ascii="Book Antiqua" w:hAnsi="Book Antiqua" w:cs="Arial"/>
          <w:sz w:val="24"/>
          <w:szCs w:val="24"/>
        </w:rPr>
        <w:t>LPS bio</w:t>
      </w:r>
      <w:r w:rsidR="00EF17C9" w:rsidRPr="00F4231A">
        <w:rPr>
          <w:rFonts w:ascii="Book Antiqua" w:hAnsi="Book Antiqua" w:cs="Arial"/>
          <w:sz w:val="24"/>
          <w:szCs w:val="24"/>
        </w:rPr>
        <w:t>markers</w:t>
      </w:r>
      <w:r w:rsidR="007B60CE" w:rsidRPr="00F4231A">
        <w:rPr>
          <w:rFonts w:ascii="Book Antiqua" w:hAnsi="Book Antiqua" w:cs="Arial"/>
          <w:sz w:val="24"/>
          <w:szCs w:val="24"/>
        </w:rPr>
        <w:t xml:space="preserve"> </w:t>
      </w:r>
      <w:r w:rsidR="00EF17C9" w:rsidRPr="00F4231A">
        <w:rPr>
          <w:rFonts w:ascii="Book Antiqua" w:hAnsi="Book Antiqua" w:cs="Arial"/>
          <w:sz w:val="24"/>
          <w:szCs w:val="24"/>
        </w:rPr>
        <w:t xml:space="preserve">are </w:t>
      </w:r>
      <w:r w:rsidR="00455274" w:rsidRPr="00F4231A">
        <w:rPr>
          <w:rFonts w:ascii="Book Antiqua" w:hAnsi="Book Antiqua" w:cs="Arial"/>
          <w:sz w:val="24"/>
          <w:szCs w:val="24"/>
        </w:rPr>
        <w:t>required</w:t>
      </w:r>
      <w:r w:rsidR="00782AF6" w:rsidRPr="00F4231A">
        <w:rPr>
          <w:rFonts w:ascii="Book Antiqua" w:hAnsi="Book Antiqua" w:cs="Arial"/>
          <w:sz w:val="24"/>
          <w:szCs w:val="24"/>
        </w:rPr>
        <w:t xml:space="preserve"> </w:t>
      </w:r>
      <w:r w:rsidR="00940573" w:rsidRPr="00F4231A">
        <w:rPr>
          <w:rFonts w:ascii="Book Antiqua" w:hAnsi="Book Antiqua" w:cs="Arial"/>
          <w:sz w:val="24"/>
          <w:szCs w:val="24"/>
        </w:rPr>
        <w:t xml:space="preserve">to stringently </w:t>
      </w:r>
      <w:r w:rsidR="00455274" w:rsidRPr="00F4231A">
        <w:rPr>
          <w:rFonts w:ascii="Book Antiqua" w:hAnsi="Book Antiqua" w:cs="Arial"/>
          <w:sz w:val="24"/>
          <w:szCs w:val="24"/>
        </w:rPr>
        <w:t>assess</w:t>
      </w:r>
      <w:r w:rsidR="00E0658F" w:rsidRPr="00F4231A">
        <w:rPr>
          <w:rFonts w:ascii="Book Antiqua" w:hAnsi="Book Antiqua" w:cs="Arial"/>
          <w:sz w:val="24"/>
          <w:szCs w:val="24"/>
        </w:rPr>
        <w:t xml:space="preserve"> the </w:t>
      </w:r>
      <w:r w:rsidR="00624EE6" w:rsidRPr="00F4231A">
        <w:rPr>
          <w:rFonts w:ascii="Book Antiqua" w:hAnsi="Book Antiqua" w:cs="Arial"/>
          <w:sz w:val="24"/>
          <w:szCs w:val="24"/>
        </w:rPr>
        <w:t xml:space="preserve">contribution of </w:t>
      </w:r>
      <w:r w:rsidR="007F211D" w:rsidRPr="00F4231A">
        <w:rPr>
          <w:rFonts w:ascii="Book Antiqua" w:hAnsi="Book Antiqua" w:cs="Arial"/>
          <w:sz w:val="24"/>
          <w:szCs w:val="24"/>
        </w:rPr>
        <w:t>endotox</w:t>
      </w:r>
      <w:r w:rsidR="0071305C" w:rsidRPr="00F4231A">
        <w:rPr>
          <w:rFonts w:ascii="Book Antiqua" w:hAnsi="Book Antiqua" w:cs="Arial"/>
          <w:sz w:val="24"/>
          <w:szCs w:val="24"/>
        </w:rPr>
        <w:t xml:space="preserve">emia </w:t>
      </w:r>
      <w:r w:rsidR="00E035B7" w:rsidRPr="00F4231A">
        <w:rPr>
          <w:rFonts w:ascii="Book Antiqua" w:hAnsi="Book Antiqua" w:cs="Arial"/>
          <w:sz w:val="24"/>
          <w:szCs w:val="24"/>
        </w:rPr>
        <w:t xml:space="preserve">to </w:t>
      </w:r>
      <w:r w:rsidR="00F07F66" w:rsidRPr="00F4231A">
        <w:rPr>
          <w:rFonts w:ascii="Book Antiqua" w:hAnsi="Book Antiqua" w:cs="Arial"/>
          <w:sz w:val="24"/>
          <w:szCs w:val="24"/>
        </w:rPr>
        <w:t xml:space="preserve">conventional </w:t>
      </w:r>
      <w:r w:rsidR="00EF17C9" w:rsidRPr="00F4231A">
        <w:rPr>
          <w:rFonts w:ascii="Book Antiqua" w:hAnsi="Book Antiqua" w:cs="Arial"/>
          <w:sz w:val="24"/>
          <w:szCs w:val="24"/>
        </w:rPr>
        <w:t>NASH</w:t>
      </w:r>
      <w:r w:rsidR="00F07F66" w:rsidRPr="00F4231A">
        <w:rPr>
          <w:rFonts w:ascii="Book Antiqua" w:hAnsi="Book Antiqua" w:cs="Arial"/>
          <w:sz w:val="24"/>
          <w:szCs w:val="24"/>
        </w:rPr>
        <w:t xml:space="preserve">. </w:t>
      </w:r>
    </w:p>
    <w:p w:rsidR="009A3D08" w:rsidRPr="00F4231A" w:rsidRDefault="0050570F" w:rsidP="00F4231A">
      <w:pPr>
        <w:pStyle w:val="15"/>
        <w:snapToGrid w:val="0"/>
        <w:rPr>
          <w:rFonts w:ascii="Book Antiqua" w:hAnsi="Book Antiqua" w:cs="Arial"/>
          <w:sz w:val="24"/>
          <w:szCs w:val="24"/>
        </w:rPr>
      </w:pPr>
      <w:r w:rsidRPr="00F4231A">
        <w:rPr>
          <w:rFonts w:ascii="Book Antiqua" w:hAnsi="Book Antiqua" w:cs="Arial"/>
          <w:b/>
          <w:sz w:val="24"/>
          <w:szCs w:val="24"/>
        </w:rPr>
        <w:br w:type="page"/>
      </w:r>
      <w:r w:rsidR="00AA4292" w:rsidRPr="00F4231A">
        <w:rPr>
          <w:rFonts w:ascii="Book Antiqua" w:hAnsi="Book Antiqua" w:cs="Arial"/>
          <w:b/>
          <w:sz w:val="24"/>
          <w:szCs w:val="24"/>
        </w:rPr>
        <w:lastRenderedPageBreak/>
        <w:t>Key</w:t>
      </w:r>
      <w:r w:rsidR="001D1BA2" w:rsidRPr="00F4231A">
        <w:rPr>
          <w:rFonts w:ascii="Book Antiqua" w:hAnsi="Book Antiqua" w:cs="Arial"/>
          <w:b/>
          <w:sz w:val="24"/>
          <w:szCs w:val="24"/>
        </w:rPr>
        <w:t xml:space="preserve"> </w:t>
      </w:r>
      <w:r w:rsidR="00AA4292" w:rsidRPr="00F4231A">
        <w:rPr>
          <w:rFonts w:ascii="Book Antiqua" w:hAnsi="Book Antiqua" w:cs="Arial"/>
          <w:b/>
          <w:sz w:val="24"/>
          <w:szCs w:val="24"/>
        </w:rPr>
        <w:t>words:</w:t>
      </w:r>
      <w:r w:rsidR="00AA4292" w:rsidRPr="00F4231A">
        <w:rPr>
          <w:rFonts w:ascii="Book Antiqua" w:hAnsi="Book Antiqua" w:cs="Arial"/>
          <w:sz w:val="24"/>
          <w:szCs w:val="24"/>
        </w:rPr>
        <w:t xml:space="preserve"> </w:t>
      </w:r>
      <w:r w:rsidR="00AA4292" w:rsidRPr="00F4231A">
        <w:rPr>
          <w:rFonts w:ascii="Book Antiqua" w:hAnsi="Book Antiqua" w:cs="Arial"/>
          <w:caps/>
          <w:sz w:val="24"/>
          <w:szCs w:val="24"/>
        </w:rPr>
        <w:t>n</w:t>
      </w:r>
      <w:r w:rsidR="00AA4292" w:rsidRPr="00F4231A">
        <w:rPr>
          <w:rFonts w:ascii="Book Antiqua" w:hAnsi="Book Antiqua" w:cs="Arial"/>
          <w:sz w:val="24"/>
          <w:szCs w:val="24"/>
        </w:rPr>
        <w:t xml:space="preserve">onalcoholic steatohepatitis; </w:t>
      </w:r>
      <w:r w:rsidR="00C84934" w:rsidRPr="00F4231A">
        <w:rPr>
          <w:rFonts w:ascii="Book Antiqua" w:hAnsi="Book Antiqua" w:cs="Arial"/>
          <w:caps/>
          <w:sz w:val="24"/>
          <w:szCs w:val="24"/>
        </w:rPr>
        <w:t>l</w:t>
      </w:r>
      <w:r w:rsidR="00C84934" w:rsidRPr="00F4231A">
        <w:rPr>
          <w:rFonts w:ascii="Book Antiqua" w:hAnsi="Book Antiqua" w:cs="Arial"/>
          <w:sz w:val="24"/>
          <w:szCs w:val="24"/>
        </w:rPr>
        <w:t xml:space="preserve">ipopolysaccharide-binding protein; </w:t>
      </w:r>
      <w:r w:rsidR="007F211D" w:rsidRPr="00F4231A">
        <w:rPr>
          <w:rFonts w:ascii="Book Antiqua" w:hAnsi="Book Antiqua" w:cs="Arial"/>
          <w:caps/>
          <w:sz w:val="24"/>
          <w:szCs w:val="24"/>
        </w:rPr>
        <w:t>e</w:t>
      </w:r>
      <w:r w:rsidR="007F211D" w:rsidRPr="00F4231A">
        <w:rPr>
          <w:rFonts w:ascii="Book Antiqua" w:hAnsi="Book Antiqua" w:cs="Arial"/>
          <w:sz w:val="24"/>
          <w:szCs w:val="24"/>
        </w:rPr>
        <w:t>ndotox</w:t>
      </w:r>
      <w:r w:rsidR="00AD104C" w:rsidRPr="00F4231A">
        <w:rPr>
          <w:rFonts w:ascii="Book Antiqua" w:hAnsi="Book Antiqua" w:cs="Arial"/>
          <w:sz w:val="24"/>
          <w:szCs w:val="24"/>
        </w:rPr>
        <w:t xml:space="preserve">emia, </w:t>
      </w:r>
      <w:r w:rsidR="00AA4292" w:rsidRPr="00F4231A">
        <w:rPr>
          <w:rFonts w:ascii="Book Antiqua" w:hAnsi="Book Antiqua" w:cs="Arial"/>
          <w:sz w:val="24"/>
          <w:szCs w:val="24"/>
        </w:rPr>
        <w:t xml:space="preserve">EndoCab IgG; </w:t>
      </w:r>
      <w:r w:rsidR="00AA4292" w:rsidRPr="00F4231A">
        <w:rPr>
          <w:rFonts w:ascii="Book Antiqua" w:hAnsi="Book Antiqua" w:cs="Arial"/>
          <w:caps/>
          <w:sz w:val="24"/>
          <w:szCs w:val="24"/>
        </w:rPr>
        <w:t>s</w:t>
      </w:r>
      <w:r w:rsidR="00AA4292" w:rsidRPr="00F4231A">
        <w:rPr>
          <w:rFonts w:ascii="Book Antiqua" w:hAnsi="Book Antiqua" w:cs="Arial"/>
          <w:sz w:val="24"/>
          <w:szCs w:val="24"/>
        </w:rPr>
        <w:t xml:space="preserve">teatosis; </w:t>
      </w:r>
      <w:r w:rsidR="00AA4292" w:rsidRPr="00151D48">
        <w:rPr>
          <w:rFonts w:ascii="Book Antiqua" w:hAnsi="Book Antiqua" w:cs="Arial"/>
          <w:caps/>
          <w:sz w:val="24"/>
          <w:szCs w:val="24"/>
        </w:rPr>
        <w:t>f</w:t>
      </w:r>
      <w:r w:rsidR="00AA4292" w:rsidRPr="00F4231A">
        <w:rPr>
          <w:rFonts w:ascii="Book Antiqua" w:hAnsi="Book Antiqua" w:cs="Arial"/>
          <w:sz w:val="24"/>
          <w:szCs w:val="24"/>
        </w:rPr>
        <w:t>ibrosis</w:t>
      </w:r>
    </w:p>
    <w:p w:rsidR="009A3D08" w:rsidRPr="00F4231A" w:rsidRDefault="009A3D08" w:rsidP="00F4231A">
      <w:pPr>
        <w:pStyle w:val="15"/>
        <w:snapToGrid w:val="0"/>
        <w:rPr>
          <w:rFonts w:ascii="Book Antiqua" w:hAnsi="Book Antiqua" w:cs="Arial"/>
          <w:sz w:val="24"/>
          <w:szCs w:val="24"/>
        </w:rPr>
      </w:pPr>
    </w:p>
    <w:p w:rsidR="00A36DCC" w:rsidRPr="009E547D" w:rsidRDefault="001D1BA2" w:rsidP="00F4231A">
      <w:pPr>
        <w:pStyle w:val="15"/>
        <w:snapToGrid w:val="0"/>
        <w:rPr>
          <w:rFonts w:ascii="Book Antiqua" w:eastAsia="SimSun" w:hAnsi="Book Antiqua" w:cs="Arial"/>
          <w:sz w:val="24"/>
          <w:szCs w:val="24"/>
          <w:lang w:eastAsia="zh-CN"/>
        </w:rPr>
      </w:pPr>
      <w:r w:rsidRPr="00F4231A">
        <w:rPr>
          <w:rFonts w:ascii="Book Antiqua" w:hAnsi="Book Antiqua" w:cs="Book Antiqua"/>
          <w:kern w:val="0"/>
          <w:sz w:val="24"/>
          <w:szCs w:val="24"/>
        </w:rPr>
        <w:t xml:space="preserve">© </w:t>
      </w:r>
      <w:r w:rsidR="00A36DCC" w:rsidRPr="00F4231A">
        <w:rPr>
          <w:rFonts w:ascii="Book Antiqua" w:hAnsi="Book Antiqua" w:cs="Arial"/>
          <w:b/>
          <w:sz w:val="24"/>
          <w:szCs w:val="24"/>
        </w:rPr>
        <w:t>The Author(s) 2016</w:t>
      </w:r>
      <w:r w:rsidR="00A36DCC" w:rsidRPr="00F4231A">
        <w:rPr>
          <w:rFonts w:ascii="Book Antiqua" w:hAnsi="Book Antiqua" w:cs="Arial"/>
          <w:sz w:val="24"/>
          <w:szCs w:val="24"/>
        </w:rPr>
        <w:t xml:space="preserve">. Published by Baishideng Publishing </w:t>
      </w:r>
      <w:r w:rsidR="009E547D">
        <w:rPr>
          <w:rFonts w:ascii="Book Antiqua" w:hAnsi="Book Antiqua" w:cs="Arial"/>
          <w:sz w:val="24"/>
          <w:szCs w:val="24"/>
        </w:rPr>
        <w:t>Group Inc. All rights reserved.</w:t>
      </w:r>
    </w:p>
    <w:p w:rsidR="00A36DCC" w:rsidRPr="00F4231A" w:rsidRDefault="00A36DCC" w:rsidP="00F4231A">
      <w:pPr>
        <w:pStyle w:val="15"/>
        <w:snapToGrid w:val="0"/>
        <w:rPr>
          <w:rFonts w:ascii="Book Antiqua" w:hAnsi="Book Antiqua" w:cs="Arial"/>
          <w:sz w:val="24"/>
          <w:szCs w:val="24"/>
        </w:rPr>
      </w:pPr>
    </w:p>
    <w:p w:rsidR="00A22463" w:rsidRPr="00F4231A" w:rsidRDefault="009A3D08" w:rsidP="00F4231A">
      <w:pPr>
        <w:pStyle w:val="15"/>
        <w:snapToGrid w:val="0"/>
        <w:rPr>
          <w:rFonts w:ascii="Book Antiqua" w:hAnsi="Book Antiqua" w:cs="Arial"/>
          <w:b/>
          <w:sz w:val="24"/>
          <w:szCs w:val="24"/>
        </w:rPr>
      </w:pPr>
      <w:r w:rsidRPr="00F4231A">
        <w:rPr>
          <w:rFonts w:ascii="Book Antiqua" w:hAnsi="Book Antiqua" w:cs="Arial"/>
          <w:b/>
          <w:sz w:val="24"/>
          <w:szCs w:val="24"/>
        </w:rPr>
        <w:t xml:space="preserve">Core </w:t>
      </w:r>
      <w:r w:rsidR="00593CBF" w:rsidRPr="00F4231A">
        <w:rPr>
          <w:rFonts w:ascii="Book Antiqua" w:hAnsi="Book Antiqua" w:cs="Arial"/>
          <w:b/>
          <w:sz w:val="24"/>
          <w:szCs w:val="24"/>
        </w:rPr>
        <w:t>t</w:t>
      </w:r>
      <w:r w:rsidRPr="00F4231A">
        <w:rPr>
          <w:rFonts w:ascii="Book Antiqua" w:hAnsi="Book Antiqua" w:cs="Arial"/>
          <w:b/>
          <w:sz w:val="24"/>
          <w:szCs w:val="24"/>
        </w:rPr>
        <w:t>ip</w:t>
      </w:r>
      <w:r w:rsidR="004D2A58" w:rsidRPr="00F4231A">
        <w:rPr>
          <w:rFonts w:ascii="Book Antiqua" w:hAnsi="Book Antiqua" w:cs="Arial"/>
          <w:b/>
          <w:sz w:val="24"/>
          <w:szCs w:val="24"/>
        </w:rPr>
        <w:t>:</w:t>
      </w:r>
      <w:r w:rsidR="00C84934" w:rsidRPr="00F4231A">
        <w:rPr>
          <w:rFonts w:ascii="Book Antiqua" w:hAnsi="Book Antiqua" w:cs="Arial"/>
          <w:b/>
          <w:sz w:val="24"/>
          <w:szCs w:val="24"/>
        </w:rPr>
        <w:t xml:space="preserve"> </w:t>
      </w:r>
      <w:r w:rsidR="00624D57" w:rsidRPr="00F4231A">
        <w:rPr>
          <w:rFonts w:ascii="Book Antiqua" w:hAnsi="Book Antiqua" w:cs="Arial"/>
          <w:sz w:val="24"/>
          <w:szCs w:val="24"/>
        </w:rPr>
        <w:t xml:space="preserve">This is </w:t>
      </w:r>
      <w:r w:rsidR="005B4AA8" w:rsidRPr="00F4231A">
        <w:rPr>
          <w:rFonts w:ascii="Book Antiqua" w:hAnsi="Book Antiqua" w:cs="Arial"/>
          <w:sz w:val="24"/>
          <w:szCs w:val="24"/>
        </w:rPr>
        <w:t xml:space="preserve">the </w:t>
      </w:r>
      <w:r w:rsidR="00624D57" w:rsidRPr="00F4231A">
        <w:rPr>
          <w:rFonts w:ascii="Book Antiqua" w:hAnsi="Book Antiqua" w:cs="Arial"/>
          <w:sz w:val="24"/>
          <w:szCs w:val="24"/>
        </w:rPr>
        <w:t>first study simu</w:t>
      </w:r>
      <w:r w:rsidR="00256A6A" w:rsidRPr="00F4231A">
        <w:rPr>
          <w:rFonts w:ascii="Book Antiqua" w:hAnsi="Book Antiqua" w:cs="Arial"/>
          <w:sz w:val="24"/>
          <w:szCs w:val="24"/>
        </w:rPr>
        <w:t>lt</w:t>
      </w:r>
      <w:r w:rsidR="007F211D" w:rsidRPr="00F4231A">
        <w:rPr>
          <w:rFonts w:ascii="Book Antiqua" w:hAnsi="Book Antiqua" w:cs="Arial"/>
          <w:sz w:val="24"/>
          <w:szCs w:val="24"/>
        </w:rPr>
        <w:t xml:space="preserve">aneously measuring two </w:t>
      </w:r>
      <w:r w:rsidR="00617571" w:rsidRPr="00F4231A">
        <w:rPr>
          <w:rFonts w:ascii="Book Antiqua" w:hAnsi="Book Antiqua" w:cs="Arial"/>
          <w:sz w:val="24"/>
          <w:szCs w:val="24"/>
        </w:rPr>
        <w:t xml:space="preserve">surrogate </w:t>
      </w:r>
      <w:r w:rsidR="007F211D" w:rsidRPr="00F4231A">
        <w:rPr>
          <w:rFonts w:ascii="Book Antiqua" w:hAnsi="Book Antiqua" w:cs="Arial"/>
          <w:sz w:val="24"/>
          <w:szCs w:val="24"/>
        </w:rPr>
        <w:t>endotox</w:t>
      </w:r>
      <w:r w:rsidR="00624D57" w:rsidRPr="00F4231A">
        <w:rPr>
          <w:rFonts w:ascii="Book Antiqua" w:hAnsi="Book Antiqua" w:cs="Arial"/>
          <w:sz w:val="24"/>
          <w:szCs w:val="24"/>
        </w:rPr>
        <w:t xml:space="preserve">emia markers, </w:t>
      </w:r>
      <w:r w:rsidR="00CB79F5" w:rsidRPr="00F4231A">
        <w:rPr>
          <w:rFonts w:ascii="Book Antiqua" w:hAnsi="Book Antiqua" w:cs="Arial"/>
          <w:sz w:val="24"/>
          <w:szCs w:val="24"/>
        </w:rPr>
        <w:t>lipopolysaccharide-binding protein (</w:t>
      </w:r>
      <w:r w:rsidR="00624D57" w:rsidRPr="00F4231A">
        <w:rPr>
          <w:rFonts w:ascii="Book Antiqua" w:hAnsi="Book Antiqua" w:cs="Arial"/>
          <w:sz w:val="24"/>
          <w:szCs w:val="24"/>
        </w:rPr>
        <w:t>LBP</w:t>
      </w:r>
      <w:r w:rsidR="00CB79F5" w:rsidRPr="00F4231A">
        <w:rPr>
          <w:rFonts w:ascii="Book Antiqua" w:hAnsi="Book Antiqua" w:cs="Arial"/>
          <w:sz w:val="24"/>
          <w:szCs w:val="24"/>
        </w:rPr>
        <w:t>)</w:t>
      </w:r>
      <w:r w:rsidR="00624D57" w:rsidRPr="00F4231A">
        <w:rPr>
          <w:rFonts w:ascii="Book Antiqua" w:hAnsi="Book Antiqua" w:cs="Arial"/>
          <w:sz w:val="24"/>
          <w:szCs w:val="24"/>
        </w:rPr>
        <w:t xml:space="preserve"> and EndoCab IgG, in biopsy-proven </w:t>
      </w:r>
      <w:r w:rsidR="00C84934" w:rsidRPr="00F4231A">
        <w:rPr>
          <w:rFonts w:ascii="Book Antiqua" w:hAnsi="Book Antiqua" w:cs="Arial"/>
          <w:sz w:val="24"/>
          <w:szCs w:val="24"/>
        </w:rPr>
        <w:t>nonalcoholic fatty liver disease (NAFLD)</w:t>
      </w:r>
      <w:r w:rsidR="00624D57" w:rsidRPr="00F4231A">
        <w:rPr>
          <w:rFonts w:ascii="Book Antiqua" w:hAnsi="Book Antiqua" w:cs="Arial"/>
          <w:sz w:val="24"/>
          <w:szCs w:val="24"/>
        </w:rPr>
        <w:t xml:space="preserve"> patients </w:t>
      </w:r>
      <w:r w:rsidR="0046634A" w:rsidRPr="00F4231A">
        <w:rPr>
          <w:rFonts w:ascii="Book Antiqua" w:hAnsi="Book Antiqua" w:cs="Arial"/>
          <w:sz w:val="24"/>
          <w:szCs w:val="24"/>
        </w:rPr>
        <w:t xml:space="preserve">in order </w:t>
      </w:r>
      <w:r w:rsidR="00624D57" w:rsidRPr="00F4231A">
        <w:rPr>
          <w:rFonts w:ascii="Book Antiqua" w:hAnsi="Book Antiqua" w:cs="Arial"/>
          <w:sz w:val="24"/>
          <w:szCs w:val="24"/>
        </w:rPr>
        <w:t xml:space="preserve">to assess </w:t>
      </w:r>
      <w:r w:rsidR="00617571" w:rsidRPr="00F4231A">
        <w:rPr>
          <w:rFonts w:ascii="Book Antiqua" w:hAnsi="Book Antiqua" w:cs="Arial"/>
          <w:sz w:val="24"/>
          <w:szCs w:val="24"/>
        </w:rPr>
        <w:t xml:space="preserve">for relationships </w:t>
      </w:r>
      <w:r w:rsidR="00624D57" w:rsidRPr="00F4231A">
        <w:rPr>
          <w:rFonts w:ascii="Book Antiqua" w:hAnsi="Book Antiqua" w:cs="Arial"/>
          <w:sz w:val="24"/>
          <w:szCs w:val="24"/>
        </w:rPr>
        <w:t xml:space="preserve">with the </w:t>
      </w:r>
      <w:r w:rsidR="004522BC" w:rsidRPr="00F4231A">
        <w:rPr>
          <w:rFonts w:ascii="Book Antiqua" w:hAnsi="Book Antiqua" w:cs="Arial"/>
          <w:sz w:val="24"/>
          <w:szCs w:val="24"/>
        </w:rPr>
        <w:t>histological features of NAFLD. Serum LBP/EndoCab IgG were not correlated with lobular inflammation</w:t>
      </w:r>
      <w:r w:rsidR="00617571" w:rsidRPr="00F4231A">
        <w:rPr>
          <w:rFonts w:ascii="Book Antiqua" w:hAnsi="Book Antiqua" w:cs="Arial"/>
          <w:sz w:val="24"/>
          <w:szCs w:val="24"/>
        </w:rPr>
        <w:t xml:space="preserve"> or</w:t>
      </w:r>
      <w:r w:rsidR="004522BC" w:rsidRPr="00F4231A">
        <w:rPr>
          <w:rFonts w:ascii="Book Antiqua" w:hAnsi="Book Antiqua" w:cs="Arial"/>
          <w:sz w:val="24"/>
          <w:szCs w:val="24"/>
        </w:rPr>
        <w:t xml:space="preserve"> fibrosis. </w:t>
      </w:r>
      <w:r w:rsidR="005775CF" w:rsidRPr="00F4231A">
        <w:rPr>
          <w:rFonts w:ascii="Book Antiqua" w:hAnsi="Book Antiqua" w:cs="Arial"/>
          <w:sz w:val="24"/>
          <w:szCs w:val="24"/>
        </w:rPr>
        <w:t xml:space="preserve">It remains elusive whether </w:t>
      </w:r>
      <w:r w:rsidR="007B6BAD" w:rsidRPr="00F4231A">
        <w:rPr>
          <w:rFonts w:ascii="Book Antiqua" w:hAnsi="Book Antiqua" w:cs="Arial"/>
          <w:sz w:val="24"/>
          <w:szCs w:val="24"/>
        </w:rPr>
        <w:t xml:space="preserve">portal </w:t>
      </w:r>
      <w:r w:rsidR="005775CF" w:rsidRPr="00F4231A">
        <w:rPr>
          <w:rFonts w:ascii="Book Antiqua" w:hAnsi="Book Antiqua" w:cs="Arial"/>
          <w:sz w:val="24"/>
          <w:szCs w:val="24"/>
        </w:rPr>
        <w:t xml:space="preserve">endotoxemia </w:t>
      </w:r>
      <w:r w:rsidR="004522BC" w:rsidRPr="00F4231A">
        <w:rPr>
          <w:rFonts w:ascii="Book Antiqua" w:hAnsi="Book Antiqua" w:cs="Arial"/>
          <w:sz w:val="24"/>
          <w:szCs w:val="24"/>
        </w:rPr>
        <w:t>promotes hepatitis</w:t>
      </w:r>
      <w:r w:rsidR="00EE4FCF" w:rsidRPr="00F4231A">
        <w:rPr>
          <w:rFonts w:ascii="Book Antiqua" w:hAnsi="Book Antiqua" w:cs="Arial"/>
          <w:sz w:val="24"/>
          <w:szCs w:val="24"/>
        </w:rPr>
        <w:t>/</w:t>
      </w:r>
      <w:r w:rsidR="004522BC" w:rsidRPr="00F4231A">
        <w:rPr>
          <w:rFonts w:ascii="Book Antiqua" w:hAnsi="Book Antiqua" w:cs="Arial"/>
          <w:sz w:val="24"/>
          <w:szCs w:val="24"/>
        </w:rPr>
        <w:t xml:space="preserve">fibrosis in human </w:t>
      </w:r>
      <w:r w:rsidR="00224CA2" w:rsidRPr="00F4231A">
        <w:rPr>
          <w:rFonts w:ascii="Book Antiqua" w:hAnsi="Book Antiqua" w:cs="Arial"/>
          <w:sz w:val="24"/>
          <w:szCs w:val="24"/>
        </w:rPr>
        <w:t>conventional NAFLD/</w:t>
      </w:r>
      <w:r w:rsidR="00A609EF" w:rsidRPr="00F4231A">
        <w:rPr>
          <w:rFonts w:ascii="Book Antiqua" w:hAnsi="Book Antiqua" w:cs="Arial"/>
          <w:sz w:val="24"/>
          <w:szCs w:val="24"/>
        </w:rPr>
        <w:t>nonalcoholic steatohepatitis</w:t>
      </w:r>
      <w:r w:rsidR="00224CA2" w:rsidRPr="00F4231A">
        <w:rPr>
          <w:rFonts w:ascii="Book Antiqua" w:hAnsi="Book Antiqua" w:cs="Arial"/>
          <w:sz w:val="24"/>
          <w:szCs w:val="24"/>
        </w:rPr>
        <w:t>.</w:t>
      </w:r>
    </w:p>
    <w:p w:rsidR="00B4381D" w:rsidRPr="00F4231A" w:rsidRDefault="00B4381D" w:rsidP="00F4231A">
      <w:pPr>
        <w:pStyle w:val="15"/>
        <w:snapToGrid w:val="0"/>
        <w:ind w:left="1"/>
        <w:rPr>
          <w:rFonts w:ascii="Book Antiqua" w:hAnsi="Book Antiqua" w:cs="Arial"/>
          <w:sz w:val="24"/>
          <w:szCs w:val="24"/>
        </w:rPr>
      </w:pPr>
    </w:p>
    <w:p w:rsidR="004D2A58" w:rsidRPr="00F4231A" w:rsidRDefault="00593CBF" w:rsidP="00F4231A">
      <w:pPr>
        <w:snapToGrid w:val="0"/>
        <w:spacing w:line="360" w:lineRule="auto"/>
        <w:rPr>
          <w:rFonts w:ascii="Book Antiqua" w:hAnsi="Book Antiqua" w:cs="Arial"/>
          <w:b/>
          <w:sz w:val="24"/>
          <w:szCs w:val="24"/>
        </w:rPr>
      </w:pPr>
      <w:r w:rsidRPr="00F4231A">
        <w:rPr>
          <w:rFonts w:ascii="Book Antiqua" w:hAnsi="Book Antiqua" w:cs="Arial"/>
          <w:sz w:val="24"/>
          <w:szCs w:val="24"/>
        </w:rPr>
        <w:t>Kitabatake</w:t>
      </w:r>
      <w:r w:rsidR="00622151" w:rsidRPr="00F4231A">
        <w:rPr>
          <w:rFonts w:ascii="Book Antiqua" w:hAnsi="Book Antiqua" w:cs="Arial"/>
          <w:sz w:val="24"/>
          <w:szCs w:val="24"/>
        </w:rPr>
        <w:t xml:space="preserve"> H</w:t>
      </w:r>
      <w:r w:rsidR="00B4381D" w:rsidRPr="00F4231A">
        <w:rPr>
          <w:rFonts w:ascii="Book Antiqua" w:hAnsi="Book Antiqua" w:cs="Arial"/>
          <w:sz w:val="24"/>
          <w:szCs w:val="24"/>
        </w:rPr>
        <w:t xml:space="preserve">, </w:t>
      </w:r>
      <w:r w:rsidR="00907CA3" w:rsidRPr="00F4231A">
        <w:rPr>
          <w:rFonts w:ascii="Book Antiqua" w:hAnsi="Book Antiqua" w:cs="Arial"/>
          <w:sz w:val="24"/>
          <w:szCs w:val="24"/>
        </w:rPr>
        <w:t>Tanaka N, F</w:t>
      </w:r>
      <w:r w:rsidR="00F42DBE" w:rsidRPr="00F4231A">
        <w:rPr>
          <w:rFonts w:ascii="Book Antiqua" w:hAnsi="Book Antiqua" w:cs="Arial"/>
          <w:sz w:val="24"/>
          <w:szCs w:val="24"/>
        </w:rPr>
        <w:t xml:space="preserve">ujimori N, </w:t>
      </w:r>
      <w:r w:rsidR="00065ED8" w:rsidRPr="00F4231A">
        <w:rPr>
          <w:rFonts w:ascii="Book Antiqua" w:hAnsi="Book Antiqua" w:cs="Arial"/>
          <w:sz w:val="24"/>
          <w:szCs w:val="24"/>
        </w:rPr>
        <w:t xml:space="preserve">Komatsu M, </w:t>
      </w:r>
      <w:r w:rsidR="00F42DBE" w:rsidRPr="00F4231A">
        <w:rPr>
          <w:rFonts w:ascii="Book Antiqua" w:hAnsi="Book Antiqua" w:cs="Arial"/>
          <w:sz w:val="24"/>
          <w:szCs w:val="24"/>
        </w:rPr>
        <w:t>Okubo A, Kakegawa K, Kimura T, Sugiura A, Yamazaki T, Shibata S, Ichikawa Y, Joshita S, Umemura T, Matsumoto A, Koinuma M, Sano K, Aoyama T, Tanaka</w:t>
      </w:r>
      <w:r w:rsidR="00B106D1" w:rsidRPr="00F4231A">
        <w:rPr>
          <w:rFonts w:ascii="Book Antiqua" w:hAnsi="Book Antiqua" w:cs="Arial"/>
          <w:sz w:val="24"/>
          <w:szCs w:val="24"/>
        </w:rPr>
        <w:t xml:space="preserve"> E. </w:t>
      </w:r>
      <w:r w:rsidR="00CB79F5" w:rsidRPr="00F4231A">
        <w:rPr>
          <w:rFonts w:ascii="Book Antiqua" w:hAnsi="Book Antiqua" w:cs="Arial"/>
          <w:sz w:val="24"/>
          <w:szCs w:val="24"/>
        </w:rPr>
        <w:t>Association between endotoxemia and histological features of nonalcoholic fatty liver disease</w:t>
      </w:r>
      <w:r w:rsidR="00B4381D" w:rsidRPr="00F4231A">
        <w:rPr>
          <w:rFonts w:ascii="Book Antiqua" w:hAnsi="Book Antiqua" w:cs="Arial"/>
          <w:sz w:val="24"/>
          <w:szCs w:val="24"/>
        </w:rPr>
        <w:t xml:space="preserve">. </w:t>
      </w:r>
      <w:r w:rsidR="00C14319" w:rsidRPr="00F4231A">
        <w:rPr>
          <w:rFonts w:ascii="Book Antiqua" w:hAnsi="Book Antiqua" w:cs="Arial"/>
          <w:i/>
          <w:sz w:val="24"/>
          <w:szCs w:val="24"/>
        </w:rPr>
        <w:t>World J Gastroenterol</w:t>
      </w:r>
      <w:r w:rsidR="00C14319" w:rsidRPr="00F4231A">
        <w:rPr>
          <w:rFonts w:ascii="Book Antiqua" w:hAnsi="Book Antiqua" w:cs="Arial"/>
          <w:sz w:val="24"/>
          <w:szCs w:val="24"/>
        </w:rPr>
        <w:t xml:space="preserve"> 2016; In press</w:t>
      </w:r>
    </w:p>
    <w:p w:rsidR="00B4381D" w:rsidRPr="00F4231A" w:rsidRDefault="00B4381D" w:rsidP="00F4231A">
      <w:pPr>
        <w:pStyle w:val="15"/>
        <w:snapToGrid w:val="0"/>
        <w:ind w:left="1"/>
        <w:rPr>
          <w:rFonts w:ascii="Book Antiqua" w:hAnsi="Book Antiqua" w:cs="Arial"/>
          <w:b/>
          <w:sz w:val="24"/>
          <w:szCs w:val="24"/>
        </w:rPr>
      </w:pPr>
    </w:p>
    <w:p w:rsidR="008A37C7" w:rsidRPr="00F4231A" w:rsidRDefault="002226AA" w:rsidP="00F4231A">
      <w:pPr>
        <w:pStyle w:val="15"/>
        <w:snapToGrid w:val="0"/>
        <w:ind w:left="1"/>
        <w:rPr>
          <w:rFonts w:ascii="Book Antiqua" w:hAnsi="Book Antiqua" w:cs="Arial"/>
          <w:sz w:val="24"/>
          <w:szCs w:val="24"/>
        </w:rPr>
      </w:pPr>
      <w:r w:rsidRPr="00F4231A">
        <w:rPr>
          <w:rFonts w:ascii="Book Antiqua" w:hAnsi="Book Antiqua" w:cs="Arial"/>
          <w:b/>
          <w:sz w:val="24"/>
          <w:szCs w:val="24"/>
        </w:rPr>
        <w:br w:type="page"/>
      </w:r>
      <w:r w:rsidR="00FE0CDA" w:rsidRPr="00F4231A">
        <w:rPr>
          <w:rFonts w:ascii="Book Antiqua" w:hAnsi="Book Antiqua" w:cs="Arial"/>
          <w:b/>
          <w:sz w:val="24"/>
          <w:szCs w:val="24"/>
        </w:rPr>
        <w:lastRenderedPageBreak/>
        <w:t>I</w:t>
      </w:r>
      <w:r w:rsidR="00365740" w:rsidRPr="00F4231A">
        <w:rPr>
          <w:rFonts w:ascii="Book Antiqua" w:hAnsi="Book Antiqua" w:cs="Arial"/>
          <w:b/>
          <w:sz w:val="24"/>
          <w:szCs w:val="24"/>
        </w:rPr>
        <w:t>NTRODUCTION</w:t>
      </w:r>
    </w:p>
    <w:p w:rsidR="00FF320F" w:rsidRPr="00F4231A" w:rsidRDefault="00D77DED" w:rsidP="00F4231A">
      <w:pPr>
        <w:pStyle w:val="15"/>
        <w:snapToGrid w:val="0"/>
        <w:rPr>
          <w:rFonts w:ascii="Book Antiqua" w:hAnsi="Book Antiqua" w:cs="Arial"/>
          <w:sz w:val="24"/>
          <w:szCs w:val="24"/>
        </w:rPr>
      </w:pPr>
      <w:r w:rsidRPr="00F4231A">
        <w:rPr>
          <w:rFonts w:ascii="Book Antiqua" w:hAnsi="Book Antiqua" w:cs="Arial"/>
          <w:sz w:val="24"/>
          <w:szCs w:val="24"/>
        </w:rPr>
        <w:t>T</w:t>
      </w:r>
      <w:r w:rsidR="001B54FB" w:rsidRPr="00F4231A">
        <w:rPr>
          <w:rFonts w:ascii="Book Antiqua" w:hAnsi="Book Antiqua" w:cs="Arial"/>
          <w:sz w:val="24"/>
          <w:szCs w:val="24"/>
        </w:rPr>
        <w:t xml:space="preserve">he prevalence of nonalcoholic fatty liver disease (NAFLD) </w:t>
      </w:r>
      <w:r w:rsidR="00D97D80" w:rsidRPr="00F4231A">
        <w:rPr>
          <w:rFonts w:ascii="Book Antiqua" w:hAnsi="Book Antiqua" w:cs="Arial"/>
          <w:sz w:val="24"/>
          <w:szCs w:val="24"/>
        </w:rPr>
        <w:t>is</w:t>
      </w:r>
      <w:r w:rsidR="001B54FB" w:rsidRPr="00F4231A">
        <w:rPr>
          <w:rFonts w:ascii="Book Antiqua" w:hAnsi="Book Antiqua" w:cs="Arial"/>
          <w:sz w:val="24"/>
          <w:szCs w:val="24"/>
        </w:rPr>
        <w:t xml:space="preserve"> increasing </w:t>
      </w:r>
      <w:r w:rsidR="00AC4E1D" w:rsidRPr="00F4231A">
        <w:rPr>
          <w:rFonts w:ascii="Book Antiqua" w:hAnsi="Book Antiqua" w:cs="Arial"/>
          <w:sz w:val="24"/>
          <w:szCs w:val="24"/>
        </w:rPr>
        <w:t>worldwide</w:t>
      </w:r>
      <w:r w:rsidR="002658E2" w:rsidRPr="00F4231A">
        <w:rPr>
          <w:rFonts w:ascii="Book Antiqua" w:hAnsi="Book Antiqua" w:cs="Arial"/>
          <w:sz w:val="24"/>
          <w:szCs w:val="24"/>
        </w:rPr>
        <w:t xml:space="preserve">. </w:t>
      </w:r>
      <w:r w:rsidR="001B54FB" w:rsidRPr="00F4231A">
        <w:rPr>
          <w:rFonts w:ascii="Book Antiqua" w:hAnsi="Book Antiqua" w:cs="Arial"/>
          <w:sz w:val="24"/>
          <w:szCs w:val="24"/>
        </w:rPr>
        <w:t xml:space="preserve">NAFLD </w:t>
      </w:r>
      <w:r w:rsidR="00D97D80" w:rsidRPr="00F4231A">
        <w:rPr>
          <w:rFonts w:ascii="Book Antiqua" w:hAnsi="Book Antiqua" w:cs="Arial"/>
          <w:sz w:val="24"/>
          <w:szCs w:val="24"/>
        </w:rPr>
        <w:t>includes</w:t>
      </w:r>
      <w:r w:rsidR="001B54FB" w:rsidRPr="00F4231A">
        <w:rPr>
          <w:rFonts w:ascii="Book Antiqua" w:hAnsi="Book Antiqua" w:cs="Arial"/>
          <w:sz w:val="24"/>
          <w:szCs w:val="24"/>
        </w:rPr>
        <w:t xml:space="preserve"> a wide spectrum </w:t>
      </w:r>
      <w:r w:rsidR="00D97D80" w:rsidRPr="00F4231A">
        <w:rPr>
          <w:rFonts w:ascii="Book Antiqua" w:hAnsi="Book Antiqua" w:cs="Arial"/>
          <w:sz w:val="24"/>
          <w:szCs w:val="24"/>
        </w:rPr>
        <w:t xml:space="preserve">of disorders, </w:t>
      </w:r>
      <w:r w:rsidR="001B54FB" w:rsidRPr="00F4231A">
        <w:rPr>
          <w:rFonts w:ascii="Book Antiqua" w:hAnsi="Book Antiqua" w:cs="Arial"/>
          <w:sz w:val="24"/>
          <w:szCs w:val="24"/>
        </w:rPr>
        <w:t xml:space="preserve">ranging from </w:t>
      </w:r>
      <w:r w:rsidRPr="00F4231A">
        <w:rPr>
          <w:rFonts w:ascii="Book Antiqua" w:hAnsi="Book Antiqua" w:cs="Arial"/>
          <w:sz w:val="24"/>
          <w:szCs w:val="24"/>
        </w:rPr>
        <w:t xml:space="preserve">nonalcoholic </w:t>
      </w:r>
      <w:r w:rsidR="003A742C" w:rsidRPr="00F4231A">
        <w:rPr>
          <w:rFonts w:ascii="Book Antiqua" w:hAnsi="Book Antiqua" w:cs="Arial"/>
          <w:sz w:val="24"/>
          <w:szCs w:val="24"/>
        </w:rPr>
        <w:t xml:space="preserve">fatty liver </w:t>
      </w:r>
      <w:r w:rsidR="00097338" w:rsidRPr="00F4231A">
        <w:rPr>
          <w:rFonts w:ascii="Book Antiqua" w:hAnsi="Book Antiqua" w:cs="Arial"/>
          <w:sz w:val="24"/>
          <w:szCs w:val="24"/>
        </w:rPr>
        <w:t>(</w:t>
      </w:r>
      <w:r w:rsidR="00D10C55" w:rsidRPr="00F4231A">
        <w:rPr>
          <w:rFonts w:ascii="Book Antiqua" w:hAnsi="Book Antiqua" w:cs="Arial"/>
          <w:sz w:val="24"/>
          <w:szCs w:val="24"/>
        </w:rPr>
        <w:t>NAFL</w:t>
      </w:r>
      <w:r w:rsidR="00097338" w:rsidRPr="00F4231A">
        <w:rPr>
          <w:rFonts w:ascii="Book Antiqua" w:hAnsi="Book Antiqua" w:cs="Arial"/>
          <w:sz w:val="24"/>
          <w:szCs w:val="24"/>
        </w:rPr>
        <w:t xml:space="preserve">) </w:t>
      </w:r>
      <w:r w:rsidR="007B7CD8" w:rsidRPr="00F4231A">
        <w:rPr>
          <w:rFonts w:ascii="Book Antiqua" w:hAnsi="Book Antiqua" w:cs="Arial"/>
          <w:sz w:val="24"/>
          <w:szCs w:val="24"/>
        </w:rPr>
        <w:t xml:space="preserve">to nonalcoholic steatohepatitis </w:t>
      </w:r>
      <w:r w:rsidR="001B54FB" w:rsidRPr="00F4231A">
        <w:rPr>
          <w:rFonts w:ascii="Book Antiqua" w:hAnsi="Book Antiqua" w:cs="Arial"/>
          <w:sz w:val="24"/>
          <w:szCs w:val="24"/>
        </w:rPr>
        <w:t>(NASH)</w:t>
      </w:r>
      <w:r w:rsidR="00F24B9A" w:rsidRPr="00F4231A">
        <w:rPr>
          <w:rFonts w:ascii="Book Antiqua" w:hAnsi="Book Antiqua" w:cs="Arial"/>
          <w:sz w:val="24"/>
          <w:szCs w:val="24"/>
        </w:rPr>
        <w:t xml:space="preserve"> and resultant liver cirrhosis and hepatocellular carcinoma</w:t>
      </w:r>
      <w:r w:rsidR="00C338B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338B8" w:rsidRPr="00F4231A">
        <w:rPr>
          <w:rFonts w:ascii="Book Antiqua" w:hAnsi="Book Antiqua" w:cs="Arial"/>
          <w:sz w:val="24"/>
          <w:szCs w:val="24"/>
        </w:rPr>
        <w:instrText xml:space="preserve"> ADDIN EN.CITE </w:instrText>
      </w:r>
      <w:r w:rsidR="00C338B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338B8" w:rsidRPr="00F4231A">
        <w:rPr>
          <w:rFonts w:ascii="Book Antiqua" w:hAnsi="Book Antiqua" w:cs="Arial"/>
          <w:sz w:val="24"/>
          <w:szCs w:val="24"/>
        </w:rPr>
        <w:instrText xml:space="preserve"> ADDIN EN.CITE.DATA </w:instrText>
      </w:r>
      <w:r w:rsidR="00C338B8" w:rsidRPr="00F4231A">
        <w:rPr>
          <w:rFonts w:ascii="Book Antiqua" w:hAnsi="Book Antiqua" w:cs="Arial"/>
          <w:sz w:val="24"/>
          <w:szCs w:val="24"/>
        </w:rPr>
      </w:r>
      <w:r w:rsidR="00C338B8" w:rsidRPr="00F4231A">
        <w:rPr>
          <w:rFonts w:ascii="Book Antiqua" w:hAnsi="Book Antiqua" w:cs="Arial"/>
          <w:sz w:val="24"/>
          <w:szCs w:val="24"/>
        </w:rPr>
        <w:fldChar w:fldCharType="end"/>
      </w:r>
      <w:r w:rsidR="00C338B8" w:rsidRPr="00F4231A">
        <w:rPr>
          <w:rFonts w:ascii="Book Antiqua" w:hAnsi="Book Antiqua" w:cs="Arial"/>
          <w:sz w:val="24"/>
          <w:szCs w:val="24"/>
        </w:rPr>
      </w:r>
      <w:r w:rsidR="00C338B8" w:rsidRPr="00F4231A">
        <w:rPr>
          <w:rFonts w:ascii="Book Antiqua" w:hAnsi="Book Antiqua" w:cs="Arial"/>
          <w:sz w:val="24"/>
          <w:szCs w:val="24"/>
        </w:rPr>
        <w:fldChar w:fldCharType="separate"/>
      </w:r>
      <w:r w:rsidR="00C338B8" w:rsidRPr="00F4231A">
        <w:rPr>
          <w:rFonts w:ascii="Book Antiqua" w:hAnsi="Book Antiqua" w:cs="Arial"/>
          <w:noProof/>
          <w:sz w:val="24"/>
          <w:szCs w:val="24"/>
          <w:vertAlign w:val="superscript"/>
        </w:rPr>
        <w:t>[</w:t>
      </w:r>
      <w:hyperlink w:anchor="_ENREF_2" w:tooltip="Cubiella Fernandez, 2010 #1520" w:history="1">
        <w:r w:rsidR="00C338B8" w:rsidRPr="00F4231A">
          <w:rPr>
            <w:rFonts w:ascii="Book Antiqua" w:hAnsi="Book Antiqua" w:cs="Arial"/>
            <w:noProof/>
            <w:sz w:val="24"/>
            <w:szCs w:val="24"/>
            <w:vertAlign w:val="superscript"/>
          </w:rPr>
          <w:t>1-4</w:t>
        </w:r>
      </w:hyperlink>
      <w:r w:rsidR="00C338B8" w:rsidRPr="00F4231A">
        <w:rPr>
          <w:rFonts w:ascii="Book Antiqua" w:hAnsi="Book Antiqua" w:cs="Arial"/>
          <w:noProof/>
          <w:sz w:val="24"/>
          <w:szCs w:val="24"/>
          <w:vertAlign w:val="superscript"/>
        </w:rPr>
        <w:t>]</w:t>
      </w:r>
      <w:r w:rsidR="00C338B8" w:rsidRPr="00F4231A">
        <w:rPr>
          <w:rFonts w:ascii="Book Antiqua" w:hAnsi="Book Antiqua" w:cs="Arial"/>
          <w:sz w:val="24"/>
          <w:szCs w:val="24"/>
        </w:rPr>
        <w:fldChar w:fldCharType="end"/>
      </w:r>
      <w:r w:rsidR="00C338B8" w:rsidRPr="00F4231A">
        <w:rPr>
          <w:rFonts w:ascii="Book Antiqua" w:hAnsi="Book Antiqua" w:cs="Arial"/>
          <w:sz w:val="24"/>
          <w:szCs w:val="24"/>
        </w:rPr>
        <w:t xml:space="preserve">. </w:t>
      </w:r>
      <w:r w:rsidRPr="00F4231A">
        <w:rPr>
          <w:rFonts w:ascii="Book Antiqua" w:hAnsi="Book Antiqua" w:cs="Arial"/>
          <w:sz w:val="24"/>
          <w:szCs w:val="24"/>
        </w:rPr>
        <w:t xml:space="preserve">NASH is </w:t>
      </w:r>
      <w:r w:rsidR="001B54FB" w:rsidRPr="00F4231A">
        <w:rPr>
          <w:rFonts w:ascii="Book Antiqua" w:hAnsi="Book Antiqua" w:cs="Arial"/>
          <w:sz w:val="24"/>
          <w:szCs w:val="24"/>
        </w:rPr>
        <w:t xml:space="preserve">characterized by </w:t>
      </w:r>
      <w:r w:rsidR="00AC4E1D" w:rsidRPr="00F4231A">
        <w:rPr>
          <w:rFonts w:ascii="Book Antiqua" w:hAnsi="Book Antiqua" w:cs="Arial"/>
          <w:sz w:val="24"/>
          <w:szCs w:val="24"/>
        </w:rPr>
        <w:t xml:space="preserve">the presence of </w:t>
      </w:r>
      <w:r w:rsidR="001B54FB" w:rsidRPr="00F4231A">
        <w:rPr>
          <w:rFonts w:ascii="Book Antiqua" w:hAnsi="Book Antiqua" w:cs="Arial"/>
          <w:sz w:val="24"/>
          <w:szCs w:val="24"/>
        </w:rPr>
        <w:t>hepatocyte ballooning</w:t>
      </w:r>
      <w:r w:rsidR="00CA4D7C" w:rsidRPr="00F4231A">
        <w:rPr>
          <w:rFonts w:ascii="Book Antiqua" w:hAnsi="Book Antiqua" w:cs="Arial"/>
          <w:sz w:val="24"/>
          <w:szCs w:val="24"/>
        </w:rPr>
        <w:t xml:space="preserve">, </w:t>
      </w:r>
      <w:r w:rsidR="001B54FB" w:rsidRPr="00F4231A">
        <w:rPr>
          <w:rFonts w:ascii="Book Antiqua" w:hAnsi="Book Antiqua" w:cs="Arial"/>
          <w:sz w:val="24"/>
          <w:szCs w:val="24"/>
        </w:rPr>
        <w:t>lobular inflammati</w:t>
      </w:r>
      <w:r w:rsidRPr="00F4231A">
        <w:rPr>
          <w:rFonts w:ascii="Book Antiqua" w:hAnsi="Book Antiqua" w:cs="Arial"/>
          <w:sz w:val="24"/>
          <w:szCs w:val="24"/>
        </w:rPr>
        <w:t>on</w:t>
      </w:r>
      <w:r w:rsidR="00AC4E1D" w:rsidRPr="00F4231A">
        <w:rPr>
          <w:rFonts w:ascii="Book Antiqua" w:hAnsi="Book Antiqua" w:cs="Arial"/>
          <w:sz w:val="24"/>
          <w:szCs w:val="24"/>
        </w:rPr>
        <w:t xml:space="preserve"> and/or</w:t>
      </w:r>
      <w:r w:rsidRPr="00F4231A">
        <w:rPr>
          <w:rFonts w:ascii="Book Antiqua" w:hAnsi="Book Antiqua" w:cs="Arial"/>
          <w:sz w:val="24"/>
          <w:szCs w:val="24"/>
        </w:rPr>
        <w:t xml:space="preserve"> various degree of fibrosis</w:t>
      </w:r>
      <w:r w:rsidR="007F5F96" w:rsidRPr="00F4231A">
        <w:rPr>
          <w:rFonts w:ascii="Book Antiqua" w:hAnsi="Book Antiqua" w:cs="Arial"/>
          <w:sz w:val="24"/>
          <w:szCs w:val="24"/>
        </w:rPr>
        <w:t xml:space="preserve"> </w:t>
      </w:r>
      <w:r w:rsidR="00AC4E1D" w:rsidRPr="00F4231A">
        <w:rPr>
          <w:rFonts w:ascii="Book Antiqua" w:hAnsi="Book Antiqua" w:cs="Arial"/>
          <w:sz w:val="24"/>
          <w:szCs w:val="24"/>
        </w:rPr>
        <w:t xml:space="preserve">in addition to </w:t>
      </w:r>
      <w:r w:rsidR="00DC2060" w:rsidRPr="00F4231A">
        <w:rPr>
          <w:rFonts w:ascii="Book Antiqua" w:hAnsi="Book Antiqua" w:cs="Arial"/>
          <w:sz w:val="24"/>
          <w:szCs w:val="24"/>
        </w:rPr>
        <w:t>macrovesicular steatosis</w:t>
      </w:r>
      <w:r w:rsidR="00C338B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338B8" w:rsidRPr="00F4231A">
        <w:rPr>
          <w:rFonts w:ascii="Book Antiqua" w:hAnsi="Book Antiqua" w:cs="Arial"/>
          <w:sz w:val="24"/>
          <w:szCs w:val="24"/>
        </w:rPr>
        <w:instrText xml:space="preserve"> ADDIN EN.CITE </w:instrText>
      </w:r>
      <w:r w:rsidR="00C338B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338B8" w:rsidRPr="00F4231A">
        <w:rPr>
          <w:rFonts w:ascii="Book Antiqua" w:hAnsi="Book Antiqua" w:cs="Arial"/>
          <w:sz w:val="24"/>
          <w:szCs w:val="24"/>
        </w:rPr>
        <w:instrText xml:space="preserve"> ADDIN EN.CITE.DATA </w:instrText>
      </w:r>
      <w:r w:rsidR="00C338B8" w:rsidRPr="00F4231A">
        <w:rPr>
          <w:rFonts w:ascii="Book Antiqua" w:hAnsi="Book Antiqua" w:cs="Arial"/>
          <w:sz w:val="24"/>
          <w:szCs w:val="24"/>
        </w:rPr>
      </w:r>
      <w:r w:rsidR="00C338B8" w:rsidRPr="00F4231A">
        <w:rPr>
          <w:rFonts w:ascii="Book Antiqua" w:hAnsi="Book Antiqua" w:cs="Arial"/>
          <w:sz w:val="24"/>
          <w:szCs w:val="24"/>
        </w:rPr>
        <w:fldChar w:fldCharType="end"/>
      </w:r>
      <w:r w:rsidR="00C338B8" w:rsidRPr="00F4231A">
        <w:rPr>
          <w:rFonts w:ascii="Book Antiqua" w:hAnsi="Book Antiqua" w:cs="Arial"/>
          <w:sz w:val="24"/>
          <w:szCs w:val="24"/>
        </w:rPr>
      </w:r>
      <w:r w:rsidR="00C338B8" w:rsidRPr="00F4231A">
        <w:rPr>
          <w:rFonts w:ascii="Book Antiqua" w:hAnsi="Book Antiqua" w:cs="Arial"/>
          <w:sz w:val="24"/>
          <w:szCs w:val="24"/>
        </w:rPr>
        <w:fldChar w:fldCharType="separate"/>
      </w:r>
      <w:r w:rsidR="00C338B8" w:rsidRPr="00F4231A">
        <w:rPr>
          <w:rFonts w:ascii="Book Antiqua" w:hAnsi="Book Antiqua" w:cs="Arial"/>
          <w:noProof/>
          <w:sz w:val="24"/>
          <w:szCs w:val="24"/>
          <w:vertAlign w:val="superscript"/>
        </w:rPr>
        <w:t>[</w:t>
      </w:r>
      <w:hyperlink w:anchor="_ENREF_2" w:tooltip="Cubiella Fernandez, 2010 #1520" w:history="1">
        <w:r w:rsidR="00C338B8" w:rsidRPr="00F4231A">
          <w:rPr>
            <w:rFonts w:ascii="Book Antiqua" w:hAnsi="Book Antiqua" w:cs="Arial"/>
            <w:noProof/>
            <w:sz w:val="24"/>
            <w:szCs w:val="24"/>
            <w:vertAlign w:val="superscript"/>
          </w:rPr>
          <w:t>1-3</w:t>
        </w:r>
      </w:hyperlink>
      <w:r w:rsidR="00C338B8" w:rsidRPr="00F4231A">
        <w:rPr>
          <w:rFonts w:ascii="Book Antiqua" w:hAnsi="Book Antiqua" w:cs="Arial"/>
          <w:noProof/>
          <w:sz w:val="24"/>
          <w:szCs w:val="24"/>
          <w:vertAlign w:val="superscript"/>
        </w:rPr>
        <w:t>]</w:t>
      </w:r>
      <w:r w:rsidR="00C338B8" w:rsidRPr="00F4231A">
        <w:rPr>
          <w:rFonts w:ascii="Book Antiqua" w:hAnsi="Book Antiqua" w:cs="Arial"/>
          <w:sz w:val="24"/>
          <w:szCs w:val="24"/>
        </w:rPr>
        <w:fldChar w:fldCharType="end"/>
      </w:r>
      <w:r w:rsidR="00C338B8" w:rsidRPr="00F4231A">
        <w:rPr>
          <w:rFonts w:ascii="Book Antiqua" w:hAnsi="Book Antiqua" w:cs="Arial"/>
          <w:sz w:val="24"/>
          <w:szCs w:val="24"/>
        </w:rPr>
        <w:t xml:space="preserve">. </w:t>
      </w:r>
      <w:r w:rsidR="004F11EF" w:rsidRPr="00F4231A">
        <w:rPr>
          <w:rFonts w:ascii="Book Antiqua" w:hAnsi="Book Antiqua" w:cs="Arial"/>
          <w:sz w:val="24"/>
          <w:szCs w:val="24"/>
        </w:rPr>
        <w:t>Although s</w:t>
      </w:r>
      <w:r w:rsidR="00857E23" w:rsidRPr="00F4231A">
        <w:rPr>
          <w:rFonts w:ascii="Book Antiqua" w:hAnsi="Book Antiqua" w:cs="Arial"/>
          <w:sz w:val="24"/>
          <w:szCs w:val="24"/>
        </w:rPr>
        <w:t xml:space="preserve">everal </w:t>
      </w:r>
      <w:r w:rsidR="0005386F" w:rsidRPr="00F4231A">
        <w:rPr>
          <w:rFonts w:ascii="Book Antiqua" w:hAnsi="Book Antiqua" w:cs="Arial"/>
          <w:sz w:val="24"/>
          <w:szCs w:val="24"/>
        </w:rPr>
        <w:t xml:space="preserve">pathogenic </w:t>
      </w:r>
      <w:r w:rsidR="00CA4D7C" w:rsidRPr="00F4231A">
        <w:rPr>
          <w:rFonts w:ascii="Book Antiqua" w:hAnsi="Book Antiqua" w:cs="Arial"/>
          <w:sz w:val="24"/>
          <w:szCs w:val="24"/>
        </w:rPr>
        <w:t xml:space="preserve">factors, such as lipotoxicity, </w:t>
      </w:r>
      <w:r w:rsidR="00005934" w:rsidRPr="00F4231A">
        <w:rPr>
          <w:rFonts w:ascii="Book Antiqua" w:hAnsi="Book Antiqua" w:cs="Arial"/>
          <w:sz w:val="24"/>
          <w:szCs w:val="24"/>
        </w:rPr>
        <w:t xml:space="preserve">endoplasmic reticulum stress, iron accumulation, </w:t>
      </w:r>
      <w:r w:rsidR="00857E23" w:rsidRPr="00F4231A">
        <w:rPr>
          <w:rFonts w:ascii="Book Antiqua" w:hAnsi="Book Antiqua" w:cs="Arial"/>
          <w:sz w:val="24"/>
          <w:szCs w:val="24"/>
        </w:rPr>
        <w:t>and inflammatory signaling</w:t>
      </w:r>
      <w:r w:rsidR="00D97D80" w:rsidRPr="00F4231A">
        <w:rPr>
          <w:rFonts w:ascii="Book Antiqua" w:hAnsi="Book Antiqua" w:cs="Arial"/>
          <w:sz w:val="24"/>
          <w:szCs w:val="24"/>
        </w:rPr>
        <w:t xml:space="preserve">, </w:t>
      </w:r>
      <w:r w:rsidR="004F11EF" w:rsidRPr="00F4231A">
        <w:rPr>
          <w:rFonts w:ascii="Book Antiqua" w:hAnsi="Book Antiqua" w:cs="Arial"/>
          <w:sz w:val="24"/>
          <w:szCs w:val="24"/>
        </w:rPr>
        <w:t>reported</w:t>
      </w:r>
      <w:r w:rsidR="00D97D80" w:rsidRPr="00F4231A">
        <w:rPr>
          <w:rFonts w:ascii="Book Antiqua" w:hAnsi="Book Antiqua" w:cs="Arial"/>
          <w:sz w:val="24"/>
          <w:szCs w:val="24"/>
        </w:rPr>
        <w:t xml:space="preserve">ly </w:t>
      </w:r>
      <w:r w:rsidR="007A3E5E" w:rsidRPr="00F4231A">
        <w:rPr>
          <w:rFonts w:ascii="Book Antiqua" w:hAnsi="Book Antiqua" w:cs="Arial"/>
          <w:sz w:val="24"/>
          <w:szCs w:val="24"/>
        </w:rPr>
        <w:t>c</w:t>
      </w:r>
      <w:r w:rsidR="00B572C4" w:rsidRPr="00F4231A">
        <w:rPr>
          <w:rFonts w:ascii="Book Antiqua" w:hAnsi="Book Antiqua" w:cs="Arial"/>
          <w:sz w:val="24"/>
          <w:szCs w:val="24"/>
        </w:rPr>
        <w:t xml:space="preserve">ontribute to </w:t>
      </w:r>
      <w:r w:rsidR="00D97D80" w:rsidRPr="00F4231A">
        <w:rPr>
          <w:rFonts w:ascii="Book Antiqua" w:hAnsi="Book Antiqua" w:cs="Arial"/>
          <w:sz w:val="24"/>
          <w:szCs w:val="24"/>
        </w:rPr>
        <w:t xml:space="preserve">the </w:t>
      </w:r>
      <w:r w:rsidR="007A3E5E" w:rsidRPr="00F4231A">
        <w:rPr>
          <w:rFonts w:ascii="Book Antiqua" w:hAnsi="Book Antiqua" w:cs="Arial"/>
          <w:sz w:val="24"/>
          <w:szCs w:val="24"/>
        </w:rPr>
        <w:t xml:space="preserve">progression from </w:t>
      </w:r>
      <w:r w:rsidR="00D10C55" w:rsidRPr="00F4231A">
        <w:rPr>
          <w:rFonts w:ascii="Book Antiqua" w:hAnsi="Book Antiqua" w:cs="Arial"/>
          <w:sz w:val="24"/>
          <w:szCs w:val="24"/>
        </w:rPr>
        <w:t xml:space="preserve">steatosis </w:t>
      </w:r>
      <w:r w:rsidR="007A3E5E" w:rsidRPr="00F4231A">
        <w:rPr>
          <w:rFonts w:ascii="Book Antiqua" w:hAnsi="Book Antiqua" w:cs="Arial"/>
          <w:sz w:val="24"/>
          <w:szCs w:val="24"/>
        </w:rPr>
        <w:t>to steatohepatitis</w:t>
      </w:r>
      <w:r w:rsidR="00594D9B" w:rsidRPr="00F4231A">
        <w:rPr>
          <w:rFonts w:ascii="Book Antiqua" w:hAnsi="Book Antiqua" w:cs="Arial"/>
          <w:sz w:val="24"/>
          <w:szCs w:val="24"/>
        </w:rPr>
        <w:t>/</w:t>
      </w:r>
      <w:r w:rsidR="007A3E5E" w:rsidRPr="00F4231A">
        <w:rPr>
          <w:rFonts w:ascii="Book Antiqua" w:hAnsi="Book Antiqua" w:cs="Arial"/>
          <w:sz w:val="24"/>
          <w:szCs w:val="24"/>
        </w:rPr>
        <w:t>steatofibrosis</w:t>
      </w:r>
      <w:r w:rsidR="00594D9B" w:rsidRPr="00F4231A">
        <w:rPr>
          <w:rFonts w:ascii="Book Antiqua" w:hAnsi="Book Antiqua" w:cs="Arial"/>
          <w:sz w:val="24"/>
          <w:szCs w:val="24"/>
        </w:rPr>
        <w:t xml:space="preserve">, </w:t>
      </w:r>
      <w:r w:rsidR="007A3E5E" w:rsidRPr="00F4231A">
        <w:rPr>
          <w:rFonts w:ascii="Book Antiqua" w:hAnsi="Book Antiqua" w:cs="Arial"/>
          <w:sz w:val="24"/>
          <w:szCs w:val="24"/>
        </w:rPr>
        <w:t>the mechanism</w:t>
      </w:r>
      <w:r w:rsidR="004F11EF" w:rsidRPr="00F4231A">
        <w:rPr>
          <w:rFonts w:ascii="Book Antiqua" w:hAnsi="Book Antiqua" w:cs="Arial"/>
          <w:sz w:val="24"/>
          <w:szCs w:val="24"/>
        </w:rPr>
        <w:t xml:space="preserve"> </w:t>
      </w:r>
      <w:r w:rsidR="00594D9B" w:rsidRPr="00F4231A">
        <w:rPr>
          <w:rFonts w:ascii="Book Antiqua" w:hAnsi="Book Antiqua" w:cs="Arial"/>
          <w:sz w:val="24"/>
          <w:szCs w:val="24"/>
        </w:rPr>
        <w:t xml:space="preserve">of </w:t>
      </w:r>
      <w:r w:rsidR="004F11EF" w:rsidRPr="00F4231A">
        <w:rPr>
          <w:rFonts w:ascii="Book Antiqua" w:hAnsi="Book Antiqua" w:cs="Arial"/>
          <w:sz w:val="24"/>
          <w:szCs w:val="24"/>
        </w:rPr>
        <w:t>NASH development</w:t>
      </w:r>
      <w:r w:rsidR="00594D9B" w:rsidRPr="00F4231A">
        <w:rPr>
          <w:rFonts w:ascii="Book Antiqua" w:hAnsi="Book Antiqua" w:cs="Arial"/>
          <w:sz w:val="24"/>
          <w:szCs w:val="24"/>
        </w:rPr>
        <w:t xml:space="preserve"> has not been fully cl</w:t>
      </w:r>
      <w:r w:rsidR="00FF320F" w:rsidRPr="00F4231A">
        <w:rPr>
          <w:rFonts w:ascii="Book Antiqua" w:hAnsi="Book Antiqua" w:cs="Arial"/>
          <w:sz w:val="24"/>
          <w:szCs w:val="24"/>
        </w:rPr>
        <w:t>arified</w:t>
      </w:r>
      <w:r w:rsidR="00CB79F5" w:rsidRPr="00F4231A">
        <w:rPr>
          <w:rFonts w:ascii="Book Antiqua" w:hAnsi="Book Antiqua" w:cs="Arial"/>
          <w:sz w:val="24"/>
          <w:szCs w:val="24"/>
        </w:rPr>
        <w:t>.</w:t>
      </w:r>
    </w:p>
    <w:p w:rsidR="00126106" w:rsidRPr="00F4231A" w:rsidRDefault="00D97D80" w:rsidP="00F4231A">
      <w:pPr>
        <w:pStyle w:val="15"/>
        <w:snapToGrid w:val="0"/>
        <w:ind w:firstLineChars="100" w:firstLine="240"/>
        <w:rPr>
          <w:rFonts w:ascii="Book Antiqua" w:hAnsi="Book Antiqua" w:cs="Arial"/>
          <w:sz w:val="24"/>
          <w:szCs w:val="24"/>
        </w:rPr>
      </w:pPr>
      <w:r w:rsidRPr="00F4231A">
        <w:rPr>
          <w:rFonts w:ascii="Book Antiqua" w:hAnsi="Book Antiqua" w:cs="Arial"/>
          <w:sz w:val="24"/>
          <w:szCs w:val="24"/>
        </w:rPr>
        <w:t xml:space="preserve">Recent murine studies have demonstrated </w:t>
      </w:r>
      <w:r w:rsidR="00286395" w:rsidRPr="00F4231A">
        <w:rPr>
          <w:rFonts w:ascii="Book Antiqua" w:hAnsi="Book Antiqua" w:cs="Arial"/>
          <w:sz w:val="24"/>
          <w:szCs w:val="24"/>
        </w:rPr>
        <w:t xml:space="preserve">a key </w:t>
      </w:r>
      <w:r w:rsidR="005272FA" w:rsidRPr="00F4231A">
        <w:rPr>
          <w:rFonts w:ascii="Book Antiqua" w:hAnsi="Book Antiqua" w:cs="Arial"/>
          <w:sz w:val="24"/>
          <w:szCs w:val="24"/>
        </w:rPr>
        <w:t xml:space="preserve">role of </w:t>
      </w:r>
      <w:r w:rsidR="006264F7" w:rsidRPr="00F4231A">
        <w:rPr>
          <w:rFonts w:ascii="Book Antiqua" w:hAnsi="Book Antiqua" w:cs="Arial"/>
          <w:sz w:val="24"/>
          <w:szCs w:val="24"/>
        </w:rPr>
        <w:t xml:space="preserve">endotoxin/lipopolysaccharide (LPS) </w:t>
      </w:r>
      <w:r w:rsidRPr="00F4231A">
        <w:rPr>
          <w:rFonts w:ascii="Book Antiqua" w:hAnsi="Book Antiqua" w:cs="Arial"/>
          <w:sz w:val="24"/>
          <w:szCs w:val="24"/>
        </w:rPr>
        <w:t xml:space="preserve">in </w:t>
      </w:r>
      <w:r w:rsidR="00893CDA" w:rsidRPr="00F4231A">
        <w:rPr>
          <w:rFonts w:ascii="Book Antiqua" w:hAnsi="Book Antiqua" w:cs="Arial"/>
          <w:sz w:val="24"/>
          <w:szCs w:val="24"/>
        </w:rPr>
        <w:t>the onset of</w:t>
      </w:r>
      <w:r w:rsidR="0061207B" w:rsidRPr="00F4231A">
        <w:rPr>
          <w:rFonts w:ascii="Book Antiqua" w:hAnsi="Book Antiqua" w:cs="Arial"/>
          <w:sz w:val="24"/>
          <w:szCs w:val="24"/>
        </w:rPr>
        <w:t xml:space="preserve"> </w:t>
      </w:r>
      <w:r w:rsidR="00893CDA" w:rsidRPr="00F4231A">
        <w:rPr>
          <w:rFonts w:ascii="Book Antiqua" w:hAnsi="Book Antiqua" w:cs="Arial"/>
          <w:sz w:val="24"/>
          <w:szCs w:val="24"/>
        </w:rPr>
        <w:t>NASH</w:t>
      </w:r>
      <w:r w:rsidR="00C338B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338B8" w:rsidRPr="00F4231A">
        <w:rPr>
          <w:rFonts w:ascii="Book Antiqua" w:hAnsi="Book Antiqua" w:cs="Arial"/>
          <w:sz w:val="24"/>
          <w:szCs w:val="24"/>
        </w:rPr>
        <w:instrText xml:space="preserve"> ADDIN EN.CITE </w:instrText>
      </w:r>
      <w:r w:rsidR="00C338B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338B8" w:rsidRPr="00F4231A">
        <w:rPr>
          <w:rFonts w:ascii="Book Antiqua" w:hAnsi="Book Antiqua" w:cs="Arial"/>
          <w:sz w:val="24"/>
          <w:szCs w:val="24"/>
        </w:rPr>
        <w:instrText xml:space="preserve"> ADDIN EN.CITE.DATA </w:instrText>
      </w:r>
      <w:r w:rsidR="00C338B8" w:rsidRPr="00F4231A">
        <w:rPr>
          <w:rFonts w:ascii="Book Antiqua" w:hAnsi="Book Antiqua" w:cs="Arial"/>
          <w:sz w:val="24"/>
          <w:szCs w:val="24"/>
        </w:rPr>
      </w:r>
      <w:r w:rsidR="00C338B8" w:rsidRPr="00F4231A">
        <w:rPr>
          <w:rFonts w:ascii="Book Antiqua" w:hAnsi="Book Antiqua" w:cs="Arial"/>
          <w:sz w:val="24"/>
          <w:szCs w:val="24"/>
        </w:rPr>
        <w:fldChar w:fldCharType="end"/>
      </w:r>
      <w:r w:rsidR="00C338B8" w:rsidRPr="00F4231A">
        <w:rPr>
          <w:rFonts w:ascii="Book Antiqua" w:hAnsi="Book Antiqua" w:cs="Arial"/>
          <w:sz w:val="24"/>
          <w:szCs w:val="24"/>
        </w:rPr>
      </w:r>
      <w:r w:rsidR="00C338B8" w:rsidRPr="00F4231A">
        <w:rPr>
          <w:rFonts w:ascii="Book Antiqua" w:hAnsi="Book Antiqua" w:cs="Arial"/>
          <w:sz w:val="24"/>
          <w:szCs w:val="24"/>
        </w:rPr>
        <w:fldChar w:fldCharType="separate"/>
      </w:r>
      <w:r w:rsidR="00C338B8" w:rsidRPr="00F4231A">
        <w:rPr>
          <w:rFonts w:ascii="Book Antiqua" w:hAnsi="Book Antiqua" w:cs="Arial"/>
          <w:noProof/>
          <w:sz w:val="24"/>
          <w:szCs w:val="24"/>
          <w:vertAlign w:val="superscript"/>
        </w:rPr>
        <w:t>[</w:t>
      </w:r>
      <w:hyperlink w:anchor="_ENREF_2" w:tooltip="Cubiella Fernandez, 2010 #1520" w:history="1">
        <w:r w:rsidR="00C338B8" w:rsidRPr="00F4231A">
          <w:rPr>
            <w:rFonts w:ascii="Book Antiqua" w:hAnsi="Book Antiqua" w:cs="Arial"/>
            <w:noProof/>
            <w:sz w:val="24"/>
            <w:szCs w:val="24"/>
            <w:vertAlign w:val="superscript"/>
          </w:rPr>
          <w:t>5,6</w:t>
        </w:r>
      </w:hyperlink>
      <w:r w:rsidR="00C338B8" w:rsidRPr="00F4231A">
        <w:rPr>
          <w:rFonts w:ascii="Book Antiqua" w:hAnsi="Book Antiqua" w:cs="Arial"/>
          <w:noProof/>
          <w:sz w:val="24"/>
          <w:szCs w:val="24"/>
          <w:vertAlign w:val="superscript"/>
        </w:rPr>
        <w:t>]</w:t>
      </w:r>
      <w:r w:rsidR="00C338B8" w:rsidRPr="00F4231A">
        <w:rPr>
          <w:rFonts w:ascii="Book Antiqua" w:hAnsi="Book Antiqua" w:cs="Arial"/>
          <w:sz w:val="24"/>
          <w:szCs w:val="24"/>
        </w:rPr>
        <w:fldChar w:fldCharType="end"/>
      </w:r>
      <w:r w:rsidR="00893CDA" w:rsidRPr="00F4231A">
        <w:rPr>
          <w:rFonts w:ascii="Book Antiqua" w:hAnsi="Book Antiqua" w:cs="Arial"/>
          <w:sz w:val="24"/>
          <w:szCs w:val="24"/>
        </w:rPr>
        <w:t xml:space="preserve">. </w:t>
      </w:r>
      <w:r w:rsidR="009A7574" w:rsidRPr="00F4231A">
        <w:rPr>
          <w:rFonts w:ascii="Book Antiqua" w:hAnsi="Book Antiqua" w:cs="Arial"/>
          <w:sz w:val="24"/>
          <w:szCs w:val="24"/>
        </w:rPr>
        <w:t xml:space="preserve">For example, </w:t>
      </w:r>
      <w:r w:rsidR="001133A7" w:rsidRPr="00F4231A">
        <w:rPr>
          <w:rFonts w:ascii="Book Antiqua" w:hAnsi="Book Antiqua" w:cs="Arial"/>
          <w:sz w:val="24"/>
          <w:szCs w:val="24"/>
        </w:rPr>
        <w:t xml:space="preserve">repeated LPS injection </w:t>
      </w:r>
      <w:r w:rsidR="00126106" w:rsidRPr="00F4231A">
        <w:rPr>
          <w:rFonts w:ascii="Book Antiqua" w:hAnsi="Book Antiqua" w:cs="Arial"/>
          <w:sz w:val="24"/>
          <w:szCs w:val="24"/>
        </w:rPr>
        <w:t>in</w:t>
      </w:r>
      <w:r w:rsidR="001133A7" w:rsidRPr="00F4231A">
        <w:rPr>
          <w:rFonts w:ascii="Book Antiqua" w:hAnsi="Book Antiqua" w:cs="Arial"/>
          <w:sz w:val="24"/>
          <w:szCs w:val="24"/>
        </w:rPr>
        <w:t xml:space="preserve">to </w:t>
      </w:r>
      <w:r w:rsidR="001133A7" w:rsidRPr="00F4231A">
        <w:rPr>
          <w:rFonts w:ascii="Book Antiqua" w:hAnsi="Book Antiqua" w:cs="Arial"/>
          <w:i/>
          <w:sz w:val="24"/>
          <w:szCs w:val="24"/>
        </w:rPr>
        <w:t>ob/ob</w:t>
      </w:r>
      <w:r w:rsidR="001133A7" w:rsidRPr="00F4231A">
        <w:rPr>
          <w:rFonts w:ascii="Book Antiqua" w:hAnsi="Book Antiqua" w:cs="Arial"/>
          <w:sz w:val="24"/>
          <w:szCs w:val="24"/>
        </w:rPr>
        <w:t xml:space="preserve"> mice </w:t>
      </w:r>
      <w:r w:rsidR="00126106" w:rsidRPr="00F4231A">
        <w:rPr>
          <w:rFonts w:ascii="Book Antiqua" w:hAnsi="Book Antiqua" w:cs="Arial"/>
          <w:sz w:val="24"/>
          <w:szCs w:val="24"/>
        </w:rPr>
        <w:t>led</w:t>
      </w:r>
      <w:r w:rsidR="004A79C1" w:rsidRPr="00F4231A">
        <w:rPr>
          <w:rFonts w:ascii="Book Antiqua" w:hAnsi="Book Antiqua" w:cs="Arial"/>
          <w:sz w:val="24"/>
          <w:szCs w:val="24"/>
        </w:rPr>
        <w:t xml:space="preserve"> to </w:t>
      </w:r>
      <w:r w:rsidR="001133A7" w:rsidRPr="00F4231A">
        <w:rPr>
          <w:rFonts w:ascii="Book Antiqua" w:hAnsi="Book Antiqua" w:cs="Arial"/>
          <w:sz w:val="24"/>
          <w:szCs w:val="24"/>
        </w:rPr>
        <w:t>steatohepatitis</w:t>
      </w:r>
      <w:r w:rsidR="00C338B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338B8" w:rsidRPr="00F4231A">
        <w:rPr>
          <w:rFonts w:ascii="Book Antiqua" w:hAnsi="Book Antiqua" w:cs="Arial"/>
          <w:sz w:val="24"/>
          <w:szCs w:val="24"/>
        </w:rPr>
        <w:instrText xml:space="preserve"> ADDIN EN.CITE </w:instrText>
      </w:r>
      <w:r w:rsidR="00C338B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338B8" w:rsidRPr="00F4231A">
        <w:rPr>
          <w:rFonts w:ascii="Book Antiqua" w:hAnsi="Book Antiqua" w:cs="Arial"/>
          <w:sz w:val="24"/>
          <w:szCs w:val="24"/>
        </w:rPr>
        <w:instrText xml:space="preserve"> ADDIN EN.CITE.DATA </w:instrText>
      </w:r>
      <w:r w:rsidR="00C338B8" w:rsidRPr="00F4231A">
        <w:rPr>
          <w:rFonts w:ascii="Book Antiqua" w:hAnsi="Book Antiqua" w:cs="Arial"/>
          <w:sz w:val="24"/>
          <w:szCs w:val="24"/>
        </w:rPr>
      </w:r>
      <w:r w:rsidR="00C338B8" w:rsidRPr="00F4231A">
        <w:rPr>
          <w:rFonts w:ascii="Book Antiqua" w:hAnsi="Book Antiqua" w:cs="Arial"/>
          <w:sz w:val="24"/>
          <w:szCs w:val="24"/>
        </w:rPr>
        <w:fldChar w:fldCharType="end"/>
      </w:r>
      <w:r w:rsidR="00C338B8" w:rsidRPr="00F4231A">
        <w:rPr>
          <w:rFonts w:ascii="Book Antiqua" w:hAnsi="Book Antiqua" w:cs="Arial"/>
          <w:sz w:val="24"/>
          <w:szCs w:val="24"/>
        </w:rPr>
      </w:r>
      <w:r w:rsidR="00C338B8" w:rsidRPr="00F4231A">
        <w:rPr>
          <w:rFonts w:ascii="Book Antiqua" w:hAnsi="Book Antiqua" w:cs="Arial"/>
          <w:sz w:val="24"/>
          <w:szCs w:val="24"/>
        </w:rPr>
        <w:fldChar w:fldCharType="separate"/>
      </w:r>
      <w:r w:rsidR="00C338B8" w:rsidRPr="00F4231A">
        <w:rPr>
          <w:rFonts w:ascii="Book Antiqua" w:hAnsi="Book Antiqua" w:cs="Arial"/>
          <w:noProof/>
          <w:sz w:val="24"/>
          <w:szCs w:val="24"/>
          <w:vertAlign w:val="superscript"/>
        </w:rPr>
        <w:t>[7]</w:t>
      </w:r>
      <w:r w:rsidR="00C338B8" w:rsidRPr="00F4231A">
        <w:rPr>
          <w:rFonts w:ascii="Book Antiqua" w:hAnsi="Book Antiqua" w:cs="Arial"/>
          <w:sz w:val="24"/>
          <w:szCs w:val="24"/>
        </w:rPr>
        <w:fldChar w:fldCharType="end"/>
      </w:r>
      <w:r w:rsidR="00126106" w:rsidRPr="00F4231A">
        <w:rPr>
          <w:rFonts w:ascii="Book Antiqua" w:hAnsi="Book Antiqua" w:cs="Arial"/>
          <w:sz w:val="24"/>
          <w:szCs w:val="24"/>
        </w:rPr>
        <w:t xml:space="preserve">, while </w:t>
      </w:r>
      <w:r w:rsidR="00D3388D" w:rsidRPr="00F4231A">
        <w:rPr>
          <w:rFonts w:ascii="Book Antiqua" w:hAnsi="Book Antiqua" w:cs="Arial"/>
          <w:sz w:val="24"/>
          <w:szCs w:val="24"/>
        </w:rPr>
        <w:t>mice lacking the gene encoding Toll-like receptor</w:t>
      </w:r>
      <w:r w:rsidR="00F5476F" w:rsidRPr="00F4231A">
        <w:rPr>
          <w:rFonts w:ascii="Book Antiqua" w:hAnsi="Book Antiqua" w:cs="Arial"/>
          <w:sz w:val="24"/>
          <w:szCs w:val="24"/>
        </w:rPr>
        <w:t xml:space="preserve"> (TLR) 4, </w:t>
      </w:r>
      <w:r w:rsidR="00D3388D" w:rsidRPr="00F4231A">
        <w:rPr>
          <w:rFonts w:ascii="Book Antiqua" w:hAnsi="Book Antiqua" w:cs="Arial"/>
          <w:sz w:val="24"/>
          <w:szCs w:val="24"/>
        </w:rPr>
        <w:t>a central molecule in LPS-mediated signaling</w:t>
      </w:r>
      <w:r w:rsidR="00126106" w:rsidRPr="00F4231A">
        <w:rPr>
          <w:rFonts w:ascii="Book Antiqua" w:hAnsi="Book Antiqua" w:cs="Arial"/>
          <w:sz w:val="24"/>
          <w:szCs w:val="24"/>
        </w:rPr>
        <w:t xml:space="preserve">, were </w:t>
      </w:r>
      <w:r w:rsidR="00D3388D" w:rsidRPr="00F4231A">
        <w:rPr>
          <w:rFonts w:ascii="Book Antiqua" w:hAnsi="Book Antiqua" w:cs="Arial"/>
          <w:sz w:val="24"/>
          <w:szCs w:val="24"/>
        </w:rPr>
        <w:t>resistant to NASH</w:t>
      </w:r>
      <w:r w:rsidR="00893CDA" w:rsidRPr="00F4231A">
        <w:rPr>
          <w:rFonts w:ascii="Book Antiqua" w:hAnsi="Book Antiqua" w:cs="Arial"/>
          <w:sz w:val="24"/>
          <w:szCs w:val="24"/>
        </w:rPr>
        <w:t xml:space="preserve"> development</w:t>
      </w:r>
      <w:r w:rsidR="00C338B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338B8" w:rsidRPr="00F4231A">
        <w:rPr>
          <w:rFonts w:ascii="Book Antiqua" w:hAnsi="Book Antiqua" w:cs="Arial"/>
          <w:sz w:val="24"/>
          <w:szCs w:val="24"/>
        </w:rPr>
        <w:instrText xml:space="preserve"> ADDIN EN.CITE </w:instrText>
      </w:r>
      <w:r w:rsidR="00C338B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338B8" w:rsidRPr="00F4231A">
        <w:rPr>
          <w:rFonts w:ascii="Book Antiqua" w:hAnsi="Book Antiqua" w:cs="Arial"/>
          <w:sz w:val="24"/>
          <w:szCs w:val="24"/>
        </w:rPr>
        <w:instrText xml:space="preserve"> ADDIN EN.CITE.DATA </w:instrText>
      </w:r>
      <w:r w:rsidR="00C338B8" w:rsidRPr="00F4231A">
        <w:rPr>
          <w:rFonts w:ascii="Book Antiqua" w:hAnsi="Book Antiqua" w:cs="Arial"/>
          <w:sz w:val="24"/>
          <w:szCs w:val="24"/>
        </w:rPr>
      </w:r>
      <w:r w:rsidR="00C338B8" w:rsidRPr="00F4231A">
        <w:rPr>
          <w:rFonts w:ascii="Book Antiqua" w:hAnsi="Book Antiqua" w:cs="Arial"/>
          <w:sz w:val="24"/>
          <w:szCs w:val="24"/>
        </w:rPr>
        <w:fldChar w:fldCharType="end"/>
      </w:r>
      <w:r w:rsidR="00C338B8" w:rsidRPr="00F4231A">
        <w:rPr>
          <w:rFonts w:ascii="Book Antiqua" w:hAnsi="Book Antiqua" w:cs="Arial"/>
          <w:sz w:val="24"/>
          <w:szCs w:val="24"/>
        </w:rPr>
      </w:r>
      <w:r w:rsidR="00C338B8" w:rsidRPr="00F4231A">
        <w:rPr>
          <w:rFonts w:ascii="Book Antiqua" w:hAnsi="Book Antiqua" w:cs="Arial"/>
          <w:sz w:val="24"/>
          <w:szCs w:val="24"/>
        </w:rPr>
        <w:fldChar w:fldCharType="separate"/>
      </w:r>
      <w:r w:rsidR="00C338B8" w:rsidRPr="00F4231A">
        <w:rPr>
          <w:rFonts w:ascii="Book Antiqua" w:hAnsi="Book Antiqua" w:cs="Arial"/>
          <w:noProof/>
          <w:sz w:val="24"/>
          <w:szCs w:val="24"/>
          <w:vertAlign w:val="superscript"/>
        </w:rPr>
        <w:t>[8]</w:t>
      </w:r>
      <w:r w:rsidR="00C338B8" w:rsidRPr="00F4231A">
        <w:rPr>
          <w:rFonts w:ascii="Book Antiqua" w:hAnsi="Book Antiqua" w:cs="Arial"/>
          <w:sz w:val="24"/>
          <w:szCs w:val="24"/>
        </w:rPr>
        <w:fldChar w:fldCharType="end"/>
      </w:r>
      <w:r w:rsidR="001533EB" w:rsidRPr="00F4231A">
        <w:rPr>
          <w:rFonts w:ascii="Book Antiqua" w:hAnsi="Book Antiqua" w:cs="Arial"/>
          <w:sz w:val="24"/>
          <w:szCs w:val="24"/>
        </w:rPr>
        <w:t xml:space="preserve">. </w:t>
      </w:r>
      <w:r w:rsidR="007F2760" w:rsidRPr="00F4231A">
        <w:rPr>
          <w:rFonts w:ascii="Book Antiqua" w:hAnsi="Book Antiqua" w:cs="Arial"/>
          <w:sz w:val="24"/>
          <w:szCs w:val="24"/>
        </w:rPr>
        <w:t xml:space="preserve">It is </w:t>
      </w:r>
      <w:r w:rsidR="00126106" w:rsidRPr="00F4231A">
        <w:rPr>
          <w:rFonts w:ascii="Book Antiqua" w:hAnsi="Book Antiqua" w:cs="Arial"/>
          <w:sz w:val="24"/>
          <w:szCs w:val="24"/>
        </w:rPr>
        <w:t xml:space="preserve">generally accepted </w:t>
      </w:r>
      <w:r w:rsidR="007F2760" w:rsidRPr="00F4231A">
        <w:rPr>
          <w:rFonts w:ascii="Book Antiqua" w:hAnsi="Book Antiqua" w:cs="Arial"/>
          <w:sz w:val="24"/>
          <w:szCs w:val="24"/>
        </w:rPr>
        <w:t>that</w:t>
      </w:r>
      <w:r w:rsidR="00F86FD0" w:rsidRPr="00F4231A">
        <w:rPr>
          <w:rFonts w:ascii="Book Antiqua" w:hAnsi="Book Antiqua" w:cs="Arial"/>
          <w:sz w:val="24"/>
          <w:szCs w:val="24"/>
        </w:rPr>
        <w:t xml:space="preserve"> </w:t>
      </w:r>
      <w:r w:rsidR="00126106" w:rsidRPr="00F4231A">
        <w:rPr>
          <w:rFonts w:ascii="Book Antiqua" w:hAnsi="Book Antiqua" w:cs="Arial"/>
          <w:sz w:val="24"/>
          <w:szCs w:val="24"/>
        </w:rPr>
        <w:t xml:space="preserve">Kupffer cells are activated when the </w:t>
      </w:r>
      <w:r w:rsidR="0048749B" w:rsidRPr="00F4231A">
        <w:rPr>
          <w:rFonts w:ascii="Book Antiqua" w:hAnsi="Book Antiqua" w:cs="Arial"/>
          <w:sz w:val="24"/>
          <w:szCs w:val="24"/>
        </w:rPr>
        <w:t xml:space="preserve">gut mucosa </w:t>
      </w:r>
      <w:r w:rsidR="00126106" w:rsidRPr="00F4231A">
        <w:rPr>
          <w:rFonts w:ascii="Book Antiqua" w:hAnsi="Book Antiqua" w:cs="Arial"/>
          <w:sz w:val="24"/>
          <w:szCs w:val="24"/>
        </w:rPr>
        <w:t xml:space="preserve">becomes </w:t>
      </w:r>
      <w:r w:rsidR="0048749B" w:rsidRPr="00F4231A">
        <w:rPr>
          <w:rFonts w:ascii="Book Antiqua" w:hAnsi="Book Antiqua" w:cs="Arial"/>
          <w:sz w:val="24"/>
          <w:szCs w:val="24"/>
        </w:rPr>
        <w:t xml:space="preserve">inflamed and fragile or </w:t>
      </w:r>
      <w:r w:rsidR="00126106" w:rsidRPr="00F4231A">
        <w:rPr>
          <w:rFonts w:ascii="Book Antiqua" w:hAnsi="Book Antiqua" w:cs="Arial"/>
          <w:sz w:val="24"/>
          <w:szCs w:val="24"/>
        </w:rPr>
        <w:t>when</w:t>
      </w:r>
      <w:r w:rsidR="001212AA" w:rsidRPr="00F4231A">
        <w:rPr>
          <w:rFonts w:ascii="Book Antiqua" w:hAnsi="Book Antiqua" w:cs="Arial"/>
          <w:sz w:val="24"/>
          <w:szCs w:val="24"/>
        </w:rPr>
        <w:t xml:space="preserve"> </w:t>
      </w:r>
      <w:r w:rsidR="0048749B" w:rsidRPr="00F4231A">
        <w:rPr>
          <w:rFonts w:ascii="Book Antiqua" w:hAnsi="Book Antiqua" w:cs="Arial"/>
          <w:sz w:val="24"/>
          <w:szCs w:val="24"/>
        </w:rPr>
        <w:t xml:space="preserve">gut bacteria overgrow and LPS </w:t>
      </w:r>
      <w:r w:rsidR="00126106" w:rsidRPr="00F4231A">
        <w:rPr>
          <w:rFonts w:ascii="Book Antiqua" w:hAnsi="Book Antiqua" w:cs="Arial"/>
          <w:sz w:val="24"/>
          <w:szCs w:val="24"/>
        </w:rPr>
        <w:t xml:space="preserve">subsequently </w:t>
      </w:r>
      <w:r w:rsidR="0048749B" w:rsidRPr="00F4231A">
        <w:rPr>
          <w:rFonts w:ascii="Book Antiqua" w:hAnsi="Book Antiqua" w:cs="Arial"/>
          <w:sz w:val="24"/>
          <w:szCs w:val="24"/>
        </w:rPr>
        <w:t xml:space="preserve">flows </w:t>
      </w:r>
      <w:r w:rsidR="00126106" w:rsidRPr="00F4231A">
        <w:rPr>
          <w:rFonts w:ascii="Book Antiqua" w:hAnsi="Book Antiqua" w:cs="Arial"/>
          <w:sz w:val="24"/>
          <w:szCs w:val="24"/>
        </w:rPr>
        <w:t xml:space="preserve">into the </w:t>
      </w:r>
      <w:r w:rsidR="0048749B" w:rsidRPr="00F4231A">
        <w:rPr>
          <w:rFonts w:ascii="Book Antiqua" w:hAnsi="Book Antiqua" w:cs="Arial"/>
          <w:sz w:val="24"/>
          <w:szCs w:val="24"/>
        </w:rPr>
        <w:t>portal vein</w:t>
      </w:r>
      <w:r w:rsidR="00126106" w:rsidRPr="00F4231A">
        <w:rPr>
          <w:rFonts w:ascii="Book Antiqua" w:hAnsi="Book Antiqua" w:cs="Arial"/>
          <w:sz w:val="24"/>
          <w:szCs w:val="24"/>
        </w:rPr>
        <w:t xml:space="preserve">. </w:t>
      </w:r>
      <w:r w:rsidR="005C02AC" w:rsidRPr="00F4231A">
        <w:rPr>
          <w:rFonts w:ascii="Book Antiqua" w:hAnsi="Book Antiqua" w:cs="Arial"/>
          <w:sz w:val="24"/>
          <w:szCs w:val="24"/>
        </w:rPr>
        <w:t xml:space="preserve">However, </w:t>
      </w:r>
      <w:r w:rsidR="009E159B" w:rsidRPr="00F4231A">
        <w:rPr>
          <w:rFonts w:ascii="Book Antiqua" w:hAnsi="Book Antiqua" w:cs="Arial"/>
          <w:sz w:val="24"/>
          <w:szCs w:val="24"/>
        </w:rPr>
        <w:t xml:space="preserve">it </w:t>
      </w:r>
      <w:r w:rsidR="00380041" w:rsidRPr="00F4231A">
        <w:rPr>
          <w:rFonts w:ascii="Book Antiqua" w:hAnsi="Book Antiqua" w:cs="Arial"/>
          <w:sz w:val="24"/>
          <w:szCs w:val="24"/>
        </w:rPr>
        <w:t xml:space="preserve">remains unclear </w:t>
      </w:r>
      <w:r w:rsidR="007F2760" w:rsidRPr="00F4231A">
        <w:rPr>
          <w:rFonts w:ascii="Book Antiqua" w:hAnsi="Book Antiqua" w:cs="Arial"/>
          <w:sz w:val="24"/>
          <w:szCs w:val="24"/>
        </w:rPr>
        <w:t xml:space="preserve">whether </w:t>
      </w:r>
      <w:r w:rsidR="00126106" w:rsidRPr="00F4231A">
        <w:rPr>
          <w:rFonts w:ascii="Book Antiqua" w:hAnsi="Book Antiqua" w:cs="Arial"/>
          <w:sz w:val="24"/>
          <w:szCs w:val="24"/>
        </w:rPr>
        <w:t xml:space="preserve">the </w:t>
      </w:r>
      <w:r w:rsidR="007F2760" w:rsidRPr="00F4231A">
        <w:rPr>
          <w:rFonts w:ascii="Book Antiqua" w:hAnsi="Book Antiqua" w:cs="Arial"/>
          <w:sz w:val="24"/>
          <w:szCs w:val="24"/>
        </w:rPr>
        <w:t>gut b</w:t>
      </w:r>
      <w:r w:rsidR="008662BB" w:rsidRPr="00F4231A">
        <w:rPr>
          <w:rFonts w:ascii="Book Antiqua" w:hAnsi="Book Antiqua" w:cs="Arial"/>
          <w:sz w:val="24"/>
          <w:szCs w:val="24"/>
        </w:rPr>
        <w:t>arrier is disr</w:t>
      </w:r>
      <w:r w:rsidR="00126106" w:rsidRPr="00F4231A">
        <w:rPr>
          <w:rFonts w:ascii="Book Antiqua" w:hAnsi="Book Antiqua" w:cs="Arial"/>
          <w:sz w:val="24"/>
          <w:szCs w:val="24"/>
        </w:rPr>
        <w:t xml:space="preserve">upted and portal LPS levels are </w:t>
      </w:r>
      <w:r w:rsidR="00D3011C" w:rsidRPr="00F4231A">
        <w:rPr>
          <w:rFonts w:ascii="Book Antiqua" w:hAnsi="Book Antiqua" w:cs="Arial"/>
          <w:sz w:val="24"/>
          <w:szCs w:val="24"/>
        </w:rPr>
        <w:t>elevated</w:t>
      </w:r>
      <w:r w:rsidR="00F1450C" w:rsidRPr="00F4231A">
        <w:rPr>
          <w:rFonts w:ascii="Book Antiqua" w:hAnsi="Book Antiqua" w:cs="Arial"/>
          <w:sz w:val="24"/>
          <w:szCs w:val="24"/>
        </w:rPr>
        <w:t xml:space="preserve"> in </w:t>
      </w:r>
      <w:r w:rsidR="00F86FD0" w:rsidRPr="00F4231A">
        <w:rPr>
          <w:rFonts w:ascii="Book Antiqua" w:hAnsi="Book Antiqua" w:cs="Arial"/>
          <w:sz w:val="24"/>
          <w:szCs w:val="24"/>
        </w:rPr>
        <w:t xml:space="preserve">typical obesity-, </w:t>
      </w:r>
      <w:r w:rsidR="00E219CF" w:rsidRPr="00F4231A">
        <w:rPr>
          <w:rFonts w:ascii="Book Antiqua" w:hAnsi="Book Antiqua" w:cs="Arial"/>
          <w:sz w:val="24"/>
          <w:szCs w:val="24"/>
        </w:rPr>
        <w:t xml:space="preserve">metabolic syndrome-related </w:t>
      </w:r>
      <w:r w:rsidR="00F1450C" w:rsidRPr="00F4231A">
        <w:rPr>
          <w:rFonts w:ascii="Book Antiqua" w:hAnsi="Book Antiqua" w:cs="Arial"/>
          <w:sz w:val="24"/>
          <w:szCs w:val="24"/>
        </w:rPr>
        <w:t xml:space="preserve">NAFLD patients without </w:t>
      </w:r>
      <w:r w:rsidR="00F86FD0" w:rsidRPr="00F4231A">
        <w:rPr>
          <w:rFonts w:ascii="Book Antiqua" w:hAnsi="Book Antiqua" w:cs="Arial"/>
          <w:sz w:val="24"/>
          <w:szCs w:val="24"/>
        </w:rPr>
        <w:t>accompanyin</w:t>
      </w:r>
      <w:r w:rsidR="00F1450C" w:rsidRPr="00F4231A">
        <w:rPr>
          <w:rFonts w:ascii="Book Antiqua" w:hAnsi="Book Antiqua" w:cs="Arial"/>
          <w:sz w:val="24"/>
          <w:szCs w:val="24"/>
        </w:rPr>
        <w:t xml:space="preserve">g </w:t>
      </w:r>
      <w:r w:rsidR="002D6A0B" w:rsidRPr="00F4231A">
        <w:rPr>
          <w:rFonts w:ascii="Book Antiqua" w:hAnsi="Book Antiqua" w:cs="Arial"/>
          <w:sz w:val="24"/>
          <w:szCs w:val="24"/>
        </w:rPr>
        <w:t xml:space="preserve">active </w:t>
      </w:r>
      <w:r w:rsidR="00B35041" w:rsidRPr="00F4231A">
        <w:rPr>
          <w:rFonts w:ascii="Book Antiqua" w:hAnsi="Book Antiqua" w:cs="Arial"/>
          <w:sz w:val="24"/>
          <w:szCs w:val="24"/>
        </w:rPr>
        <w:t>inflammatory bowel disease</w:t>
      </w:r>
      <w:r w:rsidR="0033137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331378" w:rsidRPr="00F4231A">
        <w:rPr>
          <w:rFonts w:ascii="Book Antiqua" w:hAnsi="Book Antiqua" w:cs="Arial"/>
          <w:sz w:val="24"/>
          <w:szCs w:val="24"/>
        </w:rPr>
        <w:instrText xml:space="preserve"> ADDIN EN.CITE </w:instrText>
      </w:r>
      <w:r w:rsidR="0033137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331378" w:rsidRPr="00F4231A">
        <w:rPr>
          <w:rFonts w:ascii="Book Antiqua" w:hAnsi="Book Antiqua" w:cs="Arial"/>
          <w:sz w:val="24"/>
          <w:szCs w:val="24"/>
        </w:rPr>
        <w:instrText xml:space="preserve"> ADDIN EN.CITE.DATA </w:instrText>
      </w:r>
      <w:r w:rsidR="00331378" w:rsidRPr="00F4231A">
        <w:rPr>
          <w:rFonts w:ascii="Book Antiqua" w:hAnsi="Book Antiqua" w:cs="Arial"/>
          <w:sz w:val="24"/>
          <w:szCs w:val="24"/>
        </w:rPr>
      </w:r>
      <w:r w:rsidR="00331378" w:rsidRPr="00F4231A">
        <w:rPr>
          <w:rFonts w:ascii="Book Antiqua" w:hAnsi="Book Antiqua" w:cs="Arial"/>
          <w:sz w:val="24"/>
          <w:szCs w:val="24"/>
        </w:rPr>
        <w:fldChar w:fldCharType="end"/>
      </w:r>
      <w:r w:rsidR="00331378" w:rsidRPr="00F4231A">
        <w:rPr>
          <w:rFonts w:ascii="Book Antiqua" w:hAnsi="Book Antiqua" w:cs="Arial"/>
          <w:sz w:val="24"/>
          <w:szCs w:val="24"/>
        </w:rPr>
      </w:r>
      <w:r w:rsidR="00331378" w:rsidRPr="00F4231A">
        <w:rPr>
          <w:rFonts w:ascii="Book Antiqua" w:hAnsi="Book Antiqua" w:cs="Arial"/>
          <w:sz w:val="24"/>
          <w:szCs w:val="24"/>
        </w:rPr>
        <w:fldChar w:fldCharType="separate"/>
      </w:r>
      <w:r w:rsidR="00331378" w:rsidRPr="00F4231A">
        <w:rPr>
          <w:rFonts w:ascii="Book Antiqua" w:hAnsi="Book Antiqua" w:cs="Arial"/>
          <w:noProof/>
          <w:sz w:val="24"/>
          <w:szCs w:val="24"/>
          <w:vertAlign w:val="superscript"/>
        </w:rPr>
        <w:t>[9,10]</w:t>
      </w:r>
      <w:r w:rsidR="00331378" w:rsidRPr="00F4231A">
        <w:rPr>
          <w:rFonts w:ascii="Book Antiqua" w:hAnsi="Book Antiqua" w:cs="Arial"/>
          <w:sz w:val="24"/>
          <w:szCs w:val="24"/>
        </w:rPr>
        <w:fldChar w:fldCharType="end"/>
      </w:r>
      <w:r w:rsidR="00126106" w:rsidRPr="00F4231A">
        <w:rPr>
          <w:rFonts w:ascii="Book Antiqua" w:hAnsi="Book Antiqua" w:cs="Arial"/>
          <w:sz w:val="24"/>
          <w:szCs w:val="24"/>
        </w:rPr>
        <w:t xml:space="preserve"> or </w:t>
      </w:r>
      <w:r w:rsidR="00F1450C" w:rsidRPr="00F4231A">
        <w:rPr>
          <w:rFonts w:ascii="Book Antiqua" w:hAnsi="Book Antiqua" w:cs="Arial"/>
          <w:sz w:val="24"/>
          <w:szCs w:val="24"/>
        </w:rPr>
        <w:t>a history of gastrointestinal surgery, such as pancreaticoduodene</w:t>
      </w:r>
      <w:r w:rsidR="00E219CF" w:rsidRPr="00F4231A">
        <w:rPr>
          <w:rFonts w:ascii="Book Antiqua" w:hAnsi="Book Antiqua" w:cs="Arial"/>
          <w:sz w:val="24"/>
          <w:szCs w:val="24"/>
        </w:rPr>
        <w:t>ctomy</w:t>
      </w:r>
      <w:r w:rsidR="00331378" w:rsidRPr="00F4231A">
        <w:rPr>
          <w:rFonts w:ascii="Book Antiqua" w:hAnsi="Book Antiqua" w:cs="Arial"/>
          <w:sz w:val="24"/>
          <w:szCs w:val="24"/>
        </w:rPr>
        <w:t xml:space="preserve"> </w:t>
      </w:r>
      <w:r w:rsidR="00E219CF" w:rsidRPr="00F4231A">
        <w:rPr>
          <w:rFonts w:ascii="Book Antiqua" w:hAnsi="Book Antiqua" w:cs="Arial"/>
          <w:sz w:val="24"/>
          <w:szCs w:val="24"/>
        </w:rPr>
        <w:t xml:space="preserve">and </w:t>
      </w:r>
      <w:r w:rsidR="00B3312D" w:rsidRPr="00F4231A">
        <w:rPr>
          <w:rFonts w:ascii="Book Antiqua" w:hAnsi="Book Antiqua" w:cs="Arial"/>
          <w:sz w:val="24"/>
          <w:szCs w:val="24"/>
        </w:rPr>
        <w:t>blind loop construction</w:t>
      </w:r>
      <w:r w:rsidR="0033137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331378" w:rsidRPr="00F4231A">
        <w:rPr>
          <w:rFonts w:ascii="Book Antiqua" w:hAnsi="Book Antiqua" w:cs="Arial"/>
          <w:sz w:val="24"/>
          <w:szCs w:val="24"/>
        </w:rPr>
        <w:instrText xml:space="preserve"> ADDIN EN.CITE </w:instrText>
      </w:r>
      <w:r w:rsidR="00331378"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331378" w:rsidRPr="00F4231A">
        <w:rPr>
          <w:rFonts w:ascii="Book Antiqua" w:hAnsi="Book Antiqua" w:cs="Arial"/>
          <w:sz w:val="24"/>
          <w:szCs w:val="24"/>
        </w:rPr>
        <w:instrText xml:space="preserve"> ADDIN EN.CITE.DATA </w:instrText>
      </w:r>
      <w:r w:rsidR="00331378" w:rsidRPr="00F4231A">
        <w:rPr>
          <w:rFonts w:ascii="Book Antiqua" w:hAnsi="Book Antiqua" w:cs="Arial"/>
          <w:sz w:val="24"/>
          <w:szCs w:val="24"/>
        </w:rPr>
      </w:r>
      <w:r w:rsidR="00331378" w:rsidRPr="00F4231A">
        <w:rPr>
          <w:rFonts w:ascii="Book Antiqua" w:hAnsi="Book Antiqua" w:cs="Arial"/>
          <w:sz w:val="24"/>
          <w:szCs w:val="24"/>
        </w:rPr>
        <w:fldChar w:fldCharType="end"/>
      </w:r>
      <w:r w:rsidR="00331378" w:rsidRPr="00F4231A">
        <w:rPr>
          <w:rFonts w:ascii="Book Antiqua" w:hAnsi="Book Antiqua" w:cs="Arial"/>
          <w:sz w:val="24"/>
          <w:szCs w:val="24"/>
        </w:rPr>
      </w:r>
      <w:r w:rsidR="00331378" w:rsidRPr="00F4231A">
        <w:rPr>
          <w:rFonts w:ascii="Book Antiqua" w:hAnsi="Book Antiqua" w:cs="Arial"/>
          <w:sz w:val="24"/>
          <w:szCs w:val="24"/>
        </w:rPr>
        <w:fldChar w:fldCharType="separate"/>
      </w:r>
      <w:r w:rsidR="00331378" w:rsidRPr="00F4231A">
        <w:rPr>
          <w:rFonts w:ascii="Book Antiqua" w:hAnsi="Book Antiqua" w:cs="Arial"/>
          <w:noProof/>
          <w:sz w:val="24"/>
          <w:szCs w:val="24"/>
          <w:vertAlign w:val="superscript"/>
        </w:rPr>
        <w:t>[11,12]</w:t>
      </w:r>
      <w:r w:rsidR="00331378" w:rsidRPr="00F4231A">
        <w:rPr>
          <w:rFonts w:ascii="Book Antiqua" w:hAnsi="Book Antiqua" w:cs="Arial"/>
          <w:sz w:val="24"/>
          <w:szCs w:val="24"/>
        </w:rPr>
        <w:fldChar w:fldCharType="end"/>
      </w:r>
      <w:r w:rsidR="00126106" w:rsidRPr="00F4231A">
        <w:rPr>
          <w:rFonts w:ascii="Book Antiqua" w:hAnsi="Book Antiqua" w:cs="Arial"/>
          <w:sz w:val="24"/>
          <w:szCs w:val="24"/>
        </w:rPr>
        <w:t xml:space="preserve">. </w:t>
      </w:r>
    </w:p>
    <w:p w:rsidR="00126106" w:rsidRPr="00F4231A" w:rsidRDefault="00640D19" w:rsidP="00F4231A">
      <w:pPr>
        <w:pStyle w:val="15"/>
        <w:snapToGrid w:val="0"/>
        <w:ind w:firstLineChars="100" w:firstLine="240"/>
        <w:rPr>
          <w:rFonts w:ascii="Book Antiqua" w:hAnsi="Book Antiqua" w:cs="Arial"/>
          <w:sz w:val="24"/>
          <w:szCs w:val="24"/>
        </w:rPr>
      </w:pPr>
      <w:r w:rsidRPr="00F4231A">
        <w:rPr>
          <w:rFonts w:ascii="Book Antiqua" w:hAnsi="Book Antiqua" w:cs="Arial"/>
          <w:sz w:val="24"/>
          <w:szCs w:val="24"/>
        </w:rPr>
        <w:t>A</w:t>
      </w:r>
      <w:r w:rsidR="00AA654D" w:rsidRPr="00F4231A">
        <w:rPr>
          <w:rFonts w:ascii="Book Antiqua" w:hAnsi="Book Antiqua" w:cs="Arial"/>
          <w:sz w:val="24"/>
          <w:szCs w:val="24"/>
        </w:rPr>
        <w:t>nother issue</w:t>
      </w:r>
      <w:r w:rsidR="00893BB1" w:rsidRPr="00F4231A">
        <w:rPr>
          <w:rFonts w:ascii="Book Antiqua" w:hAnsi="Book Antiqua" w:cs="Arial"/>
          <w:sz w:val="24"/>
          <w:szCs w:val="24"/>
        </w:rPr>
        <w:t xml:space="preserve"> </w:t>
      </w:r>
      <w:r w:rsidR="00126106" w:rsidRPr="00F4231A">
        <w:rPr>
          <w:rFonts w:ascii="Book Antiqua" w:hAnsi="Book Antiqua" w:cs="Arial"/>
          <w:sz w:val="24"/>
          <w:szCs w:val="24"/>
        </w:rPr>
        <w:t xml:space="preserve">requiring attention when considering </w:t>
      </w:r>
      <w:r w:rsidR="00893BB1" w:rsidRPr="00F4231A">
        <w:rPr>
          <w:rFonts w:ascii="Book Antiqua" w:hAnsi="Book Antiqua" w:cs="Arial"/>
          <w:sz w:val="24"/>
          <w:szCs w:val="24"/>
        </w:rPr>
        <w:t>the contributio</w:t>
      </w:r>
      <w:r w:rsidR="00EA73AA" w:rsidRPr="00F4231A">
        <w:rPr>
          <w:rFonts w:ascii="Book Antiqua" w:hAnsi="Book Antiqua" w:cs="Arial"/>
          <w:sz w:val="24"/>
          <w:szCs w:val="24"/>
        </w:rPr>
        <w:t>n of</w:t>
      </w:r>
      <w:r w:rsidR="00C224D4" w:rsidRPr="00F4231A">
        <w:rPr>
          <w:rFonts w:ascii="Book Antiqua" w:hAnsi="Book Antiqua" w:cs="Arial"/>
          <w:sz w:val="24"/>
          <w:szCs w:val="24"/>
        </w:rPr>
        <w:t xml:space="preserve"> </w:t>
      </w:r>
      <w:r w:rsidR="002E3DC8" w:rsidRPr="00F4231A">
        <w:rPr>
          <w:rFonts w:ascii="Book Antiqua" w:hAnsi="Book Antiqua" w:cs="Arial"/>
          <w:sz w:val="24"/>
          <w:szCs w:val="24"/>
        </w:rPr>
        <w:t>endotoxin/LPS</w:t>
      </w:r>
      <w:r w:rsidR="00C224D4" w:rsidRPr="00F4231A">
        <w:rPr>
          <w:rFonts w:ascii="Book Antiqua" w:hAnsi="Book Antiqua" w:cs="Arial"/>
          <w:sz w:val="24"/>
          <w:szCs w:val="24"/>
        </w:rPr>
        <w:t xml:space="preserve"> </w:t>
      </w:r>
      <w:r w:rsidR="00EA73AA" w:rsidRPr="00F4231A">
        <w:rPr>
          <w:rFonts w:ascii="Book Antiqua" w:hAnsi="Book Antiqua" w:cs="Arial"/>
          <w:sz w:val="24"/>
          <w:szCs w:val="24"/>
        </w:rPr>
        <w:t xml:space="preserve">to </w:t>
      </w:r>
      <w:r w:rsidR="00C51AE8" w:rsidRPr="00F4231A">
        <w:rPr>
          <w:rFonts w:ascii="Book Antiqua" w:hAnsi="Book Antiqua" w:cs="Arial"/>
          <w:sz w:val="24"/>
          <w:szCs w:val="24"/>
        </w:rPr>
        <w:t xml:space="preserve">human NASH </w:t>
      </w:r>
      <w:r w:rsidR="00EA73AA" w:rsidRPr="00F4231A">
        <w:rPr>
          <w:rFonts w:ascii="Book Antiqua" w:hAnsi="Book Antiqua" w:cs="Arial"/>
          <w:sz w:val="24"/>
          <w:szCs w:val="24"/>
        </w:rPr>
        <w:t xml:space="preserve">is </w:t>
      </w:r>
      <w:r w:rsidR="00126106" w:rsidRPr="00F4231A">
        <w:rPr>
          <w:rFonts w:ascii="Book Antiqua" w:hAnsi="Book Antiqua" w:cs="Arial"/>
          <w:sz w:val="24"/>
          <w:szCs w:val="24"/>
        </w:rPr>
        <w:t>the</w:t>
      </w:r>
      <w:r w:rsidR="00AF1207" w:rsidRPr="00F4231A">
        <w:rPr>
          <w:rFonts w:ascii="Book Antiqua" w:hAnsi="Book Antiqua" w:cs="Arial"/>
          <w:sz w:val="24"/>
          <w:szCs w:val="24"/>
        </w:rPr>
        <w:t xml:space="preserve"> </w:t>
      </w:r>
      <w:r w:rsidR="004538EB" w:rsidRPr="00F4231A">
        <w:rPr>
          <w:rFonts w:ascii="Book Antiqua" w:hAnsi="Book Antiqua" w:cs="Arial"/>
          <w:sz w:val="24"/>
          <w:szCs w:val="24"/>
        </w:rPr>
        <w:t xml:space="preserve">lack of </w:t>
      </w:r>
      <w:r w:rsidR="00223FCB" w:rsidRPr="00F4231A">
        <w:rPr>
          <w:rFonts w:ascii="Book Antiqua" w:hAnsi="Book Antiqua" w:cs="Arial"/>
          <w:sz w:val="24"/>
          <w:szCs w:val="24"/>
        </w:rPr>
        <w:t xml:space="preserve">appropriate </w:t>
      </w:r>
      <w:r w:rsidR="004538EB" w:rsidRPr="00F4231A">
        <w:rPr>
          <w:rFonts w:ascii="Book Antiqua" w:hAnsi="Book Antiqua" w:cs="Arial"/>
          <w:sz w:val="24"/>
          <w:szCs w:val="24"/>
        </w:rPr>
        <w:t>system</w:t>
      </w:r>
      <w:r w:rsidR="005403FB" w:rsidRPr="00F4231A">
        <w:rPr>
          <w:rFonts w:ascii="Book Antiqua" w:hAnsi="Book Antiqua" w:cs="Arial"/>
          <w:sz w:val="24"/>
          <w:szCs w:val="24"/>
        </w:rPr>
        <w:t>s</w:t>
      </w:r>
      <w:r w:rsidR="004538EB" w:rsidRPr="00F4231A">
        <w:rPr>
          <w:rFonts w:ascii="Book Antiqua" w:hAnsi="Book Antiqua" w:cs="Arial"/>
          <w:sz w:val="24"/>
          <w:szCs w:val="24"/>
        </w:rPr>
        <w:t xml:space="preserve"> </w:t>
      </w:r>
      <w:r w:rsidR="005403FB" w:rsidRPr="00F4231A">
        <w:rPr>
          <w:rFonts w:ascii="Book Antiqua" w:hAnsi="Book Antiqua" w:cs="Arial"/>
          <w:sz w:val="24"/>
          <w:szCs w:val="24"/>
        </w:rPr>
        <w:t xml:space="preserve">to determine </w:t>
      </w:r>
      <w:r w:rsidRPr="00F4231A">
        <w:rPr>
          <w:rFonts w:ascii="Book Antiqua" w:hAnsi="Book Antiqua" w:cs="Arial"/>
          <w:sz w:val="24"/>
          <w:szCs w:val="24"/>
        </w:rPr>
        <w:t xml:space="preserve">portal LPS </w:t>
      </w:r>
      <w:r w:rsidR="006525F3" w:rsidRPr="00F4231A">
        <w:rPr>
          <w:rFonts w:ascii="Book Antiqua" w:hAnsi="Book Antiqua" w:cs="Arial"/>
          <w:sz w:val="24"/>
          <w:szCs w:val="24"/>
        </w:rPr>
        <w:t>concentration</w:t>
      </w:r>
      <w:r w:rsidR="005403FB" w:rsidRPr="00F4231A">
        <w:rPr>
          <w:rFonts w:ascii="Book Antiqua" w:hAnsi="Book Antiqua" w:cs="Arial"/>
          <w:sz w:val="24"/>
          <w:szCs w:val="24"/>
        </w:rPr>
        <w:t xml:space="preserve">. </w:t>
      </w:r>
      <w:r w:rsidR="004538EB" w:rsidRPr="00F4231A">
        <w:rPr>
          <w:rFonts w:ascii="Book Antiqua" w:hAnsi="Book Antiqua" w:cs="Arial"/>
          <w:sz w:val="24"/>
          <w:szCs w:val="24"/>
        </w:rPr>
        <w:t>Since p</w:t>
      </w:r>
      <w:r w:rsidR="00842694" w:rsidRPr="00F4231A">
        <w:rPr>
          <w:rFonts w:ascii="Book Antiqua" w:hAnsi="Book Antiqua" w:cs="Arial"/>
          <w:sz w:val="24"/>
          <w:szCs w:val="24"/>
        </w:rPr>
        <w:t>ortal LPS is rapidly eliminated in the liver</w:t>
      </w:r>
      <w:r w:rsidR="002C5672" w:rsidRPr="00F4231A">
        <w:rPr>
          <w:rFonts w:ascii="Book Antiqua" w:hAnsi="Book Antiqua" w:cs="Arial"/>
          <w:sz w:val="24"/>
          <w:szCs w:val="24"/>
        </w:rPr>
        <w:t xml:space="preserve">, </w:t>
      </w:r>
      <w:r w:rsidR="00842694" w:rsidRPr="00F4231A">
        <w:rPr>
          <w:rFonts w:ascii="Book Antiqua" w:hAnsi="Book Antiqua" w:cs="Arial"/>
          <w:sz w:val="24"/>
          <w:szCs w:val="24"/>
        </w:rPr>
        <w:t xml:space="preserve">systemic LPS levels </w:t>
      </w:r>
      <w:r w:rsidR="00126106" w:rsidRPr="00F4231A">
        <w:rPr>
          <w:rFonts w:ascii="Book Antiqua" w:hAnsi="Book Antiqua" w:cs="Arial"/>
          <w:sz w:val="24"/>
          <w:szCs w:val="24"/>
        </w:rPr>
        <w:t xml:space="preserve">often do not </w:t>
      </w:r>
      <w:r w:rsidR="00842694" w:rsidRPr="00F4231A">
        <w:rPr>
          <w:rFonts w:ascii="Book Antiqua" w:hAnsi="Book Antiqua" w:cs="Arial"/>
          <w:sz w:val="24"/>
          <w:szCs w:val="24"/>
        </w:rPr>
        <w:t xml:space="preserve">mirror </w:t>
      </w:r>
      <w:r w:rsidR="003A212B" w:rsidRPr="00F4231A">
        <w:rPr>
          <w:rFonts w:ascii="Book Antiqua" w:hAnsi="Book Antiqua" w:cs="Arial"/>
          <w:sz w:val="24"/>
          <w:szCs w:val="24"/>
        </w:rPr>
        <w:t>those in the portal vein</w:t>
      </w:r>
      <w:r w:rsidR="00126106" w:rsidRPr="00F4231A">
        <w:rPr>
          <w:rFonts w:ascii="Book Antiqua" w:hAnsi="Book Antiqua" w:cs="Arial"/>
          <w:sz w:val="24"/>
          <w:szCs w:val="24"/>
        </w:rPr>
        <w:t xml:space="preserve">, and the </w:t>
      </w:r>
      <w:r w:rsidR="00842694" w:rsidRPr="00F4231A">
        <w:rPr>
          <w:rFonts w:ascii="Book Antiqua" w:hAnsi="Book Antiqua" w:cs="Arial"/>
          <w:sz w:val="24"/>
          <w:szCs w:val="24"/>
        </w:rPr>
        <w:t xml:space="preserve">half-life of circulating LPS </w:t>
      </w:r>
      <w:r w:rsidRPr="00F4231A">
        <w:rPr>
          <w:rFonts w:ascii="Book Antiqua" w:hAnsi="Book Antiqua" w:cs="Arial"/>
          <w:sz w:val="24"/>
          <w:szCs w:val="24"/>
        </w:rPr>
        <w:t xml:space="preserve">is </w:t>
      </w:r>
      <w:r w:rsidR="00842694" w:rsidRPr="00F4231A">
        <w:rPr>
          <w:rFonts w:ascii="Book Antiqua" w:hAnsi="Book Antiqua" w:cs="Arial"/>
          <w:sz w:val="24"/>
          <w:szCs w:val="24"/>
        </w:rPr>
        <w:t xml:space="preserve">as short as </w:t>
      </w:r>
      <w:r w:rsidR="00753FB6" w:rsidRPr="00F4231A">
        <w:rPr>
          <w:rFonts w:ascii="Book Antiqua" w:hAnsi="Book Antiqua" w:cs="Arial"/>
          <w:sz w:val="24"/>
          <w:szCs w:val="24"/>
        </w:rPr>
        <w:t>2</w:t>
      </w:r>
      <w:r w:rsidRPr="00F4231A">
        <w:rPr>
          <w:rFonts w:ascii="Book Antiqua" w:hAnsi="Book Antiqua" w:cs="Arial"/>
          <w:sz w:val="24"/>
          <w:szCs w:val="24"/>
        </w:rPr>
        <w:t xml:space="preserve"> h</w:t>
      </w:r>
      <w:r w:rsidR="006D07C2"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6D07C2" w:rsidRPr="00F4231A">
        <w:rPr>
          <w:rFonts w:ascii="Book Antiqua" w:hAnsi="Book Antiqua" w:cs="Arial"/>
          <w:sz w:val="24"/>
          <w:szCs w:val="24"/>
        </w:rPr>
        <w:instrText xml:space="preserve"> ADDIN EN.CITE </w:instrText>
      </w:r>
      <w:r w:rsidR="006D07C2"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6D07C2" w:rsidRPr="00F4231A">
        <w:rPr>
          <w:rFonts w:ascii="Book Antiqua" w:hAnsi="Book Antiqua" w:cs="Arial"/>
          <w:sz w:val="24"/>
          <w:szCs w:val="24"/>
        </w:rPr>
        <w:instrText xml:space="preserve"> ADDIN EN.CITE.DATA </w:instrText>
      </w:r>
      <w:r w:rsidR="006D07C2" w:rsidRPr="00F4231A">
        <w:rPr>
          <w:rFonts w:ascii="Book Antiqua" w:hAnsi="Book Antiqua" w:cs="Arial"/>
          <w:sz w:val="24"/>
          <w:szCs w:val="24"/>
        </w:rPr>
      </w:r>
      <w:r w:rsidR="006D07C2" w:rsidRPr="00F4231A">
        <w:rPr>
          <w:rFonts w:ascii="Book Antiqua" w:hAnsi="Book Antiqua" w:cs="Arial"/>
          <w:sz w:val="24"/>
          <w:szCs w:val="24"/>
        </w:rPr>
        <w:fldChar w:fldCharType="end"/>
      </w:r>
      <w:r w:rsidR="006D07C2" w:rsidRPr="00F4231A">
        <w:rPr>
          <w:rFonts w:ascii="Book Antiqua" w:hAnsi="Book Antiqua" w:cs="Arial"/>
          <w:sz w:val="24"/>
          <w:szCs w:val="24"/>
        </w:rPr>
      </w:r>
      <w:r w:rsidR="006D07C2" w:rsidRPr="00F4231A">
        <w:rPr>
          <w:rFonts w:ascii="Book Antiqua" w:hAnsi="Book Antiqua" w:cs="Arial"/>
          <w:sz w:val="24"/>
          <w:szCs w:val="24"/>
        </w:rPr>
        <w:fldChar w:fldCharType="separate"/>
      </w:r>
      <w:r w:rsidR="006D07C2" w:rsidRPr="00F4231A">
        <w:rPr>
          <w:rFonts w:ascii="Book Antiqua" w:hAnsi="Book Antiqua" w:cs="Arial"/>
          <w:noProof/>
          <w:sz w:val="24"/>
          <w:szCs w:val="24"/>
          <w:vertAlign w:val="superscript"/>
        </w:rPr>
        <w:t>[13]</w:t>
      </w:r>
      <w:r w:rsidR="006D07C2" w:rsidRPr="00F4231A">
        <w:rPr>
          <w:rFonts w:ascii="Book Antiqua" w:hAnsi="Book Antiqua" w:cs="Arial"/>
          <w:sz w:val="24"/>
          <w:szCs w:val="24"/>
        </w:rPr>
        <w:fldChar w:fldCharType="end"/>
      </w:r>
      <w:r w:rsidR="00126106" w:rsidRPr="00F4231A">
        <w:rPr>
          <w:rFonts w:ascii="Book Antiqua" w:hAnsi="Book Antiqua" w:cs="Arial"/>
          <w:sz w:val="24"/>
          <w:szCs w:val="24"/>
        </w:rPr>
        <w:t xml:space="preserve">. These shortcomings obscure the </w:t>
      </w:r>
      <w:r w:rsidR="00946051" w:rsidRPr="00F4231A">
        <w:rPr>
          <w:rFonts w:ascii="Book Antiqua" w:hAnsi="Book Antiqua" w:cs="Arial"/>
          <w:sz w:val="24"/>
          <w:szCs w:val="24"/>
        </w:rPr>
        <w:t xml:space="preserve">evaluation of endotoxin/LPS </w:t>
      </w:r>
      <w:r w:rsidR="000F4C05" w:rsidRPr="00F4231A">
        <w:rPr>
          <w:rFonts w:ascii="Book Antiqua" w:hAnsi="Book Antiqua" w:cs="Arial"/>
          <w:sz w:val="24"/>
          <w:szCs w:val="24"/>
        </w:rPr>
        <w:t>contribution</w:t>
      </w:r>
      <w:r w:rsidR="00946051" w:rsidRPr="00F4231A">
        <w:rPr>
          <w:rFonts w:ascii="Book Antiqua" w:hAnsi="Book Antiqua" w:cs="Arial"/>
          <w:sz w:val="24"/>
          <w:szCs w:val="24"/>
        </w:rPr>
        <w:t xml:space="preserve"> </w:t>
      </w:r>
      <w:r w:rsidR="002D6A0B" w:rsidRPr="00F4231A">
        <w:rPr>
          <w:rFonts w:ascii="Book Antiqua" w:hAnsi="Book Antiqua" w:cs="Arial"/>
          <w:sz w:val="24"/>
          <w:szCs w:val="24"/>
        </w:rPr>
        <w:t>to NASH</w:t>
      </w:r>
      <w:r w:rsidR="00126106" w:rsidRPr="00F4231A">
        <w:rPr>
          <w:rFonts w:ascii="Book Antiqua" w:hAnsi="Book Antiqua" w:cs="Arial"/>
          <w:sz w:val="24"/>
          <w:szCs w:val="24"/>
        </w:rPr>
        <w:t xml:space="preserve">. </w:t>
      </w:r>
    </w:p>
    <w:p w:rsidR="002F16BE" w:rsidRPr="00F4231A" w:rsidRDefault="00186DC4" w:rsidP="00F4231A">
      <w:pPr>
        <w:pStyle w:val="15"/>
        <w:snapToGrid w:val="0"/>
        <w:ind w:firstLineChars="100" w:firstLine="240"/>
        <w:rPr>
          <w:rFonts w:ascii="Book Antiqua" w:hAnsi="Book Antiqua" w:cs="Arial"/>
          <w:sz w:val="24"/>
          <w:szCs w:val="24"/>
        </w:rPr>
      </w:pPr>
      <w:r w:rsidRPr="00F4231A">
        <w:rPr>
          <w:rFonts w:ascii="Book Antiqua" w:hAnsi="Book Antiqua" w:cs="Arial"/>
          <w:sz w:val="24"/>
          <w:szCs w:val="24"/>
        </w:rPr>
        <w:lastRenderedPageBreak/>
        <w:t xml:space="preserve">Circulating </w:t>
      </w:r>
      <w:r w:rsidR="006C0FA0" w:rsidRPr="00F4231A">
        <w:rPr>
          <w:rFonts w:ascii="Book Antiqua" w:hAnsi="Book Antiqua" w:cs="Arial"/>
          <w:sz w:val="24"/>
          <w:szCs w:val="24"/>
        </w:rPr>
        <w:t xml:space="preserve">LPS-binding protein (LBP) and </w:t>
      </w:r>
      <w:r w:rsidR="000976F1" w:rsidRPr="00F4231A">
        <w:rPr>
          <w:rFonts w:ascii="Book Antiqua" w:hAnsi="Book Antiqua" w:cs="Arial"/>
          <w:sz w:val="24"/>
          <w:szCs w:val="24"/>
        </w:rPr>
        <w:t xml:space="preserve">anti-endotoxin core immunoglobulin G (EndoCab </w:t>
      </w:r>
      <w:r w:rsidR="006C0FA0" w:rsidRPr="00F4231A">
        <w:rPr>
          <w:rFonts w:ascii="Book Antiqua" w:hAnsi="Book Antiqua" w:cs="Arial"/>
          <w:sz w:val="24"/>
          <w:szCs w:val="24"/>
        </w:rPr>
        <w:t xml:space="preserve">IgG) </w:t>
      </w:r>
      <w:r w:rsidR="000976F1" w:rsidRPr="00F4231A">
        <w:rPr>
          <w:rFonts w:ascii="Book Antiqua" w:hAnsi="Book Antiqua" w:cs="Arial"/>
          <w:sz w:val="24"/>
          <w:szCs w:val="24"/>
        </w:rPr>
        <w:t xml:space="preserve">antibody </w:t>
      </w:r>
      <w:r w:rsidR="006C0FA0" w:rsidRPr="00F4231A">
        <w:rPr>
          <w:rFonts w:ascii="Book Antiqua" w:hAnsi="Book Antiqua" w:cs="Arial"/>
          <w:sz w:val="24"/>
          <w:szCs w:val="24"/>
        </w:rPr>
        <w:t xml:space="preserve">are </w:t>
      </w:r>
      <w:r w:rsidR="000976F1" w:rsidRPr="00F4231A">
        <w:rPr>
          <w:rFonts w:ascii="Book Antiqua" w:hAnsi="Book Antiqua" w:cs="Arial"/>
          <w:sz w:val="24"/>
          <w:szCs w:val="24"/>
        </w:rPr>
        <w:t xml:space="preserve">commercially </w:t>
      </w:r>
      <w:r w:rsidR="006C0FA0" w:rsidRPr="00F4231A">
        <w:rPr>
          <w:rFonts w:ascii="Book Antiqua" w:hAnsi="Book Antiqua" w:cs="Arial"/>
          <w:sz w:val="24"/>
          <w:szCs w:val="24"/>
        </w:rPr>
        <w:t>a</w:t>
      </w:r>
      <w:r w:rsidR="000976F1" w:rsidRPr="00F4231A">
        <w:rPr>
          <w:rFonts w:ascii="Book Antiqua" w:hAnsi="Book Antiqua" w:cs="Arial"/>
          <w:sz w:val="24"/>
          <w:szCs w:val="24"/>
        </w:rPr>
        <w:t xml:space="preserve">vailable </w:t>
      </w:r>
      <w:r w:rsidR="00FA22A2" w:rsidRPr="00F4231A">
        <w:rPr>
          <w:rFonts w:ascii="Book Antiqua" w:hAnsi="Book Antiqua" w:cs="Arial"/>
          <w:sz w:val="24"/>
          <w:szCs w:val="24"/>
        </w:rPr>
        <w:t xml:space="preserve">surrogate markers </w:t>
      </w:r>
      <w:r w:rsidR="006C0FA0" w:rsidRPr="00F4231A">
        <w:rPr>
          <w:rFonts w:ascii="Book Antiqua" w:hAnsi="Book Antiqua" w:cs="Arial"/>
          <w:sz w:val="24"/>
          <w:szCs w:val="24"/>
        </w:rPr>
        <w:t xml:space="preserve">of </w:t>
      </w:r>
      <w:r w:rsidR="007F211D" w:rsidRPr="00F4231A">
        <w:rPr>
          <w:rFonts w:ascii="Book Antiqua" w:hAnsi="Book Antiqua" w:cs="Arial"/>
          <w:sz w:val="24"/>
          <w:szCs w:val="24"/>
        </w:rPr>
        <w:t>endotox</w:t>
      </w:r>
      <w:r w:rsidR="001E2B89" w:rsidRPr="00F4231A">
        <w:rPr>
          <w:rFonts w:ascii="Book Antiqua" w:hAnsi="Book Antiqua" w:cs="Arial"/>
          <w:sz w:val="24"/>
          <w:szCs w:val="24"/>
        </w:rPr>
        <w:t>emia</w:t>
      </w:r>
      <w:r w:rsidR="006D07C2"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6D07C2" w:rsidRPr="00F4231A">
        <w:rPr>
          <w:rFonts w:ascii="Book Antiqua" w:hAnsi="Book Antiqua" w:cs="Arial"/>
          <w:sz w:val="24"/>
          <w:szCs w:val="24"/>
        </w:rPr>
        <w:instrText xml:space="preserve"> ADDIN EN.CITE </w:instrText>
      </w:r>
      <w:r w:rsidR="006D07C2"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6D07C2" w:rsidRPr="00F4231A">
        <w:rPr>
          <w:rFonts w:ascii="Book Antiqua" w:hAnsi="Book Antiqua" w:cs="Arial"/>
          <w:sz w:val="24"/>
          <w:szCs w:val="24"/>
        </w:rPr>
        <w:instrText xml:space="preserve"> ADDIN EN.CITE.DATA </w:instrText>
      </w:r>
      <w:r w:rsidR="006D07C2" w:rsidRPr="00F4231A">
        <w:rPr>
          <w:rFonts w:ascii="Book Antiqua" w:hAnsi="Book Antiqua" w:cs="Arial"/>
          <w:sz w:val="24"/>
          <w:szCs w:val="24"/>
        </w:rPr>
      </w:r>
      <w:r w:rsidR="006D07C2" w:rsidRPr="00F4231A">
        <w:rPr>
          <w:rFonts w:ascii="Book Antiqua" w:hAnsi="Book Antiqua" w:cs="Arial"/>
          <w:sz w:val="24"/>
          <w:szCs w:val="24"/>
        </w:rPr>
        <w:fldChar w:fldCharType="end"/>
      </w:r>
      <w:r w:rsidR="006D07C2" w:rsidRPr="00F4231A">
        <w:rPr>
          <w:rFonts w:ascii="Book Antiqua" w:hAnsi="Book Antiqua" w:cs="Arial"/>
          <w:sz w:val="24"/>
          <w:szCs w:val="24"/>
        </w:rPr>
      </w:r>
      <w:r w:rsidR="006D07C2" w:rsidRPr="00F4231A">
        <w:rPr>
          <w:rFonts w:ascii="Book Antiqua" w:hAnsi="Book Antiqua" w:cs="Arial"/>
          <w:sz w:val="24"/>
          <w:szCs w:val="24"/>
        </w:rPr>
        <w:fldChar w:fldCharType="separate"/>
      </w:r>
      <w:r w:rsidR="006D07C2" w:rsidRPr="00F4231A">
        <w:rPr>
          <w:rFonts w:ascii="Book Antiqua" w:hAnsi="Book Antiqua" w:cs="Arial"/>
          <w:noProof/>
          <w:sz w:val="24"/>
          <w:szCs w:val="24"/>
          <w:vertAlign w:val="superscript"/>
        </w:rPr>
        <w:t>[10,14]</w:t>
      </w:r>
      <w:r w:rsidR="006D07C2" w:rsidRPr="00F4231A">
        <w:rPr>
          <w:rFonts w:ascii="Book Antiqua" w:hAnsi="Book Antiqua" w:cs="Arial"/>
          <w:sz w:val="24"/>
          <w:szCs w:val="24"/>
        </w:rPr>
        <w:fldChar w:fldCharType="end"/>
      </w:r>
      <w:r w:rsidR="007958CA" w:rsidRPr="00F4231A">
        <w:rPr>
          <w:rFonts w:ascii="Book Antiqua" w:hAnsi="Book Antiqua" w:cs="Arial"/>
          <w:sz w:val="24"/>
          <w:szCs w:val="24"/>
        </w:rPr>
        <w:t xml:space="preserve">. </w:t>
      </w:r>
      <w:r w:rsidR="00B42FE5" w:rsidRPr="00F4231A">
        <w:rPr>
          <w:rFonts w:ascii="Book Antiqua" w:hAnsi="Book Antiqua" w:cs="Arial"/>
          <w:sz w:val="24"/>
          <w:szCs w:val="24"/>
        </w:rPr>
        <w:t>LBP is a soluble acute-phase protein that binds to bacterial endotoxin</w:t>
      </w:r>
      <w:r w:rsidR="001E2B89" w:rsidRPr="00F4231A">
        <w:rPr>
          <w:rFonts w:ascii="Book Antiqua" w:hAnsi="Book Antiqua" w:cs="Arial"/>
          <w:sz w:val="24"/>
          <w:szCs w:val="24"/>
        </w:rPr>
        <w:t xml:space="preserve">. </w:t>
      </w:r>
      <w:r w:rsidR="000976F1" w:rsidRPr="00F4231A">
        <w:rPr>
          <w:rFonts w:ascii="Book Antiqua" w:hAnsi="Book Antiqua" w:cs="Arial"/>
          <w:sz w:val="24"/>
          <w:szCs w:val="24"/>
        </w:rPr>
        <w:t xml:space="preserve">When the </w:t>
      </w:r>
      <w:r w:rsidR="00B42FE5" w:rsidRPr="00F4231A">
        <w:rPr>
          <w:rFonts w:ascii="Book Antiqua" w:hAnsi="Book Antiqua" w:cs="Arial"/>
          <w:sz w:val="24"/>
          <w:szCs w:val="24"/>
        </w:rPr>
        <w:t>liver senses bacterial endotoxin</w:t>
      </w:r>
      <w:r w:rsidR="006C0FA0" w:rsidRPr="00F4231A">
        <w:rPr>
          <w:rFonts w:ascii="Book Antiqua" w:hAnsi="Book Antiqua" w:cs="Arial"/>
          <w:sz w:val="24"/>
          <w:szCs w:val="24"/>
        </w:rPr>
        <w:t xml:space="preserve">, </w:t>
      </w:r>
      <w:r w:rsidR="00B42FE5" w:rsidRPr="00F4231A">
        <w:rPr>
          <w:rFonts w:ascii="Book Antiqua" w:hAnsi="Book Antiqua" w:cs="Arial"/>
          <w:sz w:val="24"/>
          <w:szCs w:val="24"/>
        </w:rPr>
        <w:t xml:space="preserve">LBP is rapidly synthesized </w:t>
      </w:r>
      <w:r w:rsidR="00E805D8" w:rsidRPr="00F4231A">
        <w:rPr>
          <w:rFonts w:ascii="Book Antiqua" w:hAnsi="Book Antiqua" w:cs="Arial"/>
          <w:sz w:val="24"/>
          <w:szCs w:val="24"/>
        </w:rPr>
        <w:t xml:space="preserve">by </w:t>
      </w:r>
      <w:r w:rsidR="004F0EE4" w:rsidRPr="00F4231A">
        <w:rPr>
          <w:rFonts w:ascii="Book Antiqua" w:hAnsi="Book Antiqua" w:cs="Arial"/>
          <w:sz w:val="24"/>
          <w:szCs w:val="24"/>
        </w:rPr>
        <w:t xml:space="preserve">hepatocytes </w:t>
      </w:r>
      <w:r w:rsidR="00B42FE5" w:rsidRPr="00F4231A">
        <w:rPr>
          <w:rFonts w:ascii="Book Antiqua" w:hAnsi="Book Antiqua" w:cs="Arial"/>
          <w:sz w:val="24"/>
          <w:szCs w:val="24"/>
        </w:rPr>
        <w:t>to neutralize the toxin</w:t>
      </w:r>
      <w:r w:rsidR="006C0FA0" w:rsidRPr="00F4231A">
        <w:rPr>
          <w:rFonts w:ascii="Book Antiqua" w:hAnsi="Book Antiqua" w:cs="Arial"/>
          <w:sz w:val="24"/>
          <w:szCs w:val="24"/>
        </w:rPr>
        <w:t xml:space="preserve"> and </w:t>
      </w:r>
      <w:r w:rsidR="00F80D43" w:rsidRPr="00F4231A">
        <w:rPr>
          <w:rFonts w:ascii="Book Antiqua" w:hAnsi="Book Antiqua" w:cs="Arial"/>
          <w:sz w:val="24"/>
          <w:szCs w:val="24"/>
        </w:rPr>
        <w:t xml:space="preserve">then </w:t>
      </w:r>
      <w:r w:rsidR="006C0FA0" w:rsidRPr="00F4231A">
        <w:rPr>
          <w:rFonts w:ascii="Book Antiqua" w:hAnsi="Book Antiqua" w:cs="Arial"/>
          <w:sz w:val="24"/>
          <w:szCs w:val="24"/>
        </w:rPr>
        <w:t>secreted into the circulation</w:t>
      </w:r>
      <w:r w:rsidR="00F80D43" w:rsidRPr="00F4231A">
        <w:rPr>
          <w:rFonts w:ascii="Book Antiqua" w:hAnsi="Book Antiqua" w:cs="Arial"/>
          <w:sz w:val="24"/>
          <w:szCs w:val="24"/>
        </w:rPr>
        <w:t xml:space="preserve">. The </w:t>
      </w:r>
      <w:r w:rsidR="00B42FE5" w:rsidRPr="00F4231A">
        <w:rPr>
          <w:rFonts w:ascii="Book Antiqua" w:hAnsi="Book Antiqua" w:cs="Arial"/>
          <w:sz w:val="24"/>
          <w:szCs w:val="24"/>
        </w:rPr>
        <w:t>EndoCab IgG assay mea</w:t>
      </w:r>
      <w:r w:rsidR="00271BAD" w:rsidRPr="00F4231A">
        <w:rPr>
          <w:rFonts w:ascii="Book Antiqua" w:hAnsi="Book Antiqua" w:cs="Arial"/>
          <w:sz w:val="24"/>
          <w:szCs w:val="24"/>
        </w:rPr>
        <w:t xml:space="preserve">sures endotoxin </w:t>
      </w:r>
      <w:r w:rsidR="00B42FE5" w:rsidRPr="00F4231A">
        <w:rPr>
          <w:rFonts w:ascii="Book Antiqua" w:hAnsi="Book Antiqua" w:cs="Arial"/>
          <w:sz w:val="24"/>
          <w:szCs w:val="24"/>
        </w:rPr>
        <w:t>core antibodies</w:t>
      </w:r>
      <w:r w:rsidR="00F80D43" w:rsidRPr="00F4231A">
        <w:rPr>
          <w:rFonts w:ascii="Book Antiqua" w:hAnsi="Book Antiqua" w:cs="Arial"/>
          <w:sz w:val="24"/>
          <w:szCs w:val="24"/>
        </w:rPr>
        <w:t xml:space="preserve"> to reflect the </w:t>
      </w:r>
      <w:r w:rsidR="00B42FE5" w:rsidRPr="00F4231A">
        <w:rPr>
          <w:rFonts w:ascii="Book Antiqua" w:hAnsi="Book Antiqua" w:cs="Arial"/>
          <w:sz w:val="24"/>
          <w:szCs w:val="24"/>
        </w:rPr>
        <w:t>immune response</w:t>
      </w:r>
      <w:r w:rsidR="008B4A80" w:rsidRPr="00F4231A">
        <w:rPr>
          <w:rFonts w:ascii="Book Antiqua" w:hAnsi="Book Antiqua" w:cs="Arial"/>
          <w:sz w:val="24"/>
          <w:szCs w:val="24"/>
        </w:rPr>
        <w:t xml:space="preserve"> against </w:t>
      </w:r>
      <w:r w:rsidR="00401F7F" w:rsidRPr="00F4231A">
        <w:rPr>
          <w:rFonts w:ascii="Book Antiqua" w:hAnsi="Book Antiqua" w:cs="Arial"/>
          <w:sz w:val="24"/>
          <w:szCs w:val="24"/>
        </w:rPr>
        <w:t>persistent</w:t>
      </w:r>
      <w:r w:rsidR="008B4A80" w:rsidRPr="00F4231A">
        <w:rPr>
          <w:rFonts w:ascii="Book Antiqua" w:hAnsi="Book Antiqua" w:cs="Arial"/>
          <w:sz w:val="24"/>
          <w:szCs w:val="24"/>
        </w:rPr>
        <w:t xml:space="preserve"> endotoxin </w:t>
      </w:r>
      <w:r w:rsidR="00401F7F" w:rsidRPr="00F4231A">
        <w:rPr>
          <w:rFonts w:ascii="Book Antiqua" w:hAnsi="Book Antiqua" w:cs="Arial"/>
          <w:sz w:val="24"/>
          <w:szCs w:val="24"/>
        </w:rPr>
        <w:t xml:space="preserve">exposure. </w:t>
      </w:r>
      <w:r w:rsidR="002F16BE" w:rsidRPr="00F4231A">
        <w:rPr>
          <w:rFonts w:ascii="Book Antiqua" w:hAnsi="Book Antiqua" w:cs="Arial"/>
          <w:sz w:val="24"/>
          <w:szCs w:val="24"/>
        </w:rPr>
        <w:t>Since</w:t>
      </w:r>
      <w:r w:rsidR="00CA6277" w:rsidRPr="00F4231A">
        <w:rPr>
          <w:rFonts w:ascii="Book Antiqua" w:hAnsi="Book Antiqua" w:cs="Arial"/>
          <w:sz w:val="24"/>
          <w:szCs w:val="24"/>
        </w:rPr>
        <w:t xml:space="preserve"> </w:t>
      </w:r>
      <w:r w:rsidR="00F80D43" w:rsidRPr="00F4231A">
        <w:rPr>
          <w:rFonts w:ascii="Book Antiqua" w:hAnsi="Book Antiqua" w:cs="Arial"/>
          <w:sz w:val="24"/>
          <w:szCs w:val="24"/>
        </w:rPr>
        <w:t xml:space="preserve">both of </w:t>
      </w:r>
      <w:r w:rsidR="00CA6277" w:rsidRPr="00F4231A">
        <w:rPr>
          <w:rFonts w:ascii="Book Antiqua" w:hAnsi="Book Antiqua" w:cs="Arial"/>
          <w:sz w:val="24"/>
          <w:szCs w:val="24"/>
        </w:rPr>
        <w:t xml:space="preserve">these </w:t>
      </w:r>
      <w:r w:rsidR="00F80D43" w:rsidRPr="00F4231A">
        <w:rPr>
          <w:rFonts w:ascii="Book Antiqua" w:hAnsi="Book Antiqua" w:cs="Arial"/>
          <w:sz w:val="24"/>
          <w:szCs w:val="24"/>
        </w:rPr>
        <w:t>biomarker</w:t>
      </w:r>
      <w:r w:rsidR="00CA6277" w:rsidRPr="00F4231A">
        <w:rPr>
          <w:rFonts w:ascii="Book Antiqua" w:hAnsi="Book Antiqua" w:cs="Arial"/>
          <w:sz w:val="24"/>
          <w:szCs w:val="24"/>
        </w:rPr>
        <w:t xml:space="preserve">s </w:t>
      </w:r>
      <w:r w:rsidR="002F16BE" w:rsidRPr="00F4231A">
        <w:rPr>
          <w:rFonts w:ascii="Book Antiqua" w:hAnsi="Book Antiqua" w:cs="Arial"/>
          <w:sz w:val="24"/>
          <w:szCs w:val="24"/>
        </w:rPr>
        <w:t xml:space="preserve">are more stable than LPS, they </w:t>
      </w:r>
      <w:r w:rsidR="00F80D43" w:rsidRPr="00F4231A">
        <w:rPr>
          <w:rFonts w:ascii="Book Antiqua" w:hAnsi="Book Antiqua" w:cs="Arial"/>
          <w:sz w:val="24"/>
          <w:szCs w:val="24"/>
        </w:rPr>
        <w:t>represent</w:t>
      </w:r>
      <w:r w:rsidR="00CA6277" w:rsidRPr="00F4231A">
        <w:rPr>
          <w:rFonts w:ascii="Book Antiqua" w:hAnsi="Book Antiqua" w:cs="Arial"/>
          <w:sz w:val="24"/>
          <w:szCs w:val="24"/>
        </w:rPr>
        <w:t xml:space="preserve"> possible indicators of </w:t>
      </w:r>
      <w:r w:rsidR="007F211D" w:rsidRPr="00F4231A">
        <w:rPr>
          <w:rFonts w:ascii="Book Antiqua" w:hAnsi="Book Antiqua" w:cs="Arial"/>
          <w:sz w:val="24"/>
          <w:szCs w:val="24"/>
        </w:rPr>
        <w:t>endotox</w:t>
      </w:r>
      <w:r w:rsidR="00A87884" w:rsidRPr="00F4231A">
        <w:rPr>
          <w:rFonts w:ascii="Book Antiqua" w:hAnsi="Book Antiqua" w:cs="Arial"/>
          <w:sz w:val="24"/>
          <w:szCs w:val="24"/>
        </w:rPr>
        <w:t>emia</w:t>
      </w:r>
      <w:r w:rsidR="00CB79F5" w:rsidRPr="00F4231A">
        <w:rPr>
          <w:rFonts w:ascii="Book Antiqua" w:hAnsi="Book Antiqua" w:cs="Arial"/>
          <w:sz w:val="24"/>
          <w:szCs w:val="24"/>
        </w:rPr>
        <w:t>.</w:t>
      </w:r>
    </w:p>
    <w:p w:rsidR="004469B5" w:rsidRPr="00F4231A" w:rsidRDefault="00F51373" w:rsidP="00F4231A">
      <w:pPr>
        <w:pStyle w:val="15"/>
        <w:snapToGrid w:val="0"/>
        <w:ind w:firstLineChars="100" w:firstLine="240"/>
        <w:rPr>
          <w:rFonts w:ascii="Book Antiqua" w:hAnsi="Book Antiqua" w:cs="Arial"/>
          <w:sz w:val="24"/>
          <w:szCs w:val="24"/>
        </w:rPr>
      </w:pPr>
      <w:r w:rsidRPr="00F4231A">
        <w:rPr>
          <w:rFonts w:ascii="Book Antiqua" w:hAnsi="Book Antiqua" w:cs="Arial"/>
          <w:sz w:val="24"/>
          <w:szCs w:val="24"/>
        </w:rPr>
        <w:t xml:space="preserve">In </w:t>
      </w:r>
      <w:r w:rsidR="004D499E" w:rsidRPr="00F4231A">
        <w:rPr>
          <w:rFonts w:ascii="Book Antiqua" w:hAnsi="Book Antiqua" w:cs="Arial"/>
          <w:sz w:val="24"/>
          <w:szCs w:val="24"/>
        </w:rPr>
        <w:t>the current study</w:t>
      </w:r>
      <w:r w:rsidR="000E5AB9" w:rsidRPr="00F4231A">
        <w:rPr>
          <w:rFonts w:ascii="Book Antiqua" w:hAnsi="Book Antiqua" w:cs="Arial"/>
          <w:sz w:val="24"/>
          <w:szCs w:val="24"/>
        </w:rPr>
        <w:t xml:space="preserve">, </w:t>
      </w:r>
      <w:r w:rsidR="00B4362D" w:rsidRPr="00F4231A">
        <w:rPr>
          <w:rFonts w:ascii="Book Antiqua" w:hAnsi="Book Antiqua" w:cs="Arial"/>
          <w:sz w:val="24"/>
          <w:szCs w:val="24"/>
        </w:rPr>
        <w:t>s</w:t>
      </w:r>
      <w:r w:rsidR="00FA22A2" w:rsidRPr="00F4231A">
        <w:rPr>
          <w:rFonts w:ascii="Book Antiqua" w:hAnsi="Book Antiqua" w:cs="Arial"/>
          <w:sz w:val="24"/>
          <w:szCs w:val="24"/>
        </w:rPr>
        <w:t xml:space="preserve">erum levels of </w:t>
      </w:r>
      <w:r w:rsidR="00B4362D" w:rsidRPr="00F4231A">
        <w:rPr>
          <w:rFonts w:ascii="Book Antiqua" w:hAnsi="Book Antiqua" w:cs="Arial"/>
          <w:sz w:val="24"/>
          <w:szCs w:val="24"/>
        </w:rPr>
        <w:t>LBP and EndoCab IgG</w:t>
      </w:r>
      <w:r w:rsidR="00FA22A2" w:rsidRPr="00F4231A">
        <w:rPr>
          <w:rFonts w:ascii="Book Antiqua" w:hAnsi="Book Antiqua" w:cs="Arial"/>
          <w:sz w:val="24"/>
          <w:szCs w:val="24"/>
        </w:rPr>
        <w:t xml:space="preserve"> </w:t>
      </w:r>
      <w:r w:rsidR="00B4362D" w:rsidRPr="00F4231A">
        <w:rPr>
          <w:rFonts w:ascii="Book Antiqua" w:hAnsi="Book Antiqua" w:cs="Arial"/>
          <w:sz w:val="24"/>
          <w:szCs w:val="24"/>
        </w:rPr>
        <w:t xml:space="preserve">were </w:t>
      </w:r>
      <w:r w:rsidR="00714C75" w:rsidRPr="00F4231A">
        <w:rPr>
          <w:rFonts w:ascii="Book Antiqua" w:hAnsi="Book Antiqua" w:cs="Arial"/>
          <w:sz w:val="24"/>
          <w:szCs w:val="24"/>
        </w:rPr>
        <w:t>measured</w:t>
      </w:r>
      <w:r w:rsidR="00401F7F" w:rsidRPr="00F4231A">
        <w:rPr>
          <w:rFonts w:ascii="Book Antiqua" w:hAnsi="Book Antiqua" w:cs="Arial"/>
          <w:sz w:val="24"/>
          <w:szCs w:val="24"/>
        </w:rPr>
        <w:t xml:space="preserve"> </w:t>
      </w:r>
      <w:r w:rsidR="00FE180E" w:rsidRPr="00F4231A">
        <w:rPr>
          <w:rFonts w:ascii="Book Antiqua" w:hAnsi="Book Antiqua" w:cs="Arial"/>
          <w:sz w:val="24"/>
          <w:szCs w:val="24"/>
        </w:rPr>
        <w:t>i</w:t>
      </w:r>
      <w:r w:rsidR="00B4362D" w:rsidRPr="00F4231A">
        <w:rPr>
          <w:rFonts w:ascii="Book Antiqua" w:hAnsi="Book Antiqua" w:cs="Arial"/>
          <w:sz w:val="24"/>
          <w:szCs w:val="24"/>
        </w:rPr>
        <w:t xml:space="preserve">n biopsy-proven NAFLD patients and </w:t>
      </w:r>
      <w:r w:rsidR="00FE180E" w:rsidRPr="00F4231A">
        <w:rPr>
          <w:rFonts w:ascii="Book Antiqua" w:hAnsi="Book Antiqua" w:cs="Arial"/>
          <w:sz w:val="24"/>
          <w:szCs w:val="24"/>
        </w:rPr>
        <w:t>the</w:t>
      </w:r>
      <w:r w:rsidR="00F80D43" w:rsidRPr="00F4231A">
        <w:rPr>
          <w:rFonts w:ascii="Book Antiqua" w:hAnsi="Book Antiqua" w:cs="Arial"/>
          <w:sz w:val="24"/>
          <w:szCs w:val="24"/>
        </w:rPr>
        <w:t>ir</w:t>
      </w:r>
      <w:r w:rsidR="00FE180E" w:rsidRPr="00F4231A">
        <w:rPr>
          <w:rFonts w:ascii="Book Antiqua" w:hAnsi="Book Antiqua" w:cs="Arial"/>
          <w:sz w:val="24"/>
          <w:szCs w:val="24"/>
        </w:rPr>
        <w:t xml:space="preserve"> correlation </w:t>
      </w:r>
      <w:r w:rsidR="00B4362D" w:rsidRPr="00F4231A">
        <w:rPr>
          <w:rFonts w:ascii="Book Antiqua" w:hAnsi="Book Antiqua" w:cs="Arial"/>
          <w:sz w:val="24"/>
          <w:szCs w:val="24"/>
        </w:rPr>
        <w:t xml:space="preserve">with </w:t>
      </w:r>
      <w:r w:rsidR="00F80D43" w:rsidRPr="00F4231A">
        <w:rPr>
          <w:rFonts w:ascii="Book Antiqua" w:hAnsi="Book Antiqua" w:cs="Arial"/>
          <w:sz w:val="24"/>
          <w:szCs w:val="24"/>
        </w:rPr>
        <w:t xml:space="preserve">the </w:t>
      </w:r>
      <w:r w:rsidR="00FE180E" w:rsidRPr="00F4231A">
        <w:rPr>
          <w:rFonts w:ascii="Book Antiqua" w:hAnsi="Book Antiqua" w:cs="Arial"/>
          <w:sz w:val="24"/>
          <w:szCs w:val="24"/>
        </w:rPr>
        <w:t>histological severity of NAFLD</w:t>
      </w:r>
      <w:r w:rsidR="00B4362D" w:rsidRPr="00F4231A">
        <w:rPr>
          <w:rFonts w:ascii="Book Antiqua" w:hAnsi="Book Antiqua" w:cs="Arial"/>
          <w:sz w:val="24"/>
          <w:szCs w:val="24"/>
        </w:rPr>
        <w:t xml:space="preserve"> was assessed</w:t>
      </w:r>
      <w:r w:rsidR="004D499E" w:rsidRPr="00F4231A">
        <w:rPr>
          <w:rFonts w:ascii="Book Antiqua" w:hAnsi="Book Antiqua" w:cs="Arial"/>
          <w:sz w:val="24"/>
          <w:szCs w:val="24"/>
        </w:rPr>
        <w:t xml:space="preserve"> </w:t>
      </w:r>
      <w:r w:rsidR="00F80D43" w:rsidRPr="00F4231A">
        <w:rPr>
          <w:rFonts w:ascii="Book Antiqua" w:hAnsi="Book Antiqua" w:cs="Arial"/>
          <w:sz w:val="24"/>
          <w:szCs w:val="24"/>
        </w:rPr>
        <w:t xml:space="preserve">to clarify </w:t>
      </w:r>
      <w:r w:rsidR="004D499E" w:rsidRPr="00F4231A">
        <w:rPr>
          <w:rFonts w:ascii="Book Antiqua" w:hAnsi="Book Antiqua" w:cs="Arial"/>
          <w:sz w:val="24"/>
          <w:szCs w:val="24"/>
        </w:rPr>
        <w:t>association</w:t>
      </w:r>
      <w:r w:rsidR="00F80D43" w:rsidRPr="00F4231A">
        <w:rPr>
          <w:rFonts w:ascii="Book Antiqua" w:hAnsi="Book Antiqua" w:cs="Arial"/>
          <w:sz w:val="24"/>
          <w:szCs w:val="24"/>
        </w:rPr>
        <w:t>s</w:t>
      </w:r>
      <w:r w:rsidR="004D499E" w:rsidRPr="00F4231A">
        <w:rPr>
          <w:rFonts w:ascii="Book Antiqua" w:hAnsi="Book Antiqua" w:cs="Arial"/>
          <w:sz w:val="24"/>
          <w:szCs w:val="24"/>
        </w:rPr>
        <w:t xml:space="preserve"> between</w:t>
      </w:r>
      <w:r w:rsidR="00187A0E" w:rsidRPr="00F4231A">
        <w:rPr>
          <w:rFonts w:ascii="Book Antiqua" w:hAnsi="Book Antiqua" w:cs="Arial"/>
          <w:sz w:val="24"/>
          <w:szCs w:val="24"/>
        </w:rPr>
        <w:t xml:space="preserve"> </w:t>
      </w:r>
      <w:r w:rsidR="007F211D" w:rsidRPr="00F4231A">
        <w:rPr>
          <w:rFonts w:ascii="Book Antiqua" w:hAnsi="Book Antiqua" w:cs="Arial"/>
          <w:sz w:val="24"/>
          <w:szCs w:val="24"/>
        </w:rPr>
        <w:t>endotox</w:t>
      </w:r>
      <w:r w:rsidR="004D499E" w:rsidRPr="00F4231A">
        <w:rPr>
          <w:rFonts w:ascii="Book Antiqua" w:hAnsi="Book Antiqua" w:cs="Arial"/>
          <w:sz w:val="24"/>
          <w:szCs w:val="24"/>
        </w:rPr>
        <w:t>emia and NASH development</w:t>
      </w:r>
      <w:r w:rsidR="00F80D43" w:rsidRPr="00F4231A">
        <w:rPr>
          <w:rFonts w:ascii="Book Antiqua" w:hAnsi="Book Antiqua" w:cs="Arial"/>
          <w:sz w:val="24"/>
          <w:szCs w:val="24"/>
        </w:rPr>
        <w:t>.</w:t>
      </w:r>
    </w:p>
    <w:p w:rsidR="00640D48" w:rsidRPr="00F4231A" w:rsidRDefault="00640D48" w:rsidP="00F4231A">
      <w:pPr>
        <w:pStyle w:val="15"/>
        <w:snapToGrid w:val="0"/>
        <w:rPr>
          <w:rFonts w:ascii="Book Antiqua" w:hAnsi="Book Antiqua" w:cs="Arial"/>
          <w:b/>
          <w:sz w:val="24"/>
          <w:szCs w:val="24"/>
        </w:rPr>
      </w:pPr>
    </w:p>
    <w:p w:rsidR="001A35BD" w:rsidRPr="00F4231A" w:rsidRDefault="00365740" w:rsidP="00F4231A">
      <w:pPr>
        <w:pStyle w:val="15"/>
        <w:snapToGrid w:val="0"/>
        <w:rPr>
          <w:rFonts w:ascii="Book Antiqua" w:hAnsi="Book Antiqua" w:cs="Arial"/>
          <w:sz w:val="24"/>
          <w:szCs w:val="24"/>
        </w:rPr>
      </w:pPr>
      <w:r w:rsidRPr="00F4231A">
        <w:rPr>
          <w:rFonts w:ascii="Book Antiqua" w:hAnsi="Book Antiqua" w:cs="Arial"/>
          <w:b/>
          <w:sz w:val="24"/>
          <w:szCs w:val="24"/>
        </w:rPr>
        <w:t>MATERIALS AND METHODS</w:t>
      </w:r>
    </w:p>
    <w:p w:rsidR="006B5DB7" w:rsidRPr="00F4231A" w:rsidRDefault="006B5DB7" w:rsidP="00F4231A">
      <w:pPr>
        <w:snapToGrid w:val="0"/>
        <w:spacing w:line="360" w:lineRule="auto"/>
        <w:rPr>
          <w:rFonts w:ascii="Book Antiqua" w:hAnsi="Book Antiqua" w:cs="Arial"/>
          <w:b/>
          <w:i/>
          <w:sz w:val="24"/>
          <w:szCs w:val="24"/>
        </w:rPr>
      </w:pPr>
      <w:r w:rsidRPr="00F4231A">
        <w:rPr>
          <w:rFonts w:ascii="Book Antiqua" w:hAnsi="Book Antiqua" w:cs="Arial"/>
          <w:b/>
          <w:i/>
          <w:sz w:val="24"/>
          <w:szCs w:val="24"/>
        </w:rPr>
        <w:t>Patients</w:t>
      </w:r>
    </w:p>
    <w:p w:rsidR="002819BB" w:rsidRPr="00F4231A" w:rsidRDefault="00C01CBC" w:rsidP="00F4231A">
      <w:pPr>
        <w:snapToGrid w:val="0"/>
        <w:spacing w:line="360" w:lineRule="auto"/>
        <w:rPr>
          <w:rFonts w:ascii="Book Antiqua" w:hAnsi="Book Antiqua" w:cs="Arial"/>
          <w:sz w:val="24"/>
          <w:szCs w:val="24"/>
        </w:rPr>
      </w:pPr>
      <w:r w:rsidRPr="00F4231A">
        <w:rPr>
          <w:rFonts w:ascii="Book Antiqua" w:hAnsi="Book Antiqua" w:cs="Arial"/>
          <w:sz w:val="24"/>
          <w:szCs w:val="24"/>
        </w:rPr>
        <w:t>This</w:t>
      </w:r>
      <w:r w:rsidR="001B54FB" w:rsidRPr="00F4231A">
        <w:rPr>
          <w:rFonts w:ascii="Book Antiqua" w:hAnsi="Book Antiqua" w:cs="Arial"/>
          <w:sz w:val="24"/>
          <w:szCs w:val="24"/>
        </w:rPr>
        <w:t xml:space="preserve"> </w:t>
      </w:r>
      <w:r w:rsidR="00765881" w:rsidRPr="00F4231A">
        <w:rPr>
          <w:rFonts w:ascii="Book Antiqua" w:hAnsi="Book Antiqua" w:cs="Arial"/>
          <w:sz w:val="24"/>
          <w:szCs w:val="24"/>
        </w:rPr>
        <w:t>s</w:t>
      </w:r>
      <w:r w:rsidRPr="00F4231A">
        <w:rPr>
          <w:rFonts w:ascii="Book Antiqua" w:hAnsi="Book Antiqua" w:cs="Arial"/>
          <w:sz w:val="24"/>
          <w:szCs w:val="24"/>
        </w:rPr>
        <w:t xml:space="preserve">tudy </w:t>
      </w:r>
      <w:r w:rsidR="001B54FB" w:rsidRPr="00F4231A">
        <w:rPr>
          <w:rFonts w:ascii="Book Antiqua" w:hAnsi="Book Antiqua" w:cs="Arial"/>
          <w:sz w:val="24"/>
          <w:szCs w:val="24"/>
        </w:rPr>
        <w:t xml:space="preserve">was approved by </w:t>
      </w:r>
      <w:r w:rsidR="00357853" w:rsidRPr="00F4231A">
        <w:rPr>
          <w:rFonts w:ascii="Book Antiqua" w:hAnsi="Book Antiqua" w:cs="Arial"/>
          <w:sz w:val="24"/>
          <w:szCs w:val="24"/>
        </w:rPr>
        <w:t>the Committee for Medical Ethics of Shinshu University School of Medicin</w:t>
      </w:r>
      <w:r w:rsidR="00D45DCA" w:rsidRPr="00F4231A">
        <w:rPr>
          <w:rFonts w:ascii="Book Antiqua" w:hAnsi="Book Antiqua" w:cs="Arial"/>
          <w:sz w:val="24"/>
          <w:szCs w:val="24"/>
        </w:rPr>
        <w:t>e</w:t>
      </w:r>
      <w:r w:rsidR="00744AEC" w:rsidRPr="00F4231A">
        <w:rPr>
          <w:rFonts w:ascii="Book Antiqua" w:hAnsi="Book Antiqua" w:cs="Arial"/>
          <w:sz w:val="24"/>
          <w:szCs w:val="24"/>
        </w:rPr>
        <w:t xml:space="preserve"> (</w:t>
      </w:r>
      <w:r w:rsidR="0043377E" w:rsidRPr="00F4231A">
        <w:rPr>
          <w:rFonts w:ascii="Book Antiqua" w:hAnsi="Book Antiqua" w:cs="Arial"/>
          <w:sz w:val="24"/>
          <w:szCs w:val="24"/>
        </w:rPr>
        <w:t>A</w:t>
      </w:r>
      <w:r w:rsidR="00744AEC" w:rsidRPr="00F4231A">
        <w:rPr>
          <w:rFonts w:ascii="Book Antiqua" w:hAnsi="Book Antiqua" w:cs="Arial"/>
          <w:sz w:val="24"/>
          <w:szCs w:val="24"/>
        </w:rPr>
        <w:t>pprov</w:t>
      </w:r>
      <w:r w:rsidR="0043377E" w:rsidRPr="00F4231A">
        <w:rPr>
          <w:rFonts w:ascii="Book Antiqua" w:hAnsi="Book Antiqua" w:cs="Arial"/>
          <w:sz w:val="24"/>
          <w:szCs w:val="24"/>
        </w:rPr>
        <w:t xml:space="preserve">al </w:t>
      </w:r>
      <w:r w:rsidR="00744AEC" w:rsidRPr="00F4231A">
        <w:rPr>
          <w:rFonts w:ascii="Book Antiqua" w:hAnsi="Book Antiqua" w:cs="Arial"/>
          <w:sz w:val="24"/>
          <w:szCs w:val="24"/>
        </w:rPr>
        <w:t>number</w:t>
      </w:r>
      <w:r w:rsidR="00D71288" w:rsidRPr="00F4231A">
        <w:rPr>
          <w:rFonts w:ascii="Book Antiqua" w:hAnsi="Book Antiqua" w:cs="Arial"/>
          <w:sz w:val="24"/>
          <w:szCs w:val="24"/>
        </w:rPr>
        <w:t>: 2802</w:t>
      </w:r>
      <w:r w:rsidR="00744AEC" w:rsidRPr="00F4231A">
        <w:rPr>
          <w:rFonts w:ascii="Book Antiqua" w:hAnsi="Book Antiqua" w:cs="Arial"/>
          <w:sz w:val="24"/>
          <w:szCs w:val="24"/>
        </w:rPr>
        <w:t>)</w:t>
      </w:r>
      <w:r w:rsidR="00984A1D" w:rsidRPr="00F4231A">
        <w:rPr>
          <w:rFonts w:ascii="Book Antiqua" w:hAnsi="Book Antiqua" w:cs="Arial"/>
          <w:sz w:val="24"/>
          <w:szCs w:val="24"/>
        </w:rPr>
        <w:t xml:space="preserve"> and </w:t>
      </w:r>
      <w:r w:rsidR="0043377E" w:rsidRPr="00F4231A">
        <w:rPr>
          <w:rFonts w:ascii="Book Antiqua" w:hAnsi="Book Antiqua" w:cs="Arial"/>
          <w:sz w:val="24"/>
          <w:szCs w:val="24"/>
        </w:rPr>
        <w:t xml:space="preserve">conducted </w:t>
      </w:r>
      <w:r w:rsidR="00984A1D" w:rsidRPr="00F4231A">
        <w:rPr>
          <w:rFonts w:ascii="Book Antiqua" w:hAnsi="Book Antiqua" w:cs="Arial"/>
          <w:sz w:val="24"/>
          <w:szCs w:val="24"/>
        </w:rPr>
        <w:t xml:space="preserve">in accordance with the </w:t>
      </w:r>
      <w:r w:rsidR="0043377E" w:rsidRPr="00F4231A">
        <w:rPr>
          <w:rFonts w:ascii="Book Antiqua" w:hAnsi="Book Antiqua" w:cs="Arial"/>
          <w:sz w:val="24"/>
          <w:szCs w:val="24"/>
        </w:rPr>
        <w:t xml:space="preserve">1983 revision of the </w:t>
      </w:r>
      <w:r w:rsidR="00984A1D" w:rsidRPr="00F4231A">
        <w:rPr>
          <w:rFonts w:ascii="Book Antiqua" w:hAnsi="Book Antiqua" w:cs="Arial"/>
          <w:sz w:val="24"/>
          <w:szCs w:val="24"/>
        </w:rPr>
        <w:t>Helsinki declaration of 1975</w:t>
      </w:r>
      <w:r w:rsidR="0043377E" w:rsidRPr="00F4231A">
        <w:rPr>
          <w:rFonts w:ascii="Book Antiqua" w:hAnsi="Book Antiqua" w:cs="Arial"/>
          <w:sz w:val="24"/>
          <w:szCs w:val="24"/>
        </w:rPr>
        <w:t xml:space="preserve">. </w:t>
      </w:r>
      <w:r w:rsidR="001B54FB" w:rsidRPr="00F4231A">
        <w:rPr>
          <w:rFonts w:ascii="Book Antiqua" w:hAnsi="Book Antiqua" w:cs="Arial"/>
          <w:sz w:val="24"/>
          <w:szCs w:val="24"/>
        </w:rPr>
        <w:t xml:space="preserve">Informed </w:t>
      </w:r>
      <w:r w:rsidR="0043377E" w:rsidRPr="00F4231A">
        <w:rPr>
          <w:rFonts w:ascii="Book Antiqua" w:hAnsi="Book Antiqua" w:cs="Arial"/>
          <w:sz w:val="24"/>
          <w:szCs w:val="24"/>
        </w:rPr>
        <w:t xml:space="preserve">written </w:t>
      </w:r>
      <w:r w:rsidR="001B54FB" w:rsidRPr="00F4231A">
        <w:rPr>
          <w:rFonts w:ascii="Book Antiqua" w:hAnsi="Book Antiqua" w:cs="Arial"/>
          <w:sz w:val="24"/>
          <w:szCs w:val="24"/>
        </w:rPr>
        <w:t>consent</w:t>
      </w:r>
      <w:r w:rsidRPr="00F4231A">
        <w:rPr>
          <w:rFonts w:ascii="Book Antiqua" w:hAnsi="Book Antiqua" w:cs="Arial"/>
          <w:sz w:val="24"/>
          <w:szCs w:val="24"/>
        </w:rPr>
        <w:t xml:space="preserve"> </w:t>
      </w:r>
      <w:r w:rsidR="0043377E" w:rsidRPr="00F4231A">
        <w:rPr>
          <w:rFonts w:ascii="Book Antiqua" w:hAnsi="Book Antiqua" w:cs="Arial"/>
          <w:sz w:val="24"/>
          <w:szCs w:val="24"/>
        </w:rPr>
        <w:t xml:space="preserve">was obtained from all patients. One </w:t>
      </w:r>
      <w:r w:rsidR="00BE2833" w:rsidRPr="00F4231A">
        <w:rPr>
          <w:rFonts w:ascii="Book Antiqua" w:hAnsi="Book Antiqua" w:cs="Arial"/>
          <w:sz w:val="24"/>
          <w:szCs w:val="24"/>
        </w:rPr>
        <w:t xml:space="preserve">hundred twenty-six </w:t>
      </w:r>
      <w:r w:rsidR="00E01F44" w:rsidRPr="00F4231A">
        <w:rPr>
          <w:rFonts w:ascii="Book Antiqua" w:hAnsi="Book Antiqua" w:cs="Arial"/>
          <w:sz w:val="24"/>
          <w:szCs w:val="24"/>
        </w:rPr>
        <w:t xml:space="preserve">NAFLD patients who </w:t>
      </w:r>
      <w:r w:rsidR="0043377E" w:rsidRPr="00F4231A">
        <w:rPr>
          <w:rFonts w:ascii="Book Antiqua" w:hAnsi="Book Antiqua" w:cs="Arial"/>
          <w:sz w:val="24"/>
          <w:szCs w:val="24"/>
        </w:rPr>
        <w:t xml:space="preserve">were </w:t>
      </w:r>
      <w:r w:rsidR="00E01F44" w:rsidRPr="00F4231A">
        <w:rPr>
          <w:rFonts w:ascii="Book Antiqua" w:hAnsi="Book Antiqua" w:cs="Arial"/>
          <w:sz w:val="24"/>
          <w:szCs w:val="24"/>
        </w:rPr>
        <w:t xml:space="preserve">admitted to Shinshu University Hospital </w:t>
      </w:r>
      <w:r w:rsidR="0043377E" w:rsidRPr="00F4231A">
        <w:rPr>
          <w:rFonts w:ascii="Book Antiqua" w:hAnsi="Book Antiqua" w:cs="Arial"/>
          <w:sz w:val="24"/>
          <w:szCs w:val="24"/>
        </w:rPr>
        <w:t xml:space="preserve">between </w:t>
      </w:r>
      <w:r w:rsidR="00A1066A" w:rsidRPr="00F4231A">
        <w:rPr>
          <w:rFonts w:ascii="Book Antiqua" w:hAnsi="Book Antiqua" w:cs="Arial"/>
          <w:sz w:val="24"/>
          <w:szCs w:val="24"/>
        </w:rPr>
        <w:t>February</w:t>
      </w:r>
      <w:r w:rsidR="0043377E" w:rsidRPr="00F4231A">
        <w:rPr>
          <w:rFonts w:ascii="Book Antiqua" w:hAnsi="Book Antiqua" w:cs="Arial"/>
          <w:sz w:val="24"/>
          <w:szCs w:val="24"/>
        </w:rPr>
        <w:t xml:space="preserve"> 2009 and </w:t>
      </w:r>
      <w:r w:rsidR="00A1066A" w:rsidRPr="00F4231A">
        <w:rPr>
          <w:rFonts w:ascii="Book Antiqua" w:hAnsi="Book Antiqua" w:cs="Arial"/>
          <w:sz w:val="24"/>
          <w:szCs w:val="24"/>
        </w:rPr>
        <w:t>April</w:t>
      </w:r>
      <w:r w:rsidR="00A13353" w:rsidRPr="00F4231A">
        <w:rPr>
          <w:rFonts w:ascii="Book Antiqua" w:hAnsi="Book Antiqua" w:cs="Arial"/>
          <w:sz w:val="24"/>
          <w:szCs w:val="24"/>
        </w:rPr>
        <w:t xml:space="preserve"> </w:t>
      </w:r>
      <w:r w:rsidR="0043377E" w:rsidRPr="00F4231A">
        <w:rPr>
          <w:rFonts w:ascii="Book Antiqua" w:hAnsi="Book Antiqua" w:cs="Arial"/>
          <w:sz w:val="24"/>
          <w:szCs w:val="24"/>
        </w:rPr>
        <w:t xml:space="preserve">2015 </w:t>
      </w:r>
      <w:r w:rsidR="00E01F44" w:rsidRPr="00F4231A">
        <w:rPr>
          <w:rFonts w:ascii="Book Antiqua" w:hAnsi="Book Antiqua" w:cs="Arial"/>
          <w:sz w:val="24"/>
          <w:szCs w:val="24"/>
        </w:rPr>
        <w:t>for percutan</w:t>
      </w:r>
      <w:r w:rsidRPr="00F4231A">
        <w:rPr>
          <w:rFonts w:ascii="Book Antiqua" w:hAnsi="Book Antiqua" w:cs="Arial"/>
          <w:sz w:val="24"/>
          <w:szCs w:val="24"/>
        </w:rPr>
        <w:t>eous liver biopsy were enrolled</w:t>
      </w:r>
      <w:r w:rsidR="008620D9" w:rsidRPr="00F4231A">
        <w:rPr>
          <w:rFonts w:ascii="Book Antiqua" w:hAnsi="Book Antiqua" w:cs="Arial"/>
          <w:sz w:val="24"/>
          <w:szCs w:val="24"/>
        </w:rPr>
        <w:t xml:space="preserve">. </w:t>
      </w:r>
      <w:r w:rsidR="001B54FB" w:rsidRPr="00F4231A">
        <w:rPr>
          <w:rFonts w:ascii="Book Antiqua" w:hAnsi="Book Antiqua" w:cs="Arial"/>
          <w:sz w:val="24"/>
          <w:szCs w:val="24"/>
        </w:rPr>
        <w:t xml:space="preserve">NAFLD </w:t>
      </w:r>
      <w:r w:rsidR="0043377E" w:rsidRPr="00F4231A">
        <w:rPr>
          <w:rFonts w:ascii="Book Antiqua" w:hAnsi="Book Antiqua" w:cs="Arial"/>
          <w:sz w:val="24"/>
          <w:szCs w:val="24"/>
        </w:rPr>
        <w:t xml:space="preserve">had been </w:t>
      </w:r>
      <w:r w:rsidR="008620D9" w:rsidRPr="00F4231A">
        <w:rPr>
          <w:rFonts w:ascii="Book Antiqua" w:hAnsi="Book Antiqua" w:cs="Arial"/>
          <w:sz w:val="24"/>
          <w:szCs w:val="24"/>
        </w:rPr>
        <w:t xml:space="preserve">suspected </w:t>
      </w:r>
      <w:r w:rsidR="0043377E" w:rsidRPr="00F4231A">
        <w:rPr>
          <w:rFonts w:ascii="Book Antiqua" w:hAnsi="Book Antiqua" w:cs="Arial"/>
          <w:sz w:val="24"/>
          <w:szCs w:val="24"/>
        </w:rPr>
        <w:t>based on</w:t>
      </w:r>
      <w:r w:rsidR="001B54FB" w:rsidRPr="00F4231A">
        <w:rPr>
          <w:rFonts w:ascii="Book Antiqua" w:hAnsi="Book Antiqua" w:cs="Arial"/>
          <w:sz w:val="24"/>
          <w:szCs w:val="24"/>
        </w:rPr>
        <w:t xml:space="preserve"> the following criteria: (1) the presence of hepatorenal contrast and increased hepatic echogenicity on abdominal </w:t>
      </w:r>
      <w:r w:rsidR="00E01F44" w:rsidRPr="00F4231A">
        <w:rPr>
          <w:rFonts w:ascii="Book Antiqua" w:hAnsi="Book Antiqua" w:cs="Arial"/>
          <w:sz w:val="24"/>
          <w:szCs w:val="24"/>
        </w:rPr>
        <w:t>ultrasonography</w:t>
      </w:r>
      <w:r w:rsidR="0083052D" w:rsidRPr="00F4231A">
        <w:rPr>
          <w:rFonts w:ascii="Book Antiqua" w:hAnsi="Book Antiqua" w:cs="Arial"/>
          <w:sz w:val="24"/>
          <w:szCs w:val="24"/>
        </w:rPr>
        <w:t xml:space="preserve">; </w:t>
      </w:r>
      <w:r w:rsidR="001B54FB" w:rsidRPr="00F4231A">
        <w:rPr>
          <w:rFonts w:ascii="Book Antiqua" w:hAnsi="Book Antiqua" w:cs="Arial"/>
          <w:sz w:val="24"/>
          <w:szCs w:val="24"/>
        </w:rPr>
        <w:t xml:space="preserve">(2) </w:t>
      </w:r>
      <w:r w:rsidR="006953EB" w:rsidRPr="00F4231A">
        <w:rPr>
          <w:rFonts w:ascii="Book Antiqua" w:hAnsi="Book Antiqua" w:cs="Arial"/>
          <w:sz w:val="24"/>
          <w:szCs w:val="24"/>
        </w:rPr>
        <w:t>ethanol consump</w:t>
      </w:r>
      <w:r w:rsidR="0083052D" w:rsidRPr="00F4231A">
        <w:rPr>
          <w:rFonts w:ascii="Book Antiqua" w:hAnsi="Book Antiqua" w:cs="Arial"/>
          <w:sz w:val="24"/>
          <w:szCs w:val="24"/>
        </w:rPr>
        <w:t>tion of &lt;</w:t>
      </w:r>
      <w:r w:rsidR="00CB79F5" w:rsidRPr="00F4231A">
        <w:rPr>
          <w:rFonts w:ascii="Book Antiqua" w:hAnsi="Book Antiqua" w:cs="Arial"/>
          <w:sz w:val="24"/>
          <w:szCs w:val="24"/>
        </w:rPr>
        <w:t xml:space="preserve"> 20 g/d</w:t>
      </w:r>
      <w:r w:rsidR="0083052D" w:rsidRPr="00F4231A">
        <w:rPr>
          <w:rFonts w:ascii="Book Antiqua" w:hAnsi="Book Antiqua" w:cs="Arial"/>
          <w:sz w:val="24"/>
          <w:szCs w:val="24"/>
        </w:rPr>
        <w:t xml:space="preserve">; and </w:t>
      </w:r>
      <w:r w:rsidR="001B54FB" w:rsidRPr="00F4231A">
        <w:rPr>
          <w:rFonts w:ascii="Book Antiqua" w:hAnsi="Book Antiqua" w:cs="Arial"/>
          <w:sz w:val="24"/>
          <w:szCs w:val="24"/>
        </w:rPr>
        <w:t>(</w:t>
      </w:r>
      <w:r w:rsidR="00AE562E" w:rsidRPr="00F4231A">
        <w:rPr>
          <w:rFonts w:ascii="Book Antiqua" w:hAnsi="Book Antiqua" w:cs="Arial"/>
          <w:sz w:val="24"/>
          <w:szCs w:val="24"/>
        </w:rPr>
        <w:t>3</w:t>
      </w:r>
      <w:r w:rsidR="001B54FB" w:rsidRPr="00F4231A">
        <w:rPr>
          <w:rFonts w:ascii="Book Antiqua" w:hAnsi="Book Antiqua" w:cs="Arial"/>
          <w:sz w:val="24"/>
          <w:szCs w:val="24"/>
        </w:rPr>
        <w:t>) the absence of ot</w:t>
      </w:r>
      <w:r w:rsidR="00E01F44" w:rsidRPr="00F4231A">
        <w:rPr>
          <w:rFonts w:ascii="Book Antiqua" w:hAnsi="Book Antiqua" w:cs="Arial"/>
          <w:sz w:val="24"/>
          <w:szCs w:val="24"/>
        </w:rPr>
        <w:t xml:space="preserve">her causes of liver dysfunction, </w:t>
      </w:r>
      <w:r w:rsidR="001B54FB" w:rsidRPr="00F4231A">
        <w:rPr>
          <w:rFonts w:ascii="Book Antiqua" w:hAnsi="Book Antiqua" w:cs="Arial"/>
          <w:sz w:val="24"/>
          <w:szCs w:val="24"/>
        </w:rPr>
        <w:t>such as viral hepatitis, drug-induced liver injury, autoimmune liver disease</w:t>
      </w:r>
      <w:r w:rsidR="00E01F44" w:rsidRPr="00F4231A">
        <w:rPr>
          <w:rFonts w:ascii="Book Antiqua" w:hAnsi="Book Antiqua" w:cs="Arial"/>
          <w:sz w:val="24"/>
          <w:szCs w:val="24"/>
        </w:rPr>
        <w:t xml:space="preserve">s, </w:t>
      </w:r>
      <w:r w:rsidR="001B54FB" w:rsidRPr="00F4231A">
        <w:rPr>
          <w:rFonts w:ascii="Book Antiqua" w:hAnsi="Book Antiqua" w:cs="Arial"/>
          <w:sz w:val="24"/>
          <w:szCs w:val="24"/>
        </w:rPr>
        <w:t>primary sclerosing cholangitis</w:t>
      </w:r>
      <w:r w:rsidR="002819BB" w:rsidRPr="00F4231A">
        <w:rPr>
          <w:rFonts w:ascii="Book Antiqua" w:hAnsi="Book Antiqua" w:cs="Arial"/>
          <w:sz w:val="24"/>
          <w:szCs w:val="24"/>
        </w:rPr>
        <w:t xml:space="preserve">, </w:t>
      </w:r>
      <w:r w:rsidR="001B54FB" w:rsidRPr="00F4231A">
        <w:rPr>
          <w:rFonts w:ascii="Book Antiqua" w:hAnsi="Book Antiqua" w:cs="Arial"/>
          <w:sz w:val="24"/>
          <w:szCs w:val="24"/>
        </w:rPr>
        <w:t>Wilson’s dise</w:t>
      </w:r>
      <w:r w:rsidR="00E01F44" w:rsidRPr="00F4231A">
        <w:rPr>
          <w:rFonts w:ascii="Book Antiqua" w:hAnsi="Book Antiqua" w:cs="Arial"/>
          <w:sz w:val="24"/>
          <w:szCs w:val="24"/>
        </w:rPr>
        <w:t xml:space="preserve">ase, hereditary hemochromatosis, </w:t>
      </w:r>
      <w:r w:rsidR="001B54FB" w:rsidRPr="00F4231A">
        <w:rPr>
          <w:rFonts w:ascii="Book Antiqua" w:hAnsi="Book Antiqua" w:cs="Arial"/>
          <w:sz w:val="24"/>
          <w:szCs w:val="24"/>
        </w:rPr>
        <w:t xml:space="preserve">and </w:t>
      </w:r>
      <w:r w:rsidR="00E01F44" w:rsidRPr="00F4231A">
        <w:rPr>
          <w:rFonts w:ascii="Book Antiqua" w:hAnsi="Book Antiqua" w:cs="Arial"/>
          <w:sz w:val="24"/>
          <w:szCs w:val="24"/>
        </w:rPr>
        <w:t xml:space="preserve">citrin </w:t>
      </w:r>
      <w:r w:rsidR="001B54FB" w:rsidRPr="00F4231A">
        <w:rPr>
          <w:rFonts w:ascii="Book Antiqua" w:hAnsi="Book Antiqua" w:cs="Arial"/>
          <w:sz w:val="24"/>
          <w:szCs w:val="24"/>
        </w:rPr>
        <w:t>deficiency</w:t>
      </w:r>
      <w:r w:rsidR="009323A0"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323A0" w:rsidRPr="00F4231A">
        <w:rPr>
          <w:rFonts w:ascii="Book Antiqua" w:hAnsi="Book Antiqua" w:cs="Arial"/>
          <w:sz w:val="24"/>
          <w:szCs w:val="24"/>
        </w:rPr>
        <w:instrText xml:space="preserve"> ADDIN EN.CITE </w:instrText>
      </w:r>
      <w:r w:rsidR="009323A0"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323A0" w:rsidRPr="00F4231A">
        <w:rPr>
          <w:rFonts w:ascii="Book Antiqua" w:hAnsi="Book Antiqua" w:cs="Arial"/>
          <w:sz w:val="24"/>
          <w:szCs w:val="24"/>
        </w:rPr>
        <w:instrText xml:space="preserve"> ADDIN EN.CITE.DATA </w:instrText>
      </w:r>
      <w:r w:rsidR="009323A0" w:rsidRPr="00F4231A">
        <w:rPr>
          <w:rFonts w:ascii="Book Antiqua" w:hAnsi="Book Antiqua" w:cs="Arial"/>
          <w:sz w:val="24"/>
          <w:szCs w:val="24"/>
        </w:rPr>
      </w:r>
      <w:r w:rsidR="009323A0" w:rsidRPr="00F4231A">
        <w:rPr>
          <w:rFonts w:ascii="Book Antiqua" w:hAnsi="Book Antiqua" w:cs="Arial"/>
          <w:sz w:val="24"/>
          <w:szCs w:val="24"/>
        </w:rPr>
        <w:fldChar w:fldCharType="end"/>
      </w:r>
      <w:r w:rsidR="009323A0" w:rsidRPr="00F4231A">
        <w:rPr>
          <w:rFonts w:ascii="Book Antiqua" w:hAnsi="Book Antiqua" w:cs="Arial"/>
          <w:sz w:val="24"/>
          <w:szCs w:val="24"/>
        </w:rPr>
      </w:r>
      <w:r w:rsidR="009323A0" w:rsidRPr="00F4231A">
        <w:rPr>
          <w:rFonts w:ascii="Book Antiqua" w:hAnsi="Book Antiqua" w:cs="Arial"/>
          <w:sz w:val="24"/>
          <w:szCs w:val="24"/>
        </w:rPr>
        <w:fldChar w:fldCharType="separate"/>
      </w:r>
      <w:r w:rsidR="009323A0" w:rsidRPr="00F4231A">
        <w:rPr>
          <w:rFonts w:ascii="Book Antiqua" w:hAnsi="Book Antiqua" w:cs="Arial"/>
          <w:noProof/>
          <w:sz w:val="24"/>
          <w:szCs w:val="24"/>
          <w:vertAlign w:val="superscript"/>
        </w:rPr>
        <w:t>[15-18]</w:t>
      </w:r>
      <w:r w:rsidR="009323A0" w:rsidRPr="00F4231A">
        <w:rPr>
          <w:rFonts w:ascii="Book Antiqua" w:hAnsi="Book Antiqua" w:cs="Arial"/>
          <w:sz w:val="24"/>
          <w:szCs w:val="24"/>
        </w:rPr>
        <w:fldChar w:fldCharType="end"/>
      </w:r>
      <w:r w:rsidR="009323A0" w:rsidRPr="00F4231A">
        <w:rPr>
          <w:rFonts w:ascii="Book Antiqua" w:hAnsi="Book Antiqua" w:cs="Arial"/>
          <w:sz w:val="24"/>
          <w:szCs w:val="24"/>
        </w:rPr>
        <w:t xml:space="preserve">. </w:t>
      </w:r>
      <w:r w:rsidRPr="00F4231A">
        <w:rPr>
          <w:rFonts w:ascii="Book Antiqua" w:hAnsi="Book Antiqua" w:cs="Arial"/>
          <w:sz w:val="24"/>
          <w:szCs w:val="24"/>
        </w:rPr>
        <w:t xml:space="preserve">The </w:t>
      </w:r>
      <w:r w:rsidR="003C2506" w:rsidRPr="00F4231A">
        <w:rPr>
          <w:rFonts w:ascii="Book Antiqua" w:hAnsi="Book Antiqua" w:cs="Arial"/>
          <w:sz w:val="24"/>
          <w:szCs w:val="24"/>
        </w:rPr>
        <w:t xml:space="preserve">diagnosis </w:t>
      </w:r>
      <w:r w:rsidR="00644C94" w:rsidRPr="00F4231A">
        <w:rPr>
          <w:rFonts w:ascii="Book Antiqua" w:hAnsi="Book Antiqua" w:cs="Arial"/>
          <w:sz w:val="24"/>
          <w:szCs w:val="24"/>
        </w:rPr>
        <w:t xml:space="preserve">of NAFLD/NASH was </w:t>
      </w:r>
      <w:r w:rsidRPr="00F4231A">
        <w:rPr>
          <w:rFonts w:ascii="Book Antiqua" w:hAnsi="Book Antiqua" w:cs="Arial"/>
          <w:sz w:val="24"/>
          <w:szCs w:val="24"/>
        </w:rPr>
        <w:t xml:space="preserve">confirmed </w:t>
      </w:r>
      <w:r w:rsidR="003C2506" w:rsidRPr="00F4231A">
        <w:rPr>
          <w:rFonts w:ascii="Book Antiqua" w:hAnsi="Book Antiqua" w:cs="Arial"/>
          <w:sz w:val="24"/>
          <w:szCs w:val="24"/>
        </w:rPr>
        <w:t xml:space="preserve">based on </w:t>
      </w:r>
      <w:r w:rsidR="0083052D" w:rsidRPr="00F4231A">
        <w:rPr>
          <w:rFonts w:ascii="Book Antiqua" w:hAnsi="Book Antiqua" w:cs="Arial"/>
          <w:sz w:val="24"/>
          <w:szCs w:val="24"/>
        </w:rPr>
        <w:t xml:space="preserve">the </w:t>
      </w:r>
      <w:r w:rsidR="00644C94" w:rsidRPr="00F4231A">
        <w:rPr>
          <w:rFonts w:ascii="Book Antiqua" w:hAnsi="Book Antiqua" w:cs="Arial"/>
          <w:sz w:val="24"/>
          <w:szCs w:val="24"/>
        </w:rPr>
        <w:t xml:space="preserve">histological findings of biopsied </w:t>
      </w:r>
      <w:r w:rsidR="00644C94" w:rsidRPr="00F4231A">
        <w:rPr>
          <w:rFonts w:ascii="Book Antiqua" w:hAnsi="Book Antiqua" w:cs="Arial"/>
          <w:sz w:val="24"/>
          <w:szCs w:val="24"/>
        </w:rPr>
        <w:lastRenderedPageBreak/>
        <w:t>specimens</w:t>
      </w:r>
      <w:r w:rsidR="002819BB" w:rsidRPr="00F4231A">
        <w:rPr>
          <w:rFonts w:ascii="Book Antiqua" w:hAnsi="Book Antiqua" w:cs="Arial"/>
          <w:sz w:val="24"/>
          <w:szCs w:val="24"/>
        </w:rPr>
        <w:t xml:space="preserve">. </w:t>
      </w:r>
    </w:p>
    <w:p w:rsidR="00ED7296" w:rsidRPr="00F4231A" w:rsidRDefault="00C01CBC" w:rsidP="00F4231A">
      <w:pPr>
        <w:snapToGrid w:val="0"/>
        <w:spacing w:line="360" w:lineRule="auto"/>
        <w:ind w:firstLineChars="100" w:firstLine="240"/>
        <w:rPr>
          <w:rFonts w:ascii="Book Antiqua" w:hAnsi="Book Antiqua" w:cs="Arial"/>
          <w:sz w:val="24"/>
          <w:szCs w:val="24"/>
        </w:rPr>
      </w:pPr>
      <w:r w:rsidRPr="00F4231A">
        <w:rPr>
          <w:rFonts w:ascii="Book Antiqua" w:hAnsi="Book Antiqua" w:cs="Arial"/>
          <w:sz w:val="24"/>
          <w:szCs w:val="24"/>
        </w:rPr>
        <w:t xml:space="preserve">Body weight and height </w:t>
      </w:r>
      <w:r w:rsidR="001B54FB" w:rsidRPr="00F4231A">
        <w:rPr>
          <w:rFonts w:ascii="Book Antiqua" w:hAnsi="Book Antiqua" w:cs="Arial"/>
          <w:sz w:val="24"/>
          <w:szCs w:val="24"/>
        </w:rPr>
        <w:t xml:space="preserve">were measured </w:t>
      </w:r>
      <w:r w:rsidR="00FC380E" w:rsidRPr="00F4231A">
        <w:rPr>
          <w:rFonts w:ascii="Book Antiqua" w:hAnsi="Book Antiqua" w:cs="Arial"/>
          <w:sz w:val="24"/>
          <w:szCs w:val="24"/>
        </w:rPr>
        <w:t xml:space="preserve">before liver biopsy </w:t>
      </w:r>
      <w:r w:rsidR="0083052D" w:rsidRPr="00F4231A">
        <w:rPr>
          <w:rFonts w:ascii="Book Antiqua" w:hAnsi="Book Antiqua" w:cs="Arial"/>
          <w:sz w:val="24"/>
          <w:szCs w:val="24"/>
        </w:rPr>
        <w:t xml:space="preserve">performed </w:t>
      </w:r>
      <w:r w:rsidR="00BC5B67" w:rsidRPr="00F4231A">
        <w:rPr>
          <w:rFonts w:ascii="Book Antiqua" w:hAnsi="Book Antiqua" w:cs="Arial"/>
          <w:sz w:val="24"/>
          <w:szCs w:val="24"/>
        </w:rPr>
        <w:t xml:space="preserve">in </w:t>
      </w:r>
      <w:r w:rsidR="0083052D" w:rsidRPr="00F4231A">
        <w:rPr>
          <w:rFonts w:ascii="Book Antiqua" w:hAnsi="Book Antiqua" w:cs="Arial"/>
          <w:sz w:val="24"/>
          <w:szCs w:val="24"/>
        </w:rPr>
        <w:t xml:space="preserve">a </w:t>
      </w:r>
      <w:r w:rsidR="00BC5B67" w:rsidRPr="00F4231A">
        <w:rPr>
          <w:rFonts w:ascii="Book Antiqua" w:hAnsi="Book Antiqua" w:cs="Arial"/>
          <w:sz w:val="24"/>
          <w:szCs w:val="24"/>
        </w:rPr>
        <w:t>fasting state</w:t>
      </w:r>
      <w:r w:rsidR="0083052D" w:rsidRPr="00F4231A">
        <w:rPr>
          <w:rFonts w:ascii="Book Antiqua" w:hAnsi="Book Antiqua" w:cs="Arial"/>
          <w:sz w:val="24"/>
          <w:szCs w:val="24"/>
        </w:rPr>
        <w:t xml:space="preserve">. </w:t>
      </w:r>
      <w:r w:rsidR="001B54FB" w:rsidRPr="00F4231A">
        <w:rPr>
          <w:rFonts w:ascii="Book Antiqua" w:hAnsi="Book Antiqua" w:cs="Arial"/>
          <w:sz w:val="24"/>
          <w:szCs w:val="24"/>
        </w:rPr>
        <w:t xml:space="preserve">The presence of obesity was defined as </w:t>
      </w:r>
      <w:r w:rsidR="0083052D" w:rsidRPr="00F4231A">
        <w:rPr>
          <w:rFonts w:ascii="Book Antiqua" w:hAnsi="Book Antiqua" w:cs="Arial"/>
          <w:sz w:val="24"/>
          <w:szCs w:val="24"/>
        </w:rPr>
        <w:t xml:space="preserve">a body mass index </w:t>
      </w:r>
      <w:r w:rsidR="001B54FB" w:rsidRPr="00F4231A">
        <w:rPr>
          <w:rFonts w:ascii="Book Antiqua" w:hAnsi="Book Antiqua" w:cs="Arial"/>
          <w:sz w:val="24"/>
          <w:szCs w:val="24"/>
        </w:rPr>
        <w:t xml:space="preserve">of </w:t>
      </w:r>
      <w:r w:rsidR="00CB79F5" w:rsidRPr="00F4231A">
        <w:rPr>
          <w:rFonts w:ascii="Book Antiqua" w:hAnsi="Book Antiqua" w:cs="Arial"/>
          <w:sz w:val="24"/>
          <w:szCs w:val="24"/>
        </w:rPr>
        <w:t xml:space="preserve">≥ </w:t>
      </w:r>
      <w:r w:rsidR="001B54FB" w:rsidRPr="00F4231A">
        <w:rPr>
          <w:rFonts w:ascii="Book Antiqua" w:hAnsi="Book Antiqua" w:cs="Arial"/>
          <w:sz w:val="24"/>
          <w:szCs w:val="24"/>
        </w:rPr>
        <w:t>25 kg/m</w:t>
      </w:r>
      <w:r w:rsidR="001B54FB" w:rsidRPr="00F4231A">
        <w:rPr>
          <w:rFonts w:ascii="Book Antiqua" w:hAnsi="Book Antiqua" w:cs="Arial"/>
          <w:sz w:val="24"/>
          <w:szCs w:val="24"/>
          <w:vertAlign w:val="superscript"/>
        </w:rPr>
        <w:t>2</w:t>
      </w:r>
      <w:r w:rsidR="00AF0B00" w:rsidRPr="00F4231A">
        <w:rPr>
          <w:rFonts w:ascii="Book Antiqua" w:hAnsi="Book Antiqua" w:cs="Arial"/>
          <w:sz w:val="24"/>
          <w:szCs w:val="24"/>
        </w:rPr>
        <w:t xml:space="preserve"> </w:t>
      </w:r>
      <w:r w:rsidR="0083052D" w:rsidRPr="00F4231A">
        <w:rPr>
          <w:rFonts w:ascii="Book Antiqua" w:hAnsi="Book Antiqua" w:cs="Arial"/>
          <w:sz w:val="24"/>
          <w:szCs w:val="24"/>
        </w:rPr>
        <w:t>according to</w:t>
      </w:r>
      <w:r w:rsidR="001B54FB" w:rsidRPr="00F4231A">
        <w:rPr>
          <w:rFonts w:ascii="Book Antiqua" w:hAnsi="Book Antiqua" w:cs="Arial"/>
          <w:sz w:val="24"/>
          <w:szCs w:val="24"/>
        </w:rPr>
        <w:t xml:space="preserve"> criteria released by the</w:t>
      </w:r>
      <w:r w:rsidR="00A81682" w:rsidRPr="00F4231A">
        <w:rPr>
          <w:rFonts w:ascii="Book Antiqua" w:hAnsi="Book Antiqua" w:cs="Arial"/>
          <w:sz w:val="24"/>
          <w:szCs w:val="24"/>
        </w:rPr>
        <w:t xml:space="preserve"> Japan Society for the Study of </w:t>
      </w:r>
      <w:r w:rsidR="001B54FB" w:rsidRPr="00F4231A">
        <w:rPr>
          <w:rFonts w:ascii="Book Antiqua" w:hAnsi="Book Antiqua" w:cs="Arial"/>
          <w:sz w:val="24"/>
          <w:szCs w:val="24"/>
        </w:rPr>
        <w:t>Obesity</w:t>
      </w:r>
      <w:r w:rsidR="009323A0"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323A0" w:rsidRPr="00F4231A">
        <w:rPr>
          <w:rFonts w:ascii="Book Antiqua" w:hAnsi="Book Antiqua" w:cs="Arial"/>
          <w:sz w:val="24"/>
          <w:szCs w:val="24"/>
        </w:rPr>
        <w:instrText xml:space="preserve"> ADDIN EN.CITE </w:instrText>
      </w:r>
      <w:r w:rsidR="009323A0"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323A0" w:rsidRPr="00F4231A">
        <w:rPr>
          <w:rFonts w:ascii="Book Antiqua" w:hAnsi="Book Antiqua" w:cs="Arial"/>
          <w:sz w:val="24"/>
          <w:szCs w:val="24"/>
        </w:rPr>
        <w:instrText xml:space="preserve"> ADDIN EN.CITE.DATA </w:instrText>
      </w:r>
      <w:r w:rsidR="009323A0" w:rsidRPr="00F4231A">
        <w:rPr>
          <w:rFonts w:ascii="Book Antiqua" w:hAnsi="Book Antiqua" w:cs="Arial"/>
          <w:sz w:val="24"/>
          <w:szCs w:val="24"/>
        </w:rPr>
      </w:r>
      <w:r w:rsidR="009323A0" w:rsidRPr="00F4231A">
        <w:rPr>
          <w:rFonts w:ascii="Book Antiqua" w:hAnsi="Book Antiqua" w:cs="Arial"/>
          <w:sz w:val="24"/>
          <w:szCs w:val="24"/>
        </w:rPr>
        <w:fldChar w:fldCharType="end"/>
      </w:r>
      <w:r w:rsidR="009323A0" w:rsidRPr="00F4231A">
        <w:rPr>
          <w:rFonts w:ascii="Book Antiqua" w:hAnsi="Book Antiqua" w:cs="Arial"/>
          <w:sz w:val="24"/>
          <w:szCs w:val="24"/>
        </w:rPr>
      </w:r>
      <w:r w:rsidR="009323A0" w:rsidRPr="00F4231A">
        <w:rPr>
          <w:rFonts w:ascii="Book Antiqua" w:hAnsi="Book Antiqua" w:cs="Arial"/>
          <w:sz w:val="24"/>
          <w:szCs w:val="24"/>
        </w:rPr>
        <w:fldChar w:fldCharType="separate"/>
      </w:r>
      <w:r w:rsidR="009323A0" w:rsidRPr="00F4231A">
        <w:rPr>
          <w:rFonts w:ascii="Book Antiqua" w:hAnsi="Book Antiqua" w:cs="Arial"/>
          <w:noProof/>
          <w:sz w:val="24"/>
          <w:szCs w:val="24"/>
          <w:vertAlign w:val="superscript"/>
        </w:rPr>
        <w:t>[19]</w:t>
      </w:r>
      <w:r w:rsidR="009323A0" w:rsidRPr="00F4231A">
        <w:rPr>
          <w:rFonts w:ascii="Book Antiqua" w:hAnsi="Book Antiqua" w:cs="Arial"/>
          <w:sz w:val="24"/>
          <w:szCs w:val="24"/>
        </w:rPr>
        <w:fldChar w:fldCharType="end"/>
      </w:r>
      <w:r w:rsidR="009323A0" w:rsidRPr="00F4231A">
        <w:rPr>
          <w:rFonts w:ascii="Book Antiqua" w:hAnsi="Book Antiqua" w:cs="Arial"/>
          <w:sz w:val="24"/>
          <w:szCs w:val="24"/>
        </w:rPr>
        <w:t xml:space="preserve">. </w:t>
      </w:r>
      <w:r w:rsidR="009F61E5" w:rsidRPr="00F4231A">
        <w:rPr>
          <w:rFonts w:ascii="Book Antiqua" w:hAnsi="Book Antiqua" w:cs="Arial"/>
          <w:sz w:val="24"/>
          <w:szCs w:val="24"/>
        </w:rPr>
        <w:t xml:space="preserve">Medical information was also </w:t>
      </w:r>
      <w:r w:rsidRPr="00F4231A">
        <w:rPr>
          <w:rFonts w:ascii="Book Antiqua" w:hAnsi="Book Antiqua" w:cs="Arial"/>
          <w:sz w:val="24"/>
          <w:szCs w:val="24"/>
        </w:rPr>
        <w:t>recorded</w:t>
      </w:r>
      <w:r w:rsidR="0083052D" w:rsidRPr="00F4231A">
        <w:rPr>
          <w:rFonts w:ascii="Book Antiqua" w:hAnsi="Book Antiqua" w:cs="Arial"/>
          <w:sz w:val="24"/>
          <w:szCs w:val="24"/>
        </w:rPr>
        <w:t xml:space="preserve">, </w:t>
      </w:r>
      <w:r w:rsidR="002819BB" w:rsidRPr="00F4231A">
        <w:rPr>
          <w:rFonts w:ascii="Book Antiqua" w:hAnsi="Book Antiqua" w:cs="Arial"/>
          <w:sz w:val="24"/>
          <w:szCs w:val="24"/>
        </w:rPr>
        <w:t>and t</w:t>
      </w:r>
      <w:r w:rsidR="002D2676" w:rsidRPr="00F4231A">
        <w:rPr>
          <w:rFonts w:ascii="Book Antiqua" w:hAnsi="Book Antiqua" w:cs="Arial"/>
          <w:sz w:val="24"/>
          <w:szCs w:val="24"/>
        </w:rPr>
        <w:t>he presence</w:t>
      </w:r>
      <w:r w:rsidRPr="00F4231A">
        <w:rPr>
          <w:rFonts w:ascii="Book Antiqua" w:hAnsi="Book Antiqua" w:cs="Arial"/>
          <w:sz w:val="24"/>
          <w:szCs w:val="24"/>
        </w:rPr>
        <w:t xml:space="preserve"> </w:t>
      </w:r>
      <w:r w:rsidR="00163039" w:rsidRPr="00F4231A">
        <w:rPr>
          <w:rFonts w:ascii="Book Antiqua" w:hAnsi="Book Antiqua" w:cs="Arial"/>
          <w:sz w:val="24"/>
          <w:szCs w:val="24"/>
        </w:rPr>
        <w:t>of hypertension</w:t>
      </w:r>
      <w:r w:rsidR="0083052D" w:rsidRPr="00F4231A">
        <w:rPr>
          <w:rFonts w:ascii="Book Antiqua" w:hAnsi="Book Antiqua" w:cs="Arial"/>
          <w:sz w:val="24"/>
          <w:szCs w:val="24"/>
        </w:rPr>
        <w:t xml:space="preserve">, </w:t>
      </w:r>
      <w:r w:rsidRPr="00F4231A">
        <w:rPr>
          <w:rFonts w:ascii="Book Antiqua" w:hAnsi="Book Antiqua" w:cs="Arial"/>
          <w:sz w:val="24"/>
          <w:szCs w:val="24"/>
        </w:rPr>
        <w:t xml:space="preserve">hyperlipidemia, and diabetes was </w:t>
      </w:r>
      <w:r w:rsidR="0083052D" w:rsidRPr="00F4231A">
        <w:rPr>
          <w:rFonts w:ascii="Book Antiqua" w:hAnsi="Book Antiqua" w:cs="Arial"/>
          <w:sz w:val="24"/>
          <w:szCs w:val="24"/>
        </w:rPr>
        <w:t>evaluated</w:t>
      </w:r>
      <w:r w:rsidRPr="00F4231A">
        <w:rPr>
          <w:rFonts w:ascii="Book Antiqua" w:hAnsi="Book Antiqua" w:cs="Arial"/>
          <w:sz w:val="24"/>
          <w:szCs w:val="24"/>
        </w:rPr>
        <w:t xml:space="preserve"> as </w:t>
      </w:r>
      <w:r w:rsidR="00A81682" w:rsidRPr="00F4231A">
        <w:rPr>
          <w:rFonts w:ascii="Book Antiqua" w:hAnsi="Book Antiqua" w:cs="Arial"/>
          <w:sz w:val="24"/>
          <w:szCs w:val="24"/>
        </w:rPr>
        <w:t xml:space="preserve">described </w:t>
      </w:r>
      <w:r w:rsidR="00A0733D" w:rsidRPr="00F4231A">
        <w:rPr>
          <w:rFonts w:ascii="Book Antiqua" w:hAnsi="Book Antiqua" w:cs="Arial"/>
          <w:sz w:val="24"/>
          <w:szCs w:val="24"/>
        </w:rPr>
        <w:t>previously</w:t>
      </w:r>
      <w:r w:rsidR="009323A0"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323A0" w:rsidRPr="00F4231A">
        <w:rPr>
          <w:rFonts w:ascii="Book Antiqua" w:hAnsi="Book Antiqua" w:cs="Arial"/>
          <w:sz w:val="24"/>
          <w:szCs w:val="24"/>
        </w:rPr>
        <w:instrText xml:space="preserve"> ADDIN EN.CITE </w:instrText>
      </w:r>
      <w:r w:rsidR="009323A0"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323A0" w:rsidRPr="00F4231A">
        <w:rPr>
          <w:rFonts w:ascii="Book Antiqua" w:hAnsi="Book Antiqua" w:cs="Arial"/>
          <w:sz w:val="24"/>
          <w:szCs w:val="24"/>
        </w:rPr>
        <w:instrText xml:space="preserve"> ADDIN EN.CITE.DATA </w:instrText>
      </w:r>
      <w:r w:rsidR="009323A0" w:rsidRPr="00F4231A">
        <w:rPr>
          <w:rFonts w:ascii="Book Antiqua" w:hAnsi="Book Antiqua" w:cs="Arial"/>
          <w:sz w:val="24"/>
          <w:szCs w:val="24"/>
        </w:rPr>
      </w:r>
      <w:r w:rsidR="009323A0" w:rsidRPr="00F4231A">
        <w:rPr>
          <w:rFonts w:ascii="Book Antiqua" w:hAnsi="Book Antiqua" w:cs="Arial"/>
          <w:sz w:val="24"/>
          <w:szCs w:val="24"/>
        </w:rPr>
        <w:fldChar w:fldCharType="end"/>
      </w:r>
      <w:r w:rsidR="009323A0" w:rsidRPr="00F4231A">
        <w:rPr>
          <w:rFonts w:ascii="Book Antiqua" w:hAnsi="Book Antiqua" w:cs="Arial"/>
          <w:sz w:val="24"/>
          <w:szCs w:val="24"/>
        </w:rPr>
      </w:r>
      <w:r w:rsidR="009323A0" w:rsidRPr="00F4231A">
        <w:rPr>
          <w:rFonts w:ascii="Book Antiqua" w:hAnsi="Book Antiqua" w:cs="Arial"/>
          <w:sz w:val="24"/>
          <w:szCs w:val="24"/>
        </w:rPr>
        <w:fldChar w:fldCharType="separate"/>
      </w:r>
      <w:r w:rsidR="009323A0" w:rsidRPr="00F4231A">
        <w:rPr>
          <w:rFonts w:ascii="Book Antiqua" w:hAnsi="Book Antiqua" w:cs="Arial"/>
          <w:noProof/>
          <w:sz w:val="24"/>
          <w:szCs w:val="24"/>
          <w:vertAlign w:val="superscript"/>
        </w:rPr>
        <w:t>[20,21]</w:t>
      </w:r>
      <w:r w:rsidR="009323A0" w:rsidRPr="00F4231A">
        <w:rPr>
          <w:rFonts w:ascii="Book Antiqua" w:hAnsi="Book Antiqua" w:cs="Arial"/>
          <w:sz w:val="24"/>
          <w:szCs w:val="24"/>
        </w:rPr>
        <w:fldChar w:fldCharType="end"/>
      </w:r>
      <w:r w:rsidR="009323A0" w:rsidRPr="00F4231A">
        <w:rPr>
          <w:rFonts w:ascii="Book Antiqua" w:hAnsi="Book Antiqua" w:cs="Arial"/>
          <w:sz w:val="24"/>
          <w:szCs w:val="24"/>
        </w:rPr>
        <w:t xml:space="preserve">. </w:t>
      </w:r>
      <w:r w:rsidR="008B1052" w:rsidRPr="00F4231A">
        <w:rPr>
          <w:rFonts w:ascii="Book Antiqua" w:hAnsi="Book Antiqua" w:cs="Arial"/>
          <w:sz w:val="24"/>
          <w:szCs w:val="24"/>
        </w:rPr>
        <w:t xml:space="preserve">Blood samples were obtained </w:t>
      </w:r>
      <w:r w:rsidR="0083052D" w:rsidRPr="00F4231A">
        <w:rPr>
          <w:rFonts w:ascii="Book Antiqua" w:hAnsi="Book Antiqua" w:cs="Arial"/>
          <w:sz w:val="24"/>
          <w:szCs w:val="24"/>
        </w:rPr>
        <w:t xml:space="preserve">on the day of </w:t>
      </w:r>
      <w:r w:rsidR="00F63233" w:rsidRPr="00F4231A">
        <w:rPr>
          <w:rFonts w:ascii="Book Antiqua" w:hAnsi="Book Antiqua" w:cs="Arial"/>
          <w:sz w:val="24"/>
          <w:szCs w:val="24"/>
        </w:rPr>
        <w:t>the</w:t>
      </w:r>
      <w:r w:rsidR="0083052D" w:rsidRPr="00F4231A">
        <w:rPr>
          <w:rFonts w:ascii="Book Antiqua" w:hAnsi="Book Antiqua" w:cs="Arial"/>
          <w:sz w:val="24"/>
          <w:szCs w:val="24"/>
        </w:rPr>
        <w:t xml:space="preserve"> liver biopsy </w:t>
      </w:r>
      <w:r w:rsidR="008B1052" w:rsidRPr="00F4231A">
        <w:rPr>
          <w:rFonts w:ascii="Book Antiqua" w:hAnsi="Book Antiqua" w:cs="Arial"/>
          <w:sz w:val="24"/>
          <w:szCs w:val="24"/>
        </w:rPr>
        <w:t xml:space="preserve">in a fasting state and </w:t>
      </w:r>
      <w:r w:rsidR="0083052D" w:rsidRPr="00F4231A">
        <w:rPr>
          <w:rFonts w:ascii="Book Antiqua" w:hAnsi="Book Antiqua" w:cs="Arial"/>
          <w:sz w:val="24"/>
          <w:szCs w:val="24"/>
        </w:rPr>
        <w:t xml:space="preserve">routine </w:t>
      </w:r>
      <w:r w:rsidR="008B1052" w:rsidRPr="00F4231A">
        <w:rPr>
          <w:rFonts w:ascii="Book Antiqua" w:hAnsi="Book Antiqua" w:cs="Arial"/>
          <w:sz w:val="24"/>
          <w:szCs w:val="24"/>
        </w:rPr>
        <w:t>examinations</w:t>
      </w:r>
      <w:r w:rsidR="00F63233" w:rsidRPr="00F4231A">
        <w:rPr>
          <w:rFonts w:ascii="Book Antiqua" w:hAnsi="Book Antiqua" w:cs="Arial"/>
          <w:sz w:val="24"/>
          <w:szCs w:val="24"/>
        </w:rPr>
        <w:t xml:space="preserve">, such as </w:t>
      </w:r>
      <w:r w:rsidR="008B1052" w:rsidRPr="00F4231A">
        <w:rPr>
          <w:rFonts w:ascii="Book Antiqua" w:hAnsi="Book Antiqua" w:cs="Arial"/>
          <w:sz w:val="24"/>
          <w:szCs w:val="24"/>
        </w:rPr>
        <w:t>complete blo</w:t>
      </w:r>
      <w:r w:rsidR="00F63233" w:rsidRPr="00F4231A">
        <w:rPr>
          <w:rFonts w:ascii="Book Antiqua" w:hAnsi="Book Antiqua" w:cs="Arial"/>
          <w:sz w:val="24"/>
          <w:szCs w:val="24"/>
        </w:rPr>
        <w:t>od counts</w:t>
      </w:r>
      <w:r w:rsidR="002F13F2" w:rsidRPr="00F4231A">
        <w:rPr>
          <w:rFonts w:ascii="Book Antiqua" w:hAnsi="Book Antiqua" w:cs="Arial"/>
          <w:sz w:val="24"/>
          <w:szCs w:val="24"/>
        </w:rPr>
        <w:t xml:space="preserve">, </w:t>
      </w:r>
      <w:r w:rsidR="002F16BE" w:rsidRPr="00F4231A">
        <w:rPr>
          <w:rFonts w:ascii="Book Antiqua" w:hAnsi="Book Antiqua" w:cs="Arial"/>
          <w:sz w:val="24"/>
          <w:szCs w:val="24"/>
        </w:rPr>
        <w:t>coagulation, and blood chemistr</w:t>
      </w:r>
      <w:r w:rsidR="0083052D" w:rsidRPr="00F4231A">
        <w:rPr>
          <w:rFonts w:ascii="Book Antiqua" w:hAnsi="Book Antiqua" w:cs="Arial"/>
          <w:sz w:val="24"/>
          <w:szCs w:val="24"/>
        </w:rPr>
        <w:t xml:space="preserve">y that included </w:t>
      </w:r>
      <w:r w:rsidR="002F16BE" w:rsidRPr="00F4231A">
        <w:rPr>
          <w:rFonts w:ascii="Book Antiqua" w:hAnsi="Book Antiqua" w:cs="Arial"/>
          <w:sz w:val="24"/>
          <w:szCs w:val="24"/>
        </w:rPr>
        <w:t xml:space="preserve">serum </w:t>
      </w:r>
      <w:r w:rsidR="002F13F2" w:rsidRPr="00F4231A">
        <w:rPr>
          <w:rFonts w:ascii="Book Antiqua" w:hAnsi="Book Antiqua" w:cs="Arial"/>
          <w:sz w:val="24"/>
          <w:szCs w:val="24"/>
        </w:rPr>
        <w:t>aspartate aminotransferase (AST) and a</w:t>
      </w:r>
      <w:r w:rsidR="00BA0B99" w:rsidRPr="00F4231A">
        <w:rPr>
          <w:rFonts w:ascii="Book Antiqua" w:hAnsi="Book Antiqua" w:cs="Arial"/>
          <w:sz w:val="24"/>
          <w:szCs w:val="24"/>
        </w:rPr>
        <w:t>lanine aminotransferase (ALT)</w:t>
      </w:r>
      <w:r w:rsidR="002F16BE" w:rsidRPr="00F4231A">
        <w:rPr>
          <w:rFonts w:ascii="Book Antiqua" w:hAnsi="Book Antiqua" w:cs="Arial"/>
          <w:sz w:val="24"/>
          <w:szCs w:val="24"/>
        </w:rPr>
        <w:t xml:space="preserve">, </w:t>
      </w:r>
      <w:r w:rsidR="008B1052" w:rsidRPr="00F4231A">
        <w:rPr>
          <w:rFonts w:ascii="Book Antiqua" w:hAnsi="Book Antiqua" w:cs="Arial"/>
          <w:sz w:val="24"/>
          <w:szCs w:val="24"/>
        </w:rPr>
        <w:t xml:space="preserve">were carried out using standard </w:t>
      </w:r>
      <w:r w:rsidR="00F63233" w:rsidRPr="00F4231A">
        <w:rPr>
          <w:rFonts w:ascii="Book Antiqua" w:hAnsi="Book Antiqua" w:cs="Arial"/>
          <w:sz w:val="24"/>
          <w:szCs w:val="24"/>
        </w:rPr>
        <w:t xml:space="preserve">laboratory </w:t>
      </w:r>
      <w:r w:rsidR="008B1052" w:rsidRPr="00F4231A">
        <w:rPr>
          <w:rFonts w:ascii="Book Antiqua" w:hAnsi="Book Antiqua" w:cs="Arial"/>
          <w:sz w:val="24"/>
          <w:szCs w:val="24"/>
        </w:rPr>
        <w:t>methods</w:t>
      </w:r>
      <w:r w:rsidR="0073781E" w:rsidRPr="00F4231A">
        <w:rPr>
          <w:rFonts w:ascii="Book Antiqua" w:hAnsi="Book Antiqua" w:cs="Arial"/>
          <w:sz w:val="24"/>
          <w:szCs w:val="24"/>
        </w:rPr>
        <w:t xml:space="preserve">. </w:t>
      </w:r>
      <w:r w:rsidR="000B3C0A" w:rsidRPr="00F4231A">
        <w:rPr>
          <w:rFonts w:ascii="Book Antiqua" w:hAnsi="Book Antiqua" w:cs="Arial"/>
          <w:sz w:val="24"/>
          <w:szCs w:val="24"/>
        </w:rPr>
        <w:t xml:space="preserve">The </w:t>
      </w:r>
      <w:r w:rsidR="008B1052" w:rsidRPr="00F4231A">
        <w:rPr>
          <w:rFonts w:ascii="Book Antiqua" w:hAnsi="Book Antiqua" w:cs="Arial"/>
          <w:sz w:val="24"/>
          <w:szCs w:val="24"/>
        </w:rPr>
        <w:t xml:space="preserve">remaining sera </w:t>
      </w:r>
      <w:r w:rsidR="0083052D" w:rsidRPr="00F4231A">
        <w:rPr>
          <w:rFonts w:ascii="Book Antiqua" w:hAnsi="Book Antiqua" w:cs="Arial"/>
          <w:sz w:val="24"/>
          <w:szCs w:val="24"/>
        </w:rPr>
        <w:t xml:space="preserve">samples </w:t>
      </w:r>
      <w:r w:rsidR="008B1052" w:rsidRPr="00F4231A">
        <w:rPr>
          <w:rFonts w:ascii="Book Antiqua" w:hAnsi="Book Antiqua" w:cs="Arial"/>
          <w:sz w:val="24"/>
          <w:szCs w:val="24"/>
        </w:rPr>
        <w:t>were immediately frozen and kept at -80</w:t>
      </w:r>
      <w:r w:rsidR="00864583" w:rsidRPr="00F4231A">
        <w:rPr>
          <w:rFonts w:ascii="Book Antiqua" w:hAnsi="Book Antiqua" w:cs="Arial"/>
          <w:sz w:val="24"/>
          <w:szCs w:val="24"/>
        </w:rPr>
        <w:t xml:space="preserve"> </w:t>
      </w:r>
      <w:r w:rsidR="00864583" w:rsidRPr="00F4231A">
        <w:rPr>
          <w:rFonts w:ascii="Book Antiqua" w:hAnsi="Book Antiqua" w:cs="Arial"/>
          <w:sz w:val="24"/>
          <w:szCs w:val="24"/>
          <w:vertAlign w:val="superscript"/>
        </w:rPr>
        <w:t>o</w:t>
      </w:r>
      <w:r w:rsidR="008B1052" w:rsidRPr="00F4231A">
        <w:rPr>
          <w:rFonts w:ascii="Book Antiqua" w:hAnsi="Book Antiqua" w:cs="Arial"/>
          <w:sz w:val="24"/>
          <w:szCs w:val="24"/>
        </w:rPr>
        <w:t>C</w:t>
      </w:r>
      <w:r w:rsidR="00312924" w:rsidRPr="00F4231A">
        <w:rPr>
          <w:rFonts w:ascii="Book Antiqua" w:hAnsi="Book Antiqua" w:cs="Arial"/>
          <w:sz w:val="24"/>
          <w:szCs w:val="24"/>
        </w:rPr>
        <w:t xml:space="preserve"> until </w:t>
      </w:r>
      <w:r w:rsidR="0083052D" w:rsidRPr="00F4231A">
        <w:rPr>
          <w:rFonts w:ascii="Book Antiqua" w:hAnsi="Book Antiqua" w:cs="Arial"/>
          <w:sz w:val="24"/>
          <w:szCs w:val="24"/>
        </w:rPr>
        <w:t xml:space="preserve">further </w:t>
      </w:r>
      <w:r w:rsidR="00312924" w:rsidRPr="00F4231A">
        <w:rPr>
          <w:rFonts w:ascii="Book Antiqua" w:hAnsi="Book Antiqua" w:cs="Arial"/>
          <w:sz w:val="24"/>
          <w:szCs w:val="24"/>
        </w:rPr>
        <w:t>use</w:t>
      </w:r>
      <w:r w:rsidR="00D51844" w:rsidRPr="00F4231A">
        <w:rPr>
          <w:rFonts w:ascii="Book Antiqua" w:hAnsi="Book Antiqua" w:cs="Arial"/>
          <w:sz w:val="24"/>
          <w:szCs w:val="24"/>
        </w:rPr>
        <w:t xml:space="preserve">. </w:t>
      </w:r>
    </w:p>
    <w:p w:rsidR="001A35BD" w:rsidRPr="00F4231A" w:rsidRDefault="001A35BD" w:rsidP="00F4231A">
      <w:pPr>
        <w:snapToGrid w:val="0"/>
        <w:spacing w:line="360" w:lineRule="auto"/>
        <w:rPr>
          <w:rFonts w:ascii="Book Antiqua" w:hAnsi="Book Antiqua" w:cs="Arial"/>
          <w:b/>
          <w:i/>
          <w:sz w:val="24"/>
          <w:szCs w:val="24"/>
        </w:rPr>
      </w:pPr>
    </w:p>
    <w:p w:rsidR="00D377E6" w:rsidRPr="00F4231A" w:rsidRDefault="001B54FB" w:rsidP="00F4231A">
      <w:pPr>
        <w:snapToGrid w:val="0"/>
        <w:spacing w:line="360" w:lineRule="auto"/>
        <w:rPr>
          <w:rFonts w:ascii="Book Antiqua" w:hAnsi="Book Antiqua" w:cs="Arial"/>
          <w:sz w:val="24"/>
          <w:szCs w:val="24"/>
        </w:rPr>
      </w:pPr>
      <w:r w:rsidRPr="00F4231A">
        <w:rPr>
          <w:rFonts w:ascii="Book Antiqua" w:hAnsi="Book Antiqua" w:cs="Arial"/>
          <w:b/>
          <w:i/>
          <w:sz w:val="24"/>
          <w:szCs w:val="24"/>
        </w:rPr>
        <w:t xml:space="preserve">Histopathological </w:t>
      </w:r>
      <w:r w:rsidR="006D304A" w:rsidRPr="00F4231A">
        <w:rPr>
          <w:rFonts w:ascii="Book Antiqua" w:hAnsi="Book Antiqua" w:cs="Arial"/>
          <w:b/>
          <w:i/>
          <w:sz w:val="24"/>
          <w:szCs w:val="24"/>
        </w:rPr>
        <w:t>a</w:t>
      </w:r>
      <w:r w:rsidRPr="00F4231A">
        <w:rPr>
          <w:rFonts w:ascii="Book Antiqua" w:hAnsi="Book Antiqua" w:cs="Arial"/>
          <w:b/>
          <w:i/>
          <w:sz w:val="24"/>
          <w:szCs w:val="24"/>
        </w:rPr>
        <w:t>nalysis</w:t>
      </w:r>
    </w:p>
    <w:p w:rsidR="009A7FD4" w:rsidRPr="00F4231A" w:rsidRDefault="0083052D" w:rsidP="00F4231A">
      <w:pPr>
        <w:pStyle w:val="BodyText"/>
        <w:snapToGrid w:val="0"/>
        <w:spacing w:line="360" w:lineRule="auto"/>
        <w:rPr>
          <w:rFonts w:ascii="Book Antiqua" w:hAnsi="Book Antiqua" w:cs="Arial"/>
        </w:rPr>
      </w:pPr>
      <w:r w:rsidRPr="00F4231A">
        <w:rPr>
          <w:rFonts w:ascii="Book Antiqua" w:hAnsi="Book Antiqua" w:cs="Arial"/>
        </w:rPr>
        <w:t xml:space="preserve">Biopsy </w:t>
      </w:r>
      <w:r w:rsidR="001B54FB" w:rsidRPr="00F4231A">
        <w:rPr>
          <w:rFonts w:ascii="Book Antiqua" w:hAnsi="Book Antiqua" w:cs="Arial"/>
        </w:rPr>
        <w:t xml:space="preserve">specimens were obtained from </w:t>
      </w:r>
      <w:r w:rsidRPr="00F4231A">
        <w:rPr>
          <w:rFonts w:ascii="Book Antiqua" w:hAnsi="Book Antiqua" w:cs="Arial"/>
        </w:rPr>
        <w:t xml:space="preserve">liver segment 5 or 8 using a </w:t>
      </w:r>
      <w:r w:rsidR="001B54FB" w:rsidRPr="00F4231A">
        <w:rPr>
          <w:rFonts w:ascii="Book Antiqua" w:hAnsi="Book Antiqua" w:cs="Arial"/>
        </w:rPr>
        <w:t>14-</w:t>
      </w:r>
      <w:r w:rsidR="00722FE0" w:rsidRPr="00F4231A">
        <w:rPr>
          <w:rFonts w:ascii="Book Antiqua" w:hAnsi="Book Antiqua" w:cs="Arial"/>
        </w:rPr>
        <w:t>gauge needle</w:t>
      </w:r>
      <w:r w:rsidR="001B54FB" w:rsidRPr="00F4231A">
        <w:rPr>
          <w:rFonts w:ascii="Book Antiqua" w:hAnsi="Book Antiqua" w:cs="Arial"/>
        </w:rPr>
        <w:t xml:space="preserve"> </w:t>
      </w:r>
      <w:r w:rsidR="003B50E1" w:rsidRPr="00F4231A">
        <w:rPr>
          <w:rFonts w:ascii="Book Antiqua" w:hAnsi="Book Antiqua" w:cs="Arial"/>
        </w:rPr>
        <w:t xml:space="preserve">as described previously </w:t>
      </w:r>
      <w:r w:rsidR="001B54FB" w:rsidRPr="00F4231A">
        <w:rPr>
          <w:rFonts w:ascii="Book Antiqua" w:hAnsi="Book Antiqua" w:cs="Arial"/>
        </w:rPr>
        <w:t>and immediately fixed in</w:t>
      </w:r>
      <w:r w:rsidR="003B50E1" w:rsidRPr="00F4231A">
        <w:rPr>
          <w:rFonts w:ascii="Book Antiqua" w:hAnsi="Book Antiqua" w:cs="Arial"/>
        </w:rPr>
        <w:t xml:space="preserve"> 10% neutral formalin</w:t>
      </w:r>
      <w:r w:rsidR="00006094" w:rsidRPr="00F4231A">
        <w:rPr>
          <w:rFonts w:ascii="Book Antiqua" w:hAnsi="Book Antiqua" w:cs="Arial"/>
        </w:rPr>
        <w:t xml:space="preserve">. </w:t>
      </w:r>
      <w:r w:rsidR="001B54FB" w:rsidRPr="00F4231A">
        <w:rPr>
          <w:rFonts w:ascii="Book Antiqua" w:hAnsi="Book Antiqua" w:cs="Arial"/>
        </w:rPr>
        <w:t xml:space="preserve">Sections were cut </w:t>
      </w:r>
      <w:r w:rsidR="00722FE0" w:rsidRPr="00F4231A">
        <w:rPr>
          <w:rFonts w:ascii="Book Antiqua" w:hAnsi="Book Antiqua" w:cs="Arial"/>
        </w:rPr>
        <w:t>at a</w:t>
      </w:r>
      <w:r w:rsidR="001B54FB" w:rsidRPr="00F4231A">
        <w:rPr>
          <w:rFonts w:ascii="Book Antiqua" w:hAnsi="Book Antiqua" w:cs="Arial"/>
        </w:rPr>
        <w:t xml:space="preserve"> 4-μm thickness and stained </w:t>
      </w:r>
      <w:r w:rsidR="00100121" w:rsidRPr="00F4231A">
        <w:rPr>
          <w:rFonts w:ascii="Book Antiqua" w:hAnsi="Book Antiqua" w:cs="Arial"/>
        </w:rPr>
        <w:t xml:space="preserve">by means of </w:t>
      </w:r>
      <w:r w:rsidR="00722FE0" w:rsidRPr="00F4231A">
        <w:rPr>
          <w:rFonts w:ascii="Book Antiqua" w:hAnsi="Book Antiqua" w:cs="Arial"/>
        </w:rPr>
        <w:t xml:space="preserve">the </w:t>
      </w:r>
      <w:r w:rsidR="001B54FB" w:rsidRPr="00F4231A">
        <w:rPr>
          <w:rFonts w:ascii="Book Antiqua" w:hAnsi="Book Antiqua" w:cs="Arial"/>
        </w:rPr>
        <w:t xml:space="preserve">hematoxylin and eosin </w:t>
      </w:r>
      <w:r w:rsidR="00E231A1" w:rsidRPr="00F4231A">
        <w:rPr>
          <w:rFonts w:ascii="Book Antiqua" w:hAnsi="Book Antiqua" w:cs="Arial"/>
        </w:rPr>
        <w:t>and Azan-Mallory methods</w:t>
      </w:r>
      <w:r w:rsidR="00722FE0" w:rsidRPr="00F4231A">
        <w:rPr>
          <w:rFonts w:ascii="Book Antiqua" w:hAnsi="Book Antiqua" w:cs="Arial"/>
        </w:rPr>
        <w:t xml:space="preserve">. </w:t>
      </w:r>
      <w:r w:rsidR="00A13353" w:rsidRPr="00F4231A">
        <w:rPr>
          <w:rFonts w:ascii="Book Antiqua" w:hAnsi="Book Antiqua" w:cs="Arial"/>
        </w:rPr>
        <w:t>The his</w:t>
      </w:r>
      <w:r w:rsidR="00CF1D6F" w:rsidRPr="00F4231A">
        <w:rPr>
          <w:rFonts w:ascii="Book Antiqua" w:hAnsi="Book Antiqua" w:cs="Arial"/>
        </w:rPr>
        <w:t>tological activity of NAFLD was</w:t>
      </w:r>
      <w:r w:rsidR="00A13353" w:rsidRPr="00F4231A">
        <w:rPr>
          <w:rFonts w:ascii="Book Antiqua" w:hAnsi="Book Antiqua" w:cs="Arial"/>
        </w:rPr>
        <w:t xml:space="preserve"> assessed by an independent </w:t>
      </w:r>
      <w:r w:rsidR="00671794" w:rsidRPr="00F4231A">
        <w:rPr>
          <w:rFonts w:ascii="Book Antiqua" w:hAnsi="Book Antiqua" w:cs="Arial"/>
        </w:rPr>
        <w:t xml:space="preserve">expert </w:t>
      </w:r>
      <w:r w:rsidR="00A13353" w:rsidRPr="00F4231A">
        <w:rPr>
          <w:rFonts w:ascii="Book Antiqua" w:hAnsi="Book Antiqua" w:cs="Arial"/>
        </w:rPr>
        <w:t xml:space="preserve">pathologist (KS) in a blinded </w:t>
      </w:r>
      <w:r w:rsidR="00100121" w:rsidRPr="00F4231A">
        <w:rPr>
          <w:rFonts w:ascii="Book Antiqua" w:hAnsi="Book Antiqua" w:cs="Arial"/>
        </w:rPr>
        <w:t xml:space="preserve">manner </w:t>
      </w:r>
      <w:r w:rsidR="00722FE0" w:rsidRPr="00F4231A">
        <w:rPr>
          <w:rFonts w:ascii="Book Antiqua" w:hAnsi="Book Antiqua" w:cs="Arial"/>
        </w:rPr>
        <w:t xml:space="preserve">for </w:t>
      </w:r>
      <w:r w:rsidR="00671C87" w:rsidRPr="00F4231A">
        <w:rPr>
          <w:rFonts w:ascii="Book Antiqua" w:hAnsi="Book Antiqua" w:cs="Arial"/>
        </w:rPr>
        <w:t>the degree</w:t>
      </w:r>
      <w:r w:rsidR="00722FE0" w:rsidRPr="00F4231A">
        <w:rPr>
          <w:rFonts w:ascii="Book Antiqua" w:hAnsi="Book Antiqua" w:cs="Arial"/>
        </w:rPr>
        <w:t>s of steatosis, lobular inflammatio</w:t>
      </w:r>
      <w:r w:rsidR="005A60E0" w:rsidRPr="00F4231A">
        <w:rPr>
          <w:rFonts w:ascii="Book Antiqua" w:hAnsi="Book Antiqua" w:cs="Arial"/>
        </w:rPr>
        <w:t xml:space="preserve">n, ballooning, and fibrosis </w:t>
      </w:r>
      <w:r w:rsidR="00A13353" w:rsidRPr="00F4231A">
        <w:rPr>
          <w:rFonts w:ascii="Book Antiqua" w:hAnsi="Book Antiqua" w:cs="Arial"/>
        </w:rPr>
        <w:t xml:space="preserve">according to the system proposed by Kleiner </w:t>
      </w:r>
      <w:r w:rsidR="00A13353" w:rsidRPr="00F4231A">
        <w:rPr>
          <w:rFonts w:ascii="Book Antiqua" w:hAnsi="Book Antiqua" w:cs="Arial"/>
          <w:i/>
        </w:rPr>
        <w:t>et al</w:t>
      </w:r>
      <w:r w:rsidR="009323A0" w:rsidRPr="00F4231A">
        <w:rPr>
          <w:rFonts w:ascii="Book Antiqua" w:hAnsi="Book Antiqua" w:cs="Arial"/>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323A0" w:rsidRPr="00F4231A">
        <w:rPr>
          <w:rFonts w:ascii="Book Antiqua" w:hAnsi="Book Antiqua" w:cs="Arial"/>
        </w:rPr>
        <w:instrText xml:space="preserve"> ADDIN EN.CITE </w:instrText>
      </w:r>
      <w:r w:rsidR="009323A0" w:rsidRPr="00F4231A">
        <w:rPr>
          <w:rFonts w:ascii="Book Antiqua" w:hAnsi="Book Antiqua" w:cs="Arial"/>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323A0" w:rsidRPr="00F4231A">
        <w:rPr>
          <w:rFonts w:ascii="Book Antiqua" w:hAnsi="Book Antiqua" w:cs="Arial"/>
        </w:rPr>
        <w:instrText xml:space="preserve"> ADDIN EN.CITE.DATA </w:instrText>
      </w:r>
      <w:r w:rsidR="009323A0" w:rsidRPr="00F4231A">
        <w:rPr>
          <w:rFonts w:ascii="Book Antiqua" w:hAnsi="Book Antiqua" w:cs="Arial"/>
        </w:rPr>
      </w:r>
      <w:r w:rsidR="009323A0" w:rsidRPr="00F4231A">
        <w:rPr>
          <w:rFonts w:ascii="Book Antiqua" w:hAnsi="Book Antiqua" w:cs="Arial"/>
        </w:rPr>
        <w:fldChar w:fldCharType="end"/>
      </w:r>
      <w:r w:rsidR="009323A0" w:rsidRPr="00F4231A">
        <w:rPr>
          <w:rFonts w:ascii="Book Antiqua" w:hAnsi="Book Antiqua" w:cs="Arial"/>
        </w:rPr>
      </w:r>
      <w:r w:rsidR="009323A0" w:rsidRPr="00F4231A">
        <w:rPr>
          <w:rFonts w:ascii="Book Antiqua" w:hAnsi="Book Antiqua" w:cs="Arial"/>
        </w:rPr>
        <w:fldChar w:fldCharType="separate"/>
      </w:r>
      <w:r w:rsidR="009323A0" w:rsidRPr="00F4231A">
        <w:rPr>
          <w:rFonts w:ascii="Book Antiqua" w:hAnsi="Book Antiqua" w:cs="Arial"/>
          <w:noProof/>
          <w:vertAlign w:val="superscript"/>
        </w:rPr>
        <w:t>[22]</w:t>
      </w:r>
      <w:r w:rsidR="009323A0" w:rsidRPr="00F4231A">
        <w:rPr>
          <w:rFonts w:ascii="Book Antiqua" w:hAnsi="Book Antiqua" w:cs="Arial"/>
        </w:rPr>
        <w:fldChar w:fldCharType="end"/>
      </w:r>
      <w:r w:rsidR="009323A0" w:rsidRPr="00F4231A">
        <w:rPr>
          <w:rFonts w:ascii="Book Antiqua" w:hAnsi="Book Antiqua" w:cs="Arial"/>
        </w:rPr>
        <w:t xml:space="preserve">, </w:t>
      </w:r>
      <w:r w:rsidR="00D86401" w:rsidRPr="00F4231A">
        <w:rPr>
          <w:rFonts w:ascii="Book Antiqua" w:hAnsi="Book Antiqua" w:cs="Arial"/>
        </w:rPr>
        <w:t>as s</w:t>
      </w:r>
      <w:r w:rsidR="00722FE0" w:rsidRPr="00F4231A">
        <w:rPr>
          <w:rFonts w:ascii="Book Antiqua" w:hAnsi="Book Antiqua" w:cs="Arial"/>
        </w:rPr>
        <w:t>teatosis grade 1: 5</w:t>
      </w:r>
      <w:r w:rsidR="00CB79F5" w:rsidRPr="00F4231A">
        <w:rPr>
          <w:rFonts w:ascii="Book Antiqua" w:hAnsi="Book Antiqua" w:cs="Arial"/>
        </w:rPr>
        <w:t>%</w:t>
      </w:r>
      <w:r w:rsidR="00722FE0" w:rsidRPr="00F4231A">
        <w:rPr>
          <w:rFonts w:ascii="Book Antiqua" w:hAnsi="Book Antiqua" w:cs="Arial"/>
        </w:rPr>
        <w:t xml:space="preserve">-33% of hepatocytes affected, grade 2: </w:t>
      </w:r>
      <w:r w:rsidR="00671C87" w:rsidRPr="00F4231A">
        <w:rPr>
          <w:rFonts w:ascii="Book Antiqua" w:hAnsi="Book Antiqua" w:cs="Arial"/>
        </w:rPr>
        <w:t>33</w:t>
      </w:r>
      <w:r w:rsidR="00CB79F5" w:rsidRPr="00F4231A">
        <w:rPr>
          <w:rFonts w:ascii="Book Antiqua" w:hAnsi="Book Antiqua" w:cs="Arial"/>
        </w:rPr>
        <w:t>%</w:t>
      </w:r>
      <w:r w:rsidR="00671C87" w:rsidRPr="00F4231A">
        <w:rPr>
          <w:rFonts w:ascii="Book Antiqua" w:hAnsi="Book Antiqua" w:cs="Arial"/>
        </w:rPr>
        <w:t>-66% of hepatocytes affected</w:t>
      </w:r>
      <w:r w:rsidR="00722FE0" w:rsidRPr="00F4231A">
        <w:rPr>
          <w:rFonts w:ascii="Book Antiqua" w:hAnsi="Book Antiqua" w:cs="Arial"/>
        </w:rPr>
        <w:t xml:space="preserve">, </w:t>
      </w:r>
      <w:r w:rsidR="00671C87" w:rsidRPr="00F4231A">
        <w:rPr>
          <w:rFonts w:ascii="Book Antiqua" w:hAnsi="Book Antiqua" w:cs="Arial"/>
        </w:rPr>
        <w:t xml:space="preserve">and </w:t>
      </w:r>
      <w:r w:rsidR="00722FE0" w:rsidRPr="00F4231A">
        <w:rPr>
          <w:rFonts w:ascii="Book Antiqua" w:hAnsi="Book Antiqua" w:cs="Arial"/>
        </w:rPr>
        <w:t xml:space="preserve">grade </w:t>
      </w:r>
      <w:r w:rsidR="00671C87" w:rsidRPr="00F4231A">
        <w:rPr>
          <w:rFonts w:ascii="Book Antiqua" w:hAnsi="Book Antiqua" w:cs="Arial"/>
        </w:rPr>
        <w:t>3</w:t>
      </w:r>
      <w:r w:rsidR="00722FE0" w:rsidRPr="00F4231A">
        <w:rPr>
          <w:rFonts w:ascii="Book Antiqua" w:hAnsi="Book Antiqua" w:cs="Arial"/>
        </w:rPr>
        <w:t>: &gt;</w:t>
      </w:r>
      <w:r w:rsidR="00CB79F5" w:rsidRPr="00F4231A">
        <w:rPr>
          <w:rFonts w:ascii="Book Antiqua" w:hAnsi="Book Antiqua" w:cs="Arial"/>
        </w:rPr>
        <w:t xml:space="preserve"> </w:t>
      </w:r>
      <w:r w:rsidR="00722FE0" w:rsidRPr="00F4231A">
        <w:rPr>
          <w:rFonts w:ascii="Book Antiqua" w:hAnsi="Book Antiqua" w:cs="Arial"/>
        </w:rPr>
        <w:t xml:space="preserve">66% of hepatocytes affected; </w:t>
      </w:r>
      <w:r w:rsidR="00D86401" w:rsidRPr="00F4231A">
        <w:rPr>
          <w:rFonts w:ascii="Book Antiqua" w:hAnsi="Book Antiqua" w:cs="Arial"/>
        </w:rPr>
        <w:t>l</w:t>
      </w:r>
      <w:r w:rsidR="00722FE0" w:rsidRPr="00F4231A">
        <w:rPr>
          <w:rFonts w:ascii="Book Antiqua" w:hAnsi="Book Antiqua" w:cs="Arial"/>
        </w:rPr>
        <w:t xml:space="preserve">obular inflammation grade 0: no inflammatory foci, grade 1: </w:t>
      </w:r>
      <w:r w:rsidR="00671C87" w:rsidRPr="00F4231A">
        <w:rPr>
          <w:rFonts w:ascii="Book Antiqua" w:hAnsi="Book Antiqua" w:cs="Arial"/>
        </w:rPr>
        <w:t>&lt;</w:t>
      </w:r>
      <w:r w:rsidR="00CB79F5" w:rsidRPr="00F4231A">
        <w:rPr>
          <w:rFonts w:ascii="Book Antiqua" w:hAnsi="Book Antiqua" w:cs="Arial"/>
        </w:rPr>
        <w:t xml:space="preserve"> </w:t>
      </w:r>
      <w:r w:rsidR="00671C87" w:rsidRPr="00F4231A">
        <w:rPr>
          <w:rFonts w:ascii="Book Antiqua" w:hAnsi="Book Antiqua" w:cs="Arial"/>
        </w:rPr>
        <w:t>2 foci per 200</w:t>
      </w:r>
      <w:r w:rsidR="00CB79F5" w:rsidRPr="00F4231A">
        <w:rPr>
          <w:rFonts w:ascii="Book Antiqua" w:hAnsi="Book Antiqua" w:cs="Arial"/>
        </w:rPr>
        <w:t xml:space="preserve"> </w:t>
      </w:r>
      <w:r w:rsidR="00CB79F5" w:rsidRPr="00F4231A">
        <w:rPr>
          <w:rFonts w:ascii="Book Antiqua" w:hAnsi="Book Antiqua"/>
        </w:rPr>
        <w:t>×</w:t>
      </w:r>
      <w:r w:rsidR="00671C87" w:rsidRPr="00F4231A">
        <w:rPr>
          <w:rFonts w:ascii="Book Antiqua" w:hAnsi="Book Antiqua" w:cs="Arial"/>
        </w:rPr>
        <w:t xml:space="preserve"> ﬁeld</w:t>
      </w:r>
      <w:r w:rsidR="00722FE0" w:rsidRPr="00F4231A">
        <w:rPr>
          <w:rFonts w:ascii="Book Antiqua" w:hAnsi="Book Antiqua" w:cs="Arial"/>
        </w:rPr>
        <w:t>, grade 2: 2-4 foci per 200</w:t>
      </w:r>
      <w:r w:rsidR="00CB79F5" w:rsidRPr="00F4231A">
        <w:rPr>
          <w:rFonts w:ascii="Book Antiqua" w:hAnsi="Book Antiqua" w:cs="Arial"/>
        </w:rPr>
        <w:t xml:space="preserve"> </w:t>
      </w:r>
      <w:r w:rsidR="00CB79F5" w:rsidRPr="00F4231A">
        <w:rPr>
          <w:rFonts w:ascii="Book Antiqua" w:hAnsi="Book Antiqua"/>
        </w:rPr>
        <w:t>×</w:t>
      </w:r>
      <w:r w:rsidR="00722FE0" w:rsidRPr="00F4231A">
        <w:rPr>
          <w:rFonts w:ascii="Book Antiqua" w:hAnsi="Book Antiqua" w:cs="Arial"/>
        </w:rPr>
        <w:t xml:space="preserve"> ﬁeld, </w:t>
      </w:r>
      <w:r w:rsidR="00671C87" w:rsidRPr="00F4231A">
        <w:rPr>
          <w:rFonts w:ascii="Book Antiqua" w:hAnsi="Book Antiqua" w:cs="Arial"/>
        </w:rPr>
        <w:t xml:space="preserve">and </w:t>
      </w:r>
      <w:r w:rsidR="00722FE0" w:rsidRPr="00F4231A">
        <w:rPr>
          <w:rFonts w:ascii="Book Antiqua" w:hAnsi="Book Antiqua" w:cs="Arial"/>
        </w:rPr>
        <w:t xml:space="preserve">grade 3: </w:t>
      </w:r>
      <w:r w:rsidR="00671C87" w:rsidRPr="00F4231A">
        <w:rPr>
          <w:rFonts w:ascii="Book Antiqua" w:hAnsi="Book Antiqua" w:cs="Arial"/>
        </w:rPr>
        <w:t>&gt;</w:t>
      </w:r>
      <w:r w:rsidR="00CB79F5" w:rsidRPr="00F4231A">
        <w:rPr>
          <w:rFonts w:ascii="Book Antiqua" w:hAnsi="Book Antiqua" w:cs="Arial"/>
        </w:rPr>
        <w:t xml:space="preserve"> </w:t>
      </w:r>
      <w:r w:rsidR="00671C87" w:rsidRPr="00F4231A">
        <w:rPr>
          <w:rFonts w:ascii="Book Antiqua" w:hAnsi="Book Antiqua" w:cs="Arial"/>
        </w:rPr>
        <w:t>4 foci per 200</w:t>
      </w:r>
      <w:r w:rsidR="00CB79F5" w:rsidRPr="00F4231A">
        <w:rPr>
          <w:rFonts w:ascii="Book Antiqua" w:hAnsi="Book Antiqua" w:cs="Arial"/>
        </w:rPr>
        <w:t xml:space="preserve"> </w:t>
      </w:r>
      <w:r w:rsidR="00CB79F5" w:rsidRPr="00F4231A">
        <w:rPr>
          <w:rFonts w:ascii="Book Antiqua" w:hAnsi="Book Antiqua"/>
        </w:rPr>
        <w:t>×</w:t>
      </w:r>
      <w:r w:rsidR="00671C87" w:rsidRPr="00F4231A">
        <w:rPr>
          <w:rFonts w:ascii="Book Antiqua" w:hAnsi="Book Antiqua" w:cs="Arial"/>
        </w:rPr>
        <w:t xml:space="preserve"> ﬁeld</w:t>
      </w:r>
      <w:r w:rsidR="00722FE0" w:rsidRPr="00F4231A">
        <w:rPr>
          <w:rFonts w:ascii="Book Antiqua" w:hAnsi="Book Antiqua" w:cs="Arial"/>
        </w:rPr>
        <w:t xml:space="preserve">; </w:t>
      </w:r>
      <w:r w:rsidR="00D86401" w:rsidRPr="00F4231A">
        <w:rPr>
          <w:rFonts w:ascii="Book Antiqua" w:hAnsi="Book Antiqua" w:cs="Arial"/>
        </w:rPr>
        <w:t>b</w:t>
      </w:r>
      <w:r w:rsidR="00722FE0" w:rsidRPr="00F4231A">
        <w:rPr>
          <w:rFonts w:ascii="Book Antiqua" w:hAnsi="Book Antiqua" w:cs="Arial"/>
        </w:rPr>
        <w:t>al</w:t>
      </w:r>
      <w:r w:rsidR="00D86401" w:rsidRPr="00F4231A">
        <w:rPr>
          <w:rFonts w:ascii="Book Antiqua" w:hAnsi="Book Antiqua" w:cs="Arial"/>
        </w:rPr>
        <w:t>l</w:t>
      </w:r>
      <w:r w:rsidR="00722FE0" w:rsidRPr="00F4231A">
        <w:rPr>
          <w:rFonts w:ascii="Book Antiqua" w:hAnsi="Book Antiqua" w:cs="Arial"/>
        </w:rPr>
        <w:t xml:space="preserve">ooning grade 0: no ballooned hepatocytes, grade 1: </w:t>
      </w:r>
      <w:r w:rsidR="00671C87" w:rsidRPr="00F4231A">
        <w:rPr>
          <w:rFonts w:ascii="Book Antiqua" w:hAnsi="Book Antiqua" w:cs="Arial"/>
        </w:rPr>
        <w:t>a few ballooned hepatocytes</w:t>
      </w:r>
      <w:r w:rsidR="00722FE0" w:rsidRPr="00F4231A">
        <w:rPr>
          <w:rFonts w:ascii="Book Antiqua" w:hAnsi="Book Antiqua" w:cs="Arial"/>
        </w:rPr>
        <w:t xml:space="preserve">, and grade 2: </w:t>
      </w:r>
      <w:r w:rsidR="00671C87" w:rsidRPr="00F4231A">
        <w:rPr>
          <w:rFonts w:ascii="Book Antiqua" w:hAnsi="Book Antiqua" w:cs="Arial"/>
        </w:rPr>
        <w:t>many/prominent ballooned hepatocytes</w:t>
      </w:r>
      <w:r w:rsidR="00722FE0" w:rsidRPr="00F4231A">
        <w:rPr>
          <w:rFonts w:ascii="Book Antiqua" w:hAnsi="Book Antiqua" w:cs="Arial"/>
        </w:rPr>
        <w:t xml:space="preserve">; and fibrosis stage </w:t>
      </w:r>
      <w:r w:rsidR="005A60E0" w:rsidRPr="00F4231A">
        <w:rPr>
          <w:rFonts w:ascii="Book Antiqua" w:hAnsi="Book Antiqua" w:cs="Arial"/>
        </w:rPr>
        <w:t>(</w:t>
      </w:r>
      <w:r w:rsidR="00671C87" w:rsidRPr="00F4231A">
        <w:rPr>
          <w:rFonts w:ascii="Book Antiqua" w:hAnsi="Book Antiqua" w:cs="Arial"/>
        </w:rPr>
        <w:t>F</w:t>
      </w:r>
      <w:r w:rsidR="005A60E0" w:rsidRPr="00F4231A">
        <w:rPr>
          <w:rFonts w:ascii="Book Antiqua" w:hAnsi="Book Antiqua" w:cs="Arial"/>
        </w:rPr>
        <w:t xml:space="preserve">) </w:t>
      </w:r>
      <w:r w:rsidR="00722FE0" w:rsidRPr="00F4231A">
        <w:rPr>
          <w:rFonts w:ascii="Book Antiqua" w:hAnsi="Book Antiqua" w:cs="Arial"/>
        </w:rPr>
        <w:t xml:space="preserve">0: no fibrosis, F1: </w:t>
      </w:r>
      <w:r w:rsidR="00671C87" w:rsidRPr="00F4231A">
        <w:rPr>
          <w:rFonts w:ascii="Book Antiqua" w:hAnsi="Book Antiqua" w:cs="Arial"/>
        </w:rPr>
        <w:t>perisinusoidal, perivenular, or portal/periportal fibrosis</w:t>
      </w:r>
      <w:r w:rsidR="00722FE0" w:rsidRPr="00F4231A">
        <w:rPr>
          <w:rFonts w:ascii="Book Antiqua" w:hAnsi="Book Antiqua" w:cs="Arial"/>
        </w:rPr>
        <w:t xml:space="preserve">, F2: </w:t>
      </w:r>
      <w:r w:rsidR="00671C87" w:rsidRPr="00F4231A">
        <w:rPr>
          <w:rFonts w:ascii="Book Antiqua" w:hAnsi="Book Antiqua" w:cs="Arial"/>
        </w:rPr>
        <w:t>perisinusoidal and portal/periportal fibrosis</w:t>
      </w:r>
      <w:r w:rsidR="00722FE0" w:rsidRPr="00F4231A">
        <w:rPr>
          <w:rFonts w:ascii="Book Antiqua" w:hAnsi="Book Antiqua" w:cs="Arial"/>
        </w:rPr>
        <w:t xml:space="preserve">, F3: </w:t>
      </w:r>
      <w:r w:rsidR="00671C87" w:rsidRPr="00F4231A">
        <w:rPr>
          <w:rFonts w:ascii="Book Antiqua" w:hAnsi="Book Antiqua" w:cs="Arial"/>
        </w:rPr>
        <w:t>bridging fibrosis</w:t>
      </w:r>
      <w:r w:rsidR="00722FE0" w:rsidRPr="00F4231A">
        <w:rPr>
          <w:rFonts w:ascii="Book Antiqua" w:hAnsi="Book Antiqua" w:cs="Arial"/>
        </w:rPr>
        <w:t xml:space="preserve">, </w:t>
      </w:r>
      <w:r w:rsidR="00671C87" w:rsidRPr="00F4231A">
        <w:rPr>
          <w:rFonts w:ascii="Book Antiqua" w:hAnsi="Book Antiqua" w:cs="Arial"/>
        </w:rPr>
        <w:t>and F4</w:t>
      </w:r>
      <w:r w:rsidR="00722FE0" w:rsidRPr="00F4231A">
        <w:rPr>
          <w:rFonts w:ascii="Book Antiqua" w:hAnsi="Book Antiqua" w:cs="Arial"/>
        </w:rPr>
        <w:t xml:space="preserve">: </w:t>
      </w:r>
      <w:r w:rsidR="00671C87" w:rsidRPr="00F4231A">
        <w:rPr>
          <w:rFonts w:ascii="Book Antiqua" w:hAnsi="Book Antiqua" w:cs="Arial"/>
        </w:rPr>
        <w:t>cirrhosis</w:t>
      </w:r>
      <w:r w:rsidR="00D86401" w:rsidRPr="00F4231A">
        <w:rPr>
          <w:rFonts w:ascii="Book Antiqua" w:hAnsi="Book Antiqua" w:cs="Arial"/>
        </w:rPr>
        <w:t xml:space="preserve">. </w:t>
      </w:r>
      <w:r w:rsidR="003C2506" w:rsidRPr="00F4231A">
        <w:rPr>
          <w:rFonts w:ascii="Book Antiqua" w:hAnsi="Book Antiqua" w:cs="Arial"/>
        </w:rPr>
        <w:t xml:space="preserve">NASH </w:t>
      </w:r>
      <w:r w:rsidR="00722FE0" w:rsidRPr="00F4231A">
        <w:rPr>
          <w:rFonts w:ascii="Book Antiqua" w:hAnsi="Book Antiqua" w:cs="Arial"/>
        </w:rPr>
        <w:t xml:space="preserve">was </w:t>
      </w:r>
      <w:r w:rsidR="003C2506" w:rsidRPr="00F4231A">
        <w:rPr>
          <w:rFonts w:ascii="Book Antiqua" w:hAnsi="Book Antiqua" w:cs="Arial"/>
        </w:rPr>
        <w:t xml:space="preserve">defined as the presence of </w:t>
      </w:r>
      <w:r w:rsidR="003C2506" w:rsidRPr="00F4231A">
        <w:rPr>
          <w:rFonts w:ascii="Book Antiqua" w:hAnsi="Book Antiqua" w:cs="Arial"/>
        </w:rPr>
        <w:lastRenderedPageBreak/>
        <w:t>m</w:t>
      </w:r>
      <w:r w:rsidR="00100121" w:rsidRPr="00F4231A">
        <w:rPr>
          <w:rFonts w:ascii="Book Antiqua" w:hAnsi="Book Antiqua" w:cs="Arial"/>
        </w:rPr>
        <w:t>acrovesicular steatosis (</w:t>
      </w:r>
      <w:r w:rsidR="00CB79F5" w:rsidRPr="00F4231A">
        <w:rPr>
          <w:rFonts w:ascii="Book Antiqua" w:hAnsi="Book Antiqua" w:cs="Arial"/>
        </w:rPr>
        <w:t xml:space="preserve">≥ </w:t>
      </w:r>
      <w:r w:rsidR="003C2506" w:rsidRPr="00F4231A">
        <w:rPr>
          <w:rFonts w:ascii="Book Antiqua" w:hAnsi="Book Antiqua" w:cs="Arial"/>
        </w:rPr>
        <w:t>5% of hepatocyte</w:t>
      </w:r>
      <w:r w:rsidR="00722FE0" w:rsidRPr="00F4231A">
        <w:rPr>
          <w:rFonts w:ascii="Book Antiqua" w:hAnsi="Book Antiqua" w:cs="Arial"/>
        </w:rPr>
        <w:t>s</w:t>
      </w:r>
      <w:r w:rsidR="003C2506" w:rsidRPr="00F4231A">
        <w:rPr>
          <w:rFonts w:ascii="Book Antiqua" w:hAnsi="Book Antiqua" w:cs="Arial"/>
        </w:rPr>
        <w:t xml:space="preserve"> affected) and hepatocyte ballooning with </w:t>
      </w:r>
      <w:r w:rsidR="00722FE0" w:rsidRPr="00F4231A">
        <w:rPr>
          <w:rFonts w:ascii="Book Antiqua" w:hAnsi="Book Antiqua" w:cs="Arial"/>
        </w:rPr>
        <w:t xml:space="preserve">or </w:t>
      </w:r>
      <w:r w:rsidR="003C2506" w:rsidRPr="00F4231A">
        <w:rPr>
          <w:rFonts w:ascii="Book Antiqua" w:hAnsi="Book Antiqua" w:cs="Arial"/>
        </w:rPr>
        <w:t>without lo</w:t>
      </w:r>
      <w:r w:rsidR="00F939F0" w:rsidRPr="00F4231A">
        <w:rPr>
          <w:rFonts w:ascii="Book Antiqua" w:hAnsi="Book Antiqua" w:cs="Arial"/>
        </w:rPr>
        <w:t>b</w:t>
      </w:r>
      <w:r w:rsidR="003D68DB" w:rsidRPr="00F4231A">
        <w:rPr>
          <w:rFonts w:ascii="Book Antiqua" w:hAnsi="Book Antiqua" w:cs="Arial"/>
        </w:rPr>
        <w:t>ular inflammation and fibrosis</w:t>
      </w:r>
      <w:r w:rsidR="002406EB" w:rsidRPr="00F4231A">
        <w:rPr>
          <w:rFonts w:ascii="Book Antiqua" w:hAnsi="Book Antiqua" w:cs="Arial"/>
        </w:rPr>
        <w:t xml:space="preserve">. </w:t>
      </w:r>
      <w:r w:rsidR="00975C47" w:rsidRPr="00F4231A">
        <w:rPr>
          <w:rFonts w:ascii="Book Antiqua" w:hAnsi="Book Antiqua" w:cs="Arial"/>
        </w:rPr>
        <w:t xml:space="preserve">NAFLD patients having </w:t>
      </w:r>
      <w:r w:rsidR="00A56CBF" w:rsidRPr="00F4231A">
        <w:rPr>
          <w:rFonts w:ascii="Book Antiqua" w:hAnsi="Book Antiqua" w:cs="Arial"/>
        </w:rPr>
        <w:t>macrovesicu</w:t>
      </w:r>
      <w:r w:rsidR="002406EB" w:rsidRPr="00F4231A">
        <w:rPr>
          <w:rFonts w:ascii="Book Antiqua" w:hAnsi="Book Antiqua" w:cs="Arial"/>
        </w:rPr>
        <w:t>l</w:t>
      </w:r>
      <w:r w:rsidR="00A56CBF" w:rsidRPr="00F4231A">
        <w:rPr>
          <w:rFonts w:ascii="Book Antiqua" w:hAnsi="Book Antiqua" w:cs="Arial"/>
        </w:rPr>
        <w:t xml:space="preserve">ar steatosis without ballooning </w:t>
      </w:r>
      <w:r w:rsidR="002406EB" w:rsidRPr="00F4231A">
        <w:rPr>
          <w:rFonts w:ascii="Book Antiqua" w:hAnsi="Book Antiqua" w:cs="Arial"/>
        </w:rPr>
        <w:t xml:space="preserve">were diagnosed as having NAFL. </w:t>
      </w:r>
      <w:r w:rsidR="00671C87" w:rsidRPr="00F4231A">
        <w:rPr>
          <w:rFonts w:ascii="Book Antiqua" w:hAnsi="Book Antiqua" w:cs="Arial"/>
        </w:rPr>
        <w:t xml:space="preserve">The NAFLD activity score (NAS) </w:t>
      </w:r>
      <w:r w:rsidR="000A4952" w:rsidRPr="00F4231A">
        <w:rPr>
          <w:rFonts w:ascii="Book Antiqua" w:hAnsi="Book Antiqua" w:cs="Arial"/>
        </w:rPr>
        <w:t>was calculated as the unweighted sum of the</w:t>
      </w:r>
      <w:r w:rsidR="00671C87" w:rsidRPr="00F4231A">
        <w:rPr>
          <w:rFonts w:ascii="Book Antiqua" w:hAnsi="Book Antiqua" w:cs="Arial"/>
        </w:rPr>
        <w:t xml:space="preserve"> </w:t>
      </w:r>
      <w:r w:rsidR="000A4952" w:rsidRPr="00F4231A">
        <w:rPr>
          <w:rFonts w:ascii="Book Antiqua" w:hAnsi="Book Antiqua" w:cs="Arial"/>
        </w:rPr>
        <w:t xml:space="preserve">scores for </w:t>
      </w:r>
      <w:r w:rsidR="00510180" w:rsidRPr="00F4231A">
        <w:rPr>
          <w:rFonts w:ascii="Book Antiqua" w:hAnsi="Book Antiqua" w:cs="Arial"/>
        </w:rPr>
        <w:t>steatosis</w:t>
      </w:r>
      <w:r w:rsidR="000A4952" w:rsidRPr="00F4231A">
        <w:rPr>
          <w:rFonts w:ascii="Book Antiqua" w:hAnsi="Book Antiqua" w:cs="Arial"/>
        </w:rPr>
        <w:t xml:space="preserve"> (</w:t>
      </w:r>
      <w:r w:rsidR="00B30DCD" w:rsidRPr="00F4231A">
        <w:rPr>
          <w:rFonts w:ascii="Book Antiqua" w:hAnsi="Book Antiqua" w:cs="Arial"/>
        </w:rPr>
        <w:t>1</w:t>
      </w:r>
      <w:r w:rsidR="00671C87" w:rsidRPr="00F4231A">
        <w:rPr>
          <w:rFonts w:ascii="Book Antiqua" w:hAnsi="Book Antiqua" w:cs="Arial"/>
        </w:rPr>
        <w:t>-</w:t>
      </w:r>
      <w:r w:rsidR="000A4952" w:rsidRPr="00F4231A">
        <w:rPr>
          <w:rFonts w:ascii="Book Antiqua" w:hAnsi="Book Antiqua" w:cs="Arial"/>
        </w:rPr>
        <w:t>3), lobular inflammation (0</w:t>
      </w:r>
      <w:r w:rsidR="00B30DCD" w:rsidRPr="00F4231A">
        <w:rPr>
          <w:rFonts w:ascii="Book Antiqua" w:hAnsi="Book Antiqua" w:cs="Arial"/>
        </w:rPr>
        <w:t>-</w:t>
      </w:r>
      <w:r w:rsidR="000A4952" w:rsidRPr="00F4231A">
        <w:rPr>
          <w:rFonts w:ascii="Book Antiqua" w:hAnsi="Book Antiqua" w:cs="Arial"/>
        </w:rPr>
        <w:t>3)</w:t>
      </w:r>
      <w:r w:rsidR="00B30DCD" w:rsidRPr="00F4231A">
        <w:rPr>
          <w:rFonts w:ascii="Book Antiqua" w:hAnsi="Book Antiqua" w:cs="Arial"/>
        </w:rPr>
        <w:t xml:space="preserve">, </w:t>
      </w:r>
      <w:r w:rsidR="00510180" w:rsidRPr="00F4231A">
        <w:rPr>
          <w:rFonts w:ascii="Book Antiqua" w:hAnsi="Book Antiqua" w:cs="Arial"/>
        </w:rPr>
        <w:t xml:space="preserve">and ballooning (0-2), ranging </w:t>
      </w:r>
      <w:r w:rsidR="000A4952" w:rsidRPr="00F4231A">
        <w:rPr>
          <w:rFonts w:ascii="Book Antiqua" w:hAnsi="Book Antiqua" w:cs="Arial"/>
        </w:rPr>
        <w:t xml:space="preserve">from </w:t>
      </w:r>
      <w:r w:rsidR="00510180" w:rsidRPr="00F4231A">
        <w:rPr>
          <w:rFonts w:ascii="Book Antiqua" w:hAnsi="Book Antiqua" w:cs="Arial"/>
        </w:rPr>
        <w:t>1</w:t>
      </w:r>
      <w:r w:rsidR="000A4952" w:rsidRPr="00F4231A">
        <w:rPr>
          <w:rFonts w:ascii="Book Antiqua" w:hAnsi="Book Antiqua" w:cs="Arial"/>
        </w:rPr>
        <w:t xml:space="preserve"> to 8</w:t>
      </w:r>
      <w:r w:rsidR="00CB79F5" w:rsidRPr="00F4231A">
        <w:rPr>
          <w:rFonts w:ascii="Book Antiqua" w:hAnsi="Book Antiqua" w:cs="Arial"/>
        </w:rPr>
        <w:t>.</w:t>
      </w:r>
    </w:p>
    <w:p w:rsidR="001A35BD" w:rsidRPr="00F4231A" w:rsidRDefault="001A35BD" w:rsidP="00F4231A">
      <w:pPr>
        <w:pStyle w:val="BodyText"/>
        <w:snapToGrid w:val="0"/>
        <w:spacing w:line="360" w:lineRule="auto"/>
        <w:rPr>
          <w:rFonts w:ascii="Book Antiqua" w:hAnsi="Book Antiqua" w:cs="Arial"/>
          <w:b/>
          <w:i/>
        </w:rPr>
      </w:pPr>
    </w:p>
    <w:p w:rsidR="000B3C0A" w:rsidRPr="00F4231A" w:rsidRDefault="00B67FD1" w:rsidP="00F4231A">
      <w:pPr>
        <w:pStyle w:val="BodyText"/>
        <w:snapToGrid w:val="0"/>
        <w:spacing w:line="360" w:lineRule="auto"/>
        <w:rPr>
          <w:rFonts w:ascii="Book Antiqua" w:hAnsi="Book Antiqua" w:cs="Arial"/>
          <w:b/>
          <w:i/>
        </w:rPr>
      </w:pPr>
      <w:r w:rsidRPr="00F4231A">
        <w:rPr>
          <w:rFonts w:ascii="Book Antiqua" w:hAnsi="Book Antiqua" w:cs="Arial"/>
          <w:b/>
          <w:i/>
        </w:rPr>
        <w:t xml:space="preserve">Measurement of </w:t>
      </w:r>
      <w:r w:rsidR="006B6202" w:rsidRPr="00F4231A">
        <w:rPr>
          <w:rFonts w:ascii="Book Antiqua" w:hAnsi="Book Antiqua" w:cs="Arial"/>
          <w:b/>
          <w:i/>
        </w:rPr>
        <w:t xml:space="preserve">serum </w:t>
      </w:r>
      <w:r w:rsidRPr="00F4231A">
        <w:rPr>
          <w:rFonts w:ascii="Book Antiqua" w:hAnsi="Book Antiqua" w:cs="Arial"/>
          <w:b/>
          <w:i/>
        </w:rPr>
        <w:t xml:space="preserve">LBP and </w:t>
      </w:r>
      <w:r w:rsidR="0092534E" w:rsidRPr="00F4231A">
        <w:rPr>
          <w:rFonts w:ascii="Book Antiqua" w:hAnsi="Book Antiqua" w:cs="Arial"/>
          <w:b/>
          <w:i/>
        </w:rPr>
        <w:t>EndoCab IgG</w:t>
      </w:r>
      <w:r w:rsidR="006B6202" w:rsidRPr="00F4231A">
        <w:rPr>
          <w:rFonts w:ascii="Book Antiqua" w:hAnsi="Book Antiqua" w:cs="Arial"/>
          <w:b/>
          <w:i/>
        </w:rPr>
        <w:t xml:space="preserve"> levels</w:t>
      </w:r>
    </w:p>
    <w:p w:rsidR="003363AA" w:rsidRPr="00F4231A" w:rsidRDefault="000B3C0A" w:rsidP="00F4231A">
      <w:pPr>
        <w:pStyle w:val="BodyText"/>
        <w:snapToGrid w:val="0"/>
        <w:spacing w:line="360" w:lineRule="auto"/>
        <w:rPr>
          <w:rFonts w:ascii="Book Antiqua" w:hAnsi="Book Antiqua" w:cs="Arial"/>
          <w:b/>
          <w:i/>
        </w:rPr>
      </w:pPr>
      <w:r w:rsidRPr="00F4231A">
        <w:rPr>
          <w:rFonts w:ascii="Book Antiqua" w:hAnsi="Book Antiqua" w:cs="Arial"/>
        </w:rPr>
        <w:t>F</w:t>
      </w:r>
      <w:r w:rsidR="002A67CB" w:rsidRPr="00F4231A">
        <w:rPr>
          <w:rFonts w:ascii="Book Antiqua" w:hAnsi="Book Antiqua" w:cs="Arial"/>
        </w:rPr>
        <w:t xml:space="preserve">rozen </w:t>
      </w:r>
      <w:r w:rsidR="00312924" w:rsidRPr="00F4231A">
        <w:rPr>
          <w:rFonts w:ascii="Book Antiqua" w:hAnsi="Book Antiqua" w:cs="Arial"/>
        </w:rPr>
        <w:t>se</w:t>
      </w:r>
      <w:r w:rsidR="00416E01" w:rsidRPr="00F4231A">
        <w:rPr>
          <w:rFonts w:ascii="Book Antiqua" w:hAnsi="Book Antiqua" w:cs="Arial"/>
        </w:rPr>
        <w:t>rum samples</w:t>
      </w:r>
      <w:r w:rsidR="00312924" w:rsidRPr="00F4231A">
        <w:rPr>
          <w:rFonts w:ascii="Book Antiqua" w:hAnsi="Book Antiqua" w:cs="Arial"/>
        </w:rPr>
        <w:t xml:space="preserve"> </w:t>
      </w:r>
      <w:r w:rsidR="00804368" w:rsidRPr="00F4231A">
        <w:rPr>
          <w:rFonts w:ascii="Book Antiqua" w:hAnsi="Book Antiqua" w:cs="Arial"/>
        </w:rPr>
        <w:t xml:space="preserve">obtained </w:t>
      </w:r>
      <w:r w:rsidR="00F63233" w:rsidRPr="00F4231A">
        <w:rPr>
          <w:rFonts w:ascii="Book Antiqua" w:hAnsi="Book Antiqua" w:cs="Arial"/>
        </w:rPr>
        <w:t xml:space="preserve">at the time of liver biopsy </w:t>
      </w:r>
      <w:r w:rsidR="00312924" w:rsidRPr="00F4231A">
        <w:rPr>
          <w:rFonts w:ascii="Book Antiqua" w:hAnsi="Book Antiqua" w:cs="Arial"/>
        </w:rPr>
        <w:t xml:space="preserve">were </w:t>
      </w:r>
      <w:r w:rsidR="00D6496F" w:rsidRPr="00F4231A">
        <w:rPr>
          <w:rFonts w:ascii="Book Antiqua" w:hAnsi="Book Antiqua" w:cs="Arial"/>
        </w:rPr>
        <w:t xml:space="preserve">diluted </w:t>
      </w:r>
      <w:r w:rsidR="002A67CB" w:rsidRPr="00F4231A">
        <w:rPr>
          <w:rFonts w:ascii="Book Antiqua" w:hAnsi="Book Antiqua" w:cs="Arial"/>
        </w:rPr>
        <w:t xml:space="preserve">in </w:t>
      </w:r>
      <w:r w:rsidR="00D6496F" w:rsidRPr="00F4231A">
        <w:rPr>
          <w:rFonts w:ascii="Book Antiqua" w:hAnsi="Book Antiqua" w:cs="Arial"/>
        </w:rPr>
        <w:t>1000</w:t>
      </w:r>
      <w:r w:rsidR="00416E01" w:rsidRPr="00F4231A">
        <w:rPr>
          <w:rFonts w:ascii="Book Antiqua" w:hAnsi="Book Antiqua" w:cs="Arial"/>
        </w:rPr>
        <w:t>-</w:t>
      </w:r>
      <w:r w:rsidR="00D6496F" w:rsidRPr="00F4231A">
        <w:rPr>
          <w:rFonts w:ascii="Book Antiqua" w:hAnsi="Book Antiqua" w:cs="Arial"/>
        </w:rPr>
        <w:t xml:space="preserve"> and 2</w:t>
      </w:r>
      <w:r w:rsidR="00473A45" w:rsidRPr="00F4231A">
        <w:rPr>
          <w:rFonts w:ascii="Book Antiqua" w:hAnsi="Book Antiqua" w:cs="Arial"/>
        </w:rPr>
        <w:t>00</w:t>
      </w:r>
      <w:r w:rsidR="00416E01" w:rsidRPr="00F4231A">
        <w:rPr>
          <w:rFonts w:ascii="Book Antiqua" w:hAnsi="Book Antiqua" w:cs="Arial"/>
        </w:rPr>
        <w:t>-</w:t>
      </w:r>
      <w:r w:rsidR="00473A45" w:rsidRPr="00F4231A">
        <w:rPr>
          <w:rFonts w:ascii="Book Antiqua" w:hAnsi="Book Antiqua" w:cs="Arial"/>
        </w:rPr>
        <w:t xml:space="preserve">fold </w:t>
      </w:r>
      <w:r w:rsidR="003F033E" w:rsidRPr="00F4231A">
        <w:rPr>
          <w:rFonts w:ascii="Book Antiqua" w:hAnsi="Book Antiqua" w:cs="Arial"/>
        </w:rPr>
        <w:t>with dilution buffer</w:t>
      </w:r>
      <w:r w:rsidR="00416E01" w:rsidRPr="00F4231A">
        <w:rPr>
          <w:rFonts w:ascii="Book Antiqua" w:hAnsi="Book Antiqua" w:cs="Arial"/>
        </w:rPr>
        <w:t xml:space="preserve">, </w:t>
      </w:r>
      <w:r w:rsidR="008C766E" w:rsidRPr="00F4231A">
        <w:rPr>
          <w:rFonts w:ascii="Book Antiqua" w:hAnsi="Book Antiqua" w:cs="Arial"/>
        </w:rPr>
        <w:t xml:space="preserve">and serum </w:t>
      </w:r>
      <w:r w:rsidR="00473A45" w:rsidRPr="00F4231A">
        <w:rPr>
          <w:rFonts w:ascii="Book Antiqua" w:hAnsi="Book Antiqua" w:cs="Arial"/>
        </w:rPr>
        <w:t xml:space="preserve">LBP and EndoCab IgG </w:t>
      </w:r>
      <w:r w:rsidR="002A67CB" w:rsidRPr="00F4231A">
        <w:rPr>
          <w:rFonts w:ascii="Book Antiqua" w:hAnsi="Book Antiqua" w:cs="Arial"/>
        </w:rPr>
        <w:t xml:space="preserve">concentrations </w:t>
      </w:r>
      <w:r w:rsidR="00473A45" w:rsidRPr="00F4231A">
        <w:rPr>
          <w:rFonts w:ascii="Book Antiqua" w:hAnsi="Book Antiqua" w:cs="Arial"/>
        </w:rPr>
        <w:t xml:space="preserve">were measured in duplicates </w:t>
      </w:r>
      <w:r w:rsidR="002A67CB" w:rsidRPr="00F4231A">
        <w:rPr>
          <w:rFonts w:ascii="Book Antiqua" w:hAnsi="Book Antiqua" w:cs="Arial"/>
        </w:rPr>
        <w:t xml:space="preserve">using </w:t>
      </w:r>
      <w:r w:rsidR="00416E01" w:rsidRPr="00F4231A">
        <w:rPr>
          <w:rFonts w:ascii="Book Antiqua" w:hAnsi="Book Antiqua" w:cs="Arial"/>
        </w:rPr>
        <w:t xml:space="preserve">the </w:t>
      </w:r>
      <w:r w:rsidR="002A67CB" w:rsidRPr="00F4231A">
        <w:rPr>
          <w:rFonts w:ascii="Book Antiqua" w:hAnsi="Book Antiqua" w:cs="Arial"/>
        </w:rPr>
        <w:t xml:space="preserve">LBP ELISA kit (HK315-01, Hycult Biotech, Uden, the Netherlands) and </w:t>
      </w:r>
      <w:r w:rsidR="00416E01" w:rsidRPr="00F4231A">
        <w:rPr>
          <w:rFonts w:ascii="Book Antiqua" w:hAnsi="Book Antiqua" w:cs="Arial"/>
        </w:rPr>
        <w:t xml:space="preserve">the </w:t>
      </w:r>
      <w:r w:rsidR="002A67CB" w:rsidRPr="00F4231A">
        <w:rPr>
          <w:rFonts w:ascii="Book Antiqua" w:hAnsi="Book Antiqua" w:cs="Arial"/>
        </w:rPr>
        <w:t>ENDOCAB ELISA kit (HK504, Hycult Biotech), respectively, according to the manufacture</w:t>
      </w:r>
      <w:r w:rsidR="00416E01" w:rsidRPr="00F4231A">
        <w:rPr>
          <w:rFonts w:ascii="Book Antiqua" w:hAnsi="Book Antiqua" w:cs="Arial"/>
        </w:rPr>
        <w:t>r</w:t>
      </w:r>
      <w:r w:rsidR="002A67CB" w:rsidRPr="00F4231A">
        <w:rPr>
          <w:rFonts w:ascii="Book Antiqua" w:hAnsi="Book Antiqua" w:cs="Arial"/>
        </w:rPr>
        <w:t>’</w:t>
      </w:r>
      <w:r w:rsidR="00315EEB" w:rsidRPr="00F4231A">
        <w:rPr>
          <w:rFonts w:ascii="Book Antiqua" w:hAnsi="Book Antiqua" w:cs="Arial"/>
        </w:rPr>
        <w:t>s instruction</w:t>
      </w:r>
      <w:r w:rsidR="00416E01" w:rsidRPr="00F4231A">
        <w:rPr>
          <w:rFonts w:ascii="Book Antiqua" w:hAnsi="Book Antiqua" w:cs="Arial"/>
        </w:rPr>
        <w:t>s</w:t>
      </w:r>
      <w:r w:rsidR="00315EEB" w:rsidRPr="00F4231A">
        <w:rPr>
          <w:rFonts w:ascii="Book Antiqua" w:hAnsi="Book Antiqua" w:cs="Arial"/>
        </w:rPr>
        <w:t xml:space="preserve">. </w:t>
      </w:r>
    </w:p>
    <w:p w:rsidR="001A35BD" w:rsidRPr="00F4231A" w:rsidRDefault="001A35BD" w:rsidP="00F4231A">
      <w:pPr>
        <w:snapToGrid w:val="0"/>
        <w:spacing w:line="360" w:lineRule="auto"/>
        <w:rPr>
          <w:rFonts w:ascii="Book Antiqua" w:hAnsi="Book Antiqua" w:cs="Arial"/>
          <w:b/>
          <w:i/>
          <w:sz w:val="24"/>
          <w:szCs w:val="24"/>
        </w:rPr>
      </w:pPr>
    </w:p>
    <w:p w:rsidR="009D142A" w:rsidRPr="00F4231A" w:rsidRDefault="005C3F0C" w:rsidP="00F4231A">
      <w:pPr>
        <w:pStyle w:val="BodyText"/>
        <w:snapToGrid w:val="0"/>
        <w:spacing w:line="360" w:lineRule="auto"/>
        <w:rPr>
          <w:rFonts w:ascii="Book Antiqua" w:hAnsi="Book Antiqua" w:cs="Arial"/>
          <w:b/>
          <w:i/>
        </w:rPr>
      </w:pPr>
      <w:r w:rsidRPr="00F4231A">
        <w:rPr>
          <w:rFonts w:ascii="Book Antiqua" w:hAnsi="Book Antiqua" w:cs="Arial"/>
          <w:b/>
          <w:i/>
        </w:rPr>
        <w:t xml:space="preserve">Measurement of </w:t>
      </w:r>
      <w:r w:rsidR="006B6202" w:rsidRPr="00F4231A">
        <w:rPr>
          <w:rFonts w:ascii="Book Antiqua" w:hAnsi="Book Antiqua" w:cs="Arial"/>
          <w:b/>
          <w:i/>
        </w:rPr>
        <w:t xml:space="preserve">serum </w:t>
      </w:r>
      <w:r w:rsidR="004A4325" w:rsidRPr="00F4231A">
        <w:rPr>
          <w:rFonts w:ascii="Book Antiqua" w:hAnsi="Book Antiqua" w:cs="Arial"/>
          <w:b/>
          <w:i/>
        </w:rPr>
        <w:t>cytokeratin 18</w:t>
      </w:r>
      <w:r w:rsidR="00CB79F5" w:rsidRPr="00F4231A">
        <w:rPr>
          <w:rFonts w:ascii="Book Antiqua" w:hAnsi="Book Antiqua" w:cs="Arial"/>
          <w:b/>
          <w:i/>
        </w:rPr>
        <w:t xml:space="preserve"> </w:t>
      </w:r>
      <w:r w:rsidR="006B6202" w:rsidRPr="00F4231A">
        <w:rPr>
          <w:rFonts w:ascii="Book Antiqua" w:hAnsi="Book Antiqua" w:cs="Arial"/>
          <w:b/>
          <w:i/>
        </w:rPr>
        <w:t>fragment levels</w:t>
      </w:r>
    </w:p>
    <w:p w:rsidR="009D142A" w:rsidRPr="00F4231A" w:rsidRDefault="009D142A" w:rsidP="00F4231A">
      <w:pPr>
        <w:pStyle w:val="BodyText"/>
        <w:snapToGrid w:val="0"/>
        <w:spacing w:line="360" w:lineRule="auto"/>
        <w:rPr>
          <w:rFonts w:ascii="Book Antiqua" w:hAnsi="Book Antiqua" w:cs="Arial"/>
          <w:b/>
          <w:i/>
        </w:rPr>
      </w:pPr>
      <w:r w:rsidRPr="00F4231A">
        <w:rPr>
          <w:rFonts w:ascii="Book Antiqua" w:hAnsi="Book Antiqua" w:cs="Arial"/>
        </w:rPr>
        <w:t>S</w:t>
      </w:r>
      <w:r w:rsidR="00DC0221" w:rsidRPr="00F4231A">
        <w:rPr>
          <w:rFonts w:ascii="Book Antiqua" w:hAnsi="Book Antiqua" w:cs="Arial"/>
        </w:rPr>
        <w:t xml:space="preserve">erum </w:t>
      </w:r>
      <w:r w:rsidR="00B861BC" w:rsidRPr="00F4231A">
        <w:rPr>
          <w:rFonts w:ascii="Book Antiqua" w:hAnsi="Book Antiqua" w:cs="Arial"/>
        </w:rPr>
        <w:t>co</w:t>
      </w:r>
      <w:r w:rsidR="00A42D85" w:rsidRPr="00F4231A">
        <w:rPr>
          <w:rFonts w:ascii="Book Antiqua" w:hAnsi="Book Antiqua" w:cs="Arial"/>
        </w:rPr>
        <w:t xml:space="preserve">ncentrations of caspase-cleaved </w:t>
      </w:r>
      <w:r w:rsidR="00CB79F5" w:rsidRPr="00F4231A">
        <w:rPr>
          <w:rFonts w:ascii="Book Antiqua" w:hAnsi="Book Antiqua" w:cs="Arial"/>
        </w:rPr>
        <w:t>cytokeratin 18 (CK18)</w:t>
      </w:r>
      <w:r w:rsidR="00A42D85" w:rsidRPr="00F4231A">
        <w:rPr>
          <w:rFonts w:ascii="Book Antiqua" w:hAnsi="Book Antiqua" w:cs="Arial"/>
        </w:rPr>
        <w:t xml:space="preserve"> </w:t>
      </w:r>
      <w:r w:rsidR="00B861BC" w:rsidRPr="00F4231A">
        <w:rPr>
          <w:rFonts w:ascii="Book Antiqua" w:hAnsi="Book Antiqua" w:cs="Arial"/>
        </w:rPr>
        <w:t>fragment</w:t>
      </w:r>
      <w:r w:rsidR="00617571" w:rsidRPr="00F4231A">
        <w:rPr>
          <w:rFonts w:ascii="Book Antiqua" w:hAnsi="Book Antiqua" w:cs="Arial"/>
        </w:rPr>
        <w:t>s</w:t>
      </w:r>
      <w:r w:rsidR="00B861BC" w:rsidRPr="00F4231A">
        <w:rPr>
          <w:rFonts w:ascii="Book Antiqua" w:hAnsi="Book Antiqua" w:cs="Arial"/>
        </w:rPr>
        <w:t xml:space="preserve"> were </w:t>
      </w:r>
      <w:r w:rsidRPr="00F4231A">
        <w:rPr>
          <w:rFonts w:ascii="Book Antiqua" w:hAnsi="Book Antiqua" w:cs="Arial"/>
        </w:rPr>
        <w:t xml:space="preserve">measured using the </w:t>
      </w:r>
      <w:r w:rsidR="00DC0221" w:rsidRPr="00F4231A">
        <w:rPr>
          <w:rFonts w:ascii="Book Antiqua" w:hAnsi="Book Antiqua" w:cs="Arial"/>
        </w:rPr>
        <w:t xml:space="preserve">M30 Apoptosense® ELISA kit </w:t>
      </w:r>
      <w:r w:rsidRPr="00F4231A">
        <w:rPr>
          <w:rFonts w:ascii="Book Antiqua" w:hAnsi="Book Antiqua" w:cs="Arial"/>
        </w:rPr>
        <w:t>(</w:t>
      </w:r>
      <w:r w:rsidR="00DC0221" w:rsidRPr="00F4231A">
        <w:rPr>
          <w:rFonts w:ascii="Book Antiqua" w:hAnsi="Book Antiqua" w:cs="Arial"/>
        </w:rPr>
        <w:t>VLVbio AB, Nacka, Sweden</w:t>
      </w:r>
      <w:r w:rsidRPr="00F4231A">
        <w:rPr>
          <w:rFonts w:ascii="Book Antiqua" w:hAnsi="Book Antiqua" w:cs="Arial"/>
        </w:rPr>
        <w:t xml:space="preserve">) </w:t>
      </w:r>
      <w:r w:rsidR="00845824" w:rsidRPr="00F4231A">
        <w:rPr>
          <w:rFonts w:ascii="Book Antiqua" w:hAnsi="Book Antiqua" w:cs="Arial"/>
        </w:rPr>
        <w:t xml:space="preserve">as described </w:t>
      </w:r>
      <w:r w:rsidR="00DC0221" w:rsidRPr="00F4231A">
        <w:rPr>
          <w:rFonts w:ascii="Book Antiqua" w:hAnsi="Book Antiqua" w:cs="Arial"/>
        </w:rPr>
        <w:t>previously</w:t>
      </w:r>
      <w:r w:rsidR="0073781E" w:rsidRPr="00F4231A">
        <w:rPr>
          <w:rFonts w:ascii="Book Antiqua" w:hAnsi="Book Antiqua" w:cs="Arial"/>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73781E" w:rsidRPr="00F4231A">
        <w:rPr>
          <w:rFonts w:ascii="Book Antiqua" w:hAnsi="Book Antiqua" w:cs="Arial"/>
        </w:rPr>
        <w:instrText xml:space="preserve"> ADDIN EN.CITE </w:instrText>
      </w:r>
      <w:r w:rsidR="0073781E" w:rsidRPr="00F4231A">
        <w:rPr>
          <w:rFonts w:ascii="Book Antiqua" w:hAnsi="Book Antiqua" w:cs="Arial"/>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73781E" w:rsidRPr="00F4231A">
        <w:rPr>
          <w:rFonts w:ascii="Book Antiqua" w:hAnsi="Book Antiqua" w:cs="Arial"/>
        </w:rPr>
        <w:instrText xml:space="preserve"> ADDIN EN.CITE.DATA </w:instrText>
      </w:r>
      <w:r w:rsidR="0073781E" w:rsidRPr="00F4231A">
        <w:rPr>
          <w:rFonts w:ascii="Book Antiqua" w:hAnsi="Book Antiqua" w:cs="Arial"/>
        </w:rPr>
      </w:r>
      <w:r w:rsidR="0073781E" w:rsidRPr="00F4231A">
        <w:rPr>
          <w:rFonts w:ascii="Book Antiqua" w:hAnsi="Book Antiqua" w:cs="Arial"/>
        </w:rPr>
        <w:fldChar w:fldCharType="end"/>
      </w:r>
      <w:r w:rsidR="0073781E" w:rsidRPr="00F4231A">
        <w:rPr>
          <w:rFonts w:ascii="Book Antiqua" w:hAnsi="Book Antiqua" w:cs="Arial"/>
        </w:rPr>
      </w:r>
      <w:r w:rsidR="0073781E" w:rsidRPr="00F4231A">
        <w:rPr>
          <w:rFonts w:ascii="Book Antiqua" w:hAnsi="Book Antiqua" w:cs="Arial"/>
        </w:rPr>
        <w:fldChar w:fldCharType="separate"/>
      </w:r>
      <w:r w:rsidR="0073781E" w:rsidRPr="00F4231A">
        <w:rPr>
          <w:rFonts w:ascii="Book Antiqua" w:hAnsi="Book Antiqua" w:cs="Arial"/>
          <w:noProof/>
          <w:vertAlign w:val="superscript"/>
        </w:rPr>
        <w:t>[15]</w:t>
      </w:r>
      <w:r w:rsidR="0073781E" w:rsidRPr="00F4231A">
        <w:rPr>
          <w:rFonts w:ascii="Book Antiqua" w:hAnsi="Book Antiqua" w:cs="Arial"/>
        </w:rPr>
        <w:fldChar w:fldCharType="end"/>
      </w:r>
      <w:r w:rsidR="00B861BC" w:rsidRPr="00F4231A">
        <w:rPr>
          <w:rFonts w:ascii="Book Antiqua" w:hAnsi="Book Antiqua" w:cs="Arial"/>
        </w:rPr>
        <w:t>.</w:t>
      </w:r>
    </w:p>
    <w:p w:rsidR="009D142A" w:rsidRPr="00F4231A" w:rsidRDefault="009D142A" w:rsidP="00F4231A">
      <w:pPr>
        <w:snapToGrid w:val="0"/>
        <w:spacing w:line="360" w:lineRule="auto"/>
        <w:rPr>
          <w:rFonts w:ascii="Book Antiqua" w:hAnsi="Book Antiqua" w:cs="Arial"/>
          <w:b/>
          <w:i/>
          <w:sz w:val="24"/>
          <w:szCs w:val="24"/>
        </w:rPr>
      </w:pPr>
    </w:p>
    <w:p w:rsidR="00153EEE" w:rsidRPr="00F4231A" w:rsidRDefault="001B54FB" w:rsidP="00F4231A">
      <w:pPr>
        <w:snapToGrid w:val="0"/>
        <w:spacing w:line="360" w:lineRule="auto"/>
        <w:rPr>
          <w:rFonts w:ascii="Book Antiqua" w:hAnsi="Book Antiqua" w:cs="Arial"/>
          <w:sz w:val="24"/>
          <w:szCs w:val="24"/>
        </w:rPr>
      </w:pPr>
      <w:r w:rsidRPr="00F4231A">
        <w:rPr>
          <w:rFonts w:ascii="Book Antiqua" w:hAnsi="Book Antiqua" w:cs="Arial"/>
          <w:b/>
          <w:i/>
          <w:sz w:val="24"/>
          <w:szCs w:val="24"/>
        </w:rPr>
        <w:t xml:space="preserve">Statistical </w:t>
      </w:r>
      <w:r w:rsidR="006D304A" w:rsidRPr="00F4231A">
        <w:rPr>
          <w:rFonts w:ascii="Book Antiqua" w:hAnsi="Book Antiqua" w:cs="Arial"/>
          <w:b/>
          <w:i/>
          <w:sz w:val="24"/>
          <w:szCs w:val="24"/>
        </w:rPr>
        <w:t>a</w:t>
      </w:r>
      <w:r w:rsidRPr="00F4231A">
        <w:rPr>
          <w:rFonts w:ascii="Book Antiqua" w:hAnsi="Book Antiqua" w:cs="Arial"/>
          <w:b/>
          <w:i/>
          <w:sz w:val="24"/>
          <w:szCs w:val="24"/>
        </w:rPr>
        <w:t>nalysis</w:t>
      </w:r>
    </w:p>
    <w:p w:rsidR="00FE0B9E" w:rsidRPr="00F4231A" w:rsidRDefault="00E92F07" w:rsidP="00F4231A">
      <w:pPr>
        <w:snapToGrid w:val="0"/>
        <w:spacing w:line="360" w:lineRule="auto"/>
        <w:rPr>
          <w:rFonts w:ascii="Book Antiqua" w:hAnsi="Book Antiqua" w:cs="Arial"/>
          <w:sz w:val="24"/>
          <w:szCs w:val="24"/>
        </w:rPr>
      </w:pPr>
      <w:r w:rsidRPr="00F4231A">
        <w:rPr>
          <w:rFonts w:ascii="Book Antiqua" w:hAnsi="Book Antiqua" w:cs="Arial"/>
          <w:sz w:val="24"/>
          <w:szCs w:val="24"/>
        </w:rPr>
        <w:t xml:space="preserve">Data </w:t>
      </w:r>
      <w:r w:rsidR="003E4D76" w:rsidRPr="00F4231A">
        <w:rPr>
          <w:rFonts w:ascii="Book Antiqua" w:hAnsi="Book Antiqua" w:cs="Arial"/>
          <w:sz w:val="24"/>
          <w:szCs w:val="24"/>
        </w:rPr>
        <w:t>are</w:t>
      </w:r>
      <w:r w:rsidRPr="00F4231A">
        <w:rPr>
          <w:rFonts w:ascii="Book Antiqua" w:hAnsi="Book Antiqua" w:cs="Arial"/>
          <w:sz w:val="24"/>
          <w:szCs w:val="24"/>
        </w:rPr>
        <w:t xml:space="preserve"> expressed as </w:t>
      </w:r>
      <w:r w:rsidR="0078756A" w:rsidRPr="00F4231A">
        <w:rPr>
          <w:rFonts w:ascii="Book Antiqua" w:hAnsi="Book Antiqua" w:cs="Arial"/>
          <w:sz w:val="24"/>
          <w:szCs w:val="24"/>
        </w:rPr>
        <w:t xml:space="preserve">number </w:t>
      </w:r>
      <w:r w:rsidRPr="00F4231A">
        <w:rPr>
          <w:rFonts w:ascii="Book Antiqua" w:hAnsi="Book Antiqua" w:cs="Arial"/>
          <w:sz w:val="24"/>
          <w:szCs w:val="24"/>
        </w:rPr>
        <w:t>(percentage) or median (</w:t>
      </w:r>
      <w:r w:rsidR="00342F57" w:rsidRPr="00F4231A">
        <w:rPr>
          <w:rFonts w:ascii="Book Antiqua" w:hAnsi="Book Antiqua" w:cs="Arial"/>
          <w:sz w:val="24"/>
          <w:szCs w:val="24"/>
        </w:rPr>
        <w:t>25</w:t>
      </w:r>
      <w:r w:rsidR="00342F57" w:rsidRPr="00F4231A">
        <w:rPr>
          <w:rFonts w:ascii="Book Antiqua" w:hAnsi="Book Antiqua" w:cs="Arial"/>
          <w:sz w:val="24"/>
          <w:szCs w:val="24"/>
          <w:vertAlign w:val="superscript"/>
        </w:rPr>
        <w:t>th</w:t>
      </w:r>
      <w:r w:rsidR="00342F57" w:rsidRPr="00F4231A">
        <w:rPr>
          <w:rFonts w:ascii="Book Antiqua" w:hAnsi="Book Antiqua" w:cs="Arial"/>
          <w:sz w:val="24"/>
          <w:szCs w:val="24"/>
        </w:rPr>
        <w:t>, 75</w:t>
      </w:r>
      <w:r w:rsidR="00342F57" w:rsidRPr="00F4231A">
        <w:rPr>
          <w:rFonts w:ascii="Book Antiqua" w:hAnsi="Book Antiqua" w:cs="Arial"/>
          <w:sz w:val="24"/>
          <w:szCs w:val="24"/>
          <w:vertAlign w:val="superscript"/>
        </w:rPr>
        <w:t>th</w:t>
      </w:r>
      <w:r w:rsidR="00342F57" w:rsidRPr="00F4231A">
        <w:rPr>
          <w:rFonts w:ascii="Book Antiqua" w:hAnsi="Book Antiqua" w:cs="Arial"/>
          <w:sz w:val="24"/>
          <w:szCs w:val="24"/>
        </w:rPr>
        <w:t xml:space="preserve"> percentiles</w:t>
      </w:r>
      <w:r w:rsidRPr="00F4231A">
        <w:rPr>
          <w:rFonts w:ascii="Book Antiqua" w:hAnsi="Book Antiqua" w:cs="Arial"/>
          <w:sz w:val="24"/>
          <w:szCs w:val="24"/>
        </w:rPr>
        <w:t>). Comparisons between th</w:t>
      </w:r>
      <w:r w:rsidR="0099696F" w:rsidRPr="00F4231A">
        <w:rPr>
          <w:rFonts w:ascii="Book Antiqua" w:hAnsi="Book Antiqua" w:cs="Arial"/>
          <w:sz w:val="24"/>
          <w:szCs w:val="24"/>
        </w:rPr>
        <w:t xml:space="preserve">e </w:t>
      </w:r>
      <w:r w:rsidRPr="00F4231A">
        <w:rPr>
          <w:rFonts w:ascii="Book Antiqua" w:hAnsi="Book Antiqua" w:cs="Arial"/>
          <w:sz w:val="24"/>
          <w:szCs w:val="24"/>
        </w:rPr>
        <w:t xml:space="preserve">groups were carried out using </w:t>
      </w:r>
      <w:r w:rsidR="003E4D76" w:rsidRPr="00F4231A">
        <w:rPr>
          <w:rFonts w:ascii="Book Antiqua" w:hAnsi="Book Antiqua" w:cs="Arial"/>
          <w:sz w:val="24"/>
          <w:szCs w:val="24"/>
        </w:rPr>
        <w:t xml:space="preserve">the </w:t>
      </w:r>
      <w:r w:rsidR="00934E36" w:rsidRPr="00F4231A">
        <w:rPr>
          <w:rFonts w:ascii="Book Antiqua" w:hAnsi="Book Antiqua" w:cs="Arial"/>
          <w:sz w:val="24"/>
          <w:szCs w:val="24"/>
        </w:rPr>
        <w:t>Mann-Whitney U test,</w:t>
      </w:r>
      <w:r w:rsidR="00934E36" w:rsidRPr="00F4231A">
        <w:rPr>
          <w:rFonts w:ascii="Book Antiqua" w:hAnsi="Book Antiqua" w:cs="Arial"/>
          <w:i/>
          <w:sz w:val="24"/>
          <w:szCs w:val="24"/>
        </w:rPr>
        <w:t xml:space="preserve"> </w:t>
      </w:r>
      <w:r w:rsidR="00F22CD6" w:rsidRPr="00F4231A">
        <w:rPr>
          <w:rFonts w:ascii="Book Antiqua" w:hAnsi="Book Antiqua" w:cs="Arial"/>
          <w:i/>
          <w:sz w:val="24"/>
          <w:szCs w:val="24"/>
        </w:rPr>
        <w:t>χ</w:t>
      </w:r>
      <w:r w:rsidR="00F22CD6" w:rsidRPr="00F4231A">
        <w:rPr>
          <w:rFonts w:ascii="Book Antiqua" w:hAnsi="Book Antiqua" w:cs="Arial"/>
          <w:i/>
          <w:sz w:val="24"/>
          <w:szCs w:val="24"/>
          <w:vertAlign w:val="superscript"/>
        </w:rPr>
        <w:t>2</w:t>
      </w:r>
      <w:r w:rsidR="00F22CD6" w:rsidRPr="00F4231A">
        <w:rPr>
          <w:rFonts w:ascii="Book Antiqua" w:hAnsi="Book Antiqua" w:cs="Arial"/>
          <w:sz w:val="24"/>
          <w:szCs w:val="24"/>
        </w:rPr>
        <w:t xml:space="preserve"> </w:t>
      </w:r>
      <w:r w:rsidR="00AE259F" w:rsidRPr="00F4231A">
        <w:rPr>
          <w:rFonts w:ascii="Book Antiqua" w:hAnsi="Book Antiqua" w:cs="Arial"/>
          <w:sz w:val="24"/>
          <w:szCs w:val="24"/>
        </w:rPr>
        <w:t xml:space="preserve">test, </w:t>
      </w:r>
      <w:r w:rsidRPr="00F4231A">
        <w:rPr>
          <w:rFonts w:ascii="Book Antiqua" w:hAnsi="Book Antiqua" w:cs="Arial"/>
          <w:sz w:val="24"/>
          <w:szCs w:val="24"/>
        </w:rPr>
        <w:t>or one-way ANOVA with Bonferroni’s correction</w:t>
      </w:r>
      <w:r w:rsidR="00FE0B9E" w:rsidRPr="00F4231A">
        <w:rPr>
          <w:rFonts w:ascii="Book Antiqua" w:hAnsi="Book Antiqua" w:cs="Arial"/>
          <w:sz w:val="24"/>
          <w:szCs w:val="24"/>
        </w:rPr>
        <w:t xml:space="preserve">. </w:t>
      </w:r>
      <w:r w:rsidR="003363AA" w:rsidRPr="00F4231A">
        <w:rPr>
          <w:rFonts w:ascii="Book Antiqua" w:hAnsi="Book Antiqua" w:cs="Arial"/>
          <w:sz w:val="24"/>
          <w:szCs w:val="24"/>
        </w:rPr>
        <w:t>Spearman</w:t>
      </w:r>
      <w:r w:rsidR="006E36A7" w:rsidRPr="00F4231A">
        <w:rPr>
          <w:rFonts w:ascii="Book Antiqua" w:hAnsi="Book Antiqua" w:cs="Arial"/>
          <w:sz w:val="24"/>
          <w:szCs w:val="24"/>
        </w:rPr>
        <w:t xml:space="preserve">’s test was adopted to examine </w:t>
      </w:r>
      <w:r w:rsidR="003E4D76" w:rsidRPr="00F4231A">
        <w:rPr>
          <w:rFonts w:ascii="Book Antiqua" w:hAnsi="Book Antiqua" w:cs="Arial"/>
          <w:sz w:val="24"/>
          <w:szCs w:val="24"/>
        </w:rPr>
        <w:t xml:space="preserve">for </w:t>
      </w:r>
      <w:r w:rsidR="006E36A7" w:rsidRPr="00F4231A">
        <w:rPr>
          <w:rFonts w:ascii="Book Antiqua" w:hAnsi="Book Antiqua" w:cs="Arial"/>
          <w:sz w:val="24"/>
          <w:szCs w:val="24"/>
        </w:rPr>
        <w:t>correlation</w:t>
      </w:r>
      <w:r w:rsidR="003E4D76" w:rsidRPr="00F4231A">
        <w:rPr>
          <w:rFonts w:ascii="Book Antiqua" w:hAnsi="Book Antiqua" w:cs="Arial"/>
          <w:sz w:val="24"/>
          <w:szCs w:val="24"/>
        </w:rPr>
        <w:t>s</w:t>
      </w:r>
      <w:r w:rsidR="006E36A7" w:rsidRPr="00F4231A">
        <w:rPr>
          <w:rFonts w:ascii="Book Antiqua" w:hAnsi="Book Antiqua" w:cs="Arial"/>
          <w:sz w:val="24"/>
          <w:szCs w:val="24"/>
        </w:rPr>
        <w:t xml:space="preserve"> </w:t>
      </w:r>
      <w:r w:rsidR="003E4D76" w:rsidRPr="00F4231A">
        <w:rPr>
          <w:rFonts w:ascii="Book Antiqua" w:hAnsi="Book Antiqua" w:cs="Arial"/>
          <w:sz w:val="24"/>
          <w:szCs w:val="24"/>
        </w:rPr>
        <w:t xml:space="preserve">among </w:t>
      </w:r>
      <w:r w:rsidR="003363AA" w:rsidRPr="00F4231A">
        <w:rPr>
          <w:rFonts w:ascii="Book Antiqua" w:hAnsi="Book Antiqua" w:cs="Arial"/>
          <w:sz w:val="24"/>
          <w:szCs w:val="24"/>
        </w:rPr>
        <w:t>LB</w:t>
      </w:r>
      <w:r w:rsidRPr="00F4231A">
        <w:rPr>
          <w:rFonts w:ascii="Book Antiqua" w:hAnsi="Book Antiqua" w:cs="Arial"/>
          <w:sz w:val="24"/>
          <w:szCs w:val="24"/>
        </w:rPr>
        <w:t xml:space="preserve">P, </w:t>
      </w:r>
      <w:r w:rsidR="003363AA" w:rsidRPr="00F4231A">
        <w:rPr>
          <w:rFonts w:ascii="Book Antiqua" w:hAnsi="Book Antiqua" w:cs="Arial"/>
          <w:sz w:val="24"/>
          <w:szCs w:val="24"/>
        </w:rPr>
        <w:t>EndoCab IgG</w:t>
      </w:r>
      <w:r w:rsidRPr="00F4231A">
        <w:rPr>
          <w:rFonts w:ascii="Book Antiqua" w:hAnsi="Book Antiqua" w:cs="Arial"/>
          <w:sz w:val="24"/>
          <w:szCs w:val="24"/>
        </w:rPr>
        <w:t xml:space="preserve">, </w:t>
      </w:r>
      <w:r w:rsidR="006E36A7" w:rsidRPr="00F4231A">
        <w:rPr>
          <w:rFonts w:ascii="Book Antiqua" w:hAnsi="Book Antiqua" w:cs="Arial"/>
          <w:sz w:val="24"/>
          <w:szCs w:val="24"/>
        </w:rPr>
        <w:t xml:space="preserve">and </w:t>
      </w:r>
      <w:r w:rsidR="003363AA" w:rsidRPr="00F4231A">
        <w:rPr>
          <w:rFonts w:ascii="Book Antiqua" w:hAnsi="Book Antiqua" w:cs="Arial"/>
          <w:sz w:val="24"/>
          <w:szCs w:val="24"/>
        </w:rPr>
        <w:t>biochemical/histological data</w:t>
      </w:r>
      <w:r w:rsidR="00FE0B9E" w:rsidRPr="00F4231A">
        <w:rPr>
          <w:rFonts w:ascii="Book Antiqua" w:hAnsi="Book Antiqua" w:cs="Arial"/>
          <w:sz w:val="24"/>
          <w:szCs w:val="24"/>
        </w:rPr>
        <w:t xml:space="preserve">. </w:t>
      </w:r>
      <w:r w:rsidR="00617571" w:rsidRPr="00F4231A">
        <w:rPr>
          <w:rFonts w:ascii="Book Antiqua" w:hAnsi="Book Antiqua" w:cs="Arial"/>
          <w:sz w:val="24"/>
          <w:szCs w:val="24"/>
        </w:rPr>
        <w:t>Multivariate linear regression analysis was conducted t</w:t>
      </w:r>
      <w:r w:rsidR="005779DC" w:rsidRPr="00F4231A">
        <w:rPr>
          <w:rFonts w:ascii="Book Antiqua" w:hAnsi="Book Antiqua" w:cs="Arial"/>
          <w:sz w:val="24"/>
          <w:szCs w:val="24"/>
        </w:rPr>
        <w:t xml:space="preserve">o search </w:t>
      </w:r>
      <w:r w:rsidR="00617571" w:rsidRPr="00F4231A">
        <w:rPr>
          <w:rFonts w:ascii="Book Antiqua" w:hAnsi="Book Antiqua" w:cs="Arial"/>
          <w:sz w:val="24"/>
          <w:szCs w:val="24"/>
        </w:rPr>
        <w:t xml:space="preserve">for </w:t>
      </w:r>
      <w:r w:rsidR="002B374C" w:rsidRPr="00F4231A">
        <w:rPr>
          <w:rFonts w:ascii="Book Antiqua" w:hAnsi="Book Antiqua" w:cs="Arial"/>
          <w:sz w:val="24"/>
          <w:szCs w:val="24"/>
        </w:rPr>
        <w:t>independent predictors of LBP</w:t>
      </w:r>
      <w:r w:rsidR="00617571" w:rsidRPr="00F4231A">
        <w:rPr>
          <w:rFonts w:ascii="Book Antiqua" w:hAnsi="Book Antiqua" w:cs="Arial"/>
          <w:sz w:val="24"/>
          <w:szCs w:val="24"/>
        </w:rPr>
        <w:t xml:space="preserve">. </w:t>
      </w:r>
      <w:r w:rsidRPr="00F4231A">
        <w:rPr>
          <w:rFonts w:ascii="Book Antiqua" w:hAnsi="Book Antiqua" w:cs="Arial"/>
          <w:sz w:val="24"/>
          <w:szCs w:val="24"/>
        </w:rPr>
        <w:t xml:space="preserve">Statistical analyses were performed using </w:t>
      </w:r>
      <w:r w:rsidR="004C0151" w:rsidRPr="00F4231A">
        <w:rPr>
          <w:rFonts w:ascii="Book Antiqua" w:hAnsi="Book Antiqua" w:cs="Arial"/>
          <w:sz w:val="24"/>
          <w:szCs w:val="24"/>
        </w:rPr>
        <w:t xml:space="preserve">StatFlex </w:t>
      </w:r>
      <w:r w:rsidR="00922A21" w:rsidRPr="00F4231A">
        <w:rPr>
          <w:rFonts w:ascii="Book Antiqua" w:hAnsi="Book Antiqua" w:cs="Arial"/>
          <w:sz w:val="24"/>
          <w:szCs w:val="24"/>
        </w:rPr>
        <w:t>Ver6.0</w:t>
      </w:r>
      <w:r w:rsidR="003E4D76" w:rsidRPr="00F4231A">
        <w:rPr>
          <w:rFonts w:ascii="Book Antiqua" w:hAnsi="Book Antiqua" w:cs="Arial"/>
          <w:sz w:val="24"/>
          <w:szCs w:val="24"/>
        </w:rPr>
        <w:t xml:space="preserve"> software </w:t>
      </w:r>
      <w:r w:rsidR="008F1647" w:rsidRPr="00F4231A">
        <w:rPr>
          <w:rFonts w:ascii="Book Antiqua" w:hAnsi="Book Antiqua" w:cs="Arial"/>
          <w:sz w:val="24"/>
          <w:szCs w:val="24"/>
        </w:rPr>
        <w:t>(</w:t>
      </w:r>
      <w:r w:rsidR="00193BB6" w:rsidRPr="00F4231A">
        <w:rPr>
          <w:rFonts w:ascii="Book Antiqua" w:hAnsi="Book Antiqua" w:cs="Arial"/>
          <w:sz w:val="24"/>
          <w:szCs w:val="24"/>
        </w:rPr>
        <w:t xml:space="preserve">Artech Co., </w:t>
      </w:r>
      <w:r w:rsidR="009F2F75" w:rsidRPr="00F4231A">
        <w:rPr>
          <w:rFonts w:ascii="Book Antiqua" w:hAnsi="Book Antiqua" w:cs="Arial"/>
          <w:sz w:val="24"/>
          <w:szCs w:val="24"/>
        </w:rPr>
        <w:t>Ltd.</w:t>
      </w:r>
      <w:r w:rsidR="008F1647" w:rsidRPr="00F4231A">
        <w:rPr>
          <w:rFonts w:ascii="Book Antiqua" w:hAnsi="Book Antiqua" w:cs="Arial"/>
          <w:sz w:val="24"/>
          <w:szCs w:val="24"/>
        </w:rPr>
        <w:t>,</w:t>
      </w:r>
      <w:r w:rsidR="009F2F75" w:rsidRPr="00F4231A">
        <w:rPr>
          <w:rFonts w:ascii="Book Antiqua" w:hAnsi="Book Antiqua" w:cs="Arial"/>
          <w:sz w:val="24"/>
          <w:szCs w:val="24"/>
        </w:rPr>
        <w:t xml:space="preserve"> Osaka</w:t>
      </w:r>
      <w:r w:rsidR="00922A21" w:rsidRPr="00F4231A">
        <w:rPr>
          <w:rFonts w:ascii="Book Antiqua" w:hAnsi="Book Antiqua" w:cs="Arial"/>
          <w:sz w:val="24"/>
          <w:szCs w:val="24"/>
        </w:rPr>
        <w:t>, Japan</w:t>
      </w:r>
      <w:r w:rsidR="008F1647" w:rsidRPr="00F4231A">
        <w:rPr>
          <w:rFonts w:ascii="Book Antiqua" w:hAnsi="Book Antiqua" w:cs="Arial"/>
          <w:sz w:val="24"/>
          <w:szCs w:val="24"/>
        </w:rPr>
        <w:t>)</w:t>
      </w:r>
      <w:r w:rsidR="003E4D76" w:rsidRPr="00F4231A">
        <w:rPr>
          <w:rFonts w:ascii="Book Antiqua" w:hAnsi="Book Antiqua" w:cs="Arial"/>
          <w:sz w:val="24"/>
          <w:szCs w:val="24"/>
        </w:rPr>
        <w:t xml:space="preserve">. A </w:t>
      </w:r>
      <w:r w:rsidR="001B54FB" w:rsidRPr="00F4231A">
        <w:rPr>
          <w:rFonts w:ascii="Book Antiqua" w:hAnsi="Book Antiqua" w:cs="Arial"/>
          <w:i/>
          <w:sz w:val="24"/>
          <w:szCs w:val="24"/>
        </w:rPr>
        <w:t>P</w:t>
      </w:r>
      <w:r w:rsidR="00474616" w:rsidRPr="00F4231A">
        <w:rPr>
          <w:rFonts w:ascii="Book Antiqua" w:hAnsi="Book Antiqua" w:cs="Arial"/>
          <w:sz w:val="24"/>
          <w:szCs w:val="24"/>
        </w:rPr>
        <w:t xml:space="preserve"> value of </w:t>
      </w:r>
      <w:r w:rsidR="00617571" w:rsidRPr="00F4231A">
        <w:rPr>
          <w:rFonts w:ascii="Book Antiqua" w:hAnsi="Book Antiqua" w:cs="Arial"/>
          <w:sz w:val="24"/>
          <w:szCs w:val="24"/>
        </w:rPr>
        <w:t>&lt;</w:t>
      </w:r>
      <w:r w:rsidR="00CB79F5" w:rsidRPr="00F4231A">
        <w:rPr>
          <w:rFonts w:ascii="Book Antiqua" w:hAnsi="Book Antiqua" w:cs="Arial"/>
          <w:sz w:val="24"/>
          <w:szCs w:val="24"/>
        </w:rPr>
        <w:t xml:space="preserve"> </w:t>
      </w:r>
      <w:r w:rsidR="001B54FB" w:rsidRPr="00F4231A">
        <w:rPr>
          <w:rFonts w:ascii="Book Antiqua" w:hAnsi="Book Antiqua" w:cs="Arial"/>
          <w:sz w:val="24"/>
          <w:szCs w:val="24"/>
        </w:rPr>
        <w:t xml:space="preserve">0.05 was considered to </w:t>
      </w:r>
      <w:r w:rsidR="00B33C3A" w:rsidRPr="00F4231A">
        <w:rPr>
          <w:rFonts w:ascii="Book Antiqua" w:hAnsi="Book Antiqua" w:cs="Arial"/>
          <w:sz w:val="24"/>
          <w:szCs w:val="24"/>
        </w:rPr>
        <w:t xml:space="preserve">be </w:t>
      </w:r>
      <w:r w:rsidR="001B54FB" w:rsidRPr="00F4231A">
        <w:rPr>
          <w:rFonts w:ascii="Book Antiqua" w:hAnsi="Book Antiqua" w:cs="Arial"/>
          <w:sz w:val="24"/>
          <w:szCs w:val="24"/>
        </w:rPr>
        <w:t>statistically significant</w:t>
      </w:r>
      <w:r w:rsidR="00FE0B9E" w:rsidRPr="00F4231A">
        <w:rPr>
          <w:rFonts w:ascii="Book Antiqua" w:hAnsi="Book Antiqua" w:cs="Arial"/>
          <w:sz w:val="24"/>
          <w:szCs w:val="24"/>
        </w:rPr>
        <w:t xml:space="preserve">. </w:t>
      </w:r>
    </w:p>
    <w:p w:rsidR="00640D48" w:rsidRPr="00F4231A" w:rsidRDefault="00640D48" w:rsidP="00F4231A">
      <w:pPr>
        <w:snapToGrid w:val="0"/>
        <w:spacing w:line="360" w:lineRule="auto"/>
        <w:rPr>
          <w:rFonts w:ascii="Book Antiqua" w:hAnsi="Book Antiqua" w:cs="Arial"/>
          <w:b/>
          <w:sz w:val="24"/>
          <w:szCs w:val="24"/>
        </w:rPr>
      </w:pPr>
    </w:p>
    <w:p w:rsidR="001B54FB" w:rsidRPr="00F4231A" w:rsidRDefault="00365740" w:rsidP="00F4231A">
      <w:pPr>
        <w:snapToGrid w:val="0"/>
        <w:spacing w:line="360" w:lineRule="auto"/>
        <w:rPr>
          <w:rFonts w:ascii="Book Antiqua" w:hAnsi="Book Antiqua" w:cs="Arial"/>
          <w:sz w:val="24"/>
          <w:szCs w:val="24"/>
        </w:rPr>
      </w:pPr>
      <w:r w:rsidRPr="00F4231A">
        <w:rPr>
          <w:rFonts w:ascii="Book Antiqua" w:hAnsi="Book Antiqua" w:cs="Arial"/>
          <w:b/>
          <w:sz w:val="24"/>
          <w:szCs w:val="24"/>
        </w:rPr>
        <w:lastRenderedPageBreak/>
        <w:t>RESULTS</w:t>
      </w:r>
    </w:p>
    <w:p w:rsidR="00BE2EC2" w:rsidRPr="00F4231A" w:rsidRDefault="00B35C80" w:rsidP="00F4231A">
      <w:pPr>
        <w:snapToGrid w:val="0"/>
        <w:spacing w:line="360" w:lineRule="auto"/>
        <w:rPr>
          <w:rFonts w:ascii="Book Antiqua" w:hAnsi="Book Antiqua" w:cs="Arial"/>
          <w:b/>
          <w:i/>
          <w:sz w:val="24"/>
          <w:szCs w:val="24"/>
        </w:rPr>
      </w:pPr>
      <w:r w:rsidRPr="00F4231A">
        <w:rPr>
          <w:rFonts w:ascii="Book Antiqua" w:hAnsi="Book Antiqua" w:cs="Arial"/>
          <w:b/>
          <w:i/>
          <w:sz w:val="24"/>
          <w:szCs w:val="24"/>
        </w:rPr>
        <w:t>Serum LBP</w:t>
      </w:r>
      <w:r w:rsidR="002364EC" w:rsidRPr="00F4231A">
        <w:rPr>
          <w:rFonts w:ascii="Book Antiqua" w:hAnsi="Book Antiqua" w:cs="Arial"/>
          <w:b/>
          <w:i/>
          <w:sz w:val="24"/>
          <w:szCs w:val="24"/>
        </w:rPr>
        <w:t>/</w:t>
      </w:r>
      <w:r w:rsidRPr="00F4231A">
        <w:rPr>
          <w:rFonts w:ascii="Book Antiqua" w:hAnsi="Book Antiqua" w:cs="Arial"/>
          <w:b/>
          <w:i/>
          <w:sz w:val="24"/>
          <w:szCs w:val="24"/>
        </w:rPr>
        <w:t>EndoCab IgG levels in NAFLD</w:t>
      </w:r>
      <w:r w:rsidR="00772839" w:rsidRPr="00F4231A">
        <w:rPr>
          <w:rFonts w:ascii="Book Antiqua" w:hAnsi="Book Antiqua" w:cs="Arial"/>
          <w:b/>
          <w:i/>
          <w:sz w:val="24"/>
          <w:szCs w:val="24"/>
        </w:rPr>
        <w:t xml:space="preserve"> patients</w:t>
      </w:r>
    </w:p>
    <w:p w:rsidR="0099696F" w:rsidRPr="00F4231A" w:rsidRDefault="00B719DE" w:rsidP="00F4231A">
      <w:pPr>
        <w:snapToGrid w:val="0"/>
        <w:spacing w:line="360" w:lineRule="auto"/>
        <w:rPr>
          <w:rFonts w:ascii="Book Antiqua" w:hAnsi="Book Antiqua" w:cs="Arial"/>
          <w:sz w:val="24"/>
          <w:szCs w:val="24"/>
        </w:rPr>
      </w:pPr>
      <w:r w:rsidRPr="00F4231A">
        <w:rPr>
          <w:rFonts w:ascii="Book Antiqua" w:hAnsi="Book Antiqua" w:cs="Arial"/>
          <w:sz w:val="24"/>
          <w:szCs w:val="24"/>
        </w:rPr>
        <w:t xml:space="preserve">The clinicopathological features of the </w:t>
      </w:r>
      <w:r w:rsidR="00315ECE" w:rsidRPr="00F4231A">
        <w:rPr>
          <w:rFonts w:ascii="Book Antiqua" w:hAnsi="Book Antiqua" w:cs="Arial"/>
          <w:sz w:val="24"/>
          <w:szCs w:val="24"/>
        </w:rPr>
        <w:t>126 NAFLD patients are summarized in Table 1. One-hundred</w:t>
      </w:r>
      <w:r w:rsidR="00B6249F" w:rsidRPr="00F4231A">
        <w:rPr>
          <w:rFonts w:ascii="Book Antiqua" w:hAnsi="Book Antiqua" w:cs="Arial"/>
          <w:sz w:val="24"/>
          <w:szCs w:val="24"/>
        </w:rPr>
        <w:t xml:space="preserve"> </w:t>
      </w:r>
      <w:r w:rsidR="00E02B9E" w:rsidRPr="00F4231A">
        <w:rPr>
          <w:rFonts w:ascii="Book Antiqua" w:hAnsi="Book Antiqua" w:cs="Arial"/>
          <w:sz w:val="24"/>
          <w:szCs w:val="24"/>
        </w:rPr>
        <w:t>patients (</w:t>
      </w:r>
      <w:r w:rsidR="00315ECE" w:rsidRPr="00F4231A">
        <w:rPr>
          <w:rFonts w:ascii="Book Antiqua" w:hAnsi="Book Antiqua" w:cs="Arial"/>
          <w:sz w:val="24"/>
          <w:szCs w:val="24"/>
        </w:rPr>
        <w:t xml:space="preserve">79%) </w:t>
      </w:r>
      <w:r w:rsidR="001B54FB" w:rsidRPr="00F4231A">
        <w:rPr>
          <w:rFonts w:ascii="Book Antiqua" w:hAnsi="Book Antiqua" w:cs="Arial"/>
          <w:sz w:val="24"/>
          <w:szCs w:val="24"/>
        </w:rPr>
        <w:t>were diagnosed as having NASH</w:t>
      </w:r>
      <w:r w:rsidR="00315ECE" w:rsidRPr="00F4231A">
        <w:rPr>
          <w:rFonts w:ascii="Book Antiqua" w:hAnsi="Book Antiqua" w:cs="Arial"/>
          <w:sz w:val="24"/>
          <w:szCs w:val="24"/>
        </w:rPr>
        <w:t xml:space="preserve"> and 29 (23%) had advanced fibrosis</w:t>
      </w:r>
      <w:r w:rsidRPr="00F4231A">
        <w:rPr>
          <w:rFonts w:ascii="Book Antiqua" w:hAnsi="Book Antiqua" w:cs="Arial"/>
          <w:sz w:val="24"/>
          <w:szCs w:val="24"/>
        </w:rPr>
        <w:t xml:space="preserve"> of stage 3 or 4. </w:t>
      </w:r>
      <w:r w:rsidR="00531412" w:rsidRPr="00F4231A">
        <w:rPr>
          <w:rFonts w:ascii="Book Antiqua" w:hAnsi="Book Antiqua" w:cs="Arial"/>
          <w:sz w:val="24"/>
          <w:szCs w:val="24"/>
        </w:rPr>
        <w:t>Serum LBP concentration</w:t>
      </w:r>
      <w:r w:rsidR="00010B09" w:rsidRPr="00F4231A">
        <w:rPr>
          <w:rFonts w:ascii="Book Antiqua" w:hAnsi="Book Antiqua" w:cs="Arial"/>
          <w:sz w:val="24"/>
          <w:szCs w:val="24"/>
        </w:rPr>
        <w:t xml:space="preserve"> was significantly </w:t>
      </w:r>
      <w:r w:rsidR="00531412" w:rsidRPr="00F4231A">
        <w:rPr>
          <w:rFonts w:ascii="Book Antiqua" w:hAnsi="Book Antiqua" w:cs="Arial"/>
          <w:sz w:val="24"/>
          <w:szCs w:val="24"/>
        </w:rPr>
        <w:t xml:space="preserve">increased in NASH </w:t>
      </w:r>
      <w:r w:rsidR="00010B09" w:rsidRPr="00F4231A">
        <w:rPr>
          <w:rFonts w:ascii="Book Antiqua" w:hAnsi="Book Antiqua" w:cs="Arial"/>
          <w:sz w:val="24"/>
          <w:szCs w:val="24"/>
        </w:rPr>
        <w:t xml:space="preserve">patients as </w:t>
      </w:r>
      <w:r w:rsidR="00531412" w:rsidRPr="00F4231A">
        <w:rPr>
          <w:rFonts w:ascii="Book Antiqua" w:hAnsi="Book Antiqua" w:cs="Arial"/>
          <w:sz w:val="24"/>
          <w:szCs w:val="24"/>
        </w:rPr>
        <w:t>compared with NAFL patients (</w:t>
      </w:r>
      <w:r w:rsidR="00202F2D" w:rsidRPr="00F4231A">
        <w:rPr>
          <w:rFonts w:ascii="Book Antiqua" w:hAnsi="Book Antiqua" w:cs="Arial"/>
          <w:sz w:val="24"/>
          <w:szCs w:val="24"/>
        </w:rPr>
        <w:t>Fig</w:t>
      </w:r>
      <w:r w:rsidR="00CB79F5" w:rsidRPr="00F4231A">
        <w:rPr>
          <w:rFonts w:ascii="Book Antiqua" w:hAnsi="Book Antiqua" w:cs="Arial"/>
          <w:sz w:val="24"/>
          <w:szCs w:val="24"/>
        </w:rPr>
        <w:t xml:space="preserve">ure </w:t>
      </w:r>
      <w:r w:rsidR="00531412" w:rsidRPr="00F4231A">
        <w:rPr>
          <w:rFonts w:ascii="Book Antiqua" w:hAnsi="Book Antiqua" w:cs="Arial"/>
          <w:sz w:val="24"/>
          <w:szCs w:val="24"/>
        </w:rPr>
        <w:t xml:space="preserve">1A), </w:t>
      </w:r>
      <w:r w:rsidR="00010B09" w:rsidRPr="00F4231A">
        <w:rPr>
          <w:rFonts w:ascii="Book Antiqua" w:hAnsi="Book Antiqua" w:cs="Arial"/>
          <w:sz w:val="24"/>
          <w:szCs w:val="24"/>
        </w:rPr>
        <w:t xml:space="preserve">whereas </w:t>
      </w:r>
      <w:r w:rsidR="00531412" w:rsidRPr="00F4231A">
        <w:rPr>
          <w:rFonts w:ascii="Book Antiqua" w:hAnsi="Book Antiqua" w:cs="Arial"/>
          <w:sz w:val="24"/>
          <w:szCs w:val="24"/>
        </w:rPr>
        <w:t xml:space="preserve">serum EndoCab IgG was </w:t>
      </w:r>
      <w:r w:rsidR="00010B09" w:rsidRPr="00F4231A">
        <w:rPr>
          <w:rFonts w:ascii="Book Antiqua" w:hAnsi="Book Antiqua" w:cs="Arial"/>
          <w:sz w:val="24"/>
          <w:szCs w:val="24"/>
        </w:rPr>
        <w:t>comparable</w:t>
      </w:r>
      <w:r w:rsidR="00531412" w:rsidRPr="00F4231A">
        <w:rPr>
          <w:rFonts w:ascii="Book Antiqua" w:hAnsi="Book Antiqua" w:cs="Arial"/>
          <w:sz w:val="24"/>
          <w:szCs w:val="24"/>
        </w:rPr>
        <w:t xml:space="preserve"> between the groups (</w:t>
      </w:r>
      <w:r w:rsidR="00CB79F5" w:rsidRPr="00F4231A">
        <w:rPr>
          <w:rFonts w:ascii="Book Antiqua" w:hAnsi="Book Antiqua" w:cs="Arial"/>
          <w:sz w:val="24"/>
          <w:szCs w:val="24"/>
        </w:rPr>
        <w:t>Figure</w:t>
      </w:r>
      <w:r w:rsidR="00202F2D" w:rsidRPr="00F4231A">
        <w:rPr>
          <w:rFonts w:ascii="Book Antiqua" w:hAnsi="Book Antiqua" w:cs="Arial"/>
          <w:sz w:val="24"/>
          <w:szCs w:val="24"/>
        </w:rPr>
        <w:t xml:space="preserve"> </w:t>
      </w:r>
      <w:r w:rsidR="00CB79F5" w:rsidRPr="00F4231A">
        <w:rPr>
          <w:rFonts w:ascii="Book Antiqua" w:hAnsi="Book Antiqua" w:cs="Arial"/>
          <w:sz w:val="24"/>
          <w:szCs w:val="24"/>
        </w:rPr>
        <w:t>1B).</w:t>
      </w:r>
    </w:p>
    <w:p w:rsidR="001A35BD" w:rsidRPr="00F4231A" w:rsidRDefault="001A35BD" w:rsidP="00F4231A">
      <w:pPr>
        <w:snapToGrid w:val="0"/>
        <w:spacing w:line="360" w:lineRule="auto"/>
        <w:rPr>
          <w:rFonts w:ascii="Book Antiqua" w:hAnsi="Book Antiqua" w:cs="Arial"/>
          <w:b/>
          <w:i/>
          <w:sz w:val="24"/>
          <w:szCs w:val="24"/>
        </w:rPr>
      </w:pPr>
    </w:p>
    <w:p w:rsidR="0099696F" w:rsidRPr="00F4231A" w:rsidRDefault="00C814D7" w:rsidP="00F4231A">
      <w:pPr>
        <w:snapToGrid w:val="0"/>
        <w:spacing w:line="360" w:lineRule="auto"/>
        <w:rPr>
          <w:rFonts w:ascii="Book Antiqua" w:hAnsi="Book Antiqua" w:cs="Arial"/>
          <w:b/>
          <w:i/>
          <w:sz w:val="24"/>
          <w:szCs w:val="24"/>
        </w:rPr>
      </w:pPr>
      <w:r w:rsidRPr="00F4231A">
        <w:rPr>
          <w:rFonts w:ascii="Book Antiqua" w:hAnsi="Book Antiqua" w:cs="Arial"/>
          <w:b/>
          <w:i/>
          <w:sz w:val="24"/>
          <w:szCs w:val="24"/>
        </w:rPr>
        <w:t>Relationship</w:t>
      </w:r>
      <w:r w:rsidR="00011D5D" w:rsidRPr="00F4231A">
        <w:rPr>
          <w:rFonts w:ascii="Book Antiqua" w:hAnsi="Book Antiqua" w:cs="Arial"/>
          <w:b/>
          <w:i/>
          <w:sz w:val="24"/>
          <w:szCs w:val="24"/>
        </w:rPr>
        <w:t>s</w:t>
      </w:r>
      <w:r w:rsidR="00A202BA" w:rsidRPr="00F4231A">
        <w:rPr>
          <w:rFonts w:ascii="Book Antiqua" w:hAnsi="Book Antiqua" w:cs="Arial"/>
          <w:b/>
          <w:i/>
          <w:sz w:val="24"/>
          <w:szCs w:val="24"/>
        </w:rPr>
        <w:t xml:space="preserve"> between </w:t>
      </w:r>
      <w:r w:rsidR="002364EC" w:rsidRPr="00F4231A">
        <w:rPr>
          <w:rFonts w:ascii="Book Antiqua" w:hAnsi="Book Antiqua" w:cs="Arial"/>
          <w:b/>
          <w:i/>
          <w:sz w:val="24"/>
          <w:szCs w:val="24"/>
        </w:rPr>
        <w:t>LBP/EndoCab IgG</w:t>
      </w:r>
      <w:r w:rsidR="00A202BA" w:rsidRPr="00F4231A">
        <w:rPr>
          <w:rFonts w:ascii="Book Antiqua" w:hAnsi="Book Antiqua" w:cs="Arial"/>
          <w:b/>
          <w:i/>
          <w:sz w:val="24"/>
          <w:szCs w:val="24"/>
        </w:rPr>
        <w:t xml:space="preserve"> levels and </w:t>
      </w:r>
      <w:r w:rsidR="00854760" w:rsidRPr="00F4231A">
        <w:rPr>
          <w:rFonts w:ascii="Book Antiqua" w:hAnsi="Book Antiqua" w:cs="Arial"/>
          <w:b/>
          <w:i/>
          <w:sz w:val="24"/>
          <w:szCs w:val="24"/>
        </w:rPr>
        <w:t>histological finding</w:t>
      </w:r>
      <w:r w:rsidRPr="00F4231A">
        <w:rPr>
          <w:rFonts w:ascii="Book Antiqua" w:hAnsi="Book Antiqua" w:cs="Arial"/>
          <w:b/>
          <w:i/>
          <w:sz w:val="24"/>
          <w:szCs w:val="24"/>
        </w:rPr>
        <w:t>s</w:t>
      </w:r>
    </w:p>
    <w:p w:rsidR="00B021F5" w:rsidRPr="00F4231A" w:rsidRDefault="006D70D9" w:rsidP="00F4231A">
      <w:pPr>
        <w:snapToGrid w:val="0"/>
        <w:spacing w:line="360" w:lineRule="auto"/>
        <w:rPr>
          <w:rFonts w:ascii="Book Antiqua" w:hAnsi="Book Antiqua" w:cs="Arial"/>
          <w:sz w:val="24"/>
          <w:szCs w:val="24"/>
        </w:rPr>
      </w:pPr>
      <w:r w:rsidRPr="00F4231A">
        <w:rPr>
          <w:rFonts w:ascii="Book Antiqua" w:hAnsi="Book Antiqua" w:cs="Arial"/>
          <w:sz w:val="24"/>
          <w:szCs w:val="24"/>
        </w:rPr>
        <w:t xml:space="preserve">We </w:t>
      </w:r>
      <w:r w:rsidR="00011D5D" w:rsidRPr="00F4231A">
        <w:rPr>
          <w:rFonts w:ascii="Book Antiqua" w:hAnsi="Book Antiqua" w:cs="Arial"/>
          <w:sz w:val="24"/>
          <w:szCs w:val="24"/>
        </w:rPr>
        <w:t xml:space="preserve">next </w:t>
      </w:r>
      <w:r w:rsidRPr="00F4231A">
        <w:rPr>
          <w:rFonts w:ascii="Book Antiqua" w:hAnsi="Book Antiqua" w:cs="Arial"/>
          <w:sz w:val="24"/>
          <w:szCs w:val="24"/>
        </w:rPr>
        <w:t>examined whether serum LBP levels correlated with histological severity in NAFLD patients</w:t>
      </w:r>
      <w:r w:rsidR="00031E3E" w:rsidRPr="00F4231A">
        <w:rPr>
          <w:rFonts w:ascii="Book Antiqua" w:hAnsi="Book Antiqua" w:cs="Arial"/>
          <w:sz w:val="24"/>
          <w:szCs w:val="24"/>
        </w:rPr>
        <w:t xml:space="preserve">. </w:t>
      </w:r>
      <w:r w:rsidR="00202F2D" w:rsidRPr="00F4231A">
        <w:rPr>
          <w:rFonts w:ascii="Book Antiqua" w:hAnsi="Book Antiqua" w:cs="Arial"/>
          <w:sz w:val="24"/>
          <w:szCs w:val="24"/>
        </w:rPr>
        <w:t xml:space="preserve">Serum LBP was </w:t>
      </w:r>
      <w:r w:rsidR="00011D5D" w:rsidRPr="00F4231A">
        <w:rPr>
          <w:rFonts w:ascii="Book Antiqua" w:hAnsi="Book Antiqua" w:cs="Arial"/>
          <w:sz w:val="24"/>
          <w:szCs w:val="24"/>
        </w:rPr>
        <w:t xml:space="preserve">significantly </w:t>
      </w:r>
      <w:r w:rsidR="00202F2D" w:rsidRPr="00F4231A">
        <w:rPr>
          <w:rFonts w:ascii="Book Antiqua" w:hAnsi="Book Antiqua" w:cs="Arial"/>
          <w:sz w:val="24"/>
          <w:szCs w:val="24"/>
        </w:rPr>
        <w:t xml:space="preserve">higher in </w:t>
      </w:r>
      <w:r w:rsidR="00011D5D" w:rsidRPr="00F4231A">
        <w:rPr>
          <w:rFonts w:ascii="Book Antiqua" w:hAnsi="Book Antiqua" w:cs="Arial"/>
          <w:sz w:val="24"/>
          <w:szCs w:val="24"/>
        </w:rPr>
        <w:t>the steatosis grade 3</w:t>
      </w:r>
      <w:r w:rsidR="00202F2D" w:rsidRPr="00F4231A">
        <w:rPr>
          <w:rFonts w:ascii="Book Antiqua" w:hAnsi="Book Antiqua" w:cs="Arial"/>
          <w:sz w:val="24"/>
          <w:szCs w:val="24"/>
        </w:rPr>
        <w:t xml:space="preserve"> group </w:t>
      </w:r>
      <w:r w:rsidR="00011D5D" w:rsidRPr="00F4231A">
        <w:rPr>
          <w:rFonts w:ascii="Book Antiqua" w:hAnsi="Book Antiqua" w:cs="Arial"/>
          <w:sz w:val="24"/>
          <w:szCs w:val="24"/>
        </w:rPr>
        <w:t xml:space="preserve">as </w:t>
      </w:r>
      <w:r w:rsidR="00202F2D" w:rsidRPr="00F4231A">
        <w:rPr>
          <w:rFonts w:ascii="Book Antiqua" w:hAnsi="Book Antiqua" w:cs="Arial"/>
          <w:sz w:val="24"/>
          <w:szCs w:val="24"/>
        </w:rPr>
        <w:t xml:space="preserve">compared with </w:t>
      </w:r>
      <w:r w:rsidR="00011D5D" w:rsidRPr="00F4231A">
        <w:rPr>
          <w:rFonts w:ascii="Book Antiqua" w:hAnsi="Book Antiqua" w:cs="Arial"/>
          <w:sz w:val="24"/>
          <w:szCs w:val="24"/>
        </w:rPr>
        <w:t>the steatosis grade 1 or 2</w:t>
      </w:r>
      <w:r w:rsidR="00202F2D" w:rsidRPr="00F4231A">
        <w:rPr>
          <w:rFonts w:ascii="Book Antiqua" w:hAnsi="Book Antiqua" w:cs="Arial"/>
          <w:sz w:val="24"/>
          <w:szCs w:val="24"/>
        </w:rPr>
        <w:t xml:space="preserve"> group</w:t>
      </w:r>
      <w:r w:rsidR="00011D5D" w:rsidRPr="00F4231A">
        <w:rPr>
          <w:rFonts w:ascii="Book Antiqua" w:hAnsi="Book Antiqua" w:cs="Arial"/>
          <w:sz w:val="24"/>
          <w:szCs w:val="24"/>
        </w:rPr>
        <w:t>s</w:t>
      </w:r>
      <w:r w:rsidR="00202F2D" w:rsidRPr="00F4231A">
        <w:rPr>
          <w:rFonts w:ascii="Book Antiqua" w:hAnsi="Book Antiqua" w:cs="Arial"/>
          <w:sz w:val="24"/>
          <w:szCs w:val="24"/>
        </w:rPr>
        <w:t xml:space="preserve"> </w:t>
      </w:r>
      <w:r w:rsidR="00277111" w:rsidRPr="00F4231A">
        <w:rPr>
          <w:rFonts w:ascii="Book Antiqua" w:hAnsi="Book Antiqua" w:cs="Arial"/>
          <w:sz w:val="24"/>
          <w:szCs w:val="24"/>
        </w:rPr>
        <w:t>(</w:t>
      </w:r>
      <w:r w:rsidR="00CB79F5" w:rsidRPr="00F4231A">
        <w:rPr>
          <w:rFonts w:ascii="Book Antiqua" w:hAnsi="Book Antiqua" w:cs="Arial"/>
          <w:sz w:val="24"/>
          <w:szCs w:val="24"/>
        </w:rPr>
        <w:t>Figure</w:t>
      </w:r>
      <w:r w:rsidR="00277111" w:rsidRPr="00F4231A">
        <w:rPr>
          <w:rFonts w:ascii="Book Antiqua" w:hAnsi="Book Antiqua" w:cs="Arial"/>
          <w:sz w:val="24"/>
          <w:szCs w:val="24"/>
        </w:rPr>
        <w:t xml:space="preserve"> 2A) </w:t>
      </w:r>
      <w:r w:rsidR="00202F2D" w:rsidRPr="00F4231A">
        <w:rPr>
          <w:rFonts w:ascii="Book Antiqua" w:hAnsi="Book Antiqua" w:cs="Arial"/>
          <w:sz w:val="24"/>
          <w:szCs w:val="24"/>
        </w:rPr>
        <w:t>and was positively correlated with steatosis score (</w:t>
      </w:r>
      <w:r w:rsidR="00FE5561" w:rsidRPr="00F4231A">
        <w:rPr>
          <w:rFonts w:ascii="Book Antiqua" w:hAnsi="Book Antiqua" w:cs="Arial"/>
          <w:sz w:val="24"/>
          <w:szCs w:val="24"/>
        </w:rPr>
        <w:t>Table 2</w:t>
      </w:r>
      <w:r w:rsidR="00202F2D" w:rsidRPr="00F4231A">
        <w:rPr>
          <w:rFonts w:ascii="Book Antiqua" w:hAnsi="Book Antiqua" w:cs="Arial"/>
          <w:sz w:val="24"/>
          <w:szCs w:val="24"/>
        </w:rPr>
        <w:t>)</w:t>
      </w:r>
      <w:r w:rsidR="00277111" w:rsidRPr="00F4231A">
        <w:rPr>
          <w:rFonts w:ascii="Book Antiqua" w:hAnsi="Book Antiqua" w:cs="Arial"/>
          <w:sz w:val="24"/>
          <w:szCs w:val="24"/>
        </w:rPr>
        <w:t xml:space="preserve">. </w:t>
      </w:r>
      <w:r w:rsidR="00CD5E08" w:rsidRPr="00F4231A">
        <w:rPr>
          <w:rFonts w:ascii="Book Antiqua" w:hAnsi="Book Antiqua" w:cs="Arial"/>
          <w:sz w:val="24"/>
          <w:szCs w:val="24"/>
        </w:rPr>
        <w:t>Significantly i</w:t>
      </w:r>
      <w:r w:rsidR="00C827FF" w:rsidRPr="00F4231A">
        <w:rPr>
          <w:rFonts w:ascii="Book Antiqua" w:hAnsi="Book Antiqua" w:cs="Arial"/>
          <w:sz w:val="24"/>
          <w:szCs w:val="24"/>
        </w:rPr>
        <w:t xml:space="preserve">ncreased serum LBP was seen in </w:t>
      </w:r>
      <w:r w:rsidR="00CD5E08" w:rsidRPr="00F4231A">
        <w:rPr>
          <w:rFonts w:ascii="Book Antiqua" w:hAnsi="Book Antiqua" w:cs="Arial"/>
          <w:sz w:val="24"/>
          <w:szCs w:val="24"/>
        </w:rPr>
        <w:t>the ballooning grade 2</w:t>
      </w:r>
      <w:r w:rsidR="00C827FF" w:rsidRPr="00F4231A">
        <w:rPr>
          <w:rFonts w:ascii="Book Antiqua" w:hAnsi="Book Antiqua" w:cs="Arial"/>
          <w:sz w:val="24"/>
          <w:szCs w:val="24"/>
        </w:rPr>
        <w:t xml:space="preserve"> group </w:t>
      </w:r>
      <w:r w:rsidR="00CD5E08" w:rsidRPr="00F4231A">
        <w:rPr>
          <w:rFonts w:ascii="Book Antiqua" w:hAnsi="Book Antiqua" w:cs="Arial"/>
          <w:sz w:val="24"/>
          <w:szCs w:val="24"/>
        </w:rPr>
        <w:t xml:space="preserve">over the ballooning grade 0 </w:t>
      </w:r>
      <w:r w:rsidR="00C827FF" w:rsidRPr="00F4231A">
        <w:rPr>
          <w:rFonts w:ascii="Book Antiqua" w:hAnsi="Book Antiqua" w:cs="Arial"/>
          <w:sz w:val="24"/>
          <w:szCs w:val="24"/>
        </w:rPr>
        <w:t xml:space="preserve">group </w:t>
      </w:r>
      <w:r w:rsidR="00191E41" w:rsidRPr="00F4231A">
        <w:rPr>
          <w:rFonts w:ascii="Book Antiqua" w:hAnsi="Book Antiqua" w:cs="Arial"/>
          <w:sz w:val="24"/>
          <w:szCs w:val="24"/>
        </w:rPr>
        <w:t>(</w:t>
      </w:r>
      <w:r w:rsidR="00CB79F5" w:rsidRPr="00F4231A">
        <w:rPr>
          <w:rFonts w:ascii="Book Antiqua" w:hAnsi="Book Antiqua" w:cs="Arial"/>
          <w:sz w:val="24"/>
          <w:szCs w:val="24"/>
        </w:rPr>
        <w:t>Figure</w:t>
      </w:r>
      <w:r w:rsidR="00191E41" w:rsidRPr="00F4231A">
        <w:rPr>
          <w:rFonts w:ascii="Book Antiqua" w:hAnsi="Book Antiqua" w:cs="Arial"/>
          <w:sz w:val="24"/>
          <w:szCs w:val="24"/>
        </w:rPr>
        <w:t xml:space="preserve"> 2B)</w:t>
      </w:r>
      <w:r w:rsidR="00CD5E08" w:rsidRPr="00F4231A">
        <w:rPr>
          <w:rFonts w:ascii="Book Antiqua" w:hAnsi="Book Antiqua" w:cs="Arial"/>
          <w:sz w:val="24"/>
          <w:szCs w:val="24"/>
        </w:rPr>
        <w:t xml:space="preserve">, with </w:t>
      </w:r>
      <w:r w:rsidR="00C827FF" w:rsidRPr="00F4231A">
        <w:rPr>
          <w:rFonts w:ascii="Book Antiqua" w:hAnsi="Book Antiqua" w:cs="Arial"/>
          <w:sz w:val="24"/>
          <w:szCs w:val="24"/>
        </w:rPr>
        <w:t>a positive corre</w:t>
      </w:r>
      <w:r w:rsidR="00CD5E08" w:rsidRPr="00F4231A">
        <w:rPr>
          <w:rFonts w:ascii="Book Antiqua" w:hAnsi="Book Antiqua" w:cs="Arial"/>
          <w:sz w:val="24"/>
          <w:szCs w:val="24"/>
        </w:rPr>
        <w:t xml:space="preserve">lation between LBP and ballooning score </w:t>
      </w:r>
      <w:r w:rsidR="00C827FF" w:rsidRPr="00F4231A">
        <w:rPr>
          <w:rFonts w:ascii="Book Antiqua" w:hAnsi="Book Antiqua" w:cs="Arial"/>
          <w:sz w:val="24"/>
          <w:szCs w:val="24"/>
        </w:rPr>
        <w:t>(</w:t>
      </w:r>
      <w:r w:rsidR="00191E41" w:rsidRPr="00F4231A">
        <w:rPr>
          <w:rFonts w:ascii="Book Antiqua" w:hAnsi="Book Antiqua" w:cs="Arial"/>
          <w:sz w:val="24"/>
          <w:szCs w:val="24"/>
        </w:rPr>
        <w:t>Table 2)</w:t>
      </w:r>
      <w:r w:rsidR="00CD5E08" w:rsidRPr="00F4231A">
        <w:rPr>
          <w:rFonts w:ascii="Book Antiqua" w:hAnsi="Book Antiqua" w:cs="Arial"/>
          <w:sz w:val="24"/>
          <w:szCs w:val="24"/>
        </w:rPr>
        <w:t xml:space="preserve">. </w:t>
      </w:r>
      <w:r w:rsidR="00C61F87" w:rsidRPr="00F4231A">
        <w:rPr>
          <w:rFonts w:ascii="Book Antiqua" w:hAnsi="Book Antiqua" w:cs="Arial"/>
          <w:sz w:val="24"/>
          <w:szCs w:val="24"/>
        </w:rPr>
        <w:t>T</w:t>
      </w:r>
      <w:r w:rsidR="00C827FF" w:rsidRPr="00F4231A">
        <w:rPr>
          <w:rFonts w:ascii="Book Antiqua" w:hAnsi="Book Antiqua" w:cs="Arial"/>
          <w:sz w:val="24"/>
          <w:szCs w:val="24"/>
        </w:rPr>
        <w:t>here were no significant relationship</w:t>
      </w:r>
      <w:r w:rsidR="00C61F87" w:rsidRPr="00F4231A">
        <w:rPr>
          <w:rFonts w:ascii="Book Antiqua" w:hAnsi="Book Antiqua" w:cs="Arial"/>
          <w:sz w:val="24"/>
          <w:szCs w:val="24"/>
        </w:rPr>
        <w:t>s</w:t>
      </w:r>
      <w:r w:rsidR="00C827FF" w:rsidRPr="00F4231A">
        <w:rPr>
          <w:rFonts w:ascii="Book Antiqua" w:hAnsi="Book Antiqua" w:cs="Arial"/>
          <w:sz w:val="24"/>
          <w:szCs w:val="24"/>
        </w:rPr>
        <w:t xml:space="preserve"> between </w:t>
      </w:r>
      <w:r w:rsidR="00F40170" w:rsidRPr="00F4231A">
        <w:rPr>
          <w:rFonts w:ascii="Book Antiqua" w:hAnsi="Book Antiqua" w:cs="Arial"/>
          <w:sz w:val="24"/>
          <w:szCs w:val="24"/>
        </w:rPr>
        <w:t xml:space="preserve">serum LBP and </w:t>
      </w:r>
      <w:r w:rsidR="00505D09" w:rsidRPr="00F4231A">
        <w:rPr>
          <w:rFonts w:ascii="Book Antiqua" w:hAnsi="Book Antiqua" w:cs="Arial"/>
          <w:sz w:val="24"/>
          <w:szCs w:val="24"/>
        </w:rPr>
        <w:t xml:space="preserve">lobular inflammation </w:t>
      </w:r>
      <w:r w:rsidR="00F40170" w:rsidRPr="00F4231A">
        <w:rPr>
          <w:rFonts w:ascii="Book Antiqua" w:hAnsi="Book Antiqua" w:cs="Arial"/>
          <w:sz w:val="24"/>
          <w:szCs w:val="24"/>
        </w:rPr>
        <w:t xml:space="preserve">grade </w:t>
      </w:r>
      <w:r w:rsidR="00505D09" w:rsidRPr="00F4231A">
        <w:rPr>
          <w:rFonts w:ascii="Book Antiqua" w:hAnsi="Book Antiqua" w:cs="Arial"/>
          <w:sz w:val="24"/>
          <w:szCs w:val="24"/>
        </w:rPr>
        <w:t>(</w:t>
      </w:r>
      <w:r w:rsidR="00CB79F5" w:rsidRPr="00F4231A">
        <w:rPr>
          <w:rFonts w:ascii="Book Antiqua" w:hAnsi="Book Antiqua" w:cs="Arial"/>
          <w:sz w:val="24"/>
          <w:szCs w:val="24"/>
        </w:rPr>
        <w:t>Figure</w:t>
      </w:r>
      <w:r w:rsidR="00505D09" w:rsidRPr="00F4231A">
        <w:rPr>
          <w:rFonts w:ascii="Book Antiqua" w:hAnsi="Book Antiqua" w:cs="Arial"/>
          <w:sz w:val="24"/>
          <w:szCs w:val="24"/>
        </w:rPr>
        <w:t xml:space="preserve"> 2C</w:t>
      </w:r>
      <w:r w:rsidR="00191E41" w:rsidRPr="00F4231A">
        <w:rPr>
          <w:rFonts w:ascii="Book Antiqua" w:hAnsi="Book Antiqua" w:cs="Arial"/>
          <w:sz w:val="24"/>
          <w:szCs w:val="24"/>
        </w:rPr>
        <w:t xml:space="preserve"> and Table 2</w:t>
      </w:r>
      <w:r w:rsidR="00505D09" w:rsidRPr="00F4231A">
        <w:rPr>
          <w:rFonts w:ascii="Book Antiqua" w:hAnsi="Book Antiqua" w:cs="Arial"/>
          <w:sz w:val="24"/>
          <w:szCs w:val="24"/>
        </w:rPr>
        <w:t xml:space="preserve">) or fibrosis </w:t>
      </w:r>
      <w:r w:rsidR="00F40170" w:rsidRPr="00F4231A">
        <w:rPr>
          <w:rFonts w:ascii="Book Antiqua" w:hAnsi="Book Antiqua" w:cs="Arial"/>
          <w:sz w:val="24"/>
          <w:szCs w:val="24"/>
        </w:rPr>
        <w:t xml:space="preserve">stage </w:t>
      </w:r>
      <w:r w:rsidR="00505D09" w:rsidRPr="00F4231A">
        <w:rPr>
          <w:rFonts w:ascii="Book Antiqua" w:hAnsi="Book Antiqua" w:cs="Arial"/>
          <w:sz w:val="24"/>
          <w:szCs w:val="24"/>
        </w:rPr>
        <w:t>(</w:t>
      </w:r>
      <w:r w:rsidR="00CB79F5" w:rsidRPr="00F4231A">
        <w:rPr>
          <w:rFonts w:ascii="Book Antiqua" w:hAnsi="Book Antiqua" w:cs="Arial"/>
          <w:sz w:val="24"/>
          <w:szCs w:val="24"/>
        </w:rPr>
        <w:t xml:space="preserve">Figure </w:t>
      </w:r>
      <w:r w:rsidR="00191E41" w:rsidRPr="00F4231A">
        <w:rPr>
          <w:rFonts w:ascii="Book Antiqua" w:hAnsi="Book Antiqua" w:cs="Arial"/>
          <w:sz w:val="24"/>
          <w:szCs w:val="24"/>
        </w:rPr>
        <w:t>2D and Table 2</w:t>
      </w:r>
      <w:r w:rsidR="00505D09" w:rsidRPr="00F4231A">
        <w:rPr>
          <w:rFonts w:ascii="Book Antiqua" w:hAnsi="Book Antiqua" w:cs="Arial"/>
          <w:sz w:val="24"/>
          <w:szCs w:val="24"/>
        </w:rPr>
        <w:t>)</w:t>
      </w:r>
      <w:r w:rsidR="00CB79F5" w:rsidRPr="00F4231A">
        <w:rPr>
          <w:rFonts w:ascii="Book Antiqua" w:hAnsi="Book Antiqua" w:cs="Arial"/>
          <w:sz w:val="24"/>
          <w:szCs w:val="24"/>
        </w:rPr>
        <w:t>.</w:t>
      </w:r>
    </w:p>
    <w:p w:rsidR="00F40170" w:rsidRPr="00F4231A" w:rsidRDefault="00C814D7" w:rsidP="00F4231A">
      <w:pPr>
        <w:snapToGrid w:val="0"/>
        <w:spacing w:line="360" w:lineRule="auto"/>
        <w:ind w:firstLineChars="100" w:firstLine="240"/>
        <w:rPr>
          <w:rFonts w:ascii="Book Antiqua" w:hAnsi="Book Antiqua" w:cs="Arial"/>
          <w:sz w:val="24"/>
          <w:szCs w:val="24"/>
        </w:rPr>
      </w:pPr>
      <w:r w:rsidRPr="00F4231A">
        <w:rPr>
          <w:rFonts w:ascii="Book Antiqua" w:hAnsi="Book Antiqua" w:cs="Arial"/>
          <w:sz w:val="24"/>
          <w:szCs w:val="24"/>
        </w:rPr>
        <w:t>S</w:t>
      </w:r>
      <w:r w:rsidR="00117DB5" w:rsidRPr="00F4231A">
        <w:rPr>
          <w:rFonts w:ascii="Book Antiqua" w:hAnsi="Book Antiqua" w:cs="Arial"/>
          <w:sz w:val="24"/>
          <w:szCs w:val="24"/>
        </w:rPr>
        <w:t>imilar analys</w:t>
      </w:r>
      <w:r w:rsidRPr="00F4231A">
        <w:rPr>
          <w:rFonts w:ascii="Book Antiqua" w:hAnsi="Book Antiqua" w:cs="Arial"/>
          <w:sz w:val="24"/>
          <w:szCs w:val="24"/>
        </w:rPr>
        <w:t>es</w:t>
      </w:r>
      <w:r w:rsidR="00117DB5" w:rsidRPr="00F4231A">
        <w:rPr>
          <w:rFonts w:ascii="Book Antiqua" w:hAnsi="Book Antiqua" w:cs="Arial"/>
          <w:sz w:val="24"/>
          <w:szCs w:val="24"/>
        </w:rPr>
        <w:t xml:space="preserve"> w</w:t>
      </w:r>
      <w:r w:rsidRPr="00F4231A">
        <w:rPr>
          <w:rFonts w:ascii="Book Antiqua" w:hAnsi="Book Antiqua" w:cs="Arial"/>
          <w:sz w:val="24"/>
          <w:szCs w:val="24"/>
        </w:rPr>
        <w:t>ere</w:t>
      </w:r>
      <w:r w:rsidR="00335865" w:rsidRPr="00F4231A">
        <w:rPr>
          <w:rFonts w:ascii="Book Antiqua" w:hAnsi="Book Antiqua" w:cs="Arial"/>
          <w:sz w:val="24"/>
          <w:szCs w:val="24"/>
        </w:rPr>
        <w:t xml:space="preserve"> </w:t>
      </w:r>
      <w:r w:rsidR="003D215D" w:rsidRPr="00F4231A">
        <w:rPr>
          <w:rFonts w:ascii="Book Antiqua" w:hAnsi="Book Antiqua" w:cs="Arial"/>
          <w:sz w:val="24"/>
          <w:szCs w:val="24"/>
        </w:rPr>
        <w:t>carried out</w:t>
      </w:r>
      <w:r w:rsidR="00F40170" w:rsidRPr="00F4231A">
        <w:rPr>
          <w:rFonts w:ascii="Book Antiqua" w:hAnsi="Book Antiqua" w:cs="Arial"/>
          <w:sz w:val="24"/>
          <w:szCs w:val="24"/>
        </w:rPr>
        <w:t xml:space="preserve"> </w:t>
      </w:r>
      <w:r w:rsidR="00117DB5" w:rsidRPr="00F4231A">
        <w:rPr>
          <w:rFonts w:ascii="Book Antiqua" w:hAnsi="Book Antiqua" w:cs="Arial"/>
          <w:sz w:val="24"/>
          <w:szCs w:val="24"/>
        </w:rPr>
        <w:t xml:space="preserve">for </w:t>
      </w:r>
      <w:r w:rsidR="005140D3" w:rsidRPr="00F4231A">
        <w:rPr>
          <w:rFonts w:ascii="Book Antiqua" w:hAnsi="Book Antiqua" w:cs="Arial"/>
          <w:sz w:val="24"/>
          <w:szCs w:val="24"/>
        </w:rPr>
        <w:t xml:space="preserve">serum </w:t>
      </w:r>
      <w:r w:rsidR="00117DB5" w:rsidRPr="00F4231A">
        <w:rPr>
          <w:rFonts w:ascii="Book Antiqua" w:hAnsi="Book Antiqua" w:cs="Arial"/>
          <w:sz w:val="24"/>
          <w:szCs w:val="24"/>
        </w:rPr>
        <w:t>E</w:t>
      </w:r>
      <w:r w:rsidR="00335865" w:rsidRPr="00F4231A">
        <w:rPr>
          <w:rFonts w:ascii="Book Antiqua" w:hAnsi="Book Antiqua" w:cs="Arial"/>
          <w:sz w:val="24"/>
          <w:szCs w:val="24"/>
        </w:rPr>
        <w:t>ndoCab IgG</w:t>
      </w:r>
      <w:r w:rsidR="00C61F87" w:rsidRPr="00F4231A">
        <w:rPr>
          <w:rFonts w:ascii="Book Antiqua" w:hAnsi="Book Antiqua" w:cs="Arial"/>
          <w:sz w:val="24"/>
          <w:szCs w:val="24"/>
        </w:rPr>
        <w:t xml:space="preserve">, which yielded comparable findings among all </w:t>
      </w:r>
      <w:r w:rsidR="00335865" w:rsidRPr="00F4231A">
        <w:rPr>
          <w:rFonts w:ascii="Book Antiqua" w:hAnsi="Book Antiqua" w:cs="Arial"/>
          <w:sz w:val="24"/>
          <w:szCs w:val="24"/>
        </w:rPr>
        <w:t xml:space="preserve">subgroups </w:t>
      </w:r>
      <w:r w:rsidRPr="00F4231A">
        <w:rPr>
          <w:rFonts w:ascii="Book Antiqua" w:hAnsi="Book Antiqua" w:cs="Arial"/>
          <w:sz w:val="24"/>
          <w:szCs w:val="24"/>
        </w:rPr>
        <w:t>(</w:t>
      </w:r>
      <w:r w:rsidR="00CB79F5" w:rsidRPr="00F4231A">
        <w:rPr>
          <w:rFonts w:ascii="Book Antiqua" w:hAnsi="Book Antiqua" w:cs="Arial"/>
          <w:sz w:val="24"/>
          <w:szCs w:val="24"/>
        </w:rPr>
        <w:t>Figure</w:t>
      </w:r>
      <w:r w:rsidRPr="00F4231A">
        <w:rPr>
          <w:rFonts w:ascii="Book Antiqua" w:hAnsi="Book Antiqua" w:cs="Arial"/>
          <w:sz w:val="24"/>
          <w:szCs w:val="24"/>
        </w:rPr>
        <w:t xml:space="preserve"> 3) </w:t>
      </w:r>
      <w:r w:rsidR="00335865" w:rsidRPr="00F4231A">
        <w:rPr>
          <w:rFonts w:ascii="Book Antiqua" w:hAnsi="Book Antiqua" w:cs="Arial"/>
          <w:sz w:val="24"/>
          <w:szCs w:val="24"/>
        </w:rPr>
        <w:t xml:space="preserve">and </w:t>
      </w:r>
      <w:r w:rsidR="00C61F87" w:rsidRPr="00F4231A">
        <w:rPr>
          <w:rFonts w:ascii="Book Antiqua" w:hAnsi="Book Antiqua" w:cs="Arial"/>
          <w:sz w:val="24"/>
          <w:szCs w:val="24"/>
        </w:rPr>
        <w:t xml:space="preserve">no </w:t>
      </w:r>
      <w:r w:rsidR="00335865" w:rsidRPr="00F4231A">
        <w:rPr>
          <w:rFonts w:ascii="Book Antiqua" w:hAnsi="Book Antiqua" w:cs="Arial"/>
          <w:sz w:val="24"/>
          <w:szCs w:val="24"/>
        </w:rPr>
        <w:t>correlat</w:t>
      </w:r>
      <w:r w:rsidR="00C61F87" w:rsidRPr="00F4231A">
        <w:rPr>
          <w:rFonts w:ascii="Book Antiqua" w:hAnsi="Book Antiqua" w:cs="Arial"/>
          <w:sz w:val="24"/>
          <w:szCs w:val="24"/>
        </w:rPr>
        <w:t>ions</w:t>
      </w:r>
      <w:r w:rsidR="00335865" w:rsidRPr="00F4231A">
        <w:rPr>
          <w:rFonts w:ascii="Book Antiqua" w:hAnsi="Book Antiqua" w:cs="Arial"/>
          <w:sz w:val="24"/>
          <w:szCs w:val="24"/>
        </w:rPr>
        <w:t xml:space="preserve"> with histological scores (</w:t>
      </w:r>
      <w:r w:rsidRPr="00F4231A">
        <w:rPr>
          <w:rFonts w:ascii="Book Antiqua" w:hAnsi="Book Antiqua" w:cs="Arial"/>
          <w:sz w:val="24"/>
          <w:szCs w:val="24"/>
        </w:rPr>
        <w:t>Table 2</w:t>
      </w:r>
      <w:r w:rsidR="00335865" w:rsidRPr="00F4231A">
        <w:rPr>
          <w:rFonts w:ascii="Book Antiqua" w:hAnsi="Book Antiqua" w:cs="Arial"/>
          <w:sz w:val="24"/>
          <w:szCs w:val="24"/>
        </w:rPr>
        <w:t>)</w:t>
      </w:r>
      <w:r w:rsidR="00C61F87" w:rsidRPr="00F4231A">
        <w:rPr>
          <w:rFonts w:ascii="Book Antiqua" w:hAnsi="Book Antiqua" w:cs="Arial"/>
          <w:sz w:val="24"/>
          <w:szCs w:val="24"/>
        </w:rPr>
        <w:t xml:space="preserve">. The </w:t>
      </w:r>
      <w:r w:rsidR="002364EC" w:rsidRPr="00F4231A">
        <w:rPr>
          <w:rFonts w:ascii="Book Antiqua" w:hAnsi="Book Antiqua" w:cs="Arial"/>
          <w:sz w:val="24"/>
          <w:szCs w:val="24"/>
        </w:rPr>
        <w:t xml:space="preserve">lack of </w:t>
      </w:r>
      <w:r w:rsidR="00C61F87" w:rsidRPr="00F4231A">
        <w:rPr>
          <w:rFonts w:ascii="Book Antiqua" w:hAnsi="Book Antiqua" w:cs="Arial"/>
          <w:sz w:val="24"/>
          <w:szCs w:val="24"/>
        </w:rPr>
        <w:t>agreement</w:t>
      </w:r>
      <w:r w:rsidR="002364EC" w:rsidRPr="00F4231A">
        <w:rPr>
          <w:rFonts w:ascii="Book Antiqua" w:hAnsi="Book Antiqua" w:cs="Arial"/>
          <w:sz w:val="24"/>
          <w:szCs w:val="24"/>
        </w:rPr>
        <w:t xml:space="preserve"> between LBP and EndoCab IgG (</w:t>
      </w:r>
      <w:r w:rsidR="00CB79F5" w:rsidRPr="00F4231A">
        <w:rPr>
          <w:rFonts w:ascii="Book Antiqua" w:hAnsi="Book Antiqua" w:cs="Arial"/>
          <w:sz w:val="24"/>
          <w:szCs w:val="24"/>
        </w:rPr>
        <w:t>Figure</w:t>
      </w:r>
      <w:r w:rsidR="002364EC" w:rsidRPr="00F4231A">
        <w:rPr>
          <w:rFonts w:ascii="Book Antiqua" w:hAnsi="Book Antiqua" w:cs="Arial"/>
          <w:sz w:val="24"/>
          <w:szCs w:val="24"/>
        </w:rPr>
        <w:t xml:space="preserve"> 4) may explain the discrepant results between LBP</w:t>
      </w:r>
      <w:r w:rsidR="00C61F87" w:rsidRPr="00F4231A">
        <w:rPr>
          <w:rFonts w:ascii="Book Antiqua" w:hAnsi="Book Antiqua" w:cs="Arial"/>
          <w:sz w:val="24"/>
          <w:szCs w:val="24"/>
        </w:rPr>
        <w:t xml:space="preserve"> and </w:t>
      </w:r>
      <w:r w:rsidR="002364EC" w:rsidRPr="00F4231A">
        <w:rPr>
          <w:rFonts w:ascii="Book Antiqua" w:hAnsi="Book Antiqua" w:cs="Arial"/>
          <w:sz w:val="24"/>
          <w:szCs w:val="24"/>
        </w:rPr>
        <w:t>EndoCa</w:t>
      </w:r>
      <w:r w:rsidR="00C61F87" w:rsidRPr="00F4231A">
        <w:rPr>
          <w:rFonts w:ascii="Book Antiqua" w:hAnsi="Book Antiqua" w:cs="Arial"/>
          <w:sz w:val="24"/>
          <w:szCs w:val="24"/>
        </w:rPr>
        <w:t xml:space="preserve">b IgG for </w:t>
      </w:r>
      <w:r w:rsidR="00F40170" w:rsidRPr="00F4231A">
        <w:rPr>
          <w:rFonts w:ascii="Book Antiqua" w:hAnsi="Book Antiqua" w:cs="Arial"/>
          <w:sz w:val="24"/>
          <w:szCs w:val="24"/>
        </w:rPr>
        <w:t xml:space="preserve">histological scores. </w:t>
      </w:r>
    </w:p>
    <w:p w:rsidR="0050570F" w:rsidRPr="00F4231A" w:rsidRDefault="0050570F" w:rsidP="00F4231A">
      <w:pPr>
        <w:snapToGrid w:val="0"/>
        <w:spacing w:line="360" w:lineRule="auto"/>
        <w:rPr>
          <w:rFonts w:ascii="Book Antiqua" w:hAnsi="Book Antiqua" w:cs="Arial"/>
          <w:b/>
          <w:i/>
          <w:sz w:val="24"/>
          <w:szCs w:val="24"/>
        </w:rPr>
      </w:pPr>
    </w:p>
    <w:p w:rsidR="00854760" w:rsidRPr="00F4231A" w:rsidRDefault="00854760" w:rsidP="00F4231A">
      <w:pPr>
        <w:snapToGrid w:val="0"/>
        <w:spacing w:line="360" w:lineRule="auto"/>
        <w:rPr>
          <w:rFonts w:ascii="Book Antiqua" w:hAnsi="Book Antiqua" w:cs="Arial"/>
          <w:sz w:val="24"/>
          <w:szCs w:val="24"/>
        </w:rPr>
      </w:pPr>
      <w:r w:rsidRPr="00F4231A">
        <w:rPr>
          <w:rFonts w:ascii="Book Antiqua" w:hAnsi="Book Antiqua" w:cs="Arial"/>
          <w:b/>
          <w:i/>
          <w:sz w:val="24"/>
          <w:szCs w:val="24"/>
        </w:rPr>
        <w:t>Correlation</w:t>
      </w:r>
      <w:r w:rsidR="00C61F87" w:rsidRPr="00F4231A">
        <w:rPr>
          <w:rFonts w:ascii="Book Antiqua" w:hAnsi="Book Antiqua" w:cs="Arial"/>
          <w:b/>
          <w:i/>
          <w:sz w:val="24"/>
          <w:szCs w:val="24"/>
        </w:rPr>
        <w:t>s</w:t>
      </w:r>
      <w:r w:rsidRPr="00F4231A">
        <w:rPr>
          <w:rFonts w:ascii="Book Antiqua" w:hAnsi="Book Antiqua" w:cs="Arial"/>
          <w:b/>
          <w:i/>
          <w:sz w:val="24"/>
          <w:szCs w:val="24"/>
        </w:rPr>
        <w:t xml:space="preserve"> between LBP/EndoCab levels and NAS</w:t>
      </w:r>
    </w:p>
    <w:p w:rsidR="00E07215" w:rsidRPr="00F4231A" w:rsidRDefault="00BE5ABE" w:rsidP="00F4231A">
      <w:pPr>
        <w:snapToGrid w:val="0"/>
        <w:spacing w:line="360" w:lineRule="auto"/>
        <w:rPr>
          <w:rFonts w:ascii="Book Antiqua" w:hAnsi="Book Antiqua" w:cs="Arial"/>
          <w:sz w:val="24"/>
          <w:szCs w:val="24"/>
        </w:rPr>
      </w:pPr>
      <w:r w:rsidRPr="00F4231A">
        <w:rPr>
          <w:rFonts w:ascii="Book Antiqua" w:hAnsi="Book Antiqua" w:cs="Arial"/>
          <w:sz w:val="24"/>
          <w:szCs w:val="24"/>
        </w:rPr>
        <w:t>T</w:t>
      </w:r>
      <w:r w:rsidR="00854760" w:rsidRPr="00F4231A">
        <w:rPr>
          <w:rFonts w:ascii="Book Antiqua" w:hAnsi="Book Antiqua" w:cs="Arial"/>
          <w:sz w:val="24"/>
          <w:szCs w:val="24"/>
        </w:rPr>
        <w:t xml:space="preserve">here </w:t>
      </w:r>
      <w:r w:rsidR="00C61F87" w:rsidRPr="00F4231A">
        <w:rPr>
          <w:rFonts w:ascii="Book Antiqua" w:hAnsi="Book Antiqua" w:cs="Arial"/>
          <w:sz w:val="24"/>
          <w:szCs w:val="24"/>
        </w:rPr>
        <w:t>was a</w:t>
      </w:r>
      <w:r w:rsidR="00854760" w:rsidRPr="00F4231A">
        <w:rPr>
          <w:rFonts w:ascii="Book Antiqua" w:hAnsi="Book Antiqua" w:cs="Arial"/>
          <w:sz w:val="24"/>
          <w:szCs w:val="24"/>
        </w:rPr>
        <w:t xml:space="preserve"> significant positive correlation </w:t>
      </w:r>
      <w:r w:rsidR="00C61F87" w:rsidRPr="00F4231A">
        <w:rPr>
          <w:rFonts w:ascii="Book Antiqua" w:hAnsi="Book Antiqua" w:cs="Arial"/>
          <w:sz w:val="24"/>
          <w:szCs w:val="24"/>
        </w:rPr>
        <w:t>for</w:t>
      </w:r>
      <w:r w:rsidR="00854760" w:rsidRPr="00F4231A">
        <w:rPr>
          <w:rFonts w:ascii="Book Antiqua" w:hAnsi="Book Antiqua" w:cs="Arial"/>
          <w:sz w:val="24"/>
          <w:szCs w:val="24"/>
        </w:rPr>
        <w:t xml:space="preserve"> serum LBP and NAS, an indicator of histological NAFLD </w:t>
      </w:r>
      <w:r w:rsidRPr="00F4231A">
        <w:rPr>
          <w:rFonts w:ascii="Book Antiqua" w:hAnsi="Book Antiqua" w:cs="Arial"/>
          <w:sz w:val="24"/>
          <w:szCs w:val="24"/>
        </w:rPr>
        <w:t xml:space="preserve">activity, but </w:t>
      </w:r>
      <w:r w:rsidR="00C61F87" w:rsidRPr="00F4231A">
        <w:rPr>
          <w:rFonts w:ascii="Book Antiqua" w:hAnsi="Book Antiqua" w:cs="Arial"/>
          <w:sz w:val="24"/>
          <w:szCs w:val="24"/>
        </w:rPr>
        <w:t xml:space="preserve">none for </w:t>
      </w:r>
      <w:r w:rsidRPr="00F4231A">
        <w:rPr>
          <w:rFonts w:ascii="Book Antiqua" w:hAnsi="Book Antiqua" w:cs="Arial"/>
          <w:sz w:val="24"/>
          <w:szCs w:val="24"/>
        </w:rPr>
        <w:t>EndoCab IgG (</w:t>
      </w:r>
      <w:r w:rsidR="00CB79F5" w:rsidRPr="00F4231A">
        <w:rPr>
          <w:rFonts w:ascii="Book Antiqua" w:hAnsi="Book Antiqua" w:cs="Arial"/>
          <w:sz w:val="24"/>
          <w:szCs w:val="24"/>
        </w:rPr>
        <w:t xml:space="preserve">Figure </w:t>
      </w:r>
      <w:r w:rsidRPr="00F4231A">
        <w:rPr>
          <w:rFonts w:ascii="Book Antiqua" w:hAnsi="Book Antiqua" w:cs="Arial"/>
          <w:sz w:val="24"/>
          <w:szCs w:val="24"/>
        </w:rPr>
        <w:t>5</w:t>
      </w:r>
      <w:r w:rsidR="00854760" w:rsidRPr="00F4231A">
        <w:rPr>
          <w:rFonts w:ascii="Book Antiqua" w:hAnsi="Book Antiqua" w:cs="Arial"/>
          <w:sz w:val="24"/>
          <w:szCs w:val="24"/>
        </w:rPr>
        <w:t>)</w:t>
      </w:r>
      <w:r w:rsidR="00E07215" w:rsidRPr="00F4231A">
        <w:rPr>
          <w:rFonts w:ascii="Book Antiqua" w:hAnsi="Book Antiqua" w:cs="Arial"/>
          <w:sz w:val="24"/>
          <w:szCs w:val="24"/>
        </w:rPr>
        <w:t xml:space="preserve">. </w:t>
      </w:r>
    </w:p>
    <w:p w:rsidR="0050570F" w:rsidRPr="00F4231A" w:rsidRDefault="0050570F" w:rsidP="00F4231A">
      <w:pPr>
        <w:snapToGrid w:val="0"/>
        <w:spacing w:line="360" w:lineRule="auto"/>
        <w:rPr>
          <w:rFonts w:ascii="Book Antiqua" w:hAnsi="Book Antiqua" w:cs="Arial"/>
          <w:b/>
          <w:i/>
          <w:sz w:val="24"/>
          <w:szCs w:val="24"/>
        </w:rPr>
      </w:pPr>
    </w:p>
    <w:p w:rsidR="0055554D" w:rsidRPr="00F4231A" w:rsidRDefault="007349F1" w:rsidP="00F4231A">
      <w:pPr>
        <w:snapToGrid w:val="0"/>
        <w:spacing w:line="360" w:lineRule="auto"/>
        <w:rPr>
          <w:rFonts w:ascii="Book Antiqua" w:hAnsi="Book Antiqua" w:cs="Arial"/>
          <w:sz w:val="24"/>
          <w:szCs w:val="24"/>
        </w:rPr>
      </w:pPr>
      <w:r w:rsidRPr="00F4231A">
        <w:rPr>
          <w:rFonts w:ascii="Book Antiqua" w:hAnsi="Book Antiqua" w:cs="Arial"/>
          <w:b/>
          <w:i/>
          <w:sz w:val="24"/>
          <w:szCs w:val="24"/>
        </w:rPr>
        <w:lastRenderedPageBreak/>
        <w:t>Correlation</w:t>
      </w:r>
      <w:r w:rsidR="00585873" w:rsidRPr="00F4231A">
        <w:rPr>
          <w:rFonts w:ascii="Book Antiqua" w:hAnsi="Book Antiqua" w:cs="Arial"/>
          <w:b/>
          <w:i/>
          <w:sz w:val="24"/>
          <w:szCs w:val="24"/>
        </w:rPr>
        <w:t>s</w:t>
      </w:r>
      <w:r w:rsidRPr="00F4231A">
        <w:rPr>
          <w:rFonts w:ascii="Book Antiqua" w:hAnsi="Book Antiqua" w:cs="Arial"/>
          <w:b/>
          <w:i/>
          <w:sz w:val="24"/>
          <w:szCs w:val="24"/>
        </w:rPr>
        <w:t xml:space="preserve"> between LBP</w:t>
      </w:r>
      <w:r w:rsidR="00494BBA" w:rsidRPr="00F4231A">
        <w:rPr>
          <w:rFonts w:ascii="Book Antiqua" w:hAnsi="Book Antiqua" w:cs="Arial"/>
          <w:b/>
          <w:i/>
          <w:sz w:val="24"/>
          <w:szCs w:val="24"/>
        </w:rPr>
        <w:t>/EndoCab</w:t>
      </w:r>
      <w:r w:rsidR="00065E83" w:rsidRPr="00F4231A">
        <w:rPr>
          <w:rFonts w:ascii="Book Antiqua" w:hAnsi="Book Antiqua" w:cs="Arial"/>
          <w:b/>
          <w:i/>
          <w:sz w:val="24"/>
          <w:szCs w:val="24"/>
        </w:rPr>
        <w:t xml:space="preserve"> levels and</w:t>
      </w:r>
      <w:r w:rsidR="0055554D" w:rsidRPr="00F4231A">
        <w:rPr>
          <w:rFonts w:ascii="Book Antiqua" w:hAnsi="Book Antiqua" w:cs="Arial"/>
          <w:b/>
          <w:i/>
          <w:sz w:val="24"/>
          <w:szCs w:val="24"/>
        </w:rPr>
        <w:t xml:space="preserve"> </w:t>
      </w:r>
      <w:r w:rsidR="00494BBA" w:rsidRPr="00F4231A">
        <w:rPr>
          <w:rFonts w:ascii="Book Antiqua" w:hAnsi="Book Antiqua" w:cs="Arial"/>
          <w:b/>
          <w:i/>
          <w:sz w:val="24"/>
          <w:szCs w:val="24"/>
        </w:rPr>
        <w:t>labo</w:t>
      </w:r>
      <w:r w:rsidR="0055554D" w:rsidRPr="00F4231A">
        <w:rPr>
          <w:rFonts w:ascii="Book Antiqua" w:hAnsi="Book Antiqua" w:cs="Arial"/>
          <w:b/>
          <w:i/>
          <w:sz w:val="24"/>
          <w:szCs w:val="24"/>
        </w:rPr>
        <w:t>ratory data</w:t>
      </w:r>
    </w:p>
    <w:p w:rsidR="00466B5E" w:rsidRPr="00F4231A" w:rsidRDefault="007349F1" w:rsidP="00F4231A">
      <w:pPr>
        <w:snapToGrid w:val="0"/>
        <w:spacing w:line="360" w:lineRule="auto"/>
        <w:rPr>
          <w:rFonts w:ascii="Book Antiqua" w:hAnsi="Book Antiqua" w:cs="Arial"/>
          <w:sz w:val="24"/>
          <w:szCs w:val="24"/>
        </w:rPr>
      </w:pPr>
      <w:r w:rsidRPr="00F4231A">
        <w:rPr>
          <w:rFonts w:ascii="Book Antiqua" w:hAnsi="Book Antiqua" w:cs="Arial"/>
          <w:sz w:val="24"/>
          <w:szCs w:val="24"/>
        </w:rPr>
        <w:t xml:space="preserve">Serum LBP was </w:t>
      </w:r>
      <w:r w:rsidR="00585873" w:rsidRPr="00F4231A">
        <w:rPr>
          <w:rFonts w:ascii="Book Antiqua" w:hAnsi="Book Antiqua" w:cs="Arial"/>
          <w:sz w:val="24"/>
          <w:szCs w:val="24"/>
        </w:rPr>
        <w:t xml:space="preserve">significantly </w:t>
      </w:r>
      <w:r w:rsidRPr="00F4231A">
        <w:rPr>
          <w:rFonts w:ascii="Book Antiqua" w:hAnsi="Book Antiqua" w:cs="Arial"/>
          <w:sz w:val="24"/>
          <w:szCs w:val="24"/>
        </w:rPr>
        <w:t xml:space="preserve">positively correlated with </w:t>
      </w:r>
      <w:r w:rsidR="005E0B21" w:rsidRPr="00F4231A">
        <w:rPr>
          <w:rFonts w:ascii="Book Antiqua" w:hAnsi="Book Antiqua" w:cs="Arial"/>
          <w:sz w:val="24"/>
          <w:szCs w:val="24"/>
        </w:rPr>
        <w:t>AST, ALT, leukocyte count</w:t>
      </w:r>
      <w:r w:rsidR="00667BC6" w:rsidRPr="00F4231A">
        <w:rPr>
          <w:rFonts w:ascii="Book Antiqua" w:hAnsi="Book Antiqua" w:cs="Arial"/>
          <w:sz w:val="24"/>
          <w:szCs w:val="24"/>
        </w:rPr>
        <w:t xml:space="preserve">, </w:t>
      </w:r>
      <w:r w:rsidR="005E0B21" w:rsidRPr="00F4231A">
        <w:rPr>
          <w:rFonts w:ascii="Book Antiqua" w:hAnsi="Book Antiqua" w:cs="Arial"/>
          <w:sz w:val="24"/>
          <w:szCs w:val="24"/>
        </w:rPr>
        <w:t>fibrinogen</w:t>
      </w:r>
      <w:r w:rsidR="004609F1" w:rsidRPr="00F4231A">
        <w:rPr>
          <w:rFonts w:ascii="Book Antiqua" w:hAnsi="Book Antiqua" w:cs="Arial"/>
          <w:sz w:val="24"/>
          <w:szCs w:val="24"/>
        </w:rPr>
        <w:t xml:space="preserve"> (FIBG)</w:t>
      </w:r>
      <w:r w:rsidR="00E1515A" w:rsidRPr="00F4231A">
        <w:rPr>
          <w:rFonts w:ascii="Book Antiqua" w:hAnsi="Book Antiqua" w:cs="Arial"/>
          <w:sz w:val="24"/>
          <w:szCs w:val="24"/>
        </w:rPr>
        <w:t xml:space="preserve">, </w:t>
      </w:r>
      <w:r w:rsidR="00667BC6" w:rsidRPr="00F4231A">
        <w:rPr>
          <w:rFonts w:ascii="Book Antiqua" w:hAnsi="Book Antiqua" w:cs="Arial"/>
          <w:sz w:val="24"/>
          <w:szCs w:val="24"/>
        </w:rPr>
        <w:t>C-reactive protein (CRP)</w:t>
      </w:r>
      <w:r w:rsidR="00551A1E" w:rsidRPr="00F4231A">
        <w:rPr>
          <w:rFonts w:ascii="Book Antiqua" w:hAnsi="Book Antiqua" w:cs="Arial"/>
          <w:sz w:val="24"/>
          <w:szCs w:val="24"/>
        </w:rPr>
        <w:t>, and CK18 fragment</w:t>
      </w:r>
      <w:r w:rsidR="00E1515A" w:rsidRPr="00F4231A">
        <w:rPr>
          <w:rFonts w:ascii="Book Antiqua" w:hAnsi="Book Antiqua" w:cs="Arial"/>
          <w:sz w:val="24"/>
          <w:szCs w:val="24"/>
        </w:rPr>
        <w:t xml:space="preserve"> </w:t>
      </w:r>
      <w:r w:rsidR="005E0B21" w:rsidRPr="00F4231A">
        <w:rPr>
          <w:rFonts w:ascii="Book Antiqua" w:hAnsi="Book Antiqua" w:cs="Arial"/>
          <w:sz w:val="24"/>
          <w:szCs w:val="24"/>
        </w:rPr>
        <w:t xml:space="preserve">(Table </w:t>
      </w:r>
      <w:r w:rsidR="00224FEB" w:rsidRPr="00F4231A">
        <w:rPr>
          <w:rFonts w:ascii="Book Antiqua" w:hAnsi="Book Antiqua" w:cs="Arial"/>
          <w:sz w:val="24"/>
          <w:szCs w:val="24"/>
        </w:rPr>
        <w:t>3</w:t>
      </w:r>
      <w:r w:rsidR="005E0B21" w:rsidRPr="00F4231A">
        <w:rPr>
          <w:rFonts w:ascii="Book Antiqua" w:hAnsi="Book Antiqua" w:cs="Arial"/>
          <w:sz w:val="24"/>
          <w:szCs w:val="24"/>
        </w:rPr>
        <w:t>)</w:t>
      </w:r>
      <w:r w:rsidR="00585873" w:rsidRPr="00F4231A">
        <w:rPr>
          <w:rFonts w:ascii="Book Antiqua" w:hAnsi="Book Antiqua" w:cs="Arial"/>
          <w:sz w:val="24"/>
          <w:szCs w:val="24"/>
        </w:rPr>
        <w:t xml:space="preserve">, while </w:t>
      </w:r>
      <w:r w:rsidR="005E0B21" w:rsidRPr="00F4231A">
        <w:rPr>
          <w:rFonts w:ascii="Book Antiqua" w:hAnsi="Book Antiqua" w:cs="Arial"/>
          <w:sz w:val="24"/>
          <w:szCs w:val="24"/>
        </w:rPr>
        <w:t>EndoCab IgG was correlated</w:t>
      </w:r>
      <w:r w:rsidR="00585873" w:rsidRPr="00F4231A">
        <w:rPr>
          <w:rFonts w:ascii="Book Antiqua" w:hAnsi="Book Antiqua" w:cs="Arial"/>
          <w:sz w:val="24"/>
          <w:szCs w:val="24"/>
        </w:rPr>
        <w:t xml:space="preserve"> significantly with age </w:t>
      </w:r>
      <w:r w:rsidR="000F6BD5" w:rsidRPr="00F4231A">
        <w:rPr>
          <w:rFonts w:ascii="Book Antiqua" w:hAnsi="Book Antiqua" w:cs="Arial"/>
          <w:sz w:val="24"/>
          <w:szCs w:val="24"/>
        </w:rPr>
        <w:t xml:space="preserve">and </w:t>
      </w:r>
      <w:r w:rsidR="005E0B21" w:rsidRPr="00F4231A">
        <w:rPr>
          <w:rFonts w:ascii="Book Antiqua" w:hAnsi="Book Antiqua" w:cs="Arial"/>
          <w:sz w:val="24"/>
          <w:szCs w:val="24"/>
        </w:rPr>
        <w:t>platelet count (Table</w:t>
      </w:r>
      <w:r w:rsidR="00CB79F5" w:rsidRPr="00F4231A">
        <w:rPr>
          <w:rFonts w:ascii="Book Antiqua" w:hAnsi="Book Antiqua" w:cs="Arial"/>
          <w:sz w:val="24"/>
          <w:szCs w:val="24"/>
        </w:rPr>
        <w:t xml:space="preserve"> </w:t>
      </w:r>
      <w:r w:rsidR="00224FEB" w:rsidRPr="00F4231A">
        <w:rPr>
          <w:rFonts w:ascii="Book Antiqua" w:hAnsi="Book Antiqua" w:cs="Arial"/>
          <w:sz w:val="24"/>
          <w:szCs w:val="24"/>
        </w:rPr>
        <w:t>3</w:t>
      </w:r>
      <w:r w:rsidR="005E0B21" w:rsidRPr="00F4231A">
        <w:rPr>
          <w:rFonts w:ascii="Book Antiqua" w:hAnsi="Book Antiqua" w:cs="Arial"/>
          <w:sz w:val="24"/>
          <w:szCs w:val="24"/>
        </w:rPr>
        <w:t>)</w:t>
      </w:r>
      <w:r w:rsidR="00585873" w:rsidRPr="00F4231A">
        <w:rPr>
          <w:rFonts w:ascii="Book Antiqua" w:hAnsi="Book Antiqua" w:cs="Arial"/>
          <w:sz w:val="24"/>
          <w:szCs w:val="24"/>
        </w:rPr>
        <w:t>. F</w:t>
      </w:r>
      <w:r w:rsidR="00767ADF" w:rsidRPr="00F4231A">
        <w:rPr>
          <w:rFonts w:ascii="Book Antiqua" w:hAnsi="Book Antiqua" w:cs="Arial"/>
          <w:sz w:val="24"/>
          <w:szCs w:val="24"/>
        </w:rPr>
        <w:t xml:space="preserve">actor analysis </w:t>
      </w:r>
      <w:r w:rsidR="008557E2" w:rsidRPr="00F4231A">
        <w:rPr>
          <w:rFonts w:ascii="Book Antiqua" w:hAnsi="Book Antiqua" w:cs="Arial"/>
          <w:sz w:val="24"/>
          <w:szCs w:val="24"/>
        </w:rPr>
        <w:t xml:space="preserve">using </w:t>
      </w:r>
      <w:r w:rsidR="007666DE" w:rsidRPr="00F4231A">
        <w:rPr>
          <w:rFonts w:ascii="Book Antiqua" w:hAnsi="Book Antiqua" w:cs="Arial"/>
          <w:sz w:val="24"/>
          <w:szCs w:val="24"/>
        </w:rPr>
        <w:t xml:space="preserve">several laboratory data </w:t>
      </w:r>
      <w:r w:rsidR="00585873" w:rsidRPr="00F4231A">
        <w:rPr>
          <w:rFonts w:ascii="Book Antiqua" w:hAnsi="Book Antiqua" w:cs="Arial"/>
          <w:sz w:val="24"/>
          <w:szCs w:val="24"/>
        </w:rPr>
        <w:t xml:space="preserve">parameters </w:t>
      </w:r>
      <w:r w:rsidR="0025135B" w:rsidRPr="00F4231A">
        <w:rPr>
          <w:rFonts w:ascii="Book Antiqua" w:hAnsi="Book Antiqua" w:cs="Arial"/>
          <w:sz w:val="24"/>
          <w:szCs w:val="24"/>
        </w:rPr>
        <w:t>distinguished</w:t>
      </w:r>
      <w:r w:rsidR="00585873" w:rsidRPr="00F4231A">
        <w:rPr>
          <w:rFonts w:ascii="Book Antiqua" w:hAnsi="Book Antiqua" w:cs="Arial"/>
          <w:sz w:val="24"/>
          <w:szCs w:val="24"/>
        </w:rPr>
        <w:t xml:space="preserve"> a </w:t>
      </w:r>
      <w:r w:rsidR="00FB4768" w:rsidRPr="00F4231A">
        <w:rPr>
          <w:rFonts w:ascii="Book Antiqua" w:hAnsi="Book Antiqua" w:cs="Arial"/>
          <w:sz w:val="24"/>
          <w:szCs w:val="24"/>
        </w:rPr>
        <w:t>clear separation between</w:t>
      </w:r>
      <w:r w:rsidR="00585873" w:rsidRPr="00F4231A">
        <w:rPr>
          <w:rFonts w:ascii="Book Antiqua" w:hAnsi="Book Antiqua" w:cs="Arial"/>
          <w:sz w:val="24"/>
          <w:szCs w:val="24"/>
        </w:rPr>
        <w:t xml:space="preserve"> the</w:t>
      </w:r>
      <w:r w:rsidR="00FB4768" w:rsidRPr="00F4231A">
        <w:rPr>
          <w:rFonts w:ascii="Book Antiqua" w:hAnsi="Book Antiqua" w:cs="Arial"/>
          <w:sz w:val="24"/>
          <w:szCs w:val="24"/>
        </w:rPr>
        <w:t xml:space="preserve"> </w:t>
      </w:r>
      <w:r w:rsidR="00FC5794" w:rsidRPr="00F4231A">
        <w:rPr>
          <w:rFonts w:ascii="Book Antiqua" w:hAnsi="Book Antiqua" w:cs="Arial"/>
          <w:sz w:val="24"/>
          <w:szCs w:val="24"/>
        </w:rPr>
        <w:t>L</w:t>
      </w:r>
      <w:r w:rsidR="001F6B7D" w:rsidRPr="00F4231A">
        <w:rPr>
          <w:rFonts w:ascii="Book Antiqua" w:hAnsi="Book Antiqua" w:cs="Arial"/>
          <w:sz w:val="24"/>
          <w:szCs w:val="24"/>
        </w:rPr>
        <w:t>BP</w:t>
      </w:r>
      <w:r w:rsidR="00585873" w:rsidRPr="00F4231A">
        <w:rPr>
          <w:rFonts w:ascii="Book Antiqua" w:hAnsi="Book Antiqua" w:cs="Arial"/>
          <w:sz w:val="24"/>
          <w:szCs w:val="24"/>
        </w:rPr>
        <w:t xml:space="preserve"> </w:t>
      </w:r>
      <w:r w:rsidR="001F6B7D" w:rsidRPr="00F4231A">
        <w:rPr>
          <w:rFonts w:ascii="Book Antiqua" w:hAnsi="Book Antiqua" w:cs="Arial"/>
          <w:sz w:val="24"/>
          <w:szCs w:val="24"/>
        </w:rPr>
        <w:t>and EndoCab IgG group</w:t>
      </w:r>
      <w:r w:rsidR="00585873" w:rsidRPr="00F4231A">
        <w:rPr>
          <w:rFonts w:ascii="Book Antiqua" w:hAnsi="Book Antiqua" w:cs="Arial"/>
          <w:sz w:val="24"/>
          <w:szCs w:val="24"/>
        </w:rPr>
        <w:t xml:space="preserve">s; the former </w:t>
      </w:r>
      <w:r w:rsidR="00AE43ED" w:rsidRPr="00F4231A">
        <w:rPr>
          <w:rFonts w:ascii="Book Antiqua" w:hAnsi="Book Antiqua" w:cs="Arial"/>
          <w:sz w:val="24"/>
          <w:szCs w:val="24"/>
        </w:rPr>
        <w:t>group</w:t>
      </w:r>
      <w:r w:rsidR="00275264" w:rsidRPr="00F4231A">
        <w:rPr>
          <w:rFonts w:ascii="Book Antiqua" w:hAnsi="Book Antiqua" w:cs="Arial"/>
          <w:sz w:val="24"/>
          <w:szCs w:val="24"/>
        </w:rPr>
        <w:t xml:space="preserve"> included inflammation-related parameter</w:t>
      </w:r>
      <w:r w:rsidR="00874D50" w:rsidRPr="00F4231A">
        <w:rPr>
          <w:rFonts w:ascii="Book Antiqua" w:hAnsi="Book Antiqua" w:cs="Arial"/>
          <w:sz w:val="24"/>
          <w:szCs w:val="24"/>
        </w:rPr>
        <w:t>s</w:t>
      </w:r>
      <w:r w:rsidR="007666DE" w:rsidRPr="00F4231A">
        <w:rPr>
          <w:rFonts w:ascii="Book Antiqua" w:hAnsi="Book Antiqua" w:cs="Arial"/>
          <w:sz w:val="24"/>
          <w:szCs w:val="24"/>
        </w:rPr>
        <w:t>, such as CRP, FIBG, and leukocyte count</w:t>
      </w:r>
      <w:r w:rsidR="00B15F7B" w:rsidRPr="00F4231A">
        <w:rPr>
          <w:rFonts w:ascii="Book Antiqua" w:hAnsi="Book Antiqua" w:cs="Arial"/>
          <w:sz w:val="24"/>
          <w:szCs w:val="24"/>
        </w:rPr>
        <w:t xml:space="preserve">, </w:t>
      </w:r>
      <w:r w:rsidR="00585873" w:rsidRPr="00F4231A">
        <w:rPr>
          <w:rFonts w:ascii="Book Antiqua" w:hAnsi="Book Antiqua" w:cs="Arial"/>
          <w:sz w:val="24"/>
          <w:szCs w:val="24"/>
        </w:rPr>
        <w:t>whereas</w:t>
      </w:r>
      <w:r w:rsidR="00B15F7B" w:rsidRPr="00F4231A">
        <w:rPr>
          <w:rFonts w:ascii="Book Antiqua" w:hAnsi="Book Antiqua" w:cs="Arial"/>
          <w:sz w:val="24"/>
          <w:szCs w:val="24"/>
        </w:rPr>
        <w:t xml:space="preserve"> the latter </w:t>
      </w:r>
      <w:r w:rsidR="00874D50" w:rsidRPr="00F4231A">
        <w:rPr>
          <w:rFonts w:ascii="Book Antiqua" w:hAnsi="Book Antiqua" w:cs="Arial"/>
          <w:sz w:val="24"/>
          <w:szCs w:val="24"/>
        </w:rPr>
        <w:t xml:space="preserve">group </w:t>
      </w:r>
      <w:r w:rsidR="00585873" w:rsidRPr="00F4231A">
        <w:rPr>
          <w:rFonts w:ascii="Book Antiqua" w:hAnsi="Book Antiqua" w:cs="Arial"/>
          <w:sz w:val="24"/>
          <w:szCs w:val="24"/>
        </w:rPr>
        <w:t xml:space="preserve">contained </w:t>
      </w:r>
      <w:r w:rsidR="00B15F7B" w:rsidRPr="00F4231A">
        <w:rPr>
          <w:rFonts w:ascii="Book Antiqua" w:hAnsi="Book Antiqua" w:cs="Arial"/>
          <w:sz w:val="24"/>
          <w:szCs w:val="24"/>
        </w:rPr>
        <w:t>Hb</w:t>
      </w:r>
      <w:r w:rsidR="007E4610" w:rsidRPr="00F4231A">
        <w:rPr>
          <w:rFonts w:ascii="Book Antiqua" w:hAnsi="Book Antiqua" w:cs="Arial"/>
          <w:sz w:val="24"/>
          <w:szCs w:val="24"/>
        </w:rPr>
        <w:t>A1c, age, and hyaluronic acid</w:t>
      </w:r>
      <w:r w:rsidR="00242380" w:rsidRPr="00F4231A">
        <w:rPr>
          <w:rFonts w:ascii="Book Antiqua" w:hAnsi="Book Antiqua" w:cs="Arial"/>
          <w:sz w:val="24"/>
          <w:szCs w:val="24"/>
        </w:rPr>
        <w:t xml:space="preserve">. </w:t>
      </w:r>
      <w:r w:rsidR="001C22B7" w:rsidRPr="00F4231A">
        <w:rPr>
          <w:rFonts w:ascii="Book Antiqua" w:hAnsi="Book Antiqua" w:cs="Arial"/>
          <w:sz w:val="24"/>
          <w:szCs w:val="24"/>
        </w:rPr>
        <w:t>M</w:t>
      </w:r>
      <w:r w:rsidR="00242380" w:rsidRPr="00F4231A">
        <w:rPr>
          <w:rFonts w:ascii="Book Antiqua" w:hAnsi="Book Antiqua" w:cs="Arial"/>
          <w:sz w:val="24"/>
          <w:szCs w:val="24"/>
        </w:rPr>
        <w:t xml:space="preserve">ultivariate linear regression analysis </w:t>
      </w:r>
      <w:r w:rsidR="003070C1" w:rsidRPr="00F4231A">
        <w:rPr>
          <w:rFonts w:ascii="Book Antiqua" w:hAnsi="Book Antiqua" w:cs="Arial"/>
          <w:sz w:val="24"/>
          <w:szCs w:val="24"/>
        </w:rPr>
        <w:t xml:space="preserve">revealed that steatosis score </w:t>
      </w:r>
      <w:r w:rsidR="009976F0" w:rsidRPr="00F4231A">
        <w:rPr>
          <w:rFonts w:ascii="Book Antiqua" w:hAnsi="Book Antiqua" w:cs="Arial"/>
          <w:sz w:val="24"/>
          <w:szCs w:val="24"/>
        </w:rPr>
        <w:t>(</w:t>
      </w:r>
      <w:r w:rsidR="009976F0" w:rsidRPr="00F4231A">
        <w:rPr>
          <w:rFonts w:ascii="Book Antiqua" w:hAnsi="Book Antiqua" w:cs="Arial"/>
          <w:i/>
          <w:sz w:val="24"/>
          <w:szCs w:val="24"/>
        </w:rPr>
        <w:t>P</w:t>
      </w:r>
      <w:r w:rsidR="0025135B" w:rsidRPr="00F4231A">
        <w:rPr>
          <w:rFonts w:ascii="Book Antiqua" w:hAnsi="Book Antiqua" w:cs="Arial"/>
          <w:sz w:val="24"/>
          <w:szCs w:val="24"/>
        </w:rPr>
        <w:t xml:space="preserve"> = 0.00</w:t>
      </w:r>
      <w:r w:rsidR="00D96BE6" w:rsidRPr="00F4231A">
        <w:rPr>
          <w:rFonts w:ascii="Book Antiqua" w:hAnsi="Book Antiqua" w:cs="Arial"/>
          <w:sz w:val="24"/>
          <w:szCs w:val="24"/>
        </w:rPr>
        <w:t>33</w:t>
      </w:r>
      <w:r w:rsidR="0025135B" w:rsidRPr="00F4231A">
        <w:rPr>
          <w:rFonts w:ascii="Book Antiqua" w:hAnsi="Book Antiqua" w:cs="Arial"/>
          <w:sz w:val="24"/>
          <w:szCs w:val="24"/>
        </w:rPr>
        <w:t xml:space="preserve">), </w:t>
      </w:r>
      <w:r w:rsidR="003070C1" w:rsidRPr="00F4231A">
        <w:rPr>
          <w:rFonts w:ascii="Book Antiqua" w:hAnsi="Book Antiqua" w:cs="Arial"/>
          <w:sz w:val="24"/>
          <w:szCs w:val="24"/>
        </w:rPr>
        <w:t xml:space="preserve">circulating CRP </w:t>
      </w:r>
      <w:r w:rsidR="009976F0" w:rsidRPr="00F4231A">
        <w:rPr>
          <w:rFonts w:ascii="Book Antiqua" w:hAnsi="Book Antiqua" w:cs="Arial"/>
          <w:sz w:val="24"/>
          <w:szCs w:val="24"/>
        </w:rPr>
        <w:t>(</w:t>
      </w:r>
      <w:r w:rsidR="009976F0" w:rsidRPr="00F4231A">
        <w:rPr>
          <w:rFonts w:ascii="Book Antiqua" w:hAnsi="Book Antiqua" w:cs="Arial"/>
          <w:i/>
          <w:sz w:val="24"/>
          <w:szCs w:val="24"/>
        </w:rPr>
        <w:t>P</w:t>
      </w:r>
      <w:r w:rsidR="0025135B" w:rsidRPr="00F4231A">
        <w:rPr>
          <w:rFonts w:ascii="Book Antiqua" w:hAnsi="Book Antiqua" w:cs="Arial"/>
          <w:sz w:val="24"/>
          <w:szCs w:val="24"/>
        </w:rPr>
        <w:t xml:space="preserve"> = 0.00</w:t>
      </w:r>
      <w:r w:rsidR="00D96BE6" w:rsidRPr="00F4231A">
        <w:rPr>
          <w:rFonts w:ascii="Book Antiqua" w:hAnsi="Book Antiqua" w:cs="Arial"/>
          <w:sz w:val="24"/>
          <w:szCs w:val="24"/>
        </w:rPr>
        <w:t>3</w:t>
      </w:r>
      <w:r w:rsidR="0025135B" w:rsidRPr="00F4231A">
        <w:rPr>
          <w:rFonts w:ascii="Book Antiqua" w:hAnsi="Book Antiqua" w:cs="Arial"/>
          <w:sz w:val="24"/>
          <w:szCs w:val="24"/>
        </w:rPr>
        <w:t xml:space="preserve">2), </w:t>
      </w:r>
      <w:r w:rsidR="00D96BE6" w:rsidRPr="00F4231A">
        <w:rPr>
          <w:rFonts w:ascii="Book Antiqua" w:hAnsi="Book Antiqua" w:cs="Arial"/>
          <w:sz w:val="24"/>
          <w:szCs w:val="24"/>
        </w:rPr>
        <w:t>AST (</w:t>
      </w:r>
      <w:r w:rsidR="00D96BE6" w:rsidRPr="00F4231A">
        <w:rPr>
          <w:rFonts w:ascii="Book Antiqua" w:hAnsi="Book Antiqua" w:cs="Arial"/>
          <w:i/>
          <w:sz w:val="24"/>
          <w:szCs w:val="24"/>
        </w:rPr>
        <w:t>P</w:t>
      </w:r>
      <w:r w:rsidR="00D96BE6" w:rsidRPr="00F4231A">
        <w:rPr>
          <w:rFonts w:ascii="Book Antiqua" w:hAnsi="Book Antiqua" w:cs="Arial"/>
          <w:sz w:val="24"/>
          <w:szCs w:val="24"/>
        </w:rPr>
        <w:t xml:space="preserve"> = 0.0151), </w:t>
      </w:r>
      <w:r w:rsidR="003070C1" w:rsidRPr="00F4231A">
        <w:rPr>
          <w:rFonts w:ascii="Book Antiqua" w:hAnsi="Book Antiqua" w:cs="Arial"/>
          <w:sz w:val="24"/>
          <w:szCs w:val="24"/>
        </w:rPr>
        <w:t xml:space="preserve">and FIBG </w:t>
      </w:r>
      <w:r w:rsidR="009976F0" w:rsidRPr="00F4231A">
        <w:rPr>
          <w:rFonts w:ascii="Book Antiqua" w:hAnsi="Book Antiqua" w:cs="Arial"/>
          <w:sz w:val="24"/>
          <w:szCs w:val="24"/>
        </w:rPr>
        <w:t>(</w:t>
      </w:r>
      <w:r w:rsidR="009976F0" w:rsidRPr="00F4231A">
        <w:rPr>
          <w:rFonts w:ascii="Book Antiqua" w:hAnsi="Book Antiqua" w:cs="Arial"/>
          <w:i/>
          <w:sz w:val="24"/>
          <w:szCs w:val="24"/>
        </w:rPr>
        <w:t>P</w:t>
      </w:r>
      <w:r w:rsidR="009976F0" w:rsidRPr="00F4231A">
        <w:rPr>
          <w:rFonts w:ascii="Book Antiqua" w:hAnsi="Book Antiqua" w:cs="Arial"/>
          <w:sz w:val="24"/>
          <w:szCs w:val="24"/>
        </w:rPr>
        <w:t xml:space="preserve"> = 0.01</w:t>
      </w:r>
      <w:r w:rsidR="00D96BE6" w:rsidRPr="00F4231A">
        <w:rPr>
          <w:rFonts w:ascii="Book Antiqua" w:hAnsi="Book Antiqua" w:cs="Arial"/>
          <w:sz w:val="24"/>
          <w:szCs w:val="24"/>
        </w:rPr>
        <w:t>81</w:t>
      </w:r>
      <w:r w:rsidR="009976F0" w:rsidRPr="00F4231A">
        <w:rPr>
          <w:rFonts w:ascii="Book Antiqua" w:hAnsi="Book Antiqua" w:cs="Arial"/>
          <w:sz w:val="24"/>
          <w:szCs w:val="24"/>
        </w:rPr>
        <w:t xml:space="preserve">) </w:t>
      </w:r>
      <w:r w:rsidR="003070C1" w:rsidRPr="00F4231A">
        <w:rPr>
          <w:rFonts w:ascii="Book Antiqua" w:hAnsi="Book Antiqua" w:cs="Arial"/>
          <w:sz w:val="24"/>
          <w:szCs w:val="24"/>
        </w:rPr>
        <w:t>were independent pr</w:t>
      </w:r>
      <w:r w:rsidR="00CB79F5" w:rsidRPr="00F4231A">
        <w:rPr>
          <w:rFonts w:ascii="Book Antiqua" w:hAnsi="Book Antiqua" w:cs="Arial"/>
          <w:sz w:val="24"/>
          <w:szCs w:val="24"/>
        </w:rPr>
        <w:t>edictors of LBP.</w:t>
      </w:r>
    </w:p>
    <w:p w:rsidR="00640D48" w:rsidRPr="00F4231A" w:rsidRDefault="00640D48" w:rsidP="00F4231A">
      <w:pPr>
        <w:snapToGrid w:val="0"/>
        <w:spacing w:line="360" w:lineRule="auto"/>
        <w:rPr>
          <w:rFonts w:ascii="Book Antiqua" w:hAnsi="Book Antiqua" w:cs="Arial"/>
          <w:b/>
          <w:sz w:val="24"/>
          <w:szCs w:val="24"/>
        </w:rPr>
      </w:pPr>
    </w:p>
    <w:p w:rsidR="00465E5B" w:rsidRPr="00F4231A" w:rsidRDefault="00A018E4" w:rsidP="00F4231A">
      <w:pPr>
        <w:snapToGrid w:val="0"/>
        <w:spacing w:line="360" w:lineRule="auto"/>
        <w:rPr>
          <w:rFonts w:ascii="Book Antiqua" w:hAnsi="Book Antiqua" w:cs="Arial"/>
          <w:sz w:val="24"/>
          <w:szCs w:val="24"/>
        </w:rPr>
      </w:pPr>
      <w:r w:rsidRPr="00F4231A">
        <w:rPr>
          <w:rFonts w:ascii="Book Antiqua" w:hAnsi="Book Antiqua" w:cs="Arial"/>
          <w:b/>
          <w:sz w:val="24"/>
          <w:szCs w:val="24"/>
        </w:rPr>
        <w:t>D</w:t>
      </w:r>
      <w:r w:rsidR="00365740" w:rsidRPr="00F4231A">
        <w:rPr>
          <w:rFonts w:ascii="Book Antiqua" w:hAnsi="Book Antiqua" w:cs="Arial"/>
          <w:b/>
          <w:sz w:val="24"/>
          <w:szCs w:val="24"/>
        </w:rPr>
        <w:t>ISCUSSION</w:t>
      </w:r>
    </w:p>
    <w:p w:rsidR="0035151B" w:rsidRPr="00F4231A" w:rsidRDefault="00790147" w:rsidP="00F4231A">
      <w:pPr>
        <w:pStyle w:val="15"/>
        <w:snapToGrid w:val="0"/>
        <w:rPr>
          <w:rFonts w:ascii="Book Antiqua" w:hAnsi="Book Antiqua" w:cs="Arial"/>
          <w:sz w:val="24"/>
          <w:szCs w:val="24"/>
        </w:rPr>
      </w:pPr>
      <w:r w:rsidRPr="00F4231A">
        <w:rPr>
          <w:rFonts w:ascii="Book Antiqua" w:hAnsi="Book Antiqua" w:cs="Arial"/>
          <w:sz w:val="24"/>
          <w:szCs w:val="24"/>
        </w:rPr>
        <w:t xml:space="preserve">To our knowledge, </w:t>
      </w:r>
      <w:r w:rsidR="00C57C61" w:rsidRPr="00F4231A">
        <w:rPr>
          <w:rFonts w:ascii="Book Antiqua" w:hAnsi="Book Antiqua" w:cs="Arial"/>
          <w:sz w:val="24"/>
          <w:szCs w:val="24"/>
        </w:rPr>
        <w:t>this is the first study examining</w:t>
      </w:r>
      <w:r w:rsidR="0012569F" w:rsidRPr="00F4231A">
        <w:rPr>
          <w:rFonts w:ascii="Book Antiqua" w:hAnsi="Book Antiqua" w:cs="Arial"/>
          <w:sz w:val="24"/>
          <w:szCs w:val="24"/>
        </w:rPr>
        <w:t xml:space="preserve"> the </w:t>
      </w:r>
      <w:r w:rsidR="00DA3066" w:rsidRPr="00F4231A">
        <w:rPr>
          <w:rFonts w:ascii="Book Antiqua" w:hAnsi="Book Antiqua" w:cs="Arial"/>
          <w:sz w:val="24"/>
          <w:szCs w:val="24"/>
        </w:rPr>
        <w:t>relationship</w:t>
      </w:r>
      <w:r w:rsidR="0012569F" w:rsidRPr="00F4231A">
        <w:rPr>
          <w:rFonts w:ascii="Book Antiqua" w:hAnsi="Book Antiqua" w:cs="Arial"/>
          <w:sz w:val="24"/>
          <w:szCs w:val="24"/>
        </w:rPr>
        <w:t xml:space="preserve"> between </w:t>
      </w:r>
      <w:r w:rsidR="004E241E" w:rsidRPr="00F4231A">
        <w:rPr>
          <w:rFonts w:ascii="Book Antiqua" w:hAnsi="Book Antiqua" w:cs="Arial"/>
          <w:sz w:val="24"/>
          <w:szCs w:val="24"/>
        </w:rPr>
        <w:t xml:space="preserve">two </w:t>
      </w:r>
      <w:r w:rsidR="0012569F" w:rsidRPr="00F4231A">
        <w:rPr>
          <w:rFonts w:ascii="Book Antiqua" w:hAnsi="Book Antiqua" w:cs="Arial"/>
          <w:sz w:val="24"/>
          <w:szCs w:val="24"/>
        </w:rPr>
        <w:t xml:space="preserve">surrogate LPS markers </w:t>
      </w:r>
      <w:r w:rsidR="00F63D57" w:rsidRPr="00F4231A">
        <w:rPr>
          <w:rFonts w:ascii="Book Antiqua" w:hAnsi="Book Antiqua" w:cs="Arial"/>
          <w:sz w:val="24"/>
          <w:szCs w:val="24"/>
        </w:rPr>
        <w:t xml:space="preserve">and </w:t>
      </w:r>
      <w:r w:rsidRPr="00F4231A">
        <w:rPr>
          <w:rFonts w:ascii="Book Antiqua" w:hAnsi="Book Antiqua" w:cs="Arial"/>
          <w:sz w:val="24"/>
          <w:szCs w:val="24"/>
        </w:rPr>
        <w:t xml:space="preserve">histological severity </w:t>
      </w:r>
      <w:r w:rsidR="00C57C61" w:rsidRPr="00F4231A">
        <w:rPr>
          <w:rFonts w:ascii="Book Antiqua" w:hAnsi="Book Antiqua" w:cs="Arial"/>
          <w:sz w:val="24"/>
          <w:szCs w:val="24"/>
        </w:rPr>
        <w:t xml:space="preserve">in </w:t>
      </w:r>
      <w:r w:rsidRPr="00F4231A">
        <w:rPr>
          <w:rFonts w:ascii="Book Antiqua" w:hAnsi="Book Antiqua" w:cs="Arial"/>
          <w:sz w:val="24"/>
          <w:szCs w:val="24"/>
        </w:rPr>
        <w:t xml:space="preserve">NAFLD. </w:t>
      </w:r>
      <w:r w:rsidR="0035151B" w:rsidRPr="00F4231A">
        <w:rPr>
          <w:rFonts w:ascii="Book Antiqua" w:hAnsi="Book Antiqua" w:cs="Arial"/>
          <w:sz w:val="24"/>
          <w:szCs w:val="24"/>
        </w:rPr>
        <w:t>Unexpectedly, s</w:t>
      </w:r>
      <w:r w:rsidR="00A018E4" w:rsidRPr="00F4231A">
        <w:rPr>
          <w:rFonts w:ascii="Book Antiqua" w:hAnsi="Book Antiqua" w:cs="Arial"/>
          <w:sz w:val="24"/>
          <w:szCs w:val="24"/>
        </w:rPr>
        <w:t xml:space="preserve">erum EndoCab IgG did not correlate with </w:t>
      </w:r>
      <w:r w:rsidR="0056464D" w:rsidRPr="00F4231A">
        <w:rPr>
          <w:rFonts w:ascii="Book Antiqua" w:hAnsi="Book Antiqua" w:cs="Arial"/>
          <w:sz w:val="24"/>
          <w:szCs w:val="24"/>
        </w:rPr>
        <w:t xml:space="preserve">any </w:t>
      </w:r>
      <w:r w:rsidR="00A018E4" w:rsidRPr="00F4231A">
        <w:rPr>
          <w:rFonts w:ascii="Book Antiqua" w:hAnsi="Book Antiqua" w:cs="Arial"/>
          <w:sz w:val="24"/>
          <w:szCs w:val="24"/>
        </w:rPr>
        <w:t>histological findings</w:t>
      </w:r>
      <w:r w:rsidR="00C57C61" w:rsidRPr="00F4231A">
        <w:rPr>
          <w:rFonts w:ascii="Book Antiqua" w:hAnsi="Book Antiqua" w:cs="Arial"/>
          <w:sz w:val="24"/>
          <w:szCs w:val="24"/>
        </w:rPr>
        <w:t xml:space="preserve">, nor was </w:t>
      </w:r>
      <w:r w:rsidR="00DD1099" w:rsidRPr="00F4231A">
        <w:rPr>
          <w:rFonts w:ascii="Book Antiqua" w:hAnsi="Book Antiqua" w:cs="Arial"/>
          <w:sz w:val="24"/>
          <w:szCs w:val="24"/>
        </w:rPr>
        <w:t>s</w:t>
      </w:r>
      <w:r w:rsidR="00704F4D" w:rsidRPr="00F4231A">
        <w:rPr>
          <w:rFonts w:ascii="Book Antiqua" w:hAnsi="Book Antiqua" w:cs="Arial"/>
          <w:sz w:val="24"/>
          <w:szCs w:val="24"/>
        </w:rPr>
        <w:t xml:space="preserve">erum LBP </w:t>
      </w:r>
      <w:r w:rsidR="00C57C61" w:rsidRPr="00F4231A">
        <w:rPr>
          <w:rFonts w:ascii="Book Antiqua" w:hAnsi="Book Antiqua" w:cs="Arial"/>
          <w:sz w:val="24"/>
          <w:szCs w:val="24"/>
        </w:rPr>
        <w:t xml:space="preserve">associated </w:t>
      </w:r>
      <w:r w:rsidR="0056464D" w:rsidRPr="00F4231A">
        <w:rPr>
          <w:rFonts w:ascii="Book Antiqua" w:hAnsi="Book Antiqua" w:cs="Arial"/>
          <w:sz w:val="24"/>
          <w:szCs w:val="24"/>
        </w:rPr>
        <w:t xml:space="preserve">with </w:t>
      </w:r>
      <w:r w:rsidR="00DD1099" w:rsidRPr="00F4231A">
        <w:rPr>
          <w:rFonts w:ascii="Book Antiqua" w:hAnsi="Book Antiqua" w:cs="Arial"/>
          <w:sz w:val="24"/>
          <w:szCs w:val="24"/>
        </w:rPr>
        <w:t>lobular inflammation</w:t>
      </w:r>
      <w:r w:rsidR="0056464D" w:rsidRPr="00F4231A">
        <w:rPr>
          <w:rFonts w:ascii="Book Antiqua" w:hAnsi="Book Antiqua" w:cs="Arial"/>
          <w:sz w:val="24"/>
          <w:szCs w:val="24"/>
        </w:rPr>
        <w:t xml:space="preserve"> grade or fibrosis stage</w:t>
      </w:r>
      <w:r w:rsidR="00C57C61" w:rsidRPr="00F4231A">
        <w:rPr>
          <w:rFonts w:ascii="Book Antiqua" w:hAnsi="Book Antiqua" w:cs="Arial"/>
          <w:sz w:val="24"/>
          <w:szCs w:val="24"/>
        </w:rPr>
        <w:t xml:space="preserve">. </w:t>
      </w:r>
      <w:r w:rsidR="00FF0440" w:rsidRPr="00F4231A">
        <w:rPr>
          <w:rFonts w:ascii="Book Antiqua" w:hAnsi="Book Antiqua" w:cs="Arial"/>
          <w:sz w:val="24"/>
          <w:szCs w:val="24"/>
        </w:rPr>
        <w:t xml:space="preserve">Based on </w:t>
      </w:r>
      <w:r w:rsidR="00DD1099" w:rsidRPr="00F4231A">
        <w:rPr>
          <w:rFonts w:ascii="Book Antiqua" w:hAnsi="Book Antiqua" w:cs="Arial"/>
          <w:sz w:val="24"/>
          <w:szCs w:val="24"/>
        </w:rPr>
        <w:t xml:space="preserve">these results, we could not conclude </w:t>
      </w:r>
      <w:r w:rsidR="006D08F4" w:rsidRPr="00F4231A">
        <w:rPr>
          <w:rFonts w:ascii="Book Antiqua" w:hAnsi="Book Antiqua" w:cs="Arial"/>
          <w:sz w:val="24"/>
          <w:szCs w:val="24"/>
        </w:rPr>
        <w:t xml:space="preserve">whether </w:t>
      </w:r>
      <w:r w:rsidR="00DD1099" w:rsidRPr="00F4231A">
        <w:rPr>
          <w:rFonts w:ascii="Book Antiqua" w:hAnsi="Book Antiqua" w:cs="Arial"/>
          <w:sz w:val="24"/>
          <w:szCs w:val="24"/>
        </w:rPr>
        <w:t xml:space="preserve">LPS played a crucial role </w:t>
      </w:r>
      <w:r w:rsidR="006D08F4" w:rsidRPr="00F4231A">
        <w:rPr>
          <w:rFonts w:ascii="Book Antiqua" w:hAnsi="Book Antiqua" w:cs="Arial"/>
          <w:sz w:val="24"/>
          <w:szCs w:val="24"/>
        </w:rPr>
        <w:t xml:space="preserve">in </w:t>
      </w:r>
      <w:r w:rsidR="003A6799" w:rsidRPr="00F4231A">
        <w:rPr>
          <w:rFonts w:ascii="Book Antiqua" w:hAnsi="Book Antiqua" w:cs="Arial"/>
          <w:sz w:val="24"/>
          <w:szCs w:val="24"/>
        </w:rPr>
        <w:t xml:space="preserve">hepatitis </w:t>
      </w:r>
      <w:r w:rsidR="00DD1099" w:rsidRPr="00F4231A">
        <w:rPr>
          <w:rFonts w:ascii="Book Antiqua" w:hAnsi="Book Antiqua" w:cs="Arial"/>
          <w:sz w:val="24"/>
          <w:szCs w:val="24"/>
        </w:rPr>
        <w:t xml:space="preserve">development </w:t>
      </w:r>
      <w:r w:rsidR="006D08F4" w:rsidRPr="00F4231A">
        <w:rPr>
          <w:rFonts w:ascii="Book Antiqua" w:hAnsi="Book Antiqua" w:cs="Arial"/>
          <w:sz w:val="24"/>
          <w:szCs w:val="24"/>
        </w:rPr>
        <w:t xml:space="preserve">or </w:t>
      </w:r>
      <w:r w:rsidR="00DD1099" w:rsidRPr="00F4231A">
        <w:rPr>
          <w:rFonts w:ascii="Book Antiqua" w:hAnsi="Book Antiqua" w:cs="Arial"/>
          <w:sz w:val="24"/>
          <w:szCs w:val="24"/>
        </w:rPr>
        <w:t xml:space="preserve">fibrosis progression in NAFLD patients, </w:t>
      </w:r>
      <w:r w:rsidR="00180E61" w:rsidRPr="00F4231A">
        <w:rPr>
          <w:rFonts w:ascii="Book Antiqua" w:hAnsi="Book Antiqua" w:cs="Arial"/>
          <w:sz w:val="24"/>
          <w:szCs w:val="24"/>
        </w:rPr>
        <w:t xml:space="preserve">which </w:t>
      </w:r>
      <w:r w:rsidR="006D08F4" w:rsidRPr="00F4231A">
        <w:rPr>
          <w:rFonts w:ascii="Book Antiqua" w:hAnsi="Book Antiqua" w:cs="Arial"/>
          <w:sz w:val="24"/>
          <w:szCs w:val="24"/>
        </w:rPr>
        <w:t xml:space="preserve">deviated from </w:t>
      </w:r>
      <w:r w:rsidR="00F43C50" w:rsidRPr="00F4231A">
        <w:rPr>
          <w:rFonts w:ascii="Book Antiqua" w:hAnsi="Book Antiqua" w:cs="Arial"/>
          <w:sz w:val="24"/>
          <w:szCs w:val="24"/>
        </w:rPr>
        <w:t xml:space="preserve">findings obtained </w:t>
      </w:r>
      <w:r w:rsidR="006D08F4" w:rsidRPr="00F4231A">
        <w:rPr>
          <w:rFonts w:ascii="Book Antiqua" w:hAnsi="Book Antiqua" w:cs="Arial"/>
          <w:sz w:val="24"/>
          <w:szCs w:val="24"/>
        </w:rPr>
        <w:t xml:space="preserve">in murine </w:t>
      </w:r>
      <w:r w:rsidR="00ED6CA8" w:rsidRPr="00F4231A">
        <w:rPr>
          <w:rFonts w:ascii="Book Antiqua" w:hAnsi="Book Antiqua" w:cs="Arial"/>
          <w:sz w:val="24"/>
          <w:szCs w:val="24"/>
        </w:rPr>
        <w:t>models</w:t>
      </w:r>
      <w:r w:rsidR="00CB79F5" w:rsidRPr="00F4231A">
        <w:rPr>
          <w:rFonts w:ascii="Book Antiqua" w:hAnsi="Book Antiqua" w:cs="Arial"/>
          <w:sz w:val="24"/>
          <w:szCs w:val="24"/>
        </w:rPr>
        <w:t>.</w:t>
      </w:r>
    </w:p>
    <w:p w:rsidR="00017BB1" w:rsidRPr="00F4231A" w:rsidRDefault="00460711" w:rsidP="00F4231A">
      <w:pPr>
        <w:pStyle w:val="15"/>
        <w:snapToGrid w:val="0"/>
        <w:ind w:firstLineChars="100" w:firstLine="240"/>
        <w:rPr>
          <w:rFonts w:ascii="Book Antiqua" w:hAnsi="Book Antiqua" w:cs="Arial"/>
          <w:sz w:val="24"/>
          <w:szCs w:val="24"/>
        </w:rPr>
      </w:pPr>
      <w:r w:rsidRPr="00F4231A">
        <w:rPr>
          <w:rFonts w:ascii="Book Antiqua" w:hAnsi="Book Antiqua" w:cs="Arial"/>
          <w:sz w:val="24"/>
          <w:szCs w:val="24"/>
        </w:rPr>
        <w:t xml:space="preserve">Although </w:t>
      </w:r>
      <w:r w:rsidR="00B64919" w:rsidRPr="00F4231A">
        <w:rPr>
          <w:rFonts w:ascii="Book Antiqua" w:hAnsi="Book Antiqua" w:cs="Arial"/>
          <w:sz w:val="24"/>
          <w:szCs w:val="24"/>
        </w:rPr>
        <w:t xml:space="preserve">serum LPS </w:t>
      </w:r>
      <w:r w:rsidR="00D43440" w:rsidRPr="00F4231A">
        <w:rPr>
          <w:rFonts w:ascii="Book Antiqua" w:hAnsi="Book Antiqua" w:cs="Arial"/>
          <w:sz w:val="24"/>
          <w:szCs w:val="24"/>
        </w:rPr>
        <w:t>is reportedly e</w:t>
      </w:r>
      <w:r w:rsidR="001A20D2" w:rsidRPr="00F4231A">
        <w:rPr>
          <w:rFonts w:ascii="Book Antiqua" w:hAnsi="Book Antiqua" w:cs="Arial"/>
          <w:sz w:val="24"/>
          <w:szCs w:val="24"/>
        </w:rPr>
        <w:t>levated in NASH patients</w:t>
      </w:r>
      <w:r w:rsidR="005A71EB"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A71EB" w:rsidRPr="00F4231A">
        <w:rPr>
          <w:rFonts w:ascii="Book Antiqua" w:hAnsi="Book Antiqua" w:cs="Arial"/>
          <w:sz w:val="24"/>
          <w:szCs w:val="24"/>
        </w:rPr>
        <w:instrText xml:space="preserve"> ADDIN EN.CITE </w:instrText>
      </w:r>
      <w:r w:rsidR="005A71EB"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A71EB" w:rsidRPr="00F4231A">
        <w:rPr>
          <w:rFonts w:ascii="Book Antiqua" w:hAnsi="Book Antiqua" w:cs="Arial"/>
          <w:sz w:val="24"/>
          <w:szCs w:val="24"/>
        </w:rPr>
        <w:instrText xml:space="preserve"> ADDIN EN.CITE.DATA </w:instrText>
      </w:r>
      <w:r w:rsidR="005A71EB" w:rsidRPr="00F4231A">
        <w:rPr>
          <w:rFonts w:ascii="Book Antiqua" w:hAnsi="Book Antiqua" w:cs="Arial"/>
          <w:sz w:val="24"/>
          <w:szCs w:val="24"/>
        </w:rPr>
      </w:r>
      <w:r w:rsidR="005A71EB" w:rsidRPr="00F4231A">
        <w:rPr>
          <w:rFonts w:ascii="Book Antiqua" w:hAnsi="Book Antiqua" w:cs="Arial"/>
          <w:sz w:val="24"/>
          <w:szCs w:val="24"/>
        </w:rPr>
        <w:fldChar w:fldCharType="end"/>
      </w:r>
      <w:r w:rsidR="005A71EB" w:rsidRPr="00F4231A">
        <w:rPr>
          <w:rFonts w:ascii="Book Antiqua" w:hAnsi="Book Antiqua" w:cs="Arial"/>
          <w:sz w:val="24"/>
          <w:szCs w:val="24"/>
        </w:rPr>
      </w:r>
      <w:r w:rsidR="005A71EB" w:rsidRPr="00F4231A">
        <w:rPr>
          <w:rFonts w:ascii="Book Antiqua" w:hAnsi="Book Antiqua" w:cs="Arial"/>
          <w:sz w:val="24"/>
          <w:szCs w:val="24"/>
        </w:rPr>
        <w:fldChar w:fldCharType="separate"/>
      </w:r>
      <w:r w:rsidR="005A71EB" w:rsidRPr="00F4231A">
        <w:rPr>
          <w:rFonts w:ascii="Book Antiqua" w:hAnsi="Book Antiqua" w:cs="Arial"/>
          <w:noProof/>
          <w:sz w:val="24"/>
          <w:szCs w:val="24"/>
          <w:vertAlign w:val="superscript"/>
        </w:rPr>
        <w:t>[23]</w:t>
      </w:r>
      <w:r w:rsidR="005A71EB" w:rsidRPr="00F4231A">
        <w:rPr>
          <w:rFonts w:ascii="Book Antiqua" w:hAnsi="Book Antiqua" w:cs="Arial"/>
          <w:sz w:val="24"/>
          <w:szCs w:val="24"/>
        </w:rPr>
        <w:fldChar w:fldCharType="end"/>
      </w:r>
      <w:r w:rsidR="00D43440" w:rsidRPr="00F4231A">
        <w:rPr>
          <w:rFonts w:ascii="Book Antiqua" w:hAnsi="Book Antiqua" w:cs="Arial"/>
          <w:sz w:val="24"/>
          <w:szCs w:val="24"/>
        </w:rPr>
        <w:t xml:space="preserve">, </w:t>
      </w:r>
      <w:r w:rsidR="001A20D2" w:rsidRPr="00F4231A">
        <w:rPr>
          <w:rFonts w:ascii="Book Antiqua" w:hAnsi="Book Antiqua" w:cs="Arial"/>
          <w:sz w:val="24"/>
          <w:szCs w:val="24"/>
        </w:rPr>
        <w:t xml:space="preserve">the </w:t>
      </w:r>
      <w:r w:rsidR="002639EB" w:rsidRPr="00F4231A">
        <w:rPr>
          <w:rFonts w:ascii="Book Antiqua" w:hAnsi="Book Antiqua" w:cs="Arial"/>
          <w:sz w:val="24"/>
          <w:szCs w:val="24"/>
        </w:rPr>
        <w:t xml:space="preserve">direct </w:t>
      </w:r>
      <w:r w:rsidR="001A20D2" w:rsidRPr="00F4231A">
        <w:rPr>
          <w:rFonts w:ascii="Book Antiqua" w:hAnsi="Book Antiqua" w:cs="Arial"/>
          <w:sz w:val="24"/>
          <w:szCs w:val="24"/>
        </w:rPr>
        <w:t>measurement of</w:t>
      </w:r>
      <w:r w:rsidR="004919F8" w:rsidRPr="00F4231A">
        <w:rPr>
          <w:rFonts w:ascii="Book Antiqua" w:hAnsi="Book Antiqua" w:cs="Arial"/>
          <w:sz w:val="24"/>
          <w:szCs w:val="24"/>
        </w:rPr>
        <w:t xml:space="preserve"> </w:t>
      </w:r>
      <w:r w:rsidR="002639EB" w:rsidRPr="00F4231A">
        <w:rPr>
          <w:rFonts w:ascii="Book Antiqua" w:hAnsi="Book Antiqua" w:cs="Arial"/>
          <w:sz w:val="24"/>
          <w:szCs w:val="24"/>
        </w:rPr>
        <w:t xml:space="preserve">LPS </w:t>
      </w:r>
      <w:r w:rsidR="00466B5E" w:rsidRPr="00F4231A">
        <w:rPr>
          <w:rFonts w:ascii="Book Antiqua" w:hAnsi="Book Antiqua" w:cs="Arial"/>
          <w:sz w:val="24"/>
          <w:szCs w:val="24"/>
        </w:rPr>
        <w:t>ha</w:t>
      </w:r>
      <w:r w:rsidR="00D43440" w:rsidRPr="00F4231A">
        <w:rPr>
          <w:rFonts w:ascii="Book Antiqua" w:hAnsi="Book Antiqua" w:cs="Arial"/>
          <w:sz w:val="24"/>
          <w:szCs w:val="24"/>
        </w:rPr>
        <w:t>s</w:t>
      </w:r>
      <w:r w:rsidR="00F43C50" w:rsidRPr="00F4231A">
        <w:rPr>
          <w:rFonts w:ascii="Book Antiqua" w:hAnsi="Book Antiqua" w:cs="Arial"/>
          <w:sz w:val="24"/>
          <w:szCs w:val="24"/>
        </w:rPr>
        <w:t xml:space="preserve"> </w:t>
      </w:r>
      <w:r w:rsidR="001A20D2" w:rsidRPr="00F4231A">
        <w:rPr>
          <w:rFonts w:ascii="Book Antiqua" w:hAnsi="Book Antiqua" w:cs="Arial"/>
          <w:sz w:val="24"/>
          <w:szCs w:val="24"/>
        </w:rPr>
        <w:t>several flaw</w:t>
      </w:r>
      <w:r w:rsidR="00704F4D" w:rsidRPr="00F4231A">
        <w:rPr>
          <w:rFonts w:ascii="Book Antiqua" w:hAnsi="Book Antiqua" w:cs="Arial"/>
          <w:sz w:val="24"/>
          <w:szCs w:val="24"/>
        </w:rPr>
        <w:t>s</w:t>
      </w:r>
      <w:r w:rsidR="00D43440" w:rsidRPr="00F4231A">
        <w:rPr>
          <w:rFonts w:ascii="Book Antiqua" w:hAnsi="Book Antiqua" w:cs="Arial"/>
          <w:sz w:val="24"/>
          <w:szCs w:val="24"/>
        </w:rPr>
        <w:t xml:space="preserve">. </w:t>
      </w:r>
      <w:r w:rsidR="00F43C50" w:rsidRPr="00F4231A">
        <w:rPr>
          <w:rFonts w:ascii="Book Antiqua" w:hAnsi="Book Antiqua" w:cs="Arial"/>
          <w:sz w:val="24"/>
          <w:szCs w:val="24"/>
        </w:rPr>
        <w:t>First</w:t>
      </w:r>
      <w:r w:rsidR="00D43440" w:rsidRPr="00F4231A">
        <w:rPr>
          <w:rFonts w:ascii="Book Antiqua" w:hAnsi="Book Antiqua" w:cs="Arial"/>
          <w:sz w:val="24"/>
          <w:szCs w:val="24"/>
        </w:rPr>
        <w:t xml:space="preserve">, </w:t>
      </w:r>
      <w:r w:rsidR="00F43C50" w:rsidRPr="00F4231A">
        <w:rPr>
          <w:rFonts w:ascii="Book Antiqua" w:hAnsi="Book Antiqua" w:cs="Arial"/>
          <w:sz w:val="24"/>
          <w:szCs w:val="24"/>
        </w:rPr>
        <w:t xml:space="preserve">LPS </w:t>
      </w:r>
      <w:r w:rsidR="00D43440" w:rsidRPr="00F4231A">
        <w:rPr>
          <w:rFonts w:ascii="Book Antiqua" w:hAnsi="Book Antiqua" w:cs="Arial"/>
          <w:sz w:val="24"/>
          <w:szCs w:val="24"/>
        </w:rPr>
        <w:t xml:space="preserve">has a </w:t>
      </w:r>
      <w:r w:rsidR="00F43C50" w:rsidRPr="00F4231A">
        <w:rPr>
          <w:rFonts w:ascii="Book Antiqua" w:hAnsi="Book Antiqua" w:cs="Arial"/>
          <w:sz w:val="24"/>
          <w:szCs w:val="24"/>
        </w:rPr>
        <w:t xml:space="preserve">very short </w:t>
      </w:r>
      <w:r w:rsidR="00D43440" w:rsidRPr="00F4231A">
        <w:rPr>
          <w:rFonts w:ascii="Book Antiqua" w:hAnsi="Book Antiqua" w:cs="Arial"/>
          <w:sz w:val="24"/>
          <w:szCs w:val="24"/>
        </w:rPr>
        <w:t xml:space="preserve">half-life </w:t>
      </w:r>
      <w:r w:rsidR="00F43C50" w:rsidRPr="00F4231A">
        <w:rPr>
          <w:rFonts w:ascii="Book Antiqua" w:hAnsi="Book Antiqua" w:cs="Arial"/>
          <w:sz w:val="24"/>
          <w:szCs w:val="24"/>
        </w:rPr>
        <w:t>and</w:t>
      </w:r>
      <w:r w:rsidR="00D43440" w:rsidRPr="00F4231A">
        <w:rPr>
          <w:rFonts w:ascii="Book Antiqua" w:hAnsi="Book Antiqua" w:cs="Arial"/>
          <w:sz w:val="24"/>
          <w:szCs w:val="24"/>
        </w:rPr>
        <w:t xml:space="preserve"> is </w:t>
      </w:r>
      <w:r w:rsidR="00704F4D" w:rsidRPr="00F4231A">
        <w:rPr>
          <w:rFonts w:ascii="Book Antiqua" w:hAnsi="Book Antiqua" w:cs="Arial"/>
          <w:sz w:val="24"/>
          <w:szCs w:val="24"/>
        </w:rPr>
        <w:t>r</w:t>
      </w:r>
      <w:r w:rsidR="00B64919" w:rsidRPr="00F4231A">
        <w:rPr>
          <w:rFonts w:ascii="Book Antiqua" w:hAnsi="Book Antiqua" w:cs="Arial"/>
          <w:sz w:val="24"/>
          <w:szCs w:val="24"/>
        </w:rPr>
        <w:t>apidly eliminated in the liver</w:t>
      </w:r>
      <w:r w:rsidR="00D43440" w:rsidRPr="00F4231A">
        <w:rPr>
          <w:rFonts w:ascii="Book Antiqua" w:hAnsi="Book Antiqua" w:cs="Arial"/>
          <w:sz w:val="24"/>
          <w:szCs w:val="24"/>
        </w:rPr>
        <w:t xml:space="preserve">, and thus </w:t>
      </w:r>
      <w:r w:rsidR="00F43C50" w:rsidRPr="00F4231A">
        <w:rPr>
          <w:rFonts w:ascii="Book Antiqua" w:hAnsi="Book Antiqua" w:cs="Arial"/>
          <w:sz w:val="24"/>
          <w:szCs w:val="24"/>
        </w:rPr>
        <w:t xml:space="preserve">serum LPS </w:t>
      </w:r>
      <w:r w:rsidR="00D43440" w:rsidRPr="00F4231A">
        <w:rPr>
          <w:rFonts w:ascii="Book Antiqua" w:hAnsi="Book Antiqua" w:cs="Arial"/>
          <w:sz w:val="24"/>
          <w:szCs w:val="24"/>
        </w:rPr>
        <w:t xml:space="preserve">values rarely </w:t>
      </w:r>
      <w:r w:rsidR="00F43C50" w:rsidRPr="00F4231A">
        <w:rPr>
          <w:rFonts w:ascii="Book Antiqua" w:hAnsi="Book Antiqua" w:cs="Arial"/>
          <w:sz w:val="24"/>
          <w:szCs w:val="24"/>
        </w:rPr>
        <w:t>reflect actu</w:t>
      </w:r>
      <w:r w:rsidR="007F211D" w:rsidRPr="00F4231A">
        <w:rPr>
          <w:rFonts w:ascii="Book Antiqua" w:hAnsi="Book Antiqua" w:cs="Arial"/>
          <w:sz w:val="24"/>
          <w:szCs w:val="24"/>
        </w:rPr>
        <w:t>al endotox</w:t>
      </w:r>
      <w:r w:rsidR="00D43440" w:rsidRPr="00F4231A">
        <w:rPr>
          <w:rFonts w:ascii="Book Antiqua" w:hAnsi="Book Antiqua" w:cs="Arial"/>
          <w:sz w:val="24"/>
          <w:szCs w:val="24"/>
        </w:rPr>
        <w:t xml:space="preserve">emia. </w:t>
      </w:r>
      <w:r w:rsidR="002E6E3B" w:rsidRPr="00F4231A">
        <w:rPr>
          <w:rFonts w:ascii="Book Antiqua" w:hAnsi="Book Antiqua" w:cs="Arial"/>
          <w:sz w:val="24"/>
          <w:szCs w:val="24"/>
        </w:rPr>
        <w:t xml:space="preserve">Second, </w:t>
      </w:r>
      <w:r w:rsidR="00D43440" w:rsidRPr="00F4231A">
        <w:rPr>
          <w:rFonts w:ascii="Book Antiqua" w:hAnsi="Book Antiqua" w:cs="Arial"/>
          <w:sz w:val="24"/>
          <w:szCs w:val="24"/>
        </w:rPr>
        <w:t>the l</w:t>
      </w:r>
      <w:r w:rsidR="00455419" w:rsidRPr="00F4231A">
        <w:rPr>
          <w:rFonts w:ascii="Book Antiqua" w:hAnsi="Book Antiqua" w:cs="Arial"/>
          <w:sz w:val="24"/>
          <w:szCs w:val="24"/>
        </w:rPr>
        <w:t xml:space="preserve">imulus amoebocyte lysate </w:t>
      </w:r>
      <w:r w:rsidR="00474C41" w:rsidRPr="00F4231A">
        <w:rPr>
          <w:rFonts w:ascii="Book Antiqua" w:hAnsi="Book Antiqua" w:cs="Arial"/>
          <w:sz w:val="24"/>
          <w:szCs w:val="24"/>
        </w:rPr>
        <w:t>assay is wid</w:t>
      </w:r>
      <w:r w:rsidR="00D43440" w:rsidRPr="00F4231A">
        <w:rPr>
          <w:rFonts w:ascii="Book Antiqua" w:hAnsi="Book Antiqua" w:cs="Arial"/>
          <w:sz w:val="24"/>
          <w:szCs w:val="24"/>
        </w:rPr>
        <w:t xml:space="preserve">ely used for LPS determination </w:t>
      </w:r>
      <w:r w:rsidR="00B64919" w:rsidRPr="00F4231A">
        <w:rPr>
          <w:rFonts w:ascii="Book Antiqua" w:hAnsi="Book Antiqua" w:cs="Arial"/>
          <w:sz w:val="24"/>
          <w:szCs w:val="24"/>
        </w:rPr>
        <w:t xml:space="preserve">but may be </w:t>
      </w:r>
      <w:r w:rsidR="00D43440" w:rsidRPr="00F4231A">
        <w:rPr>
          <w:rFonts w:ascii="Book Antiqua" w:hAnsi="Book Antiqua" w:cs="Arial"/>
          <w:sz w:val="24"/>
          <w:szCs w:val="24"/>
        </w:rPr>
        <w:t xml:space="preserve">influenced </w:t>
      </w:r>
      <w:r w:rsidR="00B64919" w:rsidRPr="00F4231A">
        <w:rPr>
          <w:rFonts w:ascii="Book Antiqua" w:hAnsi="Book Antiqua" w:cs="Arial"/>
          <w:sz w:val="24"/>
          <w:szCs w:val="24"/>
        </w:rPr>
        <w:t xml:space="preserve">by </w:t>
      </w:r>
      <w:r w:rsidR="00474C41" w:rsidRPr="00F4231A">
        <w:rPr>
          <w:rFonts w:ascii="Book Antiqua" w:hAnsi="Book Antiqua" w:cs="Arial"/>
          <w:sz w:val="24"/>
          <w:szCs w:val="24"/>
        </w:rPr>
        <w:t>exogenous LPS contamination</w:t>
      </w:r>
      <w:r w:rsidR="00B64919" w:rsidRPr="00F4231A">
        <w:rPr>
          <w:rFonts w:ascii="Book Antiqua" w:hAnsi="Book Antiqua" w:cs="Arial"/>
          <w:sz w:val="24"/>
          <w:szCs w:val="24"/>
        </w:rPr>
        <w:t xml:space="preserve"> </w:t>
      </w:r>
      <w:r w:rsidR="00D43440" w:rsidRPr="00F4231A">
        <w:rPr>
          <w:rFonts w:ascii="Book Antiqua" w:hAnsi="Book Antiqua" w:cs="Arial"/>
          <w:sz w:val="24"/>
          <w:szCs w:val="24"/>
        </w:rPr>
        <w:t xml:space="preserve">due to its high sensitivity. The </w:t>
      </w:r>
      <w:r w:rsidR="00474C41" w:rsidRPr="00F4231A">
        <w:rPr>
          <w:rFonts w:ascii="Book Antiqua" w:hAnsi="Book Antiqua" w:cs="Arial"/>
          <w:sz w:val="24"/>
          <w:szCs w:val="24"/>
        </w:rPr>
        <w:t>a</w:t>
      </w:r>
      <w:r w:rsidR="00EE4EBD" w:rsidRPr="00F4231A">
        <w:rPr>
          <w:rFonts w:ascii="Book Antiqua" w:hAnsi="Book Antiqua" w:cs="Arial"/>
          <w:sz w:val="24"/>
          <w:szCs w:val="24"/>
        </w:rPr>
        <w:t xml:space="preserve">ssay </w:t>
      </w:r>
      <w:r w:rsidR="00B64919" w:rsidRPr="00F4231A">
        <w:rPr>
          <w:rFonts w:ascii="Book Antiqua" w:hAnsi="Book Antiqua" w:cs="Arial"/>
          <w:sz w:val="24"/>
          <w:szCs w:val="24"/>
        </w:rPr>
        <w:t xml:space="preserve">is </w:t>
      </w:r>
      <w:r w:rsidR="00EE4EBD" w:rsidRPr="00F4231A">
        <w:rPr>
          <w:rFonts w:ascii="Book Antiqua" w:hAnsi="Book Antiqua" w:cs="Arial"/>
          <w:sz w:val="24"/>
          <w:szCs w:val="24"/>
        </w:rPr>
        <w:t xml:space="preserve">also </w:t>
      </w:r>
      <w:r w:rsidR="00D43440" w:rsidRPr="00F4231A">
        <w:rPr>
          <w:rFonts w:ascii="Book Antiqua" w:hAnsi="Book Antiqua" w:cs="Arial"/>
          <w:sz w:val="24"/>
          <w:szCs w:val="24"/>
        </w:rPr>
        <w:t>disrupted</w:t>
      </w:r>
      <w:r w:rsidR="00B64919" w:rsidRPr="00F4231A">
        <w:rPr>
          <w:rFonts w:ascii="Book Antiqua" w:hAnsi="Book Antiqua" w:cs="Arial"/>
          <w:sz w:val="24"/>
          <w:szCs w:val="24"/>
        </w:rPr>
        <w:t xml:space="preserve"> by</w:t>
      </w:r>
      <w:r w:rsidR="00EE4EBD" w:rsidRPr="00F4231A">
        <w:rPr>
          <w:rFonts w:ascii="Book Antiqua" w:hAnsi="Book Antiqua" w:cs="Arial"/>
          <w:sz w:val="24"/>
          <w:szCs w:val="24"/>
        </w:rPr>
        <w:t xml:space="preserve"> detergents, urea, and pH</w:t>
      </w:r>
      <w:r w:rsidR="005A71EB"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A71EB" w:rsidRPr="00F4231A">
        <w:rPr>
          <w:rFonts w:ascii="Book Antiqua" w:hAnsi="Book Antiqua" w:cs="Arial"/>
          <w:sz w:val="24"/>
          <w:szCs w:val="24"/>
        </w:rPr>
        <w:instrText xml:space="preserve"> ADDIN EN.CITE </w:instrText>
      </w:r>
      <w:r w:rsidR="005A71EB"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A71EB" w:rsidRPr="00F4231A">
        <w:rPr>
          <w:rFonts w:ascii="Book Antiqua" w:hAnsi="Book Antiqua" w:cs="Arial"/>
          <w:sz w:val="24"/>
          <w:szCs w:val="24"/>
        </w:rPr>
        <w:instrText xml:space="preserve"> ADDIN EN.CITE.DATA </w:instrText>
      </w:r>
      <w:r w:rsidR="005A71EB" w:rsidRPr="00F4231A">
        <w:rPr>
          <w:rFonts w:ascii="Book Antiqua" w:hAnsi="Book Antiqua" w:cs="Arial"/>
          <w:sz w:val="24"/>
          <w:szCs w:val="24"/>
        </w:rPr>
      </w:r>
      <w:r w:rsidR="005A71EB" w:rsidRPr="00F4231A">
        <w:rPr>
          <w:rFonts w:ascii="Book Antiqua" w:hAnsi="Book Antiqua" w:cs="Arial"/>
          <w:sz w:val="24"/>
          <w:szCs w:val="24"/>
        </w:rPr>
        <w:fldChar w:fldCharType="end"/>
      </w:r>
      <w:r w:rsidR="005A71EB" w:rsidRPr="00F4231A">
        <w:rPr>
          <w:rFonts w:ascii="Book Antiqua" w:hAnsi="Book Antiqua" w:cs="Arial"/>
          <w:sz w:val="24"/>
          <w:szCs w:val="24"/>
        </w:rPr>
      </w:r>
      <w:r w:rsidR="005A71EB" w:rsidRPr="00F4231A">
        <w:rPr>
          <w:rFonts w:ascii="Book Antiqua" w:hAnsi="Book Antiqua" w:cs="Arial"/>
          <w:sz w:val="24"/>
          <w:szCs w:val="24"/>
        </w:rPr>
        <w:fldChar w:fldCharType="separate"/>
      </w:r>
      <w:r w:rsidR="005A71EB" w:rsidRPr="00F4231A">
        <w:rPr>
          <w:rFonts w:ascii="Book Antiqua" w:hAnsi="Book Antiqua" w:cs="Arial"/>
          <w:noProof/>
          <w:sz w:val="24"/>
          <w:szCs w:val="24"/>
          <w:vertAlign w:val="superscript"/>
        </w:rPr>
        <w:t>[24]</w:t>
      </w:r>
      <w:r w:rsidR="005A71EB" w:rsidRPr="00F4231A">
        <w:rPr>
          <w:rFonts w:ascii="Book Antiqua" w:hAnsi="Book Antiqua" w:cs="Arial"/>
          <w:sz w:val="24"/>
          <w:szCs w:val="24"/>
        </w:rPr>
        <w:fldChar w:fldCharType="end"/>
      </w:r>
      <w:r w:rsidR="00ED6CA8" w:rsidRPr="00F4231A">
        <w:rPr>
          <w:rFonts w:ascii="Book Antiqua" w:hAnsi="Book Antiqua" w:cs="Arial"/>
          <w:sz w:val="24"/>
          <w:szCs w:val="24"/>
        </w:rPr>
        <w:t xml:space="preserve">. </w:t>
      </w:r>
      <w:r w:rsidR="001F361C" w:rsidRPr="00F4231A">
        <w:rPr>
          <w:rFonts w:ascii="Book Antiqua" w:hAnsi="Book Antiqua" w:cs="Arial"/>
          <w:sz w:val="24"/>
          <w:szCs w:val="24"/>
        </w:rPr>
        <w:t xml:space="preserve">We </w:t>
      </w:r>
      <w:r w:rsidR="00D43440" w:rsidRPr="00F4231A">
        <w:rPr>
          <w:rFonts w:ascii="Book Antiqua" w:hAnsi="Book Antiqua" w:cs="Arial"/>
          <w:sz w:val="24"/>
          <w:szCs w:val="24"/>
        </w:rPr>
        <w:t xml:space="preserve">therefore adopted the </w:t>
      </w:r>
      <w:r w:rsidR="00994975" w:rsidRPr="00F4231A">
        <w:rPr>
          <w:rFonts w:ascii="Book Antiqua" w:hAnsi="Book Antiqua" w:cs="Arial"/>
          <w:sz w:val="24"/>
          <w:szCs w:val="24"/>
        </w:rPr>
        <w:t>more stable biomarkers</w:t>
      </w:r>
      <w:r w:rsidR="00D43440" w:rsidRPr="00F4231A">
        <w:rPr>
          <w:rFonts w:ascii="Book Antiqua" w:hAnsi="Book Antiqua" w:cs="Arial"/>
          <w:sz w:val="24"/>
          <w:szCs w:val="24"/>
        </w:rPr>
        <w:t xml:space="preserve"> LBP and EndoCab IgG </w:t>
      </w:r>
      <w:r w:rsidR="00D6407D" w:rsidRPr="00F4231A">
        <w:rPr>
          <w:rFonts w:ascii="Book Antiqua" w:hAnsi="Book Antiqua" w:cs="Arial"/>
          <w:sz w:val="24"/>
          <w:szCs w:val="24"/>
        </w:rPr>
        <w:t xml:space="preserve">as </w:t>
      </w:r>
      <w:r w:rsidR="007F211D" w:rsidRPr="00F4231A">
        <w:rPr>
          <w:rFonts w:ascii="Book Antiqua" w:hAnsi="Book Antiqua" w:cs="Arial"/>
          <w:sz w:val="24"/>
          <w:szCs w:val="24"/>
        </w:rPr>
        <w:t>indicators of endotox</w:t>
      </w:r>
      <w:r w:rsidR="00180E61" w:rsidRPr="00F4231A">
        <w:rPr>
          <w:rFonts w:ascii="Book Antiqua" w:hAnsi="Book Antiqua" w:cs="Arial"/>
          <w:sz w:val="24"/>
          <w:szCs w:val="24"/>
        </w:rPr>
        <w:t>emia</w:t>
      </w:r>
      <w:r w:rsidR="00CB79F5" w:rsidRPr="00F4231A">
        <w:rPr>
          <w:rFonts w:ascii="Book Antiqua" w:hAnsi="Book Antiqua" w:cs="Arial"/>
          <w:sz w:val="24"/>
          <w:szCs w:val="24"/>
        </w:rPr>
        <w:t>.</w:t>
      </w:r>
    </w:p>
    <w:p w:rsidR="00561493" w:rsidRPr="00F4231A" w:rsidRDefault="006178C8" w:rsidP="00F4231A">
      <w:pPr>
        <w:pStyle w:val="15"/>
        <w:snapToGrid w:val="0"/>
        <w:ind w:firstLineChars="100" w:firstLine="240"/>
        <w:rPr>
          <w:rFonts w:ascii="Book Antiqua" w:hAnsi="Book Antiqua" w:cs="Arial"/>
          <w:sz w:val="24"/>
          <w:szCs w:val="24"/>
        </w:rPr>
      </w:pPr>
      <w:r w:rsidRPr="00F4231A">
        <w:rPr>
          <w:rFonts w:ascii="Book Antiqua" w:hAnsi="Book Antiqua" w:cs="Arial"/>
          <w:sz w:val="24"/>
          <w:szCs w:val="24"/>
        </w:rPr>
        <w:t xml:space="preserve">Since </w:t>
      </w:r>
      <w:r w:rsidR="004441D5" w:rsidRPr="00F4231A">
        <w:rPr>
          <w:rFonts w:ascii="Book Antiqua" w:hAnsi="Book Antiqua" w:cs="Arial"/>
          <w:sz w:val="24"/>
          <w:szCs w:val="24"/>
        </w:rPr>
        <w:t xml:space="preserve">LBP </w:t>
      </w:r>
      <w:r w:rsidRPr="00F4231A">
        <w:rPr>
          <w:rFonts w:ascii="Book Antiqua" w:hAnsi="Book Antiqua" w:cs="Arial"/>
          <w:sz w:val="24"/>
          <w:szCs w:val="24"/>
        </w:rPr>
        <w:t xml:space="preserve">is rapidly </w:t>
      </w:r>
      <w:r w:rsidR="004441D5" w:rsidRPr="00F4231A">
        <w:rPr>
          <w:rFonts w:ascii="Book Antiqua" w:hAnsi="Book Antiqua" w:cs="Arial"/>
          <w:sz w:val="24"/>
          <w:szCs w:val="24"/>
        </w:rPr>
        <w:t>induced by LPS</w:t>
      </w:r>
      <w:r w:rsidR="0051723C" w:rsidRPr="00F4231A">
        <w:rPr>
          <w:rFonts w:ascii="Book Antiqua" w:hAnsi="Book Antiqua" w:cs="Arial"/>
          <w:sz w:val="24"/>
          <w:szCs w:val="24"/>
        </w:rPr>
        <w:t xml:space="preserve"> </w:t>
      </w:r>
      <w:r w:rsidR="00175917" w:rsidRPr="00F4231A">
        <w:rPr>
          <w:rFonts w:ascii="Book Antiqua" w:hAnsi="Book Antiqua" w:cs="Arial"/>
          <w:sz w:val="24"/>
          <w:szCs w:val="24"/>
        </w:rPr>
        <w:t xml:space="preserve">and </w:t>
      </w:r>
      <w:r w:rsidRPr="00F4231A">
        <w:rPr>
          <w:rFonts w:ascii="Book Antiqua" w:hAnsi="Book Antiqua" w:cs="Arial"/>
          <w:sz w:val="24"/>
          <w:szCs w:val="24"/>
        </w:rPr>
        <w:t xml:space="preserve">EndoCab </w:t>
      </w:r>
      <w:r w:rsidR="004441D5" w:rsidRPr="00F4231A">
        <w:rPr>
          <w:rFonts w:ascii="Book Antiqua" w:hAnsi="Book Antiqua" w:cs="Arial"/>
          <w:sz w:val="24"/>
          <w:szCs w:val="24"/>
        </w:rPr>
        <w:t xml:space="preserve">IgG </w:t>
      </w:r>
      <w:r w:rsidR="0018568B" w:rsidRPr="00F4231A">
        <w:rPr>
          <w:rFonts w:ascii="Book Antiqua" w:hAnsi="Book Antiqua" w:cs="Arial"/>
          <w:sz w:val="24"/>
          <w:szCs w:val="24"/>
        </w:rPr>
        <w:t>reflects the</w:t>
      </w:r>
      <w:r w:rsidR="00175917" w:rsidRPr="00F4231A">
        <w:rPr>
          <w:rFonts w:ascii="Book Antiqua" w:hAnsi="Book Antiqua" w:cs="Arial"/>
          <w:sz w:val="24"/>
          <w:szCs w:val="24"/>
        </w:rPr>
        <w:t xml:space="preserve"> </w:t>
      </w:r>
      <w:r w:rsidR="0018568B" w:rsidRPr="00F4231A">
        <w:rPr>
          <w:rFonts w:ascii="Book Antiqua" w:hAnsi="Book Antiqua" w:cs="Arial"/>
          <w:sz w:val="24"/>
          <w:szCs w:val="24"/>
        </w:rPr>
        <w:t xml:space="preserve">immune </w:t>
      </w:r>
      <w:r w:rsidRPr="00F4231A">
        <w:rPr>
          <w:rFonts w:ascii="Book Antiqua" w:hAnsi="Book Antiqua" w:cs="Arial"/>
          <w:sz w:val="24"/>
          <w:szCs w:val="24"/>
        </w:rPr>
        <w:lastRenderedPageBreak/>
        <w:t xml:space="preserve">response </w:t>
      </w:r>
      <w:r w:rsidR="0018568B" w:rsidRPr="00F4231A">
        <w:rPr>
          <w:rFonts w:ascii="Book Antiqua" w:hAnsi="Book Antiqua" w:cs="Arial"/>
          <w:sz w:val="24"/>
          <w:szCs w:val="24"/>
        </w:rPr>
        <w:t xml:space="preserve">to </w:t>
      </w:r>
      <w:r w:rsidRPr="00F4231A">
        <w:rPr>
          <w:rFonts w:ascii="Book Antiqua" w:hAnsi="Book Antiqua" w:cs="Arial"/>
          <w:sz w:val="24"/>
          <w:szCs w:val="24"/>
        </w:rPr>
        <w:t>endotoxin core</w:t>
      </w:r>
      <w:r w:rsidR="00175917" w:rsidRPr="00F4231A">
        <w:rPr>
          <w:rFonts w:ascii="Book Antiqua" w:hAnsi="Book Antiqua" w:cs="Arial"/>
          <w:sz w:val="24"/>
          <w:szCs w:val="24"/>
        </w:rPr>
        <w:t xml:space="preserve">, </w:t>
      </w:r>
      <w:r w:rsidRPr="00F4231A">
        <w:rPr>
          <w:rFonts w:ascii="Book Antiqua" w:hAnsi="Book Antiqua" w:cs="Arial"/>
          <w:sz w:val="24"/>
          <w:szCs w:val="24"/>
        </w:rPr>
        <w:t xml:space="preserve">these </w:t>
      </w:r>
      <w:r w:rsidR="0018568B" w:rsidRPr="00F4231A">
        <w:rPr>
          <w:rFonts w:ascii="Book Antiqua" w:hAnsi="Book Antiqua" w:cs="Arial"/>
          <w:sz w:val="24"/>
          <w:szCs w:val="24"/>
        </w:rPr>
        <w:t>biomarkers</w:t>
      </w:r>
      <w:r w:rsidRPr="00F4231A">
        <w:rPr>
          <w:rFonts w:ascii="Book Antiqua" w:hAnsi="Book Antiqua" w:cs="Arial"/>
          <w:sz w:val="24"/>
          <w:szCs w:val="24"/>
        </w:rPr>
        <w:t xml:space="preserve"> </w:t>
      </w:r>
      <w:r w:rsidR="0018568B" w:rsidRPr="00F4231A">
        <w:rPr>
          <w:rFonts w:ascii="Book Antiqua" w:hAnsi="Book Antiqua" w:cs="Arial"/>
          <w:sz w:val="24"/>
          <w:szCs w:val="24"/>
        </w:rPr>
        <w:t xml:space="preserve">measure </w:t>
      </w:r>
      <w:r w:rsidR="00562D5F" w:rsidRPr="00F4231A">
        <w:rPr>
          <w:rFonts w:ascii="Book Antiqua" w:hAnsi="Book Antiqua" w:cs="Arial"/>
          <w:sz w:val="24"/>
          <w:szCs w:val="24"/>
        </w:rPr>
        <w:t>acute/intermittent</w:t>
      </w:r>
      <w:r w:rsidR="004441D5" w:rsidRPr="00F4231A">
        <w:rPr>
          <w:rFonts w:ascii="Book Antiqua" w:hAnsi="Book Antiqua" w:cs="Arial"/>
          <w:sz w:val="24"/>
          <w:szCs w:val="24"/>
        </w:rPr>
        <w:t xml:space="preserve"> </w:t>
      </w:r>
      <w:r w:rsidR="007F211D" w:rsidRPr="00F4231A">
        <w:rPr>
          <w:rFonts w:ascii="Book Antiqua" w:hAnsi="Book Antiqua" w:cs="Arial"/>
          <w:sz w:val="24"/>
          <w:szCs w:val="24"/>
        </w:rPr>
        <w:t>and chronic/persistent endotox</w:t>
      </w:r>
      <w:r w:rsidR="00562D5F" w:rsidRPr="00F4231A">
        <w:rPr>
          <w:rFonts w:ascii="Book Antiqua" w:hAnsi="Book Antiqua" w:cs="Arial"/>
          <w:sz w:val="24"/>
          <w:szCs w:val="24"/>
        </w:rPr>
        <w:t xml:space="preserve">emia, respectively. </w:t>
      </w:r>
      <w:r w:rsidRPr="00F4231A">
        <w:rPr>
          <w:rFonts w:ascii="Book Antiqua" w:hAnsi="Book Antiqua" w:cs="Arial"/>
          <w:sz w:val="24"/>
          <w:szCs w:val="24"/>
        </w:rPr>
        <w:t>Previous studies</w:t>
      </w:r>
      <w:r w:rsidR="004966DF" w:rsidRPr="00F4231A">
        <w:rPr>
          <w:rFonts w:ascii="Book Antiqua" w:hAnsi="Book Antiqua" w:cs="Arial"/>
          <w:sz w:val="24"/>
          <w:szCs w:val="24"/>
        </w:rPr>
        <w:t xml:space="preserve"> </w:t>
      </w:r>
      <w:r w:rsidR="0018568B" w:rsidRPr="00F4231A">
        <w:rPr>
          <w:rFonts w:ascii="Book Antiqua" w:hAnsi="Book Antiqua" w:cs="Arial"/>
          <w:sz w:val="24"/>
          <w:szCs w:val="24"/>
        </w:rPr>
        <w:t xml:space="preserve">have examined </w:t>
      </w:r>
      <w:r w:rsidR="00175917" w:rsidRPr="00F4231A">
        <w:rPr>
          <w:rFonts w:ascii="Book Antiqua" w:hAnsi="Book Antiqua" w:cs="Arial"/>
          <w:sz w:val="24"/>
          <w:szCs w:val="24"/>
        </w:rPr>
        <w:t xml:space="preserve">either </w:t>
      </w:r>
      <w:r w:rsidR="004966DF" w:rsidRPr="00F4231A">
        <w:rPr>
          <w:rFonts w:ascii="Book Antiqua" w:hAnsi="Book Antiqua" w:cs="Arial"/>
          <w:sz w:val="24"/>
          <w:szCs w:val="24"/>
        </w:rPr>
        <w:t>serum L</w:t>
      </w:r>
      <w:r w:rsidR="00080FA7" w:rsidRPr="00F4231A">
        <w:rPr>
          <w:rFonts w:ascii="Book Antiqua" w:hAnsi="Book Antiqua" w:cs="Arial"/>
          <w:sz w:val="24"/>
          <w:szCs w:val="24"/>
        </w:rPr>
        <w:t>BP</w:t>
      </w:r>
      <w:r w:rsidR="004966DF" w:rsidRPr="00F4231A">
        <w:rPr>
          <w:rFonts w:ascii="Book Antiqua" w:hAnsi="Book Antiqua" w:cs="Arial"/>
          <w:sz w:val="24"/>
          <w:szCs w:val="24"/>
        </w:rPr>
        <w:t xml:space="preserve"> or EndoCab </w:t>
      </w:r>
      <w:r w:rsidR="00175917" w:rsidRPr="00F4231A">
        <w:rPr>
          <w:rFonts w:ascii="Book Antiqua" w:hAnsi="Book Antiqua" w:cs="Arial"/>
          <w:sz w:val="24"/>
          <w:szCs w:val="24"/>
        </w:rPr>
        <w:t xml:space="preserve">IgG </w:t>
      </w:r>
      <w:r w:rsidR="004966DF" w:rsidRPr="00F4231A">
        <w:rPr>
          <w:rFonts w:ascii="Book Antiqua" w:hAnsi="Book Antiqua" w:cs="Arial"/>
          <w:sz w:val="24"/>
          <w:szCs w:val="24"/>
        </w:rPr>
        <w:t>in NAFLD patients</w:t>
      </w:r>
      <w:r w:rsidR="007962A9" w:rsidRPr="00F4231A">
        <w:rPr>
          <w:rFonts w:ascii="Book Antiqua" w:hAnsi="Book Antiqua" w:cs="Arial"/>
          <w:sz w:val="24"/>
          <w:szCs w:val="24"/>
        </w:rPr>
        <w:t xml:space="preserve">. </w:t>
      </w:r>
      <w:r w:rsidR="004966DF" w:rsidRPr="00F4231A">
        <w:rPr>
          <w:rFonts w:ascii="Book Antiqua" w:hAnsi="Book Antiqua" w:cs="Arial"/>
          <w:sz w:val="24"/>
          <w:szCs w:val="24"/>
        </w:rPr>
        <w:t xml:space="preserve">LBP was </w:t>
      </w:r>
      <w:r w:rsidRPr="00F4231A">
        <w:rPr>
          <w:rFonts w:ascii="Book Antiqua" w:hAnsi="Book Antiqua" w:cs="Arial"/>
          <w:sz w:val="24"/>
          <w:szCs w:val="24"/>
        </w:rPr>
        <w:t>similar</w:t>
      </w:r>
      <w:r w:rsidR="005A71EB"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A71EB" w:rsidRPr="00F4231A">
        <w:rPr>
          <w:rFonts w:ascii="Book Antiqua" w:hAnsi="Book Antiqua" w:cs="Arial"/>
          <w:sz w:val="24"/>
          <w:szCs w:val="24"/>
        </w:rPr>
        <w:instrText xml:space="preserve"> ADDIN EN.CITE </w:instrText>
      </w:r>
      <w:r w:rsidR="005A71EB"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A71EB" w:rsidRPr="00F4231A">
        <w:rPr>
          <w:rFonts w:ascii="Book Antiqua" w:hAnsi="Book Antiqua" w:cs="Arial"/>
          <w:sz w:val="24"/>
          <w:szCs w:val="24"/>
        </w:rPr>
        <w:instrText xml:space="preserve"> ADDIN EN.CITE.DATA </w:instrText>
      </w:r>
      <w:r w:rsidR="005A71EB" w:rsidRPr="00F4231A">
        <w:rPr>
          <w:rFonts w:ascii="Book Antiqua" w:hAnsi="Book Antiqua" w:cs="Arial"/>
          <w:sz w:val="24"/>
          <w:szCs w:val="24"/>
        </w:rPr>
      </w:r>
      <w:r w:rsidR="005A71EB" w:rsidRPr="00F4231A">
        <w:rPr>
          <w:rFonts w:ascii="Book Antiqua" w:hAnsi="Book Antiqua" w:cs="Arial"/>
          <w:sz w:val="24"/>
          <w:szCs w:val="24"/>
        </w:rPr>
        <w:fldChar w:fldCharType="end"/>
      </w:r>
      <w:r w:rsidR="005A71EB" w:rsidRPr="00F4231A">
        <w:rPr>
          <w:rFonts w:ascii="Book Antiqua" w:hAnsi="Book Antiqua" w:cs="Arial"/>
          <w:sz w:val="24"/>
          <w:szCs w:val="24"/>
        </w:rPr>
      </w:r>
      <w:r w:rsidR="005A71EB" w:rsidRPr="00F4231A">
        <w:rPr>
          <w:rFonts w:ascii="Book Antiqua" w:hAnsi="Book Antiqua" w:cs="Arial"/>
          <w:sz w:val="24"/>
          <w:szCs w:val="24"/>
        </w:rPr>
        <w:fldChar w:fldCharType="separate"/>
      </w:r>
      <w:r w:rsidR="005A71EB" w:rsidRPr="00F4231A">
        <w:rPr>
          <w:rFonts w:ascii="Book Antiqua" w:hAnsi="Book Antiqua" w:cs="Arial"/>
          <w:noProof/>
          <w:sz w:val="24"/>
          <w:szCs w:val="24"/>
          <w:vertAlign w:val="superscript"/>
        </w:rPr>
        <w:t>[25]</w:t>
      </w:r>
      <w:r w:rsidR="005A71EB" w:rsidRPr="00F4231A">
        <w:rPr>
          <w:rFonts w:ascii="Book Antiqua" w:hAnsi="Book Antiqua" w:cs="Arial"/>
          <w:sz w:val="24"/>
          <w:szCs w:val="24"/>
        </w:rPr>
        <w:fldChar w:fldCharType="end"/>
      </w:r>
      <w:r w:rsidR="005A71EB" w:rsidRPr="00F4231A">
        <w:rPr>
          <w:rFonts w:ascii="Book Antiqua" w:hAnsi="Book Antiqua" w:cs="Arial"/>
          <w:sz w:val="24"/>
          <w:szCs w:val="24"/>
        </w:rPr>
        <w:t xml:space="preserve"> </w:t>
      </w:r>
      <w:r w:rsidRPr="00F4231A">
        <w:rPr>
          <w:rFonts w:ascii="Book Antiqua" w:hAnsi="Book Antiqua" w:cs="Arial"/>
          <w:sz w:val="24"/>
          <w:szCs w:val="24"/>
        </w:rPr>
        <w:t>between control and NAFLD</w:t>
      </w:r>
      <w:r w:rsidR="0018568B" w:rsidRPr="00F4231A">
        <w:rPr>
          <w:rFonts w:ascii="Book Antiqua" w:hAnsi="Book Antiqua" w:cs="Arial"/>
          <w:sz w:val="24"/>
          <w:szCs w:val="24"/>
        </w:rPr>
        <w:t xml:space="preserve"> subjects and </w:t>
      </w:r>
      <w:r w:rsidR="004966DF" w:rsidRPr="00F4231A">
        <w:rPr>
          <w:rFonts w:ascii="Book Antiqua" w:hAnsi="Book Antiqua" w:cs="Arial"/>
          <w:sz w:val="24"/>
          <w:szCs w:val="24"/>
        </w:rPr>
        <w:t>increased</w:t>
      </w:r>
      <w:r w:rsidRPr="00F4231A">
        <w:rPr>
          <w:rFonts w:ascii="Book Antiqua" w:hAnsi="Book Antiqua" w:cs="Arial"/>
          <w:sz w:val="24"/>
          <w:szCs w:val="24"/>
        </w:rPr>
        <w:t xml:space="preserve"> in NAFLD/</w:t>
      </w:r>
      <w:r w:rsidR="004966DF" w:rsidRPr="00F4231A">
        <w:rPr>
          <w:rFonts w:ascii="Book Antiqua" w:hAnsi="Book Antiqua" w:cs="Arial"/>
          <w:sz w:val="24"/>
          <w:szCs w:val="24"/>
        </w:rPr>
        <w:t>NASH patients</w:t>
      </w:r>
      <w:r w:rsidR="005932DA" w:rsidRPr="00F4231A">
        <w:rPr>
          <w:rFonts w:ascii="Book Antiqua" w:hAnsi="Book Antiqua" w:cs="Arial"/>
          <w:sz w:val="24"/>
          <w:szCs w:val="24"/>
        </w:rPr>
        <w:t xml:space="preserve"> with severe fibrosis</w:t>
      </w:r>
      <w:r w:rsidR="005A71EB"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A71EB" w:rsidRPr="00F4231A">
        <w:rPr>
          <w:rFonts w:ascii="Book Antiqua" w:hAnsi="Book Antiqua" w:cs="Arial"/>
          <w:sz w:val="24"/>
          <w:szCs w:val="24"/>
        </w:rPr>
        <w:instrText xml:space="preserve"> ADDIN EN.CITE </w:instrText>
      </w:r>
      <w:r w:rsidR="005A71EB"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A71EB" w:rsidRPr="00F4231A">
        <w:rPr>
          <w:rFonts w:ascii="Book Antiqua" w:hAnsi="Book Antiqua" w:cs="Arial"/>
          <w:sz w:val="24"/>
          <w:szCs w:val="24"/>
        </w:rPr>
        <w:instrText xml:space="preserve"> ADDIN EN.CITE.DATA </w:instrText>
      </w:r>
      <w:r w:rsidR="005A71EB" w:rsidRPr="00F4231A">
        <w:rPr>
          <w:rFonts w:ascii="Book Antiqua" w:hAnsi="Book Antiqua" w:cs="Arial"/>
          <w:sz w:val="24"/>
          <w:szCs w:val="24"/>
        </w:rPr>
      </w:r>
      <w:r w:rsidR="005A71EB" w:rsidRPr="00F4231A">
        <w:rPr>
          <w:rFonts w:ascii="Book Antiqua" w:hAnsi="Book Antiqua" w:cs="Arial"/>
          <w:sz w:val="24"/>
          <w:szCs w:val="24"/>
        </w:rPr>
        <w:fldChar w:fldCharType="end"/>
      </w:r>
      <w:r w:rsidR="005A71EB" w:rsidRPr="00F4231A">
        <w:rPr>
          <w:rFonts w:ascii="Book Antiqua" w:hAnsi="Book Antiqua" w:cs="Arial"/>
          <w:sz w:val="24"/>
          <w:szCs w:val="24"/>
        </w:rPr>
      </w:r>
      <w:r w:rsidR="005A71EB" w:rsidRPr="00F4231A">
        <w:rPr>
          <w:rFonts w:ascii="Book Antiqua" w:hAnsi="Book Antiqua" w:cs="Arial"/>
          <w:sz w:val="24"/>
          <w:szCs w:val="24"/>
        </w:rPr>
        <w:fldChar w:fldCharType="separate"/>
      </w:r>
      <w:r w:rsidR="005A71EB" w:rsidRPr="00F4231A">
        <w:rPr>
          <w:rFonts w:ascii="Book Antiqua" w:hAnsi="Book Antiqua" w:cs="Arial"/>
          <w:noProof/>
          <w:sz w:val="24"/>
          <w:szCs w:val="24"/>
          <w:vertAlign w:val="superscript"/>
        </w:rPr>
        <w:t>[26,27]</w:t>
      </w:r>
      <w:r w:rsidR="005A71EB" w:rsidRPr="00F4231A">
        <w:rPr>
          <w:rFonts w:ascii="Book Antiqua" w:hAnsi="Book Antiqua" w:cs="Arial"/>
          <w:sz w:val="24"/>
          <w:szCs w:val="24"/>
        </w:rPr>
        <w:fldChar w:fldCharType="end"/>
      </w:r>
      <w:r w:rsidR="005A71EB" w:rsidRPr="00F4231A">
        <w:rPr>
          <w:rFonts w:ascii="Book Antiqua" w:hAnsi="Book Antiqua" w:cs="Arial"/>
          <w:sz w:val="24"/>
          <w:szCs w:val="24"/>
        </w:rPr>
        <w:t xml:space="preserve">. </w:t>
      </w:r>
      <w:r w:rsidR="007962A9" w:rsidRPr="00F4231A">
        <w:rPr>
          <w:rFonts w:ascii="Book Antiqua" w:hAnsi="Book Antiqua" w:cs="Arial"/>
          <w:sz w:val="24"/>
          <w:szCs w:val="24"/>
        </w:rPr>
        <w:t>Endo</w:t>
      </w:r>
      <w:r w:rsidR="0018568B" w:rsidRPr="00F4231A">
        <w:rPr>
          <w:rFonts w:ascii="Book Antiqua" w:hAnsi="Book Antiqua" w:cs="Arial"/>
          <w:sz w:val="24"/>
          <w:szCs w:val="24"/>
        </w:rPr>
        <w:t>C</w:t>
      </w:r>
      <w:r w:rsidR="007962A9" w:rsidRPr="00F4231A">
        <w:rPr>
          <w:rFonts w:ascii="Book Antiqua" w:hAnsi="Book Antiqua" w:cs="Arial"/>
          <w:sz w:val="24"/>
          <w:szCs w:val="24"/>
        </w:rPr>
        <w:t xml:space="preserve">ab IgG </w:t>
      </w:r>
      <w:r w:rsidR="004966DF" w:rsidRPr="00F4231A">
        <w:rPr>
          <w:rFonts w:ascii="Book Antiqua" w:hAnsi="Book Antiqua" w:cs="Arial"/>
          <w:sz w:val="24"/>
          <w:szCs w:val="24"/>
        </w:rPr>
        <w:t xml:space="preserve">was </w:t>
      </w:r>
      <w:r w:rsidR="0018568B" w:rsidRPr="00F4231A">
        <w:rPr>
          <w:rFonts w:ascii="Book Antiqua" w:hAnsi="Book Antiqua" w:cs="Arial"/>
          <w:sz w:val="24"/>
          <w:szCs w:val="24"/>
        </w:rPr>
        <w:t>comparable</w:t>
      </w:r>
      <w:r w:rsidR="009F10F0"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10F0" w:rsidRPr="00F4231A">
        <w:rPr>
          <w:rFonts w:ascii="Book Antiqua" w:hAnsi="Book Antiqua" w:cs="Arial"/>
          <w:sz w:val="24"/>
          <w:szCs w:val="24"/>
        </w:rPr>
        <w:instrText xml:space="preserve"> ADDIN EN.CITE </w:instrText>
      </w:r>
      <w:r w:rsidR="009F10F0"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10F0" w:rsidRPr="00F4231A">
        <w:rPr>
          <w:rFonts w:ascii="Book Antiqua" w:hAnsi="Book Antiqua" w:cs="Arial"/>
          <w:sz w:val="24"/>
          <w:szCs w:val="24"/>
        </w:rPr>
        <w:instrText xml:space="preserve"> ADDIN EN.CITE.DATA </w:instrText>
      </w:r>
      <w:r w:rsidR="009F10F0" w:rsidRPr="00F4231A">
        <w:rPr>
          <w:rFonts w:ascii="Book Antiqua" w:hAnsi="Book Antiqua" w:cs="Arial"/>
          <w:sz w:val="24"/>
          <w:szCs w:val="24"/>
        </w:rPr>
      </w:r>
      <w:r w:rsidR="009F10F0" w:rsidRPr="00F4231A">
        <w:rPr>
          <w:rFonts w:ascii="Book Antiqua" w:hAnsi="Book Antiqua" w:cs="Arial"/>
          <w:sz w:val="24"/>
          <w:szCs w:val="24"/>
        </w:rPr>
        <w:fldChar w:fldCharType="end"/>
      </w:r>
      <w:r w:rsidR="009F10F0" w:rsidRPr="00F4231A">
        <w:rPr>
          <w:rFonts w:ascii="Book Antiqua" w:hAnsi="Book Antiqua" w:cs="Arial"/>
          <w:sz w:val="24"/>
          <w:szCs w:val="24"/>
        </w:rPr>
      </w:r>
      <w:r w:rsidR="009F10F0" w:rsidRPr="00F4231A">
        <w:rPr>
          <w:rFonts w:ascii="Book Antiqua" w:hAnsi="Book Antiqua" w:cs="Arial"/>
          <w:sz w:val="24"/>
          <w:szCs w:val="24"/>
        </w:rPr>
        <w:fldChar w:fldCharType="separate"/>
      </w:r>
      <w:r w:rsidR="009F10F0" w:rsidRPr="00F4231A">
        <w:rPr>
          <w:rFonts w:ascii="Book Antiqua" w:hAnsi="Book Antiqua" w:cs="Arial"/>
          <w:noProof/>
          <w:sz w:val="24"/>
          <w:szCs w:val="24"/>
          <w:vertAlign w:val="superscript"/>
        </w:rPr>
        <w:t>[28]</w:t>
      </w:r>
      <w:r w:rsidR="009F10F0" w:rsidRPr="00F4231A">
        <w:rPr>
          <w:rFonts w:ascii="Book Antiqua" w:hAnsi="Book Antiqua" w:cs="Arial"/>
          <w:sz w:val="24"/>
          <w:szCs w:val="24"/>
        </w:rPr>
        <w:fldChar w:fldCharType="end"/>
      </w:r>
      <w:r w:rsidR="009F10F0" w:rsidRPr="00F4231A">
        <w:rPr>
          <w:rFonts w:ascii="Book Antiqua" w:hAnsi="Book Antiqua" w:cs="Arial"/>
          <w:sz w:val="24"/>
          <w:szCs w:val="24"/>
        </w:rPr>
        <w:t xml:space="preserve"> </w:t>
      </w:r>
      <w:r w:rsidR="0018568B" w:rsidRPr="00F4231A">
        <w:rPr>
          <w:rFonts w:ascii="Book Antiqua" w:hAnsi="Book Antiqua" w:cs="Arial"/>
          <w:sz w:val="24"/>
          <w:szCs w:val="24"/>
        </w:rPr>
        <w:t xml:space="preserve">between control and NAFLD/NASH groups and higher </w:t>
      </w:r>
      <w:r w:rsidRPr="00F4231A">
        <w:rPr>
          <w:rFonts w:ascii="Book Antiqua" w:hAnsi="Book Antiqua" w:cs="Arial"/>
          <w:sz w:val="24"/>
          <w:szCs w:val="24"/>
        </w:rPr>
        <w:t>in NASH</w:t>
      </w:r>
      <w:r w:rsidR="009F10F0"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10F0" w:rsidRPr="00F4231A">
        <w:rPr>
          <w:rFonts w:ascii="Book Antiqua" w:hAnsi="Book Antiqua" w:cs="Arial"/>
          <w:sz w:val="24"/>
          <w:szCs w:val="24"/>
        </w:rPr>
        <w:instrText xml:space="preserve"> ADDIN EN.CITE </w:instrText>
      </w:r>
      <w:r w:rsidR="009F10F0"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10F0" w:rsidRPr="00F4231A">
        <w:rPr>
          <w:rFonts w:ascii="Book Antiqua" w:hAnsi="Book Antiqua" w:cs="Arial"/>
          <w:sz w:val="24"/>
          <w:szCs w:val="24"/>
        </w:rPr>
        <w:instrText xml:space="preserve"> ADDIN EN.CITE.DATA </w:instrText>
      </w:r>
      <w:r w:rsidR="009F10F0" w:rsidRPr="00F4231A">
        <w:rPr>
          <w:rFonts w:ascii="Book Antiqua" w:hAnsi="Book Antiqua" w:cs="Arial"/>
          <w:sz w:val="24"/>
          <w:szCs w:val="24"/>
        </w:rPr>
      </w:r>
      <w:r w:rsidR="009F10F0" w:rsidRPr="00F4231A">
        <w:rPr>
          <w:rFonts w:ascii="Book Antiqua" w:hAnsi="Book Antiqua" w:cs="Arial"/>
          <w:sz w:val="24"/>
          <w:szCs w:val="24"/>
        </w:rPr>
        <w:fldChar w:fldCharType="end"/>
      </w:r>
      <w:r w:rsidR="009F10F0" w:rsidRPr="00F4231A">
        <w:rPr>
          <w:rFonts w:ascii="Book Antiqua" w:hAnsi="Book Antiqua" w:cs="Arial"/>
          <w:sz w:val="24"/>
          <w:szCs w:val="24"/>
        </w:rPr>
      </w:r>
      <w:r w:rsidR="009F10F0" w:rsidRPr="00F4231A">
        <w:rPr>
          <w:rFonts w:ascii="Book Antiqua" w:hAnsi="Book Antiqua" w:cs="Arial"/>
          <w:sz w:val="24"/>
          <w:szCs w:val="24"/>
        </w:rPr>
        <w:fldChar w:fldCharType="separate"/>
      </w:r>
      <w:r w:rsidR="009F10F0" w:rsidRPr="00F4231A">
        <w:rPr>
          <w:rFonts w:ascii="Book Antiqua" w:hAnsi="Book Antiqua" w:cs="Arial"/>
          <w:noProof/>
          <w:sz w:val="24"/>
          <w:szCs w:val="24"/>
          <w:vertAlign w:val="superscript"/>
        </w:rPr>
        <w:t>[29]</w:t>
      </w:r>
      <w:r w:rsidR="009F10F0" w:rsidRPr="00F4231A">
        <w:rPr>
          <w:rFonts w:ascii="Book Antiqua" w:hAnsi="Book Antiqua" w:cs="Arial"/>
          <w:sz w:val="24"/>
          <w:szCs w:val="24"/>
        </w:rPr>
        <w:fldChar w:fldCharType="end"/>
      </w:r>
      <w:r w:rsidR="009F10F0" w:rsidRPr="00F4231A">
        <w:rPr>
          <w:rFonts w:ascii="Book Antiqua" w:hAnsi="Book Antiqua" w:cs="Arial"/>
          <w:sz w:val="24"/>
          <w:szCs w:val="24"/>
        </w:rPr>
        <w:t xml:space="preserve">. </w:t>
      </w:r>
      <w:r w:rsidR="00840C6A" w:rsidRPr="00F4231A">
        <w:rPr>
          <w:rFonts w:ascii="Book Antiqua" w:hAnsi="Book Antiqua" w:cs="Arial"/>
          <w:sz w:val="24"/>
          <w:szCs w:val="24"/>
        </w:rPr>
        <w:t xml:space="preserve">However, the number of NAFLD patients </w:t>
      </w:r>
      <w:r w:rsidR="007962A9" w:rsidRPr="00F4231A">
        <w:rPr>
          <w:rFonts w:ascii="Book Antiqua" w:hAnsi="Book Antiqua" w:cs="Arial"/>
          <w:sz w:val="24"/>
          <w:szCs w:val="24"/>
        </w:rPr>
        <w:t>was</w:t>
      </w:r>
      <w:r w:rsidR="00840C6A" w:rsidRPr="00F4231A">
        <w:rPr>
          <w:rFonts w:ascii="Book Antiqua" w:hAnsi="Book Antiqua" w:cs="Arial"/>
          <w:sz w:val="24"/>
          <w:szCs w:val="24"/>
        </w:rPr>
        <w:t xml:space="preserve"> relatively small (less than 40) in the</w:t>
      </w:r>
      <w:r w:rsidR="007962A9" w:rsidRPr="00F4231A">
        <w:rPr>
          <w:rFonts w:ascii="Book Antiqua" w:hAnsi="Book Antiqua" w:cs="Arial"/>
          <w:sz w:val="24"/>
          <w:szCs w:val="24"/>
        </w:rPr>
        <w:t>se</w:t>
      </w:r>
      <w:r w:rsidR="00840C6A" w:rsidRPr="00F4231A">
        <w:rPr>
          <w:rFonts w:ascii="Book Antiqua" w:hAnsi="Book Antiqua" w:cs="Arial"/>
          <w:sz w:val="24"/>
          <w:szCs w:val="24"/>
        </w:rPr>
        <w:t xml:space="preserve"> </w:t>
      </w:r>
      <w:r w:rsidR="0018568B" w:rsidRPr="00F4231A">
        <w:rPr>
          <w:rFonts w:ascii="Book Antiqua" w:hAnsi="Book Antiqua" w:cs="Arial"/>
          <w:sz w:val="24"/>
          <w:szCs w:val="24"/>
        </w:rPr>
        <w:t xml:space="preserve">investigations. Moreover, </w:t>
      </w:r>
      <w:r w:rsidR="007962A9" w:rsidRPr="00F4231A">
        <w:rPr>
          <w:rFonts w:ascii="Book Antiqua" w:hAnsi="Book Antiqua" w:cs="Arial"/>
          <w:sz w:val="24"/>
          <w:szCs w:val="24"/>
        </w:rPr>
        <w:t xml:space="preserve">there </w:t>
      </w:r>
      <w:r w:rsidR="0018568B" w:rsidRPr="00F4231A">
        <w:rPr>
          <w:rFonts w:ascii="Book Antiqua" w:hAnsi="Book Antiqua" w:cs="Arial"/>
          <w:sz w:val="24"/>
          <w:szCs w:val="24"/>
        </w:rPr>
        <w:t xml:space="preserve">have been </w:t>
      </w:r>
      <w:r w:rsidR="007962A9" w:rsidRPr="00F4231A">
        <w:rPr>
          <w:rFonts w:ascii="Book Antiqua" w:hAnsi="Book Antiqua" w:cs="Arial"/>
          <w:sz w:val="24"/>
          <w:szCs w:val="24"/>
        </w:rPr>
        <w:t xml:space="preserve">no </w:t>
      </w:r>
      <w:r w:rsidR="0018568B" w:rsidRPr="00F4231A">
        <w:rPr>
          <w:rFonts w:ascii="Book Antiqua" w:hAnsi="Book Antiqua" w:cs="Arial"/>
          <w:sz w:val="24"/>
          <w:szCs w:val="24"/>
        </w:rPr>
        <w:t xml:space="preserve">reports </w:t>
      </w:r>
      <w:r w:rsidR="007962A9" w:rsidRPr="00F4231A">
        <w:rPr>
          <w:rFonts w:ascii="Book Antiqua" w:hAnsi="Book Antiqua" w:cs="Arial"/>
          <w:sz w:val="24"/>
          <w:szCs w:val="24"/>
        </w:rPr>
        <w:t xml:space="preserve">simultaneously measuring </w:t>
      </w:r>
      <w:r w:rsidR="002F7ED5" w:rsidRPr="00F4231A">
        <w:rPr>
          <w:rFonts w:ascii="Book Antiqua" w:hAnsi="Book Antiqua" w:cs="Arial"/>
          <w:sz w:val="24"/>
          <w:szCs w:val="24"/>
        </w:rPr>
        <w:t xml:space="preserve">LBP and </w:t>
      </w:r>
      <w:r w:rsidR="00997A3E" w:rsidRPr="00F4231A">
        <w:rPr>
          <w:rFonts w:ascii="Book Antiqua" w:hAnsi="Book Antiqua" w:cs="Arial"/>
          <w:sz w:val="24"/>
          <w:szCs w:val="24"/>
        </w:rPr>
        <w:t>EndoCab IgG</w:t>
      </w:r>
      <w:r w:rsidR="00840C6A" w:rsidRPr="00F4231A">
        <w:rPr>
          <w:rFonts w:ascii="Book Antiqua" w:hAnsi="Book Antiqua" w:cs="Arial"/>
          <w:sz w:val="24"/>
          <w:szCs w:val="24"/>
        </w:rPr>
        <w:t xml:space="preserve"> in histo</w:t>
      </w:r>
      <w:r w:rsidR="0018568B" w:rsidRPr="00F4231A">
        <w:rPr>
          <w:rFonts w:ascii="Book Antiqua" w:hAnsi="Book Antiqua" w:cs="Arial"/>
          <w:sz w:val="24"/>
          <w:szCs w:val="24"/>
        </w:rPr>
        <w:t xml:space="preserve">logically-proven NAFLD patients or examining </w:t>
      </w:r>
      <w:r w:rsidR="00840C6A" w:rsidRPr="00F4231A">
        <w:rPr>
          <w:rFonts w:ascii="Book Antiqua" w:hAnsi="Book Antiqua" w:cs="Arial"/>
          <w:sz w:val="24"/>
          <w:szCs w:val="24"/>
        </w:rPr>
        <w:t>the</w:t>
      </w:r>
      <w:r w:rsidR="00997A3E" w:rsidRPr="00F4231A">
        <w:rPr>
          <w:rFonts w:ascii="Book Antiqua" w:hAnsi="Book Antiqua" w:cs="Arial"/>
          <w:sz w:val="24"/>
          <w:szCs w:val="24"/>
        </w:rPr>
        <w:t>se</w:t>
      </w:r>
      <w:r w:rsidR="00840C6A" w:rsidRPr="00F4231A">
        <w:rPr>
          <w:rFonts w:ascii="Book Antiqua" w:hAnsi="Book Antiqua" w:cs="Arial"/>
          <w:sz w:val="24"/>
          <w:szCs w:val="24"/>
        </w:rPr>
        <w:t xml:space="preserve"> </w:t>
      </w:r>
      <w:r w:rsidR="0018568B" w:rsidRPr="00F4231A">
        <w:rPr>
          <w:rFonts w:ascii="Book Antiqua" w:hAnsi="Book Antiqua" w:cs="Arial"/>
          <w:sz w:val="24"/>
          <w:szCs w:val="24"/>
        </w:rPr>
        <w:t>factors for association</w:t>
      </w:r>
      <w:r w:rsidR="00997A3E" w:rsidRPr="00F4231A">
        <w:rPr>
          <w:rFonts w:ascii="Book Antiqua" w:hAnsi="Book Antiqua" w:cs="Arial"/>
          <w:sz w:val="24"/>
          <w:szCs w:val="24"/>
        </w:rPr>
        <w:t>s</w:t>
      </w:r>
      <w:r w:rsidR="0018568B" w:rsidRPr="00F4231A">
        <w:rPr>
          <w:rFonts w:ascii="Book Antiqua" w:hAnsi="Book Antiqua" w:cs="Arial"/>
          <w:sz w:val="24"/>
          <w:szCs w:val="24"/>
        </w:rPr>
        <w:t xml:space="preserve"> </w:t>
      </w:r>
      <w:r w:rsidR="007962A9" w:rsidRPr="00F4231A">
        <w:rPr>
          <w:rFonts w:ascii="Book Antiqua" w:hAnsi="Book Antiqua" w:cs="Arial"/>
          <w:sz w:val="24"/>
          <w:szCs w:val="24"/>
        </w:rPr>
        <w:t xml:space="preserve">with </w:t>
      </w:r>
      <w:r w:rsidR="00840C6A" w:rsidRPr="00F4231A">
        <w:rPr>
          <w:rFonts w:ascii="Book Antiqua" w:hAnsi="Book Antiqua" w:cs="Arial"/>
          <w:sz w:val="24"/>
          <w:szCs w:val="24"/>
        </w:rPr>
        <w:t>histological findings</w:t>
      </w:r>
      <w:r w:rsidR="00385FEA" w:rsidRPr="00F4231A">
        <w:rPr>
          <w:rFonts w:ascii="Book Antiqua" w:hAnsi="Book Antiqua" w:cs="Arial"/>
          <w:sz w:val="24"/>
          <w:szCs w:val="24"/>
        </w:rPr>
        <w:t xml:space="preserve">. </w:t>
      </w:r>
      <w:r w:rsidR="0018568B" w:rsidRPr="00F4231A">
        <w:rPr>
          <w:rFonts w:ascii="Book Antiqua" w:hAnsi="Book Antiqua" w:cs="Arial"/>
          <w:sz w:val="24"/>
          <w:szCs w:val="24"/>
        </w:rPr>
        <w:t xml:space="preserve">The absence of a </w:t>
      </w:r>
      <w:r w:rsidR="00100824" w:rsidRPr="00F4231A">
        <w:rPr>
          <w:rFonts w:ascii="Book Antiqua" w:hAnsi="Book Antiqua" w:cs="Arial"/>
          <w:sz w:val="24"/>
          <w:szCs w:val="24"/>
        </w:rPr>
        <w:t>correlation between LBP and EndoCa</w:t>
      </w:r>
      <w:r w:rsidR="00524DDD" w:rsidRPr="00F4231A">
        <w:rPr>
          <w:rFonts w:ascii="Book Antiqua" w:hAnsi="Book Antiqua" w:cs="Arial"/>
          <w:sz w:val="24"/>
          <w:szCs w:val="24"/>
        </w:rPr>
        <w:t>b</w:t>
      </w:r>
      <w:r w:rsidR="00641902" w:rsidRPr="00F4231A">
        <w:rPr>
          <w:rFonts w:ascii="Book Antiqua" w:hAnsi="Book Antiqua" w:cs="Arial"/>
          <w:sz w:val="24"/>
          <w:szCs w:val="24"/>
        </w:rPr>
        <w:t xml:space="preserve"> IgG has been </w:t>
      </w:r>
      <w:r w:rsidR="008F53A1" w:rsidRPr="00F4231A">
        <w:rPr>
          <w:rFonts w:ascii="Book Antiqua" w:hAnsi="Book Antiqua" w:cs="Arial"/>
          <w:sz w:val="24"/>
          <w:szCs w:val="24"/>
        </w:rPr>
        <w:t>supported by</w:t>
      </w:r>
      <w:r w:rsidR="006529B2" w:rsidRPr="00F4231A">
        <w:rPr>
          <w:rFonts w:ascii="Book Antiqua" w:hAnsi="Book Antiqua" w:cs="Arial"/>
          <w:sz w:val="24"/>
          <w:szCs w:val="24"/>
        </w:rPr>
        <w:t xml:space="preserve"> </w:t>
      </w:r>
      <w:r w:rsidR="00641902" w:rsidRPr="00F4231A">
        <w:rPr>
          <w:rFonts w:ascii="Book Antiqua" w:hAnsi="Book Antiqua" w:cs="Arial"/>
          <w:sz w:val="24"/>
          <w:szCs w:val="24"/>
        </w:rPr>
        <w:t xml:space="preserve">a large recent </w:t>
      </w:r>
      <w:r w:rsidR="00E75069" w:rsidRPr="00F4231A">
        <w:rPr>
          <w:rFonts w:ascii="Book Antiqua" w:hAnsi="Book Antiqua" w:cs="Arial"/>
          <w:sz w:val="24"/>
          <w:szCs w:val="24"/>
        </w:rPr>
        <w:t xml:space="preserve">study </w:t>
      </w:r>
      <w:r w:rsidR="00997A3E" w:rsidRPr="00F4231A">
        <w:rPr>
          <w:rFonts w:ascii="Book Antiqua" w:hAnsi="Book Antiqua" w:cs="Arial"/>
          <w:sz w:val="24"/>
          <w:szCs w:val="24"/>
        </w:rPr>
        <w:t xml:space="preserve">of </w:t>
      </w:r>
      <w:r w:rsidR="00E75069" w:rsidRPr="00F4231A">
        <w:rPr>
          <w:rFonts w:ascii="Book Antiqua" w:hAnsi="Book Antiqua" w:cs="Arial"/>
          <w:sz w:val="24"/>
          <w:szCs w:val="24"/>
        </w:rPr>
        <w:t>920 participants</w:t>
      </w:r>
      <w:r w:rsidR="00592F42"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92F42" w:rsidRPr="00F4231A">
        <w:rPr>
          <w:rFonts w:ascii="Book Antiqua" w:hAnsi="Book Antiqua" w:cs="Arial"/>
          <w:sz w:val="24"/>
          <w:szCs w:val="24"/>
        </w:rPr>
        <w:instrText xml:space="preserve"> ADDIN EN.CITE </w:instrText>
      </w:r>
      <w:r w:rsidR="00592F42"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92F42" w:rsidRPr="00F4231A">
        <w:rPr>
          <w:rFonts w:ascii="Book Antiqua" w:hAnsi="Book Antiqua" w:cs="Arial"/>
          <w:sz w:val="24"/>
          <w:szCs w:val="24"/>
        </w:rPr>
        <w:instrText xml:space="preserve"> ADDIN EN.CITE.DATA </w:instrText>
      </w:r>
      <w:r w:rsidR="00592F42" w:rsidRPr="00F4231A">
        <w:rPr>
          <w:rFonts w:ascii="Book Antiqua" w:hAnsi="Book Antiqua" w:cs="Arial"/>
          <w:sz w:val="24"/>
          <w:szCs w:val="24"/>
        </w:rPr>
      </w:r>
      <w:r w:rsidR="00592F42" w:rsidRPr="00F4231A">
        <w:rPr>
          <w:rFonts w:ascii="Book Antiqua" w:hAnsi="Book Antiqua" w:cs="Arial"/>
          <w:sz w:val="24"/>
          <w:szCs w:val="24"/>
        </w:rPr>
        <w:fldChar w:fldCharType="end"/>
      </w:r>
      <w:r w:rsidR="00592F42" w:rsidRPr="00F4231A">
        <w:rPr>
          <w:rFonts w:ascii="Book Antiqua" w:hAnsi="Book Antiqua" w:cs="Arial"/>
          <w:sz w:val="24"/>
          <w:szCs w:val="24"/>
        </w:rPr>
      </w:r>
      <w:r w:rsidR="00592F42" w:rsidRPr="00F4231A">
        <w:rPr>
          <w:rFonts w:ascii="Book Antiqua" w:hAnsi="Book Antiqua" w:cs="Arial"/>
          <w:sz w:val="24"/>
          <w:szCs w:val="24"/>
        </w:rPr>
        <w:fldChar w:fldCharType="separate"/>
      </w:r>
      <w:r w:rsidR="00592F42" w:rsidRPr="00F4231A">
        <w:rPr>
          <w:rFonts w:ascii="Book Antiqua" w:hAnsi="Book Antiqua" w:cs="Arial"/>
          <w:noProof/>
          <w:sz w:val="24"/>
          <w:szCs w:val="24"/>
          <w:vertAlign w:val="superscript"/>
        </w:rPr>
        <w:t>[14]</w:t>
      </w:r>
      <w:r w:rsidR="00592F42" w:rsidRPr="00F4231A">
        <w:rPr>
          <w:rFonts w:ascii="Book Antiqua" w:hAnsi="Book Antiqua" w:cs="Arial"/>
          <w:sz w:val="24"/>
          <w:szCs w:val="24"/>
        </w:rPr>
        <w:fldChar w:fldCharType="end"/>
      </w:r>
      <w:r w:rsidR="00A2332F" w:rsidRPr="00F4231A">
        <w:rPr>
          <w:rFonts w:ascii="Book Antiqua" w:hAnsi="Book Antiqua" w:cs="Arial"/>
          <w:sz w:val="24"/>
          <w:szCs w:val="24"/>
        </w:rPr>
        <w:t xml:space="preserve">. </w:t>
      </w:r>
      <w:r w:rsidR="00C63A73" w:rsidRPr="00F4231A">
        <w:rPr>
          <w:rFonts w:ascii="Book Antiqua" w:hAnsi="Book Antiqua" w:cs="Arial"/>
          <w:sz w:val="24"/>
          <w:szCs w:val="24"/>
        </w:rPr>
        <w:t>Although</w:t>
      </w:r>
      <w:r w:rsidR="00D27C4C" w:rsidRPr="00F4231A">
        <w:rPr>
          <w:rFonts w:ascii="Book Antiqua" w:hAnsi="Book Antiqua" w:cs="Arial"/>
          <w:sz w:val="24"/>
          <w:szCs w:val="24"/>
        </w:rPr>
        <w:t xml:space="preserve"> </w:t>
      </w:r>
      <w:r w:rsidR="00DB1646" w:rsidRPr="00F4231A">
        <w:rPr>
          <w:rFonts w:ascii="Book Antiqua" w:hAnsi="Book Antiqua" w:cs="Arial"/>
          <w:sz w:val="24"/>
          <w:szCs w:val="24"/>
        </w:rPr>
        <w:t xml:space="preserve">LBP and EndoCab IgG </w:t>
      </w:r>
      <w:r w:rsidR="00C63A73" w:rsidRPr="00F4231A">
        <w:rPr>
          <w:rFonts w:ascii="Book Antiqua" w:hAnsi="Book Antiqua" w:cs="Arial"/>
          <w:sz w:val="24"/>
          <w:szCs w:val="24"/>
        </w:rPr>
        <w:t>were</w:t>
      </w:r>
      <w:r w:rsidR="00AD225B" w:rsidRPr="00F4231A">
        <w:rPr>
          <w:rFonts w:ascii="Book Antiqua" w:hAnsi="Book Antiqua" w:cs="Arial"/>
          <w:sz w:val="24"/>
          <w:szCs w:val="24"/>
        </w:rPr>
        <w:t xml:space="preserve"> </w:t>
      </w:r>
      <w:r w:rsidR="00634CC8" w:rsidRPr="00F4231A">
        <w:rPr>
          <w:rFonts w:ascii="Book Antiqua" w:hAnsi="Book Antiqua" w:cs="Arial"/>
          <w:sz w:val="24"/>
          <w:szCs w:val="24"/>
        </w:rPr>
        <w:t xml:space="preserve">simultaneously </w:t>
      </w:r>
      <w:r w:rsidR="00AD225B" w:rsidRPr="00F4231A">
        <w:rPr>
          <w:rFonts w:ascii="Book Antiqua" w:hAnsi="Book Antiqua" w:cs="Arial"/>
          <w:sz w:val="24"/>
          <w:szCs w:val="24"/>
        </w:rPr>
        <w:t xml:space="preserve">measured in </w:t>
      </w:r>
      <w:r w:rsidR="002752C6" w:rsidRPr="00F4231A">
        <w:rPr>
          <w:rFonts w:ascii="Book Antiqua" w:hAnsi="Book Antiqua" w:cs="Arial"/>
          <w:sz w:val="24"/>
          <w:szCs w:val="24"/>
        </w:rPr>
        <w:t>t</w:t>
      </w:r>
      <w:r w:rsidR="004E40F5" w:rsidRPr="00F4231A">
        <w:rPr>
          <w:rFonts w:ascii="Book Antiqua" w:hAnsi="Book Antiqua" w:cs="Arial"/>
          <w:sz w:val="24"/>
          <w:szCs w:val="24"/>
        </w:rPr>
        <w:t xml:space="preserve">he </w:t>
      </w:r>
      <w:r w:rsidR="00634CC8" w:rsidRPr="00F4231A">
        <w:rPr>
          <w:rFonts w:ascii="Book Antiqua" w:hAnsi="Book Antiqua" w:cs="Arial"/>
          <w:sz w:val="24"/>
          <w:szCs w:val="24"/>
        </w:rPr>
        <w:t xml:space="preserve">previous </w:t>
      </w:r>
      <w:r w:rsidR="00D27C4C" w:rsidRPr="00F4231A">
        <w:rPr>
          <w:rFonts w:ascii="Book Antiqua" w:hAnsi="Book Antiqua" w:cs="Arial"/>
          <w:sz w:val="24"/>
          <w:szCs w:val="24"/>
        </w:rPr>
        <w:t>study</w:t>
      </w:r>
      <w:r w:rsidR="00AD225B"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AD225B" w:rsidRPr="00F4231A">
        <w:rPr>
          <w:rFonts w:ascii="Book Antiqua" w:hAnsi="Book Antiqua" w:cs="Arial"/>
          <w:sz w:val="24"/>
          <w:szCs w:val="24"/>
        </w:rPr>
        <w:instrText xml:space="preserve"> ADDIN EN.CITE </w:instrText>
      </w:r>
      <w:r w:rsidR="00AD225B"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AD225B" w:rsidRPr="00F4231A">
        <w:rPr>
          <w:rFonts w:ascii="Book Antiqua" w:hAnsi="Book Antiqua" w:cs="Arial"/>
          <w:sz w:val="24"/>
          <w:szCs w:val="24"/>
        </w:rPr>
        <w:instrText xml:space="preserve"> ADDIN EN.CITE.DATA </w:instrText>
      </w:r>
      <w:r w:rsidR="00AD225B" w:rsidRPr="00F4231A">
        <w:rPr>
          <w:rFonts w:ascii="Book Antiqua" w:hAnsi="Book Antiqua" w:cs="Arial"/>
          <w:sz w:val="24"/>
          <w:szCs w:val="24"/>
        </w:rPr>
      </w:r>
      <w:r w:rsidR="00AD225B" w:rsidRPr="00F4231A">
        <w:rPr>
          <w:rFonts w:ascii="Book Antiqua" w:hAnsi="Book Antiqua" w:cs="Arial"/>
          <w:sz w:val="24"/>
          <w:szCs w:val="24"/>
        </w:rPr>
        <w:fldChar w:fldCharType="end"/>
      </w:r>
      <w:r w:rsidR="00AD225B" w:rsidRPr="00F4231A">
        <w:rPr>
          <w:rFonts w:ascii="Book Antiqua" w:hAnsi="Book Antiqua" w:cs="Arial"/>
          <w:sz w:val="24"/>
          <w:szCs w:val="24"/>
        </w:rPr>
      </w:r>
      <w:r w:rsidR="00AD225B" w:rsidRPr="00F4231A">
        <w:rPr>
          <w:rFonts w:ascii="Book Antiqua" w:hAnsi="Book Antiqua" w:cs="Arial"/>
          <w:sz w:val="24"/>
          <w:szCs w:val="24"/>
        </w:rPr>
        <w:fldChar w:fldCharType="separate"/>
      </w:r>
      <w:r w:rsidR="00AD225B" w:rsidRPr="00F4231A">
        <w:rPr>
          <w:rFonts w:ascii="Book Antiqua" w:hAnsi="Book Antiqua" w:cs="Arial"/>
          <w:noProof/>
          <w:sz w:val="24"/>
          <w:szCs w:val="24"/>
          <w:vertAlign w:val="superscript"/>
        </w:rPr>
        <w:t>[14]</w:t>
      </w:r>
      <w:r w:rsidR="00AD225B" w:rsidRPr="00F4231A">
        <w:rPr>
          <w:rFonts w:ascii="Book Antiqua" w:hAnsi="Book Antiqua" w:cs="Arial"/>
          <w:sz w:val="24"/>
          <w:szCs w:val="24"/>
        </w:rPr>
        <w:fldChar w:fldCharType="end"/>
      </w:r>
      <w:r w:rsidR="00DB1646" w:rsidRPr="00F4231A">
        <w:rPr>
          <w:rFonts w:ascii="Book Antiqua" w:hAnsi="Book Antiqua" w:cs="Arial"/>
          <w:sz w:val="24"/>
          <w:szCs w:val="24"/>
        </w:rPr>
        <w:t xml:space="preserve">, histological evaluation of the liver </w:t>
      </w:r>
      <w:r w:rsidR="00C63A73" w:rsidRPr="00F4231A">
        <w:rPr>
          <w:rFonts w:ascii="Book Antiqua" w:hAnsi="Book Antiqua" w:cs="Arial"/>
          <w:sz w:val="24"/>
          <w:szCs w:val="24"/>
        </w:rPr>
        <w:t xml:space="preserve">was not performed. </w:t>
      </w:r>
    </w:p>
    <w:p w:rsidR="00B2596D" w:rsidRPr="00F4231A" w:rsidRDefault="00417323" w:rsidP="00F4231A">
      <w:pPr>
        <w:pStyle w:val="15"/>
        <w:snapToGrid w:val="0"/>
        <w:ind w:firstLineChars="100" w:firstLine="240"/>
        <w:rPr>
          <w:rFonts w:ascii="Book Antiqua" w:hAnsi="Book Antiqua" w:cs="Arial"/>
          <w:sz w:val="24"/>
          <w:szCs w:val="24"/>
        </w:rPr>
      </w:pPr>
      <w:r w:rsidRPr="00F4231A">
        <w:rPr>
          <w:rFonts w:ascii="Book Antiqua" w:hAnsi="Book Antiqua" w:cs="Arial"/>
          <w:sz w:val="24"/>
          <w:szCs w:val="24"/>
        </w:rPr>
        <w:t xml:space="preserve">In the present </w:t>
      </w:r>
      <w:r w:rsidR="00E75069" w:rsidRPr="00F4231A">
        <w:rPr>
          <w:rFonts w:ascii="Book Antiqua" w:hAnsi="Book Antiqua" w:cs="Arial"/>
          <w:sz w:val="24"/>
          <w:szCs w:val="24"/>
        </w:rPr>
        <w:t xml:space="preserve">series, the </w:t>
      </w:r>
      <w:r w:rsidR="00DB54AF" w:rsidRPr="00F4231A">
        <w:rPr>
          <w:rFonts w:ascii="Book Antiqua" w:hAnsi="Book Antiqua" w:cs="Arial"/>
          <w:sz w:val="24"/>
          <w:szCs w:val="24"/>
        </w:rPr>
        <w:t xml:space="preserve">severity of lobular inflammation and </w:t>
      </w:r>
      <w:r w:rsidR="00E75069" w:rsidRPr="00F4231A">
        <w:rPr>
          <w:rFonts w:ascii="Book Antiqua" w:hAnsi="Book Antiqua" w:cs="Arial"/>
          <w:sz w:val="24"/>
          <w:szCs w:val="24"/>
        </w:rPr>
        <w:t xml:space="preserve">fibrosis did not correlate with either </w:t>
      </w:r>
      <w:r w:rsidR="00DB54AF" w:rsidRPr="00F4231A">
        <w:rPr>
          <w:rFonts w:ascii="Book Antiqua" w:hAnsi="Book Antiqua" w:cs="Arial"/>
          <w:sz w:val="24"/>
          <w:szCs w:val="24"/>
        </w:rPr>
        <w:t xml:space="preserve">serum </w:t>
      </w:r>
      <w:r w:rsidR="008B609A" w:rsidRPr="00F4231A">
        <w:rPr>
          <w:rFonts w:ascii="Book Antiqua" w:hAnsi="Book Antiqua" w:cs="Arial"/>
          <w:sz w:val="24"/>
          <w:szCs w:val="24"/>
        </w:rPr>
        <w:t xml:space="preserve">LBP </w:t>
      </w:r>
      <w:r w:rsidR="00DB54AF" w:rsidRPr="00F4231A">
        <w:rPr>
          <w:rFonts w:ascii="Book Antiqua" w:hAnsi="Book Antiqua" w:cs="Arial"/>
          <w:sz w:val="24"/>
          <w:szCs w:val="24"/>
        </w:rPr>
        <w:t xml:space="preserve">or </w:t>
      </w:r>
      <w:r w:rsidR="008B609A" w:rsidRPr="00F4231A">
        <w:rPr>
          <w:rFonts w:ascii="Book Antiqua" w:hAnsi="Book Antiqua" w:cs="Arial"/>
          <w:sz w:val="24"/>
          <w:szCs w:val="24"/>
        </w:rPr>
        <w:t xml:space="preserve">EndoCab </w:t>
      </w:r>
      <w:r w:rsidR="0032773B" w:rsidRPr="00F4231A">
        <w:rPr>
          <w:rFonts w:ascii="Book Antiqua" w:hAnsi="Book Antiqua" w:cs="Arial"/>
          <w:sz w:val="24"/>
          <w:szCs w:val="24"/>
        </w:rPr>
        <w:t>IgG</w:t>
      </w:r>
      <w:r w:rsidR="00DB54AF" w:rsidRPr="00F4231A">
        <w:rPr>
          <w:rFonts w:ascii="Book Antiqua" w:hAnsi="Book Antiqua" w:cs="Arial"/>
          <w:sz w:val="24"/>
          <w:szCs w:val="24"/>
        </w:rPr>
        <w:t xml:space="preserve">. </w:t>
      </w:r>
      <w:r w:rsidR="008B609A" w:rsidRPr="00F4231A">
        <w:rPr>
          <w:rFonts w:ascii="Book Antiqua" w:hAnsi="Book Antiqua" w:cs="Arial"/>
          <w:sz w:val="24"/>
          <w:szCs w:val="24"/>
        </w:rPr>
        <w:t xml:space="preserve">EndoCab </w:t>
      </w:r>
      <w:r w:rsidR="00B348D2" w:rsidRPr="00F4231A">
        <w:rPr>
          <w:rFonts w:ascii="Book Antiqua" w:hAnsi="Book Antiqua" w:cs="Arial"/>
          <w:sz w:val="24"/>
          <w:szCs w:val="24"/>
        </w:rPr>
        <w:t xml:space="preserve">IgG </w:t>
      </w:r>
      <w:r w:rsidR="008B609A" w:rsidRPr="00F4231A">
        <w:rPr>
          <w:rFonts w:ascii="Book Antiqua" w:hAnsi="Book Antiqua" w:cs="Arial"/>
          <w:sz w:val="24"/>
          <w:szCs w:val="24"/>
        </w:rPr>
        <w:t xml:space="preserve">tended to </w:t>
      </w:r>
      <w:r w:rsidR="00F0489A" w:rsidRPr="00F4231A">
        <w:rPr>
          <w:rFonts w:ascii="Book Antiqua" w:hAnsi="Book Antiqua" w:cs="Arial"/>
          <w:sz w:val="24"/>
          <w:szCs w:val="24"/>
        </w:rPr>
        <w:t xml:space="preserve">associate </w:t>
      </w:r>
      <w:r w:rsidR="008B609A" w:rsidRPr="00F4231A">
        <w:rPr>
          <w:rFonts w:ascii="Book Antiqua" w:hAnsi="Book Antiqua" w:cs="Arial"/>
          <w:sz w:val="24"/>
          <w:szCs w:val="24"/>
        </w:rPr>
        <w:t xml:space="preserve">with </w:t>
      </w:r>
      <w:r w:rsidR="0032773B" w:rsidRPr="00F4231A">
        <w:rPr>
          <w:rFonts w:ascii="Book Antiqua" w:hAnsi="Book Antiqua" w:cs="Arial"/>
          <w:sz w:val="24"/>
          <w:szCs w:val="24"/>
        </w:rPr>
        <w:t>age</w:t>
      </w:r>
      <w:r w:rsidR="008B609A" w:rsidRPr="00F4231A">
        <w:rPr>
          <w:rFonts w:ascii="Book Antiqua" w:hAnsi="Book Antiqua" w:cs="Arial"/>
          <w:sz w:val="24"/>
          <w:szCs w:val="24"/>
        </w:rPr>
        <w:t xml:space="preserve">, </w:t>
      </w:r>
      <w:r w:rsidR="00A16417" w:rsidRPr="00F4231A">
        <w:rPr>
          <w:rFonts w:ascii="Book Antiqua" w:hAnsi="Book Antiqua" w:cs="Arial"/>
          <w:sz w:val="24"/>
          <w:szCs w:val="24"/>
        </w:rPr>
        <w:t xml:space="preserve">hyaluronic acid, </w:t>
      </w:r>
      <w:r w:rsidR="0032773B" w:rsidRPr="00F4231A">
        <w:rPr>
          <w:rFonts w:ascii="Book Antiqua" w:hAnsi="Book Antiqua" w:cs="Arial"/>
          <w:sz w:val="24"/>
          <w:szCs w:val="24"/>
        </w:rPr>
        <w:t>and IgG</w:t>
      </w:r>
      <w:r w:rsidR="00E75069" w:rsidRPr="00F4231A">
        <w:rPr>
          <w:rFonts w:ascii="Book Antiqua" w:hAnsi="Book Antiqua" w:cs="Arial"/>
          <w:sz w:val="24"/>
          <w:szCs w:val="24"/>
        </w:rPr>
        <w:t xml:space="preserve">, which was </w:t>
      </w:r>
      <w:r w:rsidR="002E6E3B" w:rsidRPr="00F4231A">
        <w:rPr>
          <w:rFonts w:ascii="Book Antiqua" w:hAnsi="Book Antiqua" w:cs="Arial"/>
          <w:sz w:val="24"/>
          <w:szCs w:val="24"/>
        </w:rPr>
        <w:t>indicative</w:t>
      </w:r>
      <w:r w:rsidR="0032773B" w:rsidRPr="00F4231A">
        <w:rPr>
          <w:rFonts w:ascii="Book Antiqua" w:hAnsi="Book Antiqua" w:cs="Arial"/>
          <w:sz w:val="24"/>
          <w:szCs w:val="24"/>
        </w:rPr>
        <w:t xml:space="preserve"> of the </w:t>
      </w:r>
      <w:r w:rsidR="00A16417" w:rsidRPr="00F4231A">
        <w:rPr>
          <w:rFonts w:ascii="Book Antiqua" w:hAnsi="Book Antiqua" w:cs="Arial"/>
          <w:sz w:val="24"/>
          <w:szCs w:val="24"/>
        </w:rPr>
        <w:t xml:space="preserve">possibility of </w:t>
      </w:r>
      <w:r w:rsidR="008B609A" w:rsidRPr="00F4231A">
        <w:rPr>
          <w:rFonts w:ascii="Book Antiqua" w:hAnsi="Book Antiqua" w:cs="Arial"/>
          <w:sz w:val="24"/>
          <w:szCs w:val="24"/>
        </w:rPr>
        <w:t xml:space="preserve">nonspecific IgG </w:t>
      </w:r>
      <w:r w:rsidR="00A16417" w:rsidRPr="00F4231A">
        <w:rPr>
          <w:rFonts w:ascii="Book Antiqua" w:hAnsi="Book Antiqua" w:cs="Arial"/>
          <w:sz w:val="24"/>
          <w:szCs w:val="24"/>
        </w:rPr>
        <w:t xml:space="preserve">elevation due to chronic liver disease </w:t>
      </w:r>
      <w:r w:rsidR="002E6E3B" w:rsidRPr="00F4231A">
        <w:rPr>
          <w:rFonts w:ascii="Book Antiqua" w:hAnsi="Book Antiqua" w:cs="Arial"/>
          <w:sz w:val="24"/>
          <w:szCs w:val="24"/>
        </w:rPr>
        <w:t xml:space="preserve">and/or aging. </w:t>
      </w:r>
      <w:r w:rsidR="00E75069" w:rsidRPr="00F4231A">
        <w:rPr>
          <w:rFonts w:ascii="Book Antiqua" w:hAnsi="Book Antiqua" w:cs="Arial"/>
          <w:sz w:val="24"/>
          <w:szCs w:val="24"/>
        </w:rPr>
        <w:t xml:space="preserve">Thus, </w:t>
      </w:r>
      <w:r w:rsidR="002E6E3B" w:rsidRPr="00F4231A">
        <w:rPr>
          <w:rFonts w:ascii="Book Antiqua" w:hAnsi="Book Antiqua" w:cs="Arial"/>
          <w:sz w:val="24"/>
          <w:szCs w:val="24"/>
        </w:rPr>
        <w:t>evidence</w:t>
      </w:r>
      <w:r w:rsidR="008B609A" w:rsidRPr="00F4231A">
        <w:rPr>
          <w:rFonts w:ascii="Book Antiqua" w:hAnsi="Book Antiqua" w:cs="Arial"/>
          <w:sz w:val="24"/>
          <w:szCs w:val="24"/>
        </w:rPr>
        <w:t xml:space="preserve"> that LPS promote</w:t>
      </w:r>
      <w:r w:rsidR="002E6E3B" w:rsidRPr="00F4231A">
        <w:rPr>
          <w:rFonts w:ascii="Book Antiqua" w:hAnsi="Book Antiqua" w:cs="Arial"/>
          <w:sz w:val="24"/>
          <w:szCs w:val="24"/>
        </w:rPr>
        <w:t>d</w:t>
      </w:r>
      <w:r w:rsidR="008B609A" w:rsidRPr="00F4231A">
        <w:rPr>
          <w:rFonts w:ascii="Book Antiqua" w:hAnsi="Book Antiqua" w:cs="Arial"/>
          <w:sz w:val="24"/>
          <w:szCs w:val="24"/>
        </w:rPr>
        <w:t xml:space="preserve"> fibrosis and hepatitis </w:t>
      </w:r>
      <w:r w:rsidR="00E75069" w:rsidRPr="00F4231A">
        <w:rPr>
          <w:rFonts w:ascii="Book Antiqua" w:hAnsi="Book Antiqua" w:cs="Arial"/>
          <w:sz w:val="24"/>
          <w:szCs w:val="24"/>
        </w:rPr>
        <w:t xml:space="preserve">in the context of </w:t>
      </w:r>
      <w:r w:rsidR="00144586" w:rsidRPr="00F4231A">
        <w:rPr>
          <w:rFonts w:ascii="Book Antiqua" w:hAnsi="Book Antiqua" w:cs="Arial"/>
          <w:sz w:val="24"/>
          <w:szCs w:val="24"/>
        </w:rPr>
        <w:t xml:space="preserve">conventional </w:t>
      </w:r>
      <w:r w:rsidR="00E75069" w:rsidRPr="00F4231A">
        <w:rPr>
          <w:rFonts w:ascii="Book Antiqua" w:hAnsi="Book Antiqua" w:cs="Arial"/>
          <w:sz w:val="24"/>
          <w:szCs w:val="24"/>
        </w:rPr>
        <w:t xml:space="preserve">human </w:t>
      </w:r>
      <w:r w:rsidR="00A16417" w:rsidRPr="00F4231A">
        <w:rPr>
          <w:rFonts w:ascii="Book Antiqua" w:hAnsi="Book Antiqua" w:cs="Arial"/>
          <w:sz w:val="24"/>
          <w:szCs w:val="24"/>
        </w:rPr>
        <w:t>NAFLD</w:t>
      </w:r>
      <w:r w:rsidR="00144586" w:rsidRPr="00F4231A">
        <w:rPr>
          <w:rFonts w:ascii="Book Antiqua" w:hAnsi="Book Antiqua" w:cs="Arial"/>
          <w:sz w:val="24"/>
          <w:szCs w:val="24"/>
        </w:rPr>
        <w:t>/NASH</w:t>
      </w:r>
      <w:r w:rsidR="00A16417" w:rsidRPr="00F4231A">
        <w:rPr>
          <w:rFonts w:ascii="Book Antiqua" w:hAnsi="Book Antiqua" w:cs="Arial"/>
          <w:sz w:val="24"/>
          <w:szCs w:val="24"/>
        </w:rPr>
        <w:t xml:space="preserve"> could not be </w:t>
      </w:r>
      <w:r w:rsidR="00E75069" w:rsidRPr="00F4231A">
        <w:rPr>
          <w:rFonts w:ascii="Book Antiqua" w:hAnsi="Book Antiqua" w:cs="Arial"/>
          <w:sz w:val="24"/>
          <w:szCs w:val="24"/>
        </w:rPr>
        <w:t xml:space="preserve">demonstrated. </w:t>
      </w:r>
    </w:p>
    <w:p w:rsidR="002715C2" w:rsidRPr="00F4231A" w:rsidRDefault="00DB54AF" w:rsidP="00F4231A">
      <w:pPr>
        <w:pStyle w:val="15"/>
        <w:snapToGrid w:val="0"/>
        <w:ind w:firstLineChars="100" w:firstLine="240"/>
        <w:rPr>
          <w:rFonts w:ascii="Book Antiqua" w:hAnsi="Book Antiqua" w:cs="Arial"/>
          <w:sz w:val="24"/>
          <w:szCs w:val="24"/>
        </w:rPr>
      </w:pPr>
      <w:r w:rsidRPr="00F4231A">
        <w:rPr>
          <w:rFonts w:ascii="Book Antiqua" w:hAnsi="Book Antiqua" w:cs="Arial"/>
          <w:sz w:val="24"/>
          <w:szCs w:val="24"/>
        </w:rPr>
        <w:t xml:space="preserve">The degree </w:t>
      </w:r>
      <w:r w:rsidR="00406168" w:rsidRPr="00F4231A">
        <w:rPr>
          <w:rFonts w:ascii="Book Antiqua" w:hAnsi="Book Antiqua" w:cs="Arial"/>
          <w:sz w:val="24"/>
          <w:szCs w:val="24"/>
        </w:rPr>
        <w:t>of stea</w:t>
      </w:r>
      <w:r w:rsidR="00E75069" w:rsidRPr="00F4231A">
        <w:rPr>
          <w:rFonts w:ascii="Book Antiqua" w:hAnsi="Book Antiqua" w:cs="Arial"/>
          <w:sz w:val="24"/>
          <w:szCs w:val="24"/>
        </w:rPr>
        <w:t>tosis corr</w:t>
      </w:r>
      <w:r w:rsidR="0072364A" w:rsidRPr="00F4231A">
        <w:rPr>
          <w:rFonts w:ascii="Book Antiqua" w:hAnsi="Book Antiqua" w:cs="Arial"/>
          <w:sz w:val="24"/>
          <w:szCs w:val="24"/>
        </w:rPr>
        <w:t xml:space="preserve">elated with serum LBP level. </w:t>
      </w:r>
      <w:r w:rsidR="00E75069" w:rsidRPr="00F4231A">
        <w:rPr>
          <w:rFonts w:ascii="Book Antiqua" w:hAnsi="Book Antiqua" w:cs="Arial"/>
          <w:sz w:val="24"/>
          <w:szCs w:val="24"/>
        </w:rPr>
        <w:t xml:space="preserve">An earlier </w:t>
      </w:r>
      <w:r w:rsidR="00D232AC" w:rsidRPr="00F4231A">
        <w:rPr>
          <w:rFonts w:ascii="Book Antiqua" w:hAnsi="Book Antiqua" w:cs="Arial"/>
          <w:sz w:val="24"/>
          <w:szCs w:val="24"/>
        </w:rPr>
        <w:t>study</w:t>
      </w:r>
      <w:r w:rsidR="009567AE" w:rsidRPr="00F4231A">
        <w:rPr>
          <w:rFonts w:ascii="Book Antiqua" w:hAnsi="Book Antiqua" w:cs="Arial"/>
          <w:sz w:val="24"/>
          <w:szCs w:val="24"/>
        </w:rPr>
        <w:t xml:space="preserve"> </w:t>
      </w:r>
      <w:r w:rsidR="007F6D58" w:rsidRPr="00F4231A">
        <w:rPr>
          <w:rFonts w:ascii="Book Antiqua" w:hAnsi="Book Antiqua" w:cs="Arial"/>
          <w:sz w:val="24"/>
          <w:szCs w:val="24"/>
        </w:rPr>
        <w:t>also demonstrated</w:t>
      </w:r>
      <w:r w:rsidR="009567AE" w:rsidRPr="00F4231A">
        <w:rPr>
          <w:rFonts w:ascii="Book Antiqua" w:hAnsi="Book Antiqua" w:cs="Arial"/>
          <w:sz w:val="24"/>
          <w:szCs w:val="24"/>
        </w:rPr>
        <w:t xml:space="preserve"> </w:t>
      </w:r>
      <w:r w:rsidR="00B2596D" w:rsidRPr="00F4231A">
        <w:rPr>
          <w:rFonts w:ascii="Book Antiqua" w:hAnsi="Book Antiqua" w:cs="Arial"/>
          <w:sz w:val="24"/>
          <w:szCs w:val="24"/>
        </w:rPr>
        <w:t xml:space="preserve">a </w:t>
      </w:r>
      <w:r w:rsidR="007F6D58" w:rsidRPr="00F4231A">
        <w:rPr>
          <w:rFonts w:ascii="Book Antiqua" w:hAnsi="Book Antiqua" w:cs="Arial"/>
          <w:sz w:val="24"/>
          <w:szCs w:val="24"/>
        </w:rPr>
        <w:t xml:space="preserve">significant correlation </w:t>
      </w:r>
      <w:r w:rsidR="00E75069" w:rsidRPr="00F4231A">
        <w:rPr>
          <w:rFonts w:ascii="Book Antiqua" w:hAnsi="Book Antiqua" w:cs="Arial"/>
          <w:sz w:val="24"/>
          <w:szCs w:val="24"/>
        </w:rPr>
        <w:t xml:space="preserve">for </w:t>
      </w:r>
      <w:r w:rsidR="00B2596D" w:rsidRPr="00F4231A">
        <w:rPr>
          <w:rFonts w:ascii="Book Antiqua" w:hAnsi="Book Antiqua" w:cs="Arial"/>
          <w:sz w:val="24"/>
          <w:szCs w:val="24"/>
        </w:rPr>
        <w:t xml:space="preserve">serum LBP and </w:t>
      </w:r>
      <w:r w:rsidR="009567AE" w:rsidRPr="00F4231A">
        <w:rPr>
          <w:rFonts w:ascii="Book Antiqua" w:hAnsi="Book Antiqua" w:cs="Arial"/>
          <w:sz w:val="24"/>
          <w:szCs w:val="24"/>
        </w:rPr>
        <w:t xml:space="preserve">intrahepatic triglyceride content </w:t>
      </w:r>
      <w:r w:rsidR="00E75069" w:rsidRPr="00F4231A">
        <w:rPr>
          <w:rFonts w:ascii="Book Antiqua" w:hAnsi="Book Antiqua" w:cs="Arial"/>
          <w:sz w:val="24"/>
          <w:szCs w:val="24"/>
        </w:rPr>
        <w:t xml:space="preserve">as determined by </w:t>
      </w:r>
      <w:r w:rsidR="00033021" w:rsidRPr="00F4231A">
        <w:rPr>
          <w:rFonts w:ascii="Book Antiqua" w:hAnsi="Book Antiqua" w:cs="Arial"/>
          <w:sz w:val="24"/>
          <w:szCs w:val="24"/>
        </w:rPr>
        <w:t>proton</w:t>
      </w:r>
      <w:r w:rsidR="00E75069" w:rsidRPr="00F4231A">
        <w:rPr>
          <w:rFonts w:ascii="Book Antiqua" w:hAnsi="Book Antiqua" w:cs="Arial"/>
          <w:sz w:val="24"/>
          <w:szCs w:val="24"/>
        </w:rPr>
        <w:t>-</w:t>
      </w:r>
      <w:r w:rsidR="00033021" w:rsidRPr="00F4231A">
        <w:rPr>
          <w:rFonts w:ascii="Book Antiqua" w:hAnsi="Book Antiqua" w:cs="Arial"/>
          <w:sz w:val="24"/>
          <w:szCs w:val="24"/>
        </w:rPr>
        <w:t xml:space="preserve">magnetic resonance spectroscopy </w:t>
      </w:r>
      <w:r w:rsidR="009567AE" w:rsidRPr="00F4231A">
        <w:rPr>
          <w:rFonts w:ascii="Book Antiqua" w:hAnsi="Book Antiqua" w:cs="Arial"/>
          <w:sz w:val="24"/>
          <w:szCs w:val="24"/>
        </w:rPr>
        <w:t>(</w:t>
      </w:r>
      <w:r w:rsidR="009567AE" w:rsidRPr="00F4231A">
        <w:rPr>
          <w:rFonts w:ascii="Book Antiqua" w:hAnsi="Book Antiqua" w:cs="Arial"/>
          <w:i/>
          <w:sz w:val="24"/>
          <w:szCs w:val="24"/>
        </w:rPr>
        <w:t>r</w:t>
      </w:r>
      <w:r w:rsidR="00E75069" w:rsidRPr="00F4231A">
        <w:rPr>
          <w:rFonts w:ascii="Book Antiqua" w:hAnsi="Book Antiqua" w:cs="Arial"/>
          <w:i/>
          <w:sz w:val="24"/>
          <w:szCs w:val="24"/>
        </w:rPr>
        <w:t xml:space="preserve"> </w:t>
      </w:r>
      <w:r w:rsidR="002E6E3B" w:rsidRPr="00F4231A">
        <w:rPr>
          <w:rFonts w:ascii="Book Antiqua" w:hAnsi="Book Antiqua" w:cs="Arial"/>
          <w:sz w:val="24"/>
          <w:szCs w:val="24"/>
        </w:rPr>
        <w:t>=</w:t>
      </w:r>
      <w:r w:rsidR="00E75069" w:rsidRPr="00F4231A">
        <w:rPr>
          <w:rFonts w:ascii="Book Antiqua" w:hAnsi="Book Antiqua" w:cs="Arial"/>
          <w:sz w:val="24"/>
          <w:szCs w:val="24"/>
        </w:rPr>
        <w:t xml:space="preserve"> </w:t>
      </w:r>
      <w:r w:rsidR="009567AE" w:rsidRPr="00F4231A">
        <w:rPr>
          <w:rFonts w:ascii="Book Antiqua" w:hAnsi="Book Antiqua" w:cs="Arial"/>
          <w:sz w:val="24"/>
          <w:szCs w:val="24"/>
        </w:rPr>
        <w:t xml:space="preserve">0.366, </w:t>
      </w:r>
      <w:r w:rsidR="009567AE" w:rsidRPr="00F4231A">
        <w:rPr>
          <w:rFonts w:ascii="Book Antiqua" w:hAnsi="Book Antiqua" w:cs="Arial"/>
          <w:i/>
          <w:sz w:val="24"/>
          <w:szCs w:val="24"/>
        </w:rPr>
        <w:t>P</w:t>
      </w:r>
      <w:r w:rsidR="00E75069" w:rsidRPr="00F4231A">
        <w:rPr>
          <w:rFonts w:ascii="Book Antiqua" w:hAnsi="Book Antiqua" w:cs="Arial"/>
          <w:i/>
          <w:sz w:val="24"/>
          <w:szCs w:val="24"/>
        </w:rPr>
        <w:t xml:space="preserve"> </w:t>
      </w:r>
      <w:r w:rsidR="002E6E3B" w:rsidRPr="00F4231A">
        <w:rPr>
          <w:rFonts w:ascii="Book Antiqua" w:hAnsi="Book Antiqua" w:cs="Arial"/>
          <w:sz w:val="24"/>
          <w:szCs w:val="24"/>
        </w:rPr>
        <w:t>&lt;</w:t>
      </w:r>
      <w:r w:rsidR="00CB79F5" w:rsidRPr="00F4231A">
        <w:rPr>
          <w:rFonts w:ascii="Book Antiqua" w:hAnsi="Book Antiqua" w:cs="Arial"/>
          <w:sz w:val="24"/>
          <w:szCs w:val="24"/>
        </w:rPr>
        <w:t xml:space="preserve"> </w:t>
      </w:r>
      <w:r w:rsidR="009567AE" w:rsidRPr="00F4231A">
        <w:rPr>
          <w:rFonts w:ascii="Book Antiqua" w:hAnsi="Book Antiqua" w:cs="Arial"/>
          <w:sz w:val="24"/>
          <w:szCs w:val="24"/>
        </w:rPr>
        <w:t>0.001)</w:t>
      </w:r>
      <w:r w:rsidR="00592F42"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92F42" w:rsidRPr="00F4231A">
        <w:rPr>
          <w:rFonts w:ascii="Book Antiqua" w:hAnsi="Book Antiqua" w:cs="Arial"/>
          <w:sz w:val="24"/>
          <w:szCs w:val="24"/>
        </w:rPr>
        <w:instrText xml:space="preserve"> ADDIN EN.CITE </w:instrText>
      </w:r>
      <w:r w:rsidR="00592F42"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92F42" w:rsidRPr="00F4231A">
        <w:rPr>
          <w:rFonts w:ascii="Book Antiqua" w:hAnsi="Book Antiqua" w:cs="Arial"/>
          <w:sz w:val="24"/>
          <w:szCs w:val="24"/>
        </w:rPr>
        <w:instrText xml:space="preserve"> ADDIN EN.CITE.DATA </w:instrText>
      </w:r>
      <w:r w:rsidR="00592F42" w:rsidRPr="00F4231A">
        <w:rPr>
          <w:rFonts w:ascii="Book Antiqua" w:hAnsi="Book Antiqua" w:cs="Arial"/>
          <w:sz w:val="24"/>
          <w:szCs w:val="24"/>
        </w:rPr>
      </w:r>
      <w:r w:rsidR="00592F42" w:rsidRPr="00F4231A">
        <w:rPr>
          <w:rFonts w:ascii="Book Antiqua" w:hAnsi="Book Antiqua" w:cs="Arial"/>
          <w:sz w:val="24"/>
          <w:szCs w:val="24"/>
        </w:rPr>
        <w:fldChar w:fldCharType="end"/>
      </w:r>
      <w:r w:rsidR="00592F42" w:rsidRPr="00F4231A">
        <w:rPr>
          <w:rFonts w:ascii="Book Antiqua" w:hAnsi="Book Antiqua" w:cs="Arial"/>
          <w:sz w:val="24"/>
          <w:szCs w:val="24"/>
        </w:rPr>
      </w:r>
      <w:r w:rsidR="00592F42" w:rsidRPr="00F4231A">
        <w:rPr>
          <w:rFonts w:ascii="Book Antiqua" w:hAnsi="Book Antiqua" w:cs="Arial"/>
          <w:sz w:val="24"/>
          <w:szCs w:val="24"/>
        </w:rPr>
        <w:fldChar w:fldCharType="separate"/>
      </w:r>
      <w:r w:rsidR="00592F42" w:rsidRPr="00F4231A">
        <w:rPr>
          <w:rFonts w:ascii="Book Antiqua" w:hAnsi="Book Antiqua" w:cs="Arial"/>
          <w:noProof/>
          <w:sz w:val="24"/>
          <w:szCs w:val="24"/>
          <w:vertAlign w:val="superscript"/>
        </w:rPr>
        <w:t>[14]</w:t>
      </w:r>
      <w:r w:rsidR="00592F42" w:rsidRPr="00F4231A">
        <w:rPr>
          <w:rFonts w:ascii="Book Antiqua" w:hAnsi="Book Antiqua" w:cs="Arial"/>
          <w:sz w:val="24"/>
          <w:szCs w:val="24"/>
        </w:rPr>
        <w:fldChar w:fldCharType="end"/>
      </w:r>
      <w:r w:rsidR="00592F42" w:rsidRPr="00F4231A">
        <w:rPr>
          <w:rFonts w:ascii="Book Antiqua" w:hAnsi="Book Antiqua" w:cs="Arial"/>
          <w:sz w:val="24"/>
          <w:szCs w:val="24"/>
        </w:rPr>
        <w:t xml:space="preserve">, </w:t>
      </w:r>
      <w:r w:rsidR="004724FC" w:rsidRPr="00F4231A">
        <w:rPr>
          <w:rFonts w:ascii="Book Antiqua" w:hAnsi="Book Antiqua" w:cs="Arial"/>
          <w:sz w:val="24"/>
          <w:szCs w:val="24"/>
        </w:rPr>
        <w:t xml:space="preserve">but not </w:t>
      </w:r>
      <w:r w:rsidR="00B37D25" w:rsidRPr="00F4231A">
        <w:rPr>
          <w:rFonts w:ascii="Book Antiqua" w:hAnsi="Book Antiqua" w:cs="Arial"/>
          <w:sz w:val="24"/>
          <w:szCs w:val="24"/>
        </w:rPr>
        <w:t xml:space="preserve">for </w:t>
      </w:r>
      <w:r w:rsidR="004724FC" w:rsidRPr="00F4231A">
        <w:rPr>
          <w:rFonts w:ascii="Book Antiqua" w:hAnsi="Book Antiqua" w:cs="Arial"/>
          <w:sz w:val="24"/>
          <w:szCs w:val="24"/>
        </w:rPr>
        <w:t>EndoCab IgG</w:t>
      </w:r>
      <w:r w:rsidR="00624A93" w:rsidRPr="00F4231A">
        <w:rPr>
          <w:rFonts w:ascii="Book Antiqua" w:hAnsi="Book Antiqua" w:cs="Arial"/>
          <w:sz w:val="24"/>
          <w:szCs w:val="24"/>
        </w:rPr>
        <w:t>. These</w:t>
      </w:r>
      <w:r w:rsidR="00643FC9" w:rsidRPr="00F4231A">
        <w:rPr>
          <w:rFonts w:ascii="Book Antiqua" w:hAnsi="Book Antiqua" w:cs="Arial"/>
          <w:sz w:val="24"/>
          <w:szCs w:val="24"/>
        </w:rPr>
        <w:t xml:space="preserve"> </w:t>
      </w:r>
      <w:r w:rsidR="004724FC" w:rsidRPr="00F4231A">
        <w:rPr>
          <w:rFonts w:ascii="Book Antiqua" w:hAnsi="Book Antiqua" w:cs="Arial"/>
          <w:sz w:val="24"/>
          <w:szCs w:val="24"/>
        </w:rPr>
        <w:t xml:space="preserve">similar </w:t>
      </w:r>
      <w:r w:rsidR="00643FC9" w:rsidRPr="00F4231A">
        <w:rPr>
          <w:rFonts w:ascii="Book Antiqua" w:hAnsi="Book Antiqua" w:cs="Arial"/>
          <w:sz w:val="24"/>
          <w:szCs w:val="24"/>
        </w:rPr>
        <w:t xml:space="preserve">findings </w:t>
      </w:r>
      <w:r w:rsidR="004149D8" w:rsidRPr="00F4231A">
        <w:rPr>
          <w:rFonts w:ascii="Book Antiqua" w:hAnsi="Book Antiqua" w:cs="Arial"/>
          <w:sz w:val="24"/>
          <w:szCs w:val="24"/>
        </w:rPr>
        <w:t>prompt</w:t>
      </w:r>
      <w:r w:rsidR="00B37D25" w:rsidRPr="00F4231A">
        <w:rPr>
          <w:rFonts w:ascii="Book Antiqua" w:hAnsi="Book Antiqua" w:cs="Arial"/>
          <w:sz w:val="24"/>
          <w:szCs w:val="24"/>
        </w:rPr>
        <w:t>ed</w:t>
      </w:r>
      <w:r w:rsidR="004149D8" w:rsidRPr="00F4231A">
        <w:rPr>
          <w:rFonts w:ascii="Book Antiqua" w:hAnsi="Book Antiqua" w:cs="Arial"/>
          <w:sz w:val="24"/>
          <w:szCs w:val="24"/>
        </w:rPr>
        <w:t xml:space="preserve"> us to </w:t>
      </w:r>
      <w:r w:rsidR="004724FC" w:rsidRPr="00F4231A">
        <w:rPr>
          <w:rFonts w:ascii="Book Antiqua" w:hAnsi="Book Antiqua" w:cs="Arial"/>
          <w:sz w:val="24"/>
          <w:szCs w:val="24"/>
        </w:rPr>
        <w:t>consider</w:t>
      </w:r>
      <w:r w:rsidR="00577F2C" w:rsidRPr="00F4231A">
        <w:rPr>
          <w:rFonts w:ascii="Book Antiqua" w:hAnsi="Book Antiqua" w:cs="Arial"/>
          <w:sz w:val="24"/>
          <w:szCs w:val="24"/>
        </w:rPr>
        <w:t xml:space="preserve"> that </w:t>
      </w:r>
      <w:r w:rsidR="004149D8" w:rsidRPr="00F4231A">
        <w:rPr>
          <w:rFonts w:ascii="Book Antiqua" w:hAnsi="Book Antiqua" w:cs="Arial"/>
          <w:sz w:val="24"/>
          <w:szCs w:val="24"/>
        </w:rPr>
        <w:t>LB</w:t>
      </w:r>
      <w:r w:rsidR="0076760F" w:rsidRPr="00F4231A">
        <w:rPr>
          <w:rFonts w:ascii="Book Antiqua" w:hAnsi="Book Antiqua" w:cs="Arial"/>
          <w:sz w:val="24"/>
          <w:szCs w:val="24"/>
        </w:rPr>
        <w:t xml:space="preserve">P </w:t>
      </w:r>
      <w:r w:rsidR="00B37D25" w:rsidRPr="00F4231A">
        <w:rPr>
          <w:rFonts w:ascii="Book Antiqua" w:hAnsi="Book Antiqua" w:cs="Arial"/>
          <w:sz w:val="24"/>
          <w:szCs w:val="24"/>
        </w:rPr>
        <w:t xml:space="preserve">might </w:t>
      </w:r>
      <w:r w:rsidR="004724FC" w:rsidRPr="00F4231A">
        <w:rPr>
          <w:rFonts w:ascii="Book Antiqua" w:hAnsi="Book Antiqua" w:cs="Arial"/>
          <w:sz w:val="24"/>
          <w:szCs w:val="24"/>
        </w:rPr>
        <w:t xml:space="preserve">be </w:t>
      </w:r>
      <w:r w:rsidR="0076760F" w:rsidRPr="00F4231A">
        <w:rPr>
          <w:rFonts w:ascii="Book Antiqua" w:hAnsi="Book Antiqua" w:cs="Arial"/>
          <w:sz w:val="24"/>
          <w:szCs w:val="24"/>
        </w:rPr>
        <w:t>induced independent</w:t>
      </w:r>
      <w:r w:rsidR="00577F2C" w:rsidRPr="00F4231A">
        <w:rPr>
          <w:rFonts w:ascii="Book Antiqua" w:hAnsi="Book Antiqua" w:cs="Arial"/>
          <w:sz w:val="24"/>
          <w:szCs w:val="24"/>
        </w:rPr>
        <w:t>ly</w:t>
      </w:r>
      <w:r w:rsidR="00B37D25" w:rsidRPr="00F4231A">
        <w:rPr>
          <w:rFonts w:ascii="Book Antiqua" w:hAnsi="Book Antiqua" w:cs="Arial"/>
          <w:sz w:val="24"/>
          <w:szCs w:val="24"/>
        </w:rPr>
        <w:t xml:space="preserve"> of LPS in </w:t>
      </w:r>
      <w:r w:rsidR="0076760F" w:rsidRPr="00F4231A">
        <w:rPr>
          <w:rFonts w:ascii="Book Antiqua" w:hAnsi="Book Antiqua" w:cs="Arial"/>
          <w:sz w:val="24"/>
          <w:szCs w:val="24"/>
        </w:rPr>
        <w:t>NAFLD patients</w:t>
      </w:r>
      <w:r w:rsidR="00624A93" w:rsidRPr="00F4231A">
        <w:rPr>
          <w:rFonts w:ascii="Book Antiqua" w:hAnsi="Book Antiqua" w:cs="Arial"/>
          <w:sz w:val="24"/>
          <w:szCs w:val="24"/>
        </w:rPr>
        <w:t>. Indeed, t</w:t>
      </w:r>
      <w:r w:rsidR="00D147D2" w:rsidRPr="00F4231A">
        <w:rPr>
          <w:rFonts w:ascii="Book Antiqua" w:hAnsi="Book Antiqua" w:cs="Arial"/>
          <w:sz w:val="24"/>
          <w:szCs w:val="24"/>
        </w:rPr>
        <w:t xml:space="preserve">he fact that </w:t>
      </w:r>
      <w:r w:rsidR="00835C54" w:rsidRPr="00F4231A">
        <w:rPr>
          <w:rFonts w:ascii="Book Antiqua" w:hAnsi="Book Antiqua" w:cs="Arial"/>
          <w:sz w:val="24"/>
          <w:szCs w:val="24"/>
        </w:rPr>
        <w:t>disruption of</w:t>
      </w:r>
      <w:r w:rsidR="00624A93" w:rsidRPr="00F4231A">
        <w:rPr>
          <w:rFonts w:ascii="Book Antiqua" w:hAnsi="Book Antiqua" w:cs="Arial"/>
          <w:sz w:val="24"/>
          <w:szCs w:val="24"/>
        </w:rPr>
        <w:t xml:space="preserve"> </w:t>
      </w:r>
      <w:r w:rsidR="0069378B" w:rsidRPr="00F4231A">
        <w:rPr>
          <w:rFonts w:ascii="Book Antiqua" w:hAnsi="Book Antiqua" w:cs="Arial"/>
          <w:sz w:val="24"/>
          <w:szCs w:val="24"/>
        </w:rPr>
        <w:t xml:space="preserve">the </w:t>
      </w:r>
      <w:r w:rsidR="00835C54" w:rsidRPr="00F4231A">
        <w:rPr>
          <w:rFonts w:ascii="Book Antiqua" w:hAnsi="Book Antiqua" w:cs="Arial"/>
          <w:sz w:val="24"/>
          <w:szCs w:val="24"/>
        </w:rPr>
        <w:t xml:space="preserve">LBP-encoding </w:t>
      </w:r>
      <w:r w:rsidR="00624A93" w:rsidRPr="00F4231A">
        <w:rPr>
          <w:rFonts w:ascii="Book Antiqua" w:hAnsi="Book Antiqua" w:cs="Arial"/>
          <w:sz w:val="24"/>
          <w:szCs w:val="24"/>
        </w:rPr>
        <w:t>gene</w:t>
      </w:r>
      <w:r w:rsidR="00835C54" w:rsidRPr="00F4231A">
        <w:rPr>
          <w:rFonts w:ascii="Book Antiqua" w:hAnsi="Book Antiqua" w:cs="Arial"/>
          <w:sz w:val="24"/>
          <w:szCs w:val="24"/>
        </w:rPr>
        <w:t xml:space="preserve"> in mice decreased basal </w:t>
      </w:r>
      <w:r w:rsidR="00624A93" w:rsidRPr="00F4231A">
        <w:rPr>
          <w:rFonts w:ascii="Book Antiqua" w:hAnsi="Book Antiqua" w:cs="Arial"/>
          <w:sz w:val="24"/>
          <w:szCs w:val="24"/>
        </w:rPr>
        <w:t xml:space="preserve">expression </w:t>
      </w:r>
      <w:r w:rsidR="00835C54" w:rsidRPr="00F4231A">
        <w:rPr>
          <w:rFonts w:ascii="Book Antiqua" w:hAnsi="Book Antiqua" w:cs="Arial"/>
          <w:sz w:val="24"/>
          <w:szCs w:val="24"/>
        </w:rPr>
        <w:t xml:space="preserve">levels </w:t>
      </w:r>
      <w:r w:rsidR="00624A93" w:rsidRPr="00F4231A">
        <w:rPr>
          <w:rFonts w:ascii="Book Antiqua" w:hAnsi="Book Antiqua" w:cs="Arial"/>
          <w:sz w:val="24"/>
          <w:szCs w:val="24"/>
        </w:rPr>
        <w:t>of fatty acid-synthesizing enzymes</w:t>
      </w:r>
      <w:r w:rsidR="00835C54" w:rsidRPr="00F4231A">
        <w:rPr>
          <w:rFonts w:ascii="Book Antiqua" w:hAnsi="Book Antiqua" w:cs="Arial"/>
          <w:sz w:val="24"/>
          <w:szCs w:val="24"/>
        </w:rPr>
        <w:t xml:space="preserve"> and suppressed steatogenesis</w:t>
      </w:r>
      <w:r w:rsidR="00592F42"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92F42" w:rsidRPr="00F4231A">
        <w:rPr>
          <w:rFonts w:ascii="Book Antiqua" w:hAnsi="Book Antiqua" w:cs="Arial"/>
          <w:sz w:val="24"/>
          <w:szCs w:val="24"/>
        </w:rPr>
        <w:instrText xml:space="preserve"> ADDIN EN.CITE </w:instrText>
      </w:r>
      <w:r w:rsidR="00592F42"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92F42" w:rsidRPr="00F4231A">
        <w:rPr>
          <w:rFonts w:ascii="Book Antiqua" w:hAnsi="Book Antiqua" w:cs="Arial"/>
          <w:sz w:val="24"/>
          <w:szCs w:val="24"/>
        </w:rPr>
        <w:instrText xml:space="preserve"> ADDIN EN.CITE.DATA </w:instrText>
      </w:r>
      <w:r w:rsidR="00592F42" w:rsidRPr="00F4231A">
        <w:rPr>
          <w:rFonts w:ascii="Book Antiqua" w:hAnsi="Book Antiqua" w:cs="Arial"/>
          <w:sz w:val="24"/>
          <w:szCs w:val="24"/>
        </w:rPr>
      </w:r>
      <w:r w:rsidR="00592F42" w:rsidRPr="00F4231A">
        <w:rPr>
          <w:rFonts w:ascii="Book Antiqua" w:hAnsi="Book Antiqua" w:cs="Arial"/>
          <w:sz w:val="24"/>
          <w:szCs w:val="24"/>
        </w:rPr>
        <w:fldChar w:fldCharType="end"/>
      </w:r>
      <w:r w:rsidR="00592F42" w:rsidRPr="00F4231A">
        <w:rPr>
          <w:rFonts w:ascii="Book Antiqua" w:hAnsi="Book Antiqua" w:cs="Arial"/>
          <w:sz w:val="24"/>
          <w:szCs w:val="24"/>
        </w:rPr>
      </w:r>
      <w:r w:rsidR="00592F42" w:rsidRPr="00F4231A">
        <w:rPr>
          <w:rFonts w:ascii="Book Antiqua" w:hAnsi="Book Antiqua" w:cs="Arial"/>
          <w:sz w:val="24"/>
          <w:szCs w:val="24"/>
        </w:rPr>
        <w:fldChar w:fldCharType="separate"/>
      </w:r>
      <w:r w:rsidR="00592F42" w:rsidRPr="00F4231A">
        <w:rPr>
          <w:rFonts w:ascii="Book Antiqua" w:hAnsi="Book Antiqua" w:cs="Arial"/>
          <w:noProof/>
          <w:sz w:val="24"/>
          <w:szCs w:val="24"/>
          <w:vertAlign w:val="superscript"/>
        </w:rPr>
        <w:t>[30]</w:t>
      </w:r>
      <w:r w:rsidR="00592F42" w:rsidRPr="00F4231A">
        <w:rPr>
          <w:rFonts w:ascii="Book Antiqua" w:hAnsi="Book Antiqua" w:cs="Arial"/>
          <w:sz w:val="24"/>
          <w:szCs w:val="24"/>
        </w:rPr>
        <w:fldChar w:fldCharType="end"/>
      </w:r>
      <w:r w:rsidR="00835C54" w:rsidRPr="00F4231A">
        <w:rPr>
          <w:rFonts w:ascii="Book Antiqua" w:hAnsi="Book Antiqua" w:cs="Arial"/>
          <w:sz w:val="24"/>
          <w:szCs w:val="24"/>
        </w:rPr>
        <w:t xml:space="preserve"> </w:t>
      </w:r>
      <w:r w:rsidR="0069378B" w:rsidRPr="00F4231A">
        <w:rPr>
          <w:rFonts w:ascii="Book Antiqua" w:hAnsi="Book Antiqua" w:cs="Arial"/>
          <w:sz w:val="24"/>
          <w:szCs w:val="24"/>
        </w:rPr>
        <w:t xml:space="preserve">implied a </w:t>
      </w:r>
      <w:r w:rsidR="00D147D2" w:rsidRPr="00F4231A">
        <w:rPr>
          <w:rFonts w:ascii="Book Antiqua" w:hAnsi="Book Antiqua" w:cs="Arial"/>
          <w:sz w:val="24"/>
          <w:szCs w:val="24"/>
        </w:rPr>
        <w:t xml:space="preserve">direct link between increased LBP and </w:t>
      </w:r>
      <w:r w:rsidR="009B4FFE" w:rsidRPr="00F4231A">
        <w:rPr>
          <w:rFonts w:ascii="Book Antiqua" w:hAnsi="Book Antiqua" w:cs="Arial"/>
          <w:sz w:val="24"/>
          <w:szCs w:val="24"/>
        </w:rPr>
        <w:t>hepatost</w:t>
      </w:r>
      <w:r w:rsidR="005D5C6E" w:rsidRPr="00F4231A">
        <w:rPr>
          <w:rFonts w:ascii="Book Antiqua" w:hAnsi="Book Antiqua" w:cs="Arial"/>
          <w:sz w:val="24"/>
          <w:szCs w:val="24"/>
        </w:rPr>
        <w:t xml:space="preserve">eatosis. </w:t>
      </w:r>
      <w:r w:rsidR="00D147D2" w:rsidRPr="00F4231A">
        <w:rPr>
          <w:rFonts w:ascii="Book Antiqua" w:hAnsi="Book Antiqua" w:cs="Arial"/>
          <w:sz w:val="24"/>
          <w:szCs w:val="24"/>
        </w:rPr>
        <w:t>LBP is also up-regulated in hypertrophied adipocytes</w:t>
      </w:r>
      <w:r w:rsidR="0069378B" w:rsidRPr="00F4231A">
        <w:rPr>
          <w:rFonts w:ascii="Book Antiqua" w:hAnsi="Book Antiqua" w:cs="Arial"/>
          <w:sz w:val="24"/>
          <w:szCs w:val="24"/>
        </w:rPr>
        <w:t xml:space="preserve"> and acts</w:t>
      </w:r>
      <w:r w:rsidR="00D147D2" w:rsidRPr="00F4231A">
        <w:rPr>
          <w:rFonts w:ascii="Book Antiqua" w:hAnsi="Book Antiqua" w:cs="Arial"/>
          <w:sz w:val="24"/>
          <w:szCs w:val="24"/>
        </w:rPr>
        <w:t xml:space="preserve"> </w:t>
      </w:r>
      <w:r w:rsidR="00D147D2" w:rsidRPr="00F4231A">
        <w:rPr>
          <w:rFonts w:ascii="Book Antiqua" w:hAnsi="Book Antiqua" w:cs="Arial"/>
          <w:sz w:val="24"/>
          <w:szCs w:val="24"/>
        </w:rPr>
        <w:lastRenderedPageBreak/>
        <w:t>as an adipokine</w:t>
      </w:r>
      <w:r w:rsidR="00AF5741"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AF5741" w:rsidRPr="00F4231A">
        <w:rPr>
          <w:rFonts w:ascii="Book Antiqua" w:hAnsi="Book Antiqua" w:cs="Arial"/>
          <w:sz w:val="24"/>
          <w:szCs w:val="24"/>
        </w:rPr>
        <w:instrText xml:space="preserve"> ADDIN EN.CITE </w:instrText>
      </w:r>
      <w:r w:rsidR="00AF5741"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AF5741" w:rsidRPr="00F4231A">
        <w:rPr>
          <w:rFonts w:ascii="Book Antiqua" w:hAnsi="Book Antiqua" w:cs="Arial"/>
          <w:sz w:val="24"/>
          <w:szCs w:val="24"/>
        </w:rPr>
        <w:instrText xml:space="preserve"> ADDIN EN.CITE.DATA </w:instrText>
      </w:r>
      <w:r w:rsidR="00AF5741" w:rsidRPr="00F4231A">
        <w:rPr>
          <w:rFonts w:ascii="Book Antiqua" w:hAnsi="Book Antiqua" w:cs="Arial"/>
          <w:sz w:val="24"/>
          <w:szCs w:val="24"/>
        </w:rPr>
      </w:r>
      <w:r w:rsidR="00AF5741" w:rsidRPr="00F4231A">
        <w:rPr>
          <w:rFonts w:ascii="Book Antiqua" w:hAnsi="Book Antiqua" w:cs="Arial"/>
          <w:sz w:val="24"/>
          <w:szCs w:val="24"/>
        </w:rPr>
        <w:fldChar w:fldCharType="end"/>
      </w:r>
      <w:r w:rsidR="00AF5741" w:rsidRPr="00F4231A">
        <w:rPr>
          <w:rFonts w:ascii="Book Antiqua" w:hAnsi="Book Antiqua" w:cs="Arial"/>
          <w:sz w:val="24"/>
          <w:szCs w:val="24"/>
        </w:rPr>
      </w:r>
      <w:r w:rsidR="00AF5741" w:rsidRPr="00F4231A">
        <w:rPr>
          <w:rFonts w:ascii="Book Antiqua" w:hAnsi="Book Antiqua" w:cs="Arial"/>
          <w:sz w:val="24"/>
          <w:szCs w:val="24"/>
        </w:rPr>
        <w:fldChar w:fldCharType="separate"/>
      </w:r>
      <w:r w:rsidR="00AF5741" w:rsidRPr="00F4231A">
        <w:rPr>
          <w:rFonts w:ascii="Book Antiqua" w:hAnsi="Book Antiqua" w:cs="Arial"/>
          <w:noProof/>
          <w:sz w:val="24"/>
          <w:szCs w:val="24"/>
          <w:vertAlign w:val="superscript"/>
        </w:rPr>
        <w:t>[31]</w:t>
      </w:r>
      <w:r w:rsidR="00AF5741" w:rsidRPr="00F4231A">
        <w:rPr>
          <w:rFonts w:ascii="Book Antiqua" w:hAnsi="Book Antiqua" w:cs="Arial"/>
          <w:sz w:val="24"/>
          <w:szCs w:val="24"/>
        </w:rPr>
        <w:fldChar w:fldCharType="end"/>
      </w:r>
      <w:r w:rsidR="0069378B" w:rsidRPr="00F4231A">
        <w:rPr>
          <w:rFonts w:ascii="Book Antiqua" w:hAnsi="Book Antiqua" w:cs="Arial"/>
          <w:sz w:val="24"/>
          <w:szCs w:val="24"/>
        </w:rPr>
        <w:t xml:space="preserve">. Along with CRP and FIBG, </w:t>
      </w:r>
      <w:r w:rsidR="005D5C6E" w:rsidRPr="00F4231A">
        <w:rPr>
          <w:rFonts w:ascii="Book Antiqua" w:hAnsi="Book Antiqua" w:cs="Arial"/>
          <w:sz w:val="24"/>
          <w:szCs w:val="24"/>
        </w:rPr>
        <w:t>LBP is an acute phase reactant</w:t>
      </w:r>
      <w:r w:rsidR="0069378B" w:rsidRPr="00F4231A">
        <w:rPr>
          <w:rFonts w:ascii="Book Antiqua" w:hAnsi="Book Antiqua" w:cs="Arial"/>
          <w:sz w:val="24"/>
          <w:szCs w:val="24"/>
        </w:rPr>
        <w:t xml:space="preserve"> as well. </w:t>
      </w:r>
      <w:r w:rsidR="000A25EE" w:rsidRPr="00F4231A">
        <w:rPr>
          <w:rFonts w:ascii="Book Antiqua" w:hAnsi="Book Antiqua" w:cs="Arial"/>
          <w:sz w:val="24"/>
          <w:szCs w:val="24"/>
        </w:rPr>
        <w:t xml:space="preserve">It </w:t>
      </w:r>
      <w:r w:rsidR="0069378B" w:rsidRPr="00F4231A">
        <w:rPr>
          <w:rFonts w:ascii="Book Antiqua" w:hAnsi="Book Antiqua" w:cs="Arial"/>
          <w:sz w:val="24"/>
          <w:szCs w:val="24"/>
        </w:rPr>
        <w:t xml:space="preserve">is noteworthy </w:t>
      </w:r>
      <w:r w:rsidR="000A25EE" w:rsidRPr="00F4231A">
        <w:rPr>
          <w:rFonts w:ascii="Book Antiqua" w:hAnsi="Book Antiqua" w:cs="Arial"/>
          <w:sz w:val="24"/>
          <w:szCs w:val="24"/>
        </w:rPr>
        <w:t xml:space="preserve">that </w:t>
      </w:r>
      <w:r w:rsidR="00D147D2" w:rsidRPr="00F4231A">
        <w:rPr>
          <w:rFonts w:ascii="Book Antiqua" w:hAnsi="Book Antiqua" w:cs="Arial"/>
          <w:sz w:val="24"/>
          <w:szCs w:val="24"/>
        </w:rPr>
        <w:t xml:space="preserve">LBP can be induced by </w:t>
      </w:r>
      <w:r w:rsidR="0069378B" w:rsidRPr="00F4231A">
        <w:rPr>
          <w:rFonts w:ascii="Book Antiqua" w:hAnsi="Book Antiqua" w:cs="Arial"/>
          <w:sz w:val="24"/>
          <w:szCs w:val="24"/>
        </w:rPr>
        <w:t>interleukin-</w:t>
      </w:r>
      <w:r w:rsidR="00DD1099" w:rsidRPr="00F4231A">
        <w:rPr>
          <w:rFonts w:ascii="Book Antiqua" w:hAnsi="Book Antiqua" w:cs="Arial"/>
          <w:sz w:val="24"/>
          <w:szCs w:val="24"/>
        </w:rPr>
        <w:t>6 (IL</w:t>
      </w:r>
      <w:r w:rsidR="0069378B" w:rsidRPr="00F4231A">
        <w:rPr>
          <w:rFonts w:ascii="Book Antiqua" w:hAnsi="Book Antiqua" w:cs="Arial"/>
          <w:sz w:val="24"/>
          <w:szCs w:val="24"/>
        </w:rPr>
        <w:t>-</w:t>
      </w:r>
      <w:r w:rsidR="00DD1099" w:rsidRPr="00F4231A">
        <w:rPr>
          <w:rFonts w:ascii="Book Antiqua" w:hAnsi="Book Antiqua" w:cs="Arial"/>
          <w:sz w:val="24"/>
          <w:szCs w:val="24"/>
        </w:rPr>
        <w:t>6)</w:t>
      </w:r>
      <w:r w:rsidR="009F379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3795" w:rsidRPr="00F4231A">
        <w:rPr>
          <w:rFonts w:ascii="Book Antiqua" w:hAnsi="Book Antiqua" w:cs="Arial"/>
          <w:sz w:val="24"/>
          <w:szCs w:val="24"/>
        </w:rPr>
        <w:instrText xml:space="preserve"> ADDIN EN.CITE </w:instrText>
      </w:r>
      <w:r w:rsidR="009F379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3795" w:rsidRPr="00F4231A">
        <w:rPr>
          <w:rFonts w:ascii="Book Antiqua" w:hAnsi="Book Antiqua" w:cs="Arial"/>
          <w:sz w:val="24"/>
          <w:szCs w:val="24"/>
        </w:rPr>
        <w:instrText xml:space="preserve"> ADDIN EN.CITE.DATA </w:instrText>
      </w:r>
      <w:r w:rsidR="009F3795" w:rsidRPr="00F4231A">
        <w:rPr>
          <w:rFonts w:ascii="Book Antiqua" w:hAnsi="Book Antiqua" w:cs="Arial"/>
          <w:sz w:val="24"/>
          <w:szCs w:val="24"/>
        </w:rPr>
      </w:r>
      <w:r w:rsidR="009F3795" w:rsidRPr="00F4231A">
        <w:rPr>
          <w:rFonts w:ascii="Book Antiqua" w:hAnsi="Book Antiqua" w:cs="Arial"/>
          <w:sz w:val="24"/>
          <w:szCs w:val="24"/>
        </w:rPr>
        <w:fldChar w:fldCharType="end"/>
      </w:r>
      <w:r w:rsidR="009F3795" w:rsidRPr="00F4231A">
        <w:rPr>
          <w:rFonts w:ascii="Book Antiqua" w:hAnsi="Book Antiqua" w:cs="Arial"/>
          <w:sz w:val="24"/>
          <w:szCs w:val="24"/>
        </w:rPr>
      </w:r>
      <w:r w:rsidR="009F3795" w:rsidRPr="00F4231A">
        <w:rPr>
          <w:rFonts w:ascii="Book Antiqua" w:hAnsi="Book Antiqua" w:cs="Arial"/>
          <w:sz w:val="24"/>
          <w:szCs w:val="24"/>
        </w:rPr>
        <w:fldChar w:fldCharType="separate"/>
      </w:r>
      <w:r w:rsidR="009F3795" w:rsidRPr="00F4231A">
        <w:rPr>
          <w:rFonts w:ascii="Book Antiqua" w:hAnsi="Book Antiqua" w:cs="Arial"/>
          <w:noProof/>
          <w:sz w:val="24"/>
          <w:szCs w:val="24"/>
          <w:vertAlign w:val="superscript"/>
        </w:rPr>
        <w:t>[32]</w:t>
      </w:r>
      <w:r w:rsidR="009F3795" w:rsidRPr="00F4231A">
        <w:rPr>
          <w:rFonts w:ascii="Book Antiqua" w:hAnsi="Book Antiqua" w:cs="Arial"/>
          <w:sz w:val="24"/>
          <w:szCs w:val="24"/>
        </w:rPr>
        <w:fldChar w:fldCharType="end"/>
      </w:r>
      <w:r w:rsidR="00D147D2" w:rsidRPr="00F4231A">
        <w:rPr>
          <w:rFonts w:ascii="Book Antiqua" w:hAnsi="Book Antiqua" w:cs="Arial"/>
          <w:sz w:val="24"/>
          <w:szCs w:val="24"/>
        </w:rPr>
        <w:t xml:space="preserve">, a pro-inflammatory cytokine, </w:t>
      </w:r>
      <w:r w:rsidR="00D91639" w:rsidRPr="00F4231A">
        <w:rPr>
          <w:rFonts w:ascii="Book Antiqua" w:hAnsi="Book Antiqua" w:cs="Arial"/>
          <w:sz w:val="24"/>
          <w:szCs w:val="24"/>
        </w:rPr>
        <w:t>in hepatocytes</w:t>
      </w:r>
      <w:r w:rsidR="00427BD4" w:rsidRPr="00F4231A">
        <w:rPr>
          <w:rFonts w:ascii="Book Antiqua" w:hAnsi="Book Antiqua" w:cs="Arial"/>
          <w:sz w:val="24"/>
          <w:szCs w:val="24"/>
        </w:rPr>
        <w:t xml:space="preserve">. </w:t>
      </w:r>
      <w:r w:rsidR="003B4FB8" w:rsidRPr="00F4231A">
        <w:rPr>
          <w:rFonts w:ascii="Book Antiqua" w:hAnsi="Book Antiqua" w:cs="Arial"/>
          <w:sz w:val="24"/>
          <w:szCs w:val="24"/>
        </w:rPr>
        <w:t>IL</w:t>
      </w:r>
      <w:r w:rsidR="0069378B" w:rsidRPr="00F4231A">
        <w:rPr>
          <w:rFonts w:ascii="Book Antiqua" w:hAnsi="Book Antiqua" w:cs="Arial"/>
          <w:sz w:val="24"/>
          <w:szCs w:val="24"/>
        </w:rPr>
        <w:t xml:space="preserve">-6 is </w:t>
      </w:r>
      <w:r w:rsidR="003B4FB8" w:rsidRPr="00F4231A">
        <w:rPr>
          <w:rFonts w:ascii="Book Antiqua" w:hAnsi="Book Antiqua" w:cs="Arial"/>
          <w:sz w:val="24"/>
          <w:szCs w:val="24"/>
        </w:rPr>
        <w:t xml:space="preserve">markedly </w:t>
      </w:r>
      <w:r w:rsidR="009567AE" w:rsidRPr="00F4231A">
        <w:rPr>
          <w:rFonts w:ascii="Book Antiqua" w:hAnsi="Book Antiqua" w:cs="Arial"/>
          <w:sz w:val="24"/>
          <w:szCs w:val="24"/>
        </w:rPr>
        <w:t xml:space="preserve">up-regulated </w:t>
      </w:r>
      <w:r w:rsidR="00C75AA1" w:rsidRPr="00F4231A">
        <w:rPr>
          <w:rFonts w:ascii="Book Antiqua" w:hAnsi="Book Antiqua" w:cs="Arial"/>
          <w:sz w:val="24"/>
          <w:szCs w:val="24"/>
        </w:rPr>
        <w:t xml:space="preserve">in steatotic </w:t>
      </w:r>
      <w:r w:rsidR="003B4FB8" w:rsidRPr="00F4231A">
        <w:rPr>
          <w:rFonts w:ascii="Book Antiqua" w:hAnsi="Book Antiqua" w:cs="Arial"/>
          <w:sz w:val="24"/>
          <w:szCs w:val="24"/>
        </w:rPr>
        <w:t>livers</w:t>
      </w:r>
      <w:r w:rsidR="009F379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3795" w:rsidRPr="00F4231A">
        <w:rPr>
          <w:rFonts w:ascii="Book Antiqua" w:hAnsi="Book Antiqua" w:cs="Arial"/>
          <w:sz w:val="24"/>
          <w:szCs w:val="24"/>
        </w:rPr>
        <w:instrText xml:space="preserve"> ADDIN EN.CITE </w:instrText>
      </w:r>
      <w:r w:rsidR="009F379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3795" w:rsidRPr="00F4231A">
        <w:rPr>
          <w:rFonts w:ascii="Book Antiqua" w:hAnsi="Book Antiqua" w:cs="Arial"/>
          <w:sz w:val="24"/>
          <w:szCs w:val="24"/>
        </w:rPr>
        <w:instrText xml:space="preserve"> ADDIN EN.CITE.DATA </w:instrText>
      </w:r>
      <w:r w:rsidR="009F3795" w:rsidRPr="00F4231A">
        <w:rPr>
          <w:rFonts w:ascii="Book Antiqua" w:hAnsi="Book Antiqua" w:cs="Arial"/>
          <w:sz w:val="24"/>
          <w:szCs w:val="24"/>
        </w:rPr>
      </w:r>
      <w:r w:rsidR="009F3795" w:rsidRPr="00F4231A">
        <w:rPr>
          <w:rFonts w:ascii="Book Antiqua" w:hAnsi="Book Antiqua" w:cs="Arial"/>
          <w:sz w:val="24"/>
          <w:szCs w:val="24"/>
        </w:rPr>
        <w:fldChar w:fldCharType="end"/>
      </w:r>
      <w:r w:rsidR="009F3795" w:rsidRPr="00F4231A">
        <w:rPr>
          <w:rFonts w:ascii="Book Antiqua" w:hAnsi="Book Antiqua" w:cs="Arial"/>
          <w:sz w:val="24"/>
          <w:szCs w:val="24"/>
        </w:rPr>
      </w:r>
      <w:r w:rsidR="009F3795" w:rsidRPr="00F4231A">
        <w:rPr>
          <w:rFonts w:ascii="Book Antiqua" w:hAnsi="Book Antiqua" w:cs="Arial"/>
          <w:sz w:val="24"/>
          <w:szCs w:val="24"/>
        </w:rPr>
        <w:fldChar w:fldCharType="separate"/>
      </w:r>
      <w:r w:rsidR="009F3795" w:rsidRPr="00F4231A">
        <w:rPr>
          <w:rFonts w:ascii="Book Antiqua" w:hAnsi="Book Antiqua" w:cs="Arial"/>
          <w:noProof/>
          <w:sz w:val="24"/>
          <w:szCs w:val="24"/>
          <w:vertAlign w:val="superscript"/>
        </w:rPr>
        <w:t>[33]</w:t>
      </w:r>
      <w:r w:rsidR="009F3795" w:rsidRPr="00F4231A">
        <w:rPr>
          <w:rFonts w:ascii="Book Antiqua" w:hAnsi="Book Antiqua" w:cs="Arial"/>
          <w:sz w:val="24"/>
          <w:szCs w:val="24"/>
        </w:rPr>
        <w:fldChar w:fldCharType="end"/>
      </w:r>
      <w:r w:rsidR="003E59A1" w:rsidRPr="00F4231A">
        <w:rPr>
          <w:rFonts w:ascii="Book Antiqua" w:hAnsi="Book Antiqua" w:cs="Arial"/>
          <w:sz w:val="24"/>
          <w:szCs w:val="24"/>
        </w:rPr>
        <w:t xml:space="preserve">, </w:t>
      </w:r>
      <w:r w:rsidR="00427BD4" w:rsidRPr="00F4231A">
        <w:rPr>
          <w:rFonts w:ascii="Book Antiqua" w:hAnsi="Book Antiqua" w:cs="Arial"/>
          <w:sz w:val="24"/>
          <w:szCs w:val="24"/>
        </w:rPr>
        <w:t xml:space="preserve">indicating </w:t>
      </w:r>
      <w:r w:rsidR="003E59A1" w:rsidRPr="00F4231A">
        <w:rPr>
          <w:rFonts w:ascii="Book Antiqua" w:hAnsi="Book Antiqua" w:cs="Arial"/>
          <w:sz w:val="24"/>
          <w:szCs w:val="24"/>
        </w:rPr>
        <w:t xml:space="preserve">a </w:t>
      </w:r>
      <w:r w:rsidR="005E5BF4" w:rsidRPr="00F4231A">
        <w:rPr>
          <w:rFonts w:ascii="Book Antiqua" w:hAnsi="Book Antiqua" w:cs="Arial"/>
          <w:sz w:val="24"/>
          <w:szCs w:val="24"/>
        </w:rPr>
        <w:t xml:space="preserve">possible link </w:t>
      </w:r>
      <w:r w:rsidR="0069378B" w:rsidRPr="00F4231A">
        <w:rPr>
          <w:rFonts w:ascii="Book Antiqua" w:hAnsi="Book Antiqua" w:cs="Arial"/>
          <w:sz w:val="24"/>
          <w:szCs w:val="24"/>
        </w:rPr>
        <w:t xml:space="preserve">among </w:t>
      </w:r>
      <w:r w:rsidR="003E59A1" w:rsidRPr="00F4231A">
        <w:rPr>
          <w:rFonts w:ascii="Book Antiqua" w:hAnsi="Book Antiqua" w:cs="Arial"/>
          <w:sz w:val="24"/>
          <w:szCs w:val="24"/>
        </w:rPr>
        <w:t>steatosis</w:t>
      </w:r>
      <w:r w:rsidR="005E5BF4" w:rsidRPr="00F4231A">
        <w:rPr>
          <w:rFonts w:ascii="Book Antiqua" w:hAnsi="Book Antiqua" w:cs="Arial"/>
          <w:sz w:val="24"/>
          <w:szCs w:val="24"/>
        </w:rPr>
        <w:t>, IL</w:t>
      </w:r>
      <w:r w:rsidR="0069378B" w:rsidRPr="00F4231A">
        <w:rPr>
          <w:rFonts w:ascii="Book Antiqua" w:hAnsi="Book Antiqua" w:cs="Arial"/>
          <w:sz w:val="24"/>
          <w:szCs w:val="24"/>
        </w:rPr>
        <w:t>-</w:t>
      </w:r>
      <w:r w:rsidR="005E5BF4" w:rsidRPr="00F4231A">
        <w:rPr>
          <w:rFonts w:ascii="Book Antiqua" w:hAnsi="Book Antiqua" w:cs="Arial"/>
          <w:sz w:val="24"/>
          <w:szCs w:val="24"/>
        </w:rPr>
        <w:t xml:space="preserve">6, and </w:t>
      </w:r>
      <w:r w:rsidR="003E59A1" w:rsidRPr="00F4231A">
        <w:rPr>
          <w:rFonts w:ascii="Book Antiqua" w:hAnsi="Book Antiqua" w:cs="Arial"/>
          <w:sz w:val="24"/>
          <w:szCs w:val="24"/>
        </w:rPr>
        <w:t>LBP</w:t>
      </w:r>
      <w:r w:rsidR="00427BD4" w:rsidRPr="00F4231A">
        <w:rPr>
          <w:rFonts w:ascii="Book Antiqua" w:hAnsi="Book Antiqua" w:cs="Arial"/>
          <w:sz w:val="24"/>
          <w:szCs w:val="24"/>
        </w:rPr>
        <w:t xml:space="preserve">. </w:t>
      </w:r>
      <w:r w:rsidR="004149D8" w:rsidRPr="00F4231A">
        <w:rPr>
          <w:rFonts w:ascii="Book Antiqua" w:hAnsi="Book Antiqua" w:cs="Arial"/>
          <w:sz w:val="24"/>
          <w:szCs w:val="24"/>
        </w:rPr>
        <w:t>Although t</w:t>
      </w:r>
      <w:r w:rsidR="00316029" w:rsidRPr="00F4231A">
        <w:rPr>
          <w:rFonts w:ascii="Book Antiqua" w:hAnsi="Book Antiqua" w:cs="Arial"/>
          <w:sz w:val="24"/>
          <w:szCs w:val="24"/>
        </w:rPr>
        <w:t xml:space="preserve">he possibility that </w:t>
      </w:r>
      <w:r w:rsidR="00A17A5C" w:rsidRPr="00F4231A">
        <w:rPr>
          <w:rFonts w:ascii="Book Antiqua" w:hAnsi="Book Antiqua" w:cs="Arial"/>
          <w:sz w:val="24"/>
          <w:szCs w:val="24"/>
        </w:rPr>
        <w:t>L</w:t>
      </w:r>
      <w:r w:rsidR="004149D8" w:rsidRPr="00F4231A">
        <w:rPr>
          <w:rFonts w:ascii="Book Antiqua" w:hAnsi="Book Antiqua" w:cs="Arial"/>
          <w:sz w:val="24"/>
          <w:szCs w:val="24"/>
        </w:rPr>
        <w:t>PS</w:t>
      </w:r>
      <w:r w:rsidR="00A17A5C" w:rsidRPr="00F4231A">
        <w:rPr>
          <w:rFonts w:ascii="Book Antiqua" w:hAnsi="Book Antiqua" w:cs="Arial"/>
          <w:sz w:val="24"/>
          <w:szCs w:val="24"/>
        </w:rPr>
        <w:t xml:space="preserve"> </w:t>
      </w:r>
      <w:r w:rsidR="00D533E2" w:rsidRPr="00F4231A">
        <w:rPr>
          <w:rFonts w:ascii="Book Antiqua" w:hAnsi="Book Antiqua" w:cs="Arial"/>
          <w:sz w:val="24"/>
          <w:szCs w:val="24"/>
        </w:rPr>
        <w:t>directly induced</w:t>
      </w:r>
      <w:r w:rsidR="004149D8" w:rsidRPr="00F4231A">
        <w:rPr>
          <w:rFonts w:ascii="Book Antiqua" w:hAnsi="Book Antiqua" w:cs="Arial"/>
          <w:sz w:val="24"/>
          <w:szCs w:val="24"/>
        </w:rPr>
        <w:t xml:space="preserve"> steatosis </w:t>
      </w:r>
      <w:r w:rsidR="0069378B" w:rsidRPr="00F4231A">
        <w:rPr>
          <w:rFonts w:ascii="Book Antiqua" w:hAnsi="Book Antiqua" w:cs="Arial"/>
          <w:sz w:val="24"/>
          <w:szCs w:val="24"/>
        </w:rPr>
        <w:t xml:space="preserve">cannot </w:t>
      </w:r>
      <w:r w:rsidR="00BF3073" w:rsidRPr="00F4231A">
        <w:rPr>
          <w:rFonts w:ascii="Book Antiqua" w:hAnsi="Book Antiqua" w:cs="Arial"/>
          <w:sz w:val="24"/>
          <w:szCs w:val="24"/>
        </w:rPr>
        <w:t xml:space="preserve">be ruled out completely, </w:t>
      </w:r>
      <w:r w:rsidR="007E076B" w:rsidRPr="00F4231A">
        <w:rPr>
          <w:rFonts w:ascii="Book Antiqua" w:hAnsi="Book Antiqua" w:cs="Arial"/>
          <w:sz w:val="24"/>
          <w:szCs w:val="24"/>
        </w:rPr>
        <w:t>th</w:t>
      </w:r>
      <w:r w:rsidR="00780DC0" w:rsidRPr="00F4231A">
        <w:rPr>
          <w:rFonts w:ascii="Book Antiqua" w:hAnsi="Book Antiqua" w:cs="Arial"/>
          <w:sz w:val="24"/>
          <w:szCs w:val="24"/>
        </w:rPr>
        <w:t>e</w:t>
      </w:r>
      <w:r w:rsidR="004B4D7E" w:rsidRPr="00F4231A">
        <w:rPr>
          <w:rFonts w:ascii="Book Antiqua" w:hAnsi="Book Antiqua" w:cs="Arial"/>
          <w:sz w:val="24"/>
          <w:szCs w:val="24"/>
        </w:rPr>
        <w:t xml:space="preserve"> above </w:t>
      </w:r>
      <w:r w:rsidR="00780DC0" w:rsidRPr="00F4231A">
        <w:rPr>
          <w:rFonts w:ascii="Book Antiqua" w:hAnsi="Book Antiqua" w:cs="Arial"/>
          <w:sz w:val="24"/>
          <w:szCs w:val="24"/>
        </w:rPr>
        <w:t>findings corroborate a possible</w:t>
      </w:r>
      <w:r w:rsidR="007E076B" w:rsidRPr="00F4231A">
        <w:rPr>
          <w:rFonts w:ascii="Book Antiqua" w:hAnsi="Book Antiqua" w:cs="Arial"/>
          <w:sz w:val="24"/>
          <w:szCs w:val="24"/>
        </w:rPr>
        <w:t xml:space="preserve"> </w:t>
      </w:r>
      <w:r w:rsidR="00564E44" w:rsidRPr="00F4231A">
        <w:rPr>
          <w:rFonts w:ascii="Book Antiqua" w:hAnsi="Book Antiqua" w:cs="Arial"/>
          <w:sz w:val="24"/>
          <w:szCs w:val="24"/>
        </w:rPr>
        <w:t xml:space="preserve">association between </w:t>
      </w:r>
      <w:r w:rsidR="00D533E2" w:rsidRPr="00F4231A">
        <w:rPr>
          <w:rFonts w:ascii="Book Antiqua" w:hAnsi="Book Antiqua" w:cs="Arial"/>
          <w:sz w:val="24"/>
          <w:szCs w:val="24"/>
        </w:rPr>
        <w:t xml:space="preserve">serum LBP </w:t>
      </w:r>
      <w:r w:rsidR="00564E44" w:rsidRPr="00F4231A">
        <w:rPr>
          <w:rFonts w:ascii="Book Antiqua" w:hAnsi="Book Antiqua" w:cs="Arial"/>
          <w:sz w:val="24"/>
          <w:szCs w:val="24"/>
        </w:rPr>
        <w:t>and steatosis</w:t>
      </w:r>
      <w:r w:rsidR="00780DC0" w:rsidRPr="00F4231A">
        <w:rPr>
          <w:rFonts w:ascii="Book Antiqua" w:hAnsi="Book Antiqua" w:cs="Arial"/>
          <w:sz w:val="24"/>
          <w:szCs w:val="24"/>
        </w:rPr>
        <w:t xml:space="preserve"> in</w:t>
      </w:r>
      <w:r w:rsidR="006C52C1" w:rsidRPr="00F4231A">
        <w:rPr>
          <w:rFonts w:ascii="Book Antiqua" w:hAnsi="Book Antiqua" w:cs="Arial"/>
          <w:sz w:val="24"/>
          <w:szCs w:val="24"/>
        </w:rPr>
        <w:t>dependently of LPS/</w:t>
      </w:r>
      <w:r w:rsidR="007F211D" w:rsidRPr="00F4231A">
        <w:rPr>
          <w:rFonts w:ascii="Book Antiqua" w:hAnsi="Book Antiqua" w:cs="Arial"/>
          <w:sz w:val="24"/>
          <w:szCs w:val="24"/>
        </w:rPr>
        <w:t>endotox</w:t>
      </w:r>
      <w:r w:rsidR="00780DC0" w:rsidRPr="00F4231A">
        <w:rPr>
          <w:rFonts w:ascii="Book Antiqua" w:hAnsi="Book Antiqua" w:cs="Arial"/>
          <w:sz w:val="24"/>
          <w:szCs w:val="24"/>
        </w:rPr>
        <w:t>emia</w:t>
      </w:r>
      <w:r w:rsidR="002715C2" w:rsidRPr="00F4231A">
        <w:rPr>
          <w:rFonts w:ascii="Book Antiqua" w:hAnsi="Book Antiqua" w:cs="Arial"/>
          <w:sz w:val="24"/>
          <w:szCs w:val="24"/>
        </w:rPr>
        <w:t xml:space="preserve">. </w:t>
      </w:r>
    </w:p>
    <w:p w:rsidR="00F8588A" w:rsidRPr="00F4231A" w:rsidRDefault="009B1D30" w:rsidP="00F4231A">
      <w:pPr>
        <w:pStyle w:val="15"/>
        <w:snapToGrid w:val="0"/>
        <w:ind w:firstLineChars="100" w:firstLine="240"/>
        <w:rPr>
          <w:rFonts w:ascii="Book Antiqua" w:hAnsi="Book Antiqua" w:cs="Arial"/>
          <w:sz w:val="24"/>
          <w:szCs w:val="24"/>
        </w:rPr>
      </w:pPr>
      <w:r w:rsidRPr="00F4231A">
        <w:rPr>
          <w:rFonts w:ascii="Book Antiqua" w:hAnsi="Book Antiqua" w:cs="Arial"/>
          <w:sz w:val="24"/>
          <w:szCs w:val="24"/>
        </w:rPr>
        <w:t xml:space="preserve">This study </w:t>
      </w:r>
      <w:r w:rsidR="004B4D7E" w:rsidRPr="00F4231A">
        <w:rPr>
          <w:rFonts w:ascii="Book Antiqua" w:hAnsi="Book Antiqua" w:cs="Arial"/>
          <w:sz w:val="24"/>
          <w:szCs w:val="24"/>
        </w:rPr>
        <w:t xml:space="preserve">uncovered a weak, but statistically significant, </w:t>
      </w:r>
      <w:r w:rsidRPr="00F4231A">
        <w:rPr>
          <w:rFonts w:ascii="Book Antiqua" w:hAnsi="Book Antiqua" w:cs="Arial"/>
          <w:sz w:val="24"/>
          <w:szCs w:val="24"/>
        </w:rPr>
        <w:t>corr</w:t>
      </w:r>
      <w:r w:rsidR="004B4D7E" w:rsidRPr="00F4231A">
        <w:rPr>
          <w:rFonts w:ascii="Book Antiqua" w:hAnsi="Book Antiqua" w:cs="Arial"/>
          <w:sz w:val="24"/>
          <w:szCs w:val="24"/>
        </w:rPr>
        <w:t>elation between serum LBP level</w:t>
      </w:r>
      <w:r w:rsidRPr="00F4231A">
        <w:rPr>
          <w:rFonts w:ascii="Book Antiqua" w:hAnsi="Book Antiqua" w:cs="Arial"/>
          <w:sz w:val="24"/>
          <w:szCs w:val="24"/>
        </w:rPr>
        <w:t xml:space="preserve"> and </w:t>
      </w:r>
      <w:r w:rsidR="008167B2" w:rsidRPr="00F4231A">
        <w:rPr>
          <w:rFonts w:ascii="Book Antiqua" w:hAnsi="Book Antiqua" w:cs="Arial"/>
          <w:sz w:val="24"/>
          <w:szCs w:val="24"/>
        </w:rPr>
        <w:t xml:space="preserve">the </w:t>
      </w:r>
      <w:r w:rsidR="004B4D7E" w:rsidRPr="00F4231A">
        <w:rPr>
          <w:rFonts w:ascii="Book Antiqua" w:hAnsi="Book Antiqua" w:cs="Arial"/>
          <w:sz w:val="24"/>
          <w:szCs w:val="24"/>
        </w:rPr>
        <w:t xml:space="preserve">incidence </w:t>
      </w:r>
      <w:r w:rsidR="008167B2" w:rsidRPr="00F4231A">
        <w:rPr>
          <w:rFonts w:ascii="Book Antiqua" w:hAnsi="Book Antiqua" w:cs="Arial"/>
          <w:sz w:val="24"/>
          <w:szCs w:val="24"/>
        </w:rPr>
        <w:t>of ballooned hepatocytes</w:t>
      </w:r>
      <w:r w:rsidR="00C52A58" w:rsidRPr="00F4231A">
        <w:rPr>
          <w:rFonts w:ascii="Book Antiqua" w:hAnsi="Book Antiqua" w:cs="Arial"/>
          <w:sz w:val="24"/>
          <w:szCs w:val="24"/>
        </w:rPr>
        <w:t>. I</w:t>
      </w:r>
      <w:r w:rsidR="00F96E36" w:rsidRPr="00F4231A">
        <w:rPr>
          <w:rFonts w:ascii="Book Antiqua" w:hAnsi="Book Antiqua" w:cs="Arial"/>
          <w:sz w:val="24"/>
          <w:szCs w:val="24"/>
        </w:rPr>
        <w:t xml:space="preserve">n </w:t>
      </w:r>
      <w:r w:rsidR="00C52A58" w:rsidRPr="00F4231A">
        <w:rPr>
          <w:rFonts w:ascii="Book Antiqua" w:hAnsi="Book Antiqua" w:cs="Arial"/>
          <w:sz w:val="24"/>
          <w:szCs w:val="24"/>
        </w:rPr>
        <w:t xml:space="preserve">hepatocytes </w:t>
      </w:r>
      <w:r w:rsidR="004B4D7E" w:rsidRPr="00F4231A">
        <w:rPr>
          <w:rFonts w:ascii="Book Antiqua" w:hAnsi="Book Antiqua" w:cs="Arial"/>
          <w:sz w:val="24"/>
          <w:szCs w:val="24"/>
        </w:rPr>
        <w:t xml:space="preserve">with </w:t>
      </w:r>
      <w:r w:rsidR="00097CB4" w:rsidRPr="00F4231A">
        <w:rPr>
          <w:rFonts w:ascii="Book Antiqua" w:hAnsi="Book Antiqua" w:cs="Arial"/>
          <w:sz w:val="24"/>
          <w:szCs w:val="24"/>
        </w:rPr>
        <w:t xml:space="preserve">ballooning degeneration, </w:t>
      </w:r>
      <w:r w:rsidR="00C52A58" w:rsidRPr="00F4231A">
        <w:rPr>
          <w:rFonts w:ascii="Book Antiqua" w:hAnsi="Book Antiqua" w:cs="Arial"/>
          <w:sz w:val="24"/>
          <w:szCs w:val="24"/>
        </w:rPr>
        <w:t>activated c-Jun N-terminal kinase (J</w:t>
      </w:r>
      <w:r w:rsidR="00A20BDA" w:rsidRPr="00F4231A">
        <w:rPr>
          <w:rFonts w:ascii="Book Antiqua" w:hAnsi="Book Antiqua" w:cs="Arial"/>
          <w:sz w:val="24"/>
          <w:szCs w:val="24"/>
        </w:rPr>
        <w:t>NK</w:t>
      </w:r>
      <w:r w:rsidR="00C52A58" w:rsidRPr="00F4231A">
        <w:rPr>
          <w:rFonts w:ascii="Book Antiqua" w:hAnsi="Book Antiqua" w:cs="Arial"/>
          <w:sz w:val="24"/>
          <w:szCs w:val="24"/>
        </w:rPr>
        <w:t xml:space="preserve">) </w:t>
      </w:r>
      <w:r w:rsidR="00A20BDA" w:rsidRPr="00F4231A">
        <w:rPr>
          <w:rFonts w:ascii="Book Antiqua" w:hAnsi="Book Antiqua" w:cs="Arial"/>
          <w:sz w:val="24"/>
          <w:szCs w:val="24"/>
        </w:rPr>
        <w:t xml:space="preserve">and ensuing </w:t>
      </w:r>
      <w:r w:rsidR="00097CB4" w:rsidRPr="00F4231A">
        <w:rPr>
          <w:rFonts w:ascii="Book Antiqua" w:hAnsi="Book Antiqua" w:cs="Arial"/>
          <w:sz w:val="24"/>
          <w:szCs w:val="24"/>
        </w:rPr>
        <w:t>lipoapoptosis have</w:t>
      </w:r>
      <w:r w:rsidR="005A5B10" w:rsidRPr="00F4231A">
        <w:rPr>
          <w:rFonts w:ascii="Book Antiqua" w:hAnsi="Book Antiqua" w:cs="Arial"/>
          <w:sz w:val="24"/>
          <w:szCs w:val="24"/>
        </w:rPr>
        <w:t xml:space="preserve"> been </w:t>
      </w:r>
      <w:r w:rsidR="00A20BDA" w:rsidRPr="00F4231A">
        <w:rPr>
          <w:rFonts w:ascii="Book Antiqua" w:hAnsi="Book Antiqua" w:cs="Arial"/>
          <w:sz w:val="24"/>
          <w:szCs w:val="24"/>
        </w:rPr>
        <w:t>documented</w:t>
      </w:r>
      <w:r w:rsidR="009F379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3795" w:rsidRPr="00F4231A">
        <w:rPr>
          <w:rFonts w:ascii="Book Antiqua" w:hAnsi="Book Antiqua" w:cs="Arial"/>
          <w:sz w:val="24"/>
          <w:szCs w:val="24"/>
        </w:rPr>
        <w:instrText xml:space="preserve"> ADDIN EN.CITE </w:instrText>
      </w:r>
      <w:r w:rsidR="009F379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3795" w:rsidRPr="00F4231A">
        <w:rPr>
          <w:rFonts w:ascii="Book Antiqua" w:hAnsi="Book Antiqua" w:cs="Arial"/>
          <w:sz w:val="24"/>
          <w:szCs w:val="24"/>
        </w:rPr>
        <w:instrText xml:space="preserve"> ADDIN EN.CITE.DATA </w:instrText>
      </w:r>
      <w:r w:rsidR="009F3795" w:rsidRPr="00F4231A">
        <w:rPr>
          <w:rFonts w:ascii="Book Antiqua" w:hAnsi="Book Antiqua" w:cs="Arial"/>
          <w:sz w:val="24"/>
          <w:szCs w:val="24"/>
        </w:rPr>
      </w:r>
      <w:r w:rsidR="009F3795" w:rsidRPr="00F4231A">
        <w:rPr>
          <w:rFonts w:ascii="Book Antiqua" w:hAnsi="Book Antiqua" w:cs="Arial"/>
          <w:sz w:val="24"/>
          <w:szCs w:val="24"/>
        </w:rPr>
        <w:fldChar w:fldCharType="end"/>
      </w:r>
      <w:r w:rsidR="009F3795" w:rsidRPr="00F4231A">
        <w:rPr>
          <w:rFonts w:ascii="Book Antiqua" w:hAnsi="Book Antiqua" w:cs="Arial"/>
          <w:sz w:val="24"/>
          <w:szCs w:val="24"/>
        </w:rPr>
      </w:r>
      <w:r w:rsidR="009F3795" w:rsidRPr="00F4231A">
        <w:rPr>
          <w:rFonts w:ascii="Book Antiqua" w:hAnsi="Book Antiqua" w:cs="Arial"/>
          <w:sz w:val="24"/>
          <w:szCs w:val="24"/>
        </w:rPr>
        <w:fldChar w:fldCharType="separate"/>
      </w:r>
      <w:r w:rsidR="009F3795" w:rsidRPr="00F4231A">
        <w:rPr>
          <w:rFonts w:ascii="Book Antiqua" w:hAnsi="Book Antiqua" w:cs="Arial"/>
          <w:noProof/>
          <w:sz w:val="24"/>
          <w:szCs w:val="24"/>
          <w:vertAlign w:val="superscript"/>
        </w:rPr>
        <w:t>[34]</w:t>
      </w:r>
      <w:r w:rsidR="009F3795" w:rsidRPr="00F4231A">
        <w:rPr>
          <w:rFonts w:ascii="Book Antiqua" w:hAnsi="Book Antiqua" w:cs="Arial"/>
          <w:sz w:val="24"/>
          <w:szCs w:val="24"/>
        </w:rPr>
        <w:fldChar w:fldCharType="end"/>
      </w:r>
      <w:r w:rsidR="00A20BDA" w:rsidRPr="00F4231A">
        <w:rPr>
          <w:rFonts w:ascii="Book Antiqua" w:hAnsi="Book Antiqua" w:cs="Arial"/>
          <w:sz w:val="24"/>
          <w:szCs w:val="24"/>
        </w:rPr>
        <w:t xml:space="preserve">. </w:t>
      </w:r>
      <w:r w:rsidR="00C52A58" w:rsidRPr="00F4231A">
        <w:rPr>
          <w:rFonts w:ascii="Book Antiqua" w:hAnsi="Book Antiqua" w:cs="Arial"/>
          <w:i/>
          <w:sz w:val="24"/>
          <w:szCs w:val="24"/>
        </w:rPr>
        <w:t xml:space="preserve">Escherichia coli </w:t>
      </w:r>
      <w:r w:rsidR="00C52A58" w:rsidRPr="00F4231A">
        <w:rPr>
          <w:rFonts w:ascii="Book Antiqua" w:hAnsi="Book Antiqua" w:cs="Arial"/>
          <w:sz w:val="24"/>
          <w:szCs w:val="24"/>
        </w:rPr>
        <w:t>LPS induces LBP in h</w:t>
      </w:r>
      <w:r w:rsidR="00353340" w:rsidRPr="00F4231A">
        <w:rPr>
          <w:rFonts w:ascii="Book Antiqua" w:hAnsi="Book Antiqua" w:cs="Arial"/>
          <w:sz w:val="24"/>
          <w:szCs w:val="24"/>
        </w:rPr>
        <w:t xml:space="preserve">uman oral keratinocytes through </w:t>
      </w:r>
      <w:r w:rsidR="00A20BDA" w:rsidRPr="00F4231A">
        <w:rPr>
          <w:rFonts w:ascii="Book Antiqua" w:hAnsi="Book Antiqua" w:cs="Arial"/>
          <w:sz w:val="24"/>
          <w:szCs w:val="24"/>
        </w:rPr>
        <w:t xml:space="preserve">the activation of JNK in addition to </w:t>
      </w:r>
      <w:r w:rsidR="00C52A58" w:rsidRPr="00F4231A">
        <w:rPr>
          <w:rFonts w:ascii="Book Antiqua" w:hAnsi="Book Antiqua" w:cs="Arial"/>
          <w:sz w:val="24"/>
          <w:szCs w:val="24"/>
        </w:rPr>
        <w:t>nuclear factor kappa B and p38 mitogen-activated protein kina</w:t>
      </w:r>
      <w:r w:rsidR="00A20BDA" w:rsidRPr="00F4231A">
        <w:rPr>
          <w:rFonts w:ascii="Book Antiqua" w:hAnsi="Book Antiqua" w:cs="Arial"/>
          <w:sz w:val="24"/>
          <w:szCs w:val="24"/>
        </w:rPr>
        <w:t>se</w:t>
      </w:r>
      <w:r w:rsidR="009F379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3795" w:rsidRPr="00F4231A">
        <w:rPr>
          <w:rFonts w:ascii="Book Antiqua" w:hAnsi="Book Antiqua" w:cs="Arial"/>
          <w:sz w:val="24"/>
          <w:szCs w:val="24"/>
        </w:rPr>
        <w:instrText xml:space="preserve"> ADDIN EN.CITE </w:instrText>
      </w:r>
      <w:r w:rsidR="009F379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F3795" w:rsidRPr="00F4231A">
        <w:rPr>
          <w:rFonts w:ascii="Book Antiqua" w:hAnsi="Book Antiqua" w:cs="Arial"/>
          <w:sz w:val="24"/>
          <w:szCs w:val="24"/>
        </w:rPr>
        <w:instrText xml:space="preserve"> ADDIN EN.CITE.DATA </w:instrText>
      </w:r>
      <w:r w:rsidR="009F3795" w:rsidRPr="00F4231A">
        <w:rPr>
          <w:rFonts w:ascii="Book Antiqua" w:hAnsi="Book Antiqua" w:cs="Arial"/>
          <w:sz w:val="24"/>
          <w:szCs w:val="24"/>
        </w:rPr>
      </w:r>
      <w:r w:rsidR="009F3795" w:rsidRPr="00F4231A">
        <w:rPr>
          <w:rFonts w:ascii="Book Antiqua" w:hAnsi="Book Antiqua" w:cs="Arial"/>
          <w:sz w:val="24"/>
          <w:szCs w:val="24"/>
        </w:rPr>
        <w:fldChar w:fldCharType="end"/>
      </w:r>
      <w:r w:rsidR="009F3795" w:rsidRPr="00F4231A">
        <w:rPr>
          <w:rFonts w:ascii="Book Antiqua" w:hAnsi="Book Antiqua" w:cs="Arial"/>
          <w:sz w:val="24"/>
          <w:szCs w:val="24"/>
        </w:rPr>
      </w:r>
      <w:r w:rsidR="009F3795" w:rsidRPr="00F4231A">
        <w:rPr>
          <w:rFonts w:ascii="Book Antiqua" w:hAnsi="Book Antiqua" w:cs="Arial"/>
          <w:sz w:val="24"/>
          <w:szCs w:val="24"/>
        </w:rPr>
        <w:fldChar w:fldCharType="separate"/>
      </w:r>
      <w:r w:rsidR="009F3795" w:rsidRPr="00F4231A">
        <w:rPr>
          <w:rFonts w:ascii="Book Antiqua" w:hAnsi="Book Antiqua" w:cs="Arial"/>
          <w:noProof/>
          <w:sz w:val="24"/>
          <w:szCs w:val="24"/>
          <w:vertAlign w:val="superscript"/>
        </w:rPr>
        <w:t>[35]</w:t>
      </w:r>
      <w:r w:rsidR="009F3795" w:rsidRPr="00F4231A">
        <w:rPr>
          <w:rFonts w:ascii="Book Antiqua" w:hAnsi="Book Antiqua" w:cs="Arial"/>
          <w:sz w:val="24"/>
          <w:szCs w:val="24"/>
        </w:rPr>
        <w:fldChar w:fldCharType="end"/>
      </w:r>
      <w:r w:rsidR="00A20BDA" w:rsidRPr="00F4231A">
        <w:rPr>
          <w:rFonts w:ascii="Book Antiqua" w:hAnsi="Book Antiqua" w:cs="Arial"/>
          <w:sz w:val="24"/>
          <w:szCs w:val="24"/>
        </w:rPr>
        <w:t xml:space="preserve">. </w:t>
      </w:r>
      <w:r w:rsidR="00A4609E" w:rsidRPr="00F4231A">
        <w:rPr>
          <w:rFonts w:ascii="Book Antiqua" w:hAnsi="Book Antiqua" w:cs="Arial"/>
          <w:sz w:val="24"/>
          <w:szCs w:val="24"/>
        </w:rPr>
        <w:t>Therefo</w:t>
      </w:r>
      <w:r w:rsidR="00251339" w:rsidRPr="00F4231A">
        <w:rPr>
          <w:rFonts w:ascii="Book Antiqua" w:hAnsi="Book Antiqua" w:cs="Arial"/>
          <w:sz w:val="24"/>
          <w:szCs w:val="24"/>
        </w:rPr>
        <w:t xml:space="preserve">re, a positive </w:t>
      </w:r>
      <w:r w:rsidR="00353340" w:rsidRPr="00F4231A">
        <w:rPr>
          <w:rFonts w:ascii="Book Antiqua" w:hAnsi="Book Antiqua" w:cs="Arial"/>
          <w:sz w:val="24"/>
          <w:szCs w:val="24"/>
        </w:rPr>
        <w:t>relationship</w:t>
      </w:r>
      <w:r w:rsidR="00251339" w:rsidRPr="00F4231A">
        <w:rPr>
          <w:rFonts w:ascii="Book Antiqua" w:hAnsi="Book Antiqua" w:cs="Arial"/>
          <w:sz w:val="24"/>
          <w:szCs w:val="24"/>
        </w:rPr>
        <w:t xml:space="preserve"> between </w:t>
      </w:r>
      <w:r w:rsidR="00A4609E" w:rsidRPr="00F4231A">
        <w:rPr>
          <w:rFonts w:ascii="Book Antiqua" w:hAnsi="Book Antiqua" w:cs="Arial"/>
          <w:sz w:val="24"/>
          <w:szCs w:val="24"/>
        </w:rPr>
        <w:t xml:space="preserve">LBP expression </w:t>
      </w:r>
      <w:r w:rsidR="00251339" w:rsidRPr="00F4231A">
        <w:rPr>
          <w:rFonts w:ascii="Book Antiqua" w:hAnsi="Book Antiqua" w:cs="Arial"/>
          <w:sz w:val="24"/>
          <w:szCs w:val="24"/>
        </w:rPr>
        <w:t xml:space="preserve">and </w:t>
      </w:r>
      <w:r w:rsidR="00A4609E" w:rsidRPr="00F4231A">
        <w:rPr>
          <w:rFonts w:ascii="Book Antiqua" w:hAnsi="Book Antiqua" w:cs="Arial"/>
          <w:sz w:val="24"/>
          <w:szCs w:val="24"/>
        </w:rPr>
        <w:t>balloon</w:t>
      </w:r>
      <w:r w:rsidR="00251339" w:rsidRPr="00F4231A">
        <w:rPr>
          <w:rFonts w:ascii="Book Antiqua" w:hAnsi="Book Antiqua" w:cs="Arial"/>
          <w:sz w:val="24"/>
          <w:szCs w:val="24"/>
        </w:rPr>
        <w:t>ing</w:t>
      </w:r>
      <w:r w:rsidR="00353340" w:rsidRPr="00F4231A">
        <w:rPr>
          <w:rFonts w:ascii="Book Antiqua" w:hAnsi="Book Antiqua" w:cs="Arial"/>
          <w:sz w:val="24"/>
          <w:szCs w:val="24"/>
        </w:rPr>
        <w:t xml:space="preserve"> score</w:t>
      </w:r>
      <w:r w:rsidR="00A4609E" w:rsidRPr="00F4231A">
        <w:rPr>
          <w:rFonts w:ascii="Book Antiqua" w:hAnsi="Book Antiqua" w:cs="Arial"/>
          <w:sz w:val="24"/>
          <w:szCs w:val="24"/>
        </w:rPr>
        <w:t xml:space="preserve"> </w:t>
      </w:r>
      <w:r w:rsidR="00A20BDA" w:rsidRPr="00F4231A">
        <w:rPr>
          <w:rFonts w:ascii="Book Antiqua" w:hAnsi="Book Antiqua" w:cs="Arial"/>
          <w:sz w:val="24"/>
          <w:szCs w:val="24"/>
        </w:rPr>
        <w:t xml:space="preserve">might reflect </w:t>
      </w:r>
      <w:r w:rsidR="00A4609E" w:rsidRPr="00F4231A">
        <w:rPr>
          <w:rFonts w:ascii="Book Antiqua" w:hAnsi="Book Antiqua" w:cs="Arial"/>
          <w:sz w:val="24"/>
          <w:szCs w:val="24"/>
        </w:rPr>
        <w:t>activated JNK-mediated signaling</w:t>
      </w:r>
      <w:r w:rsidR="00353340" w:rsidRPr="00F4231A">
        <w:rPr>
          <w:rFonts w:ascii="Book Antiqua" w:hAnsi="Book Antiqua" w:cs="Arial"/>
          <w:sz w:val="24"/>
          <w:szCs w:val="24"/>
        </w:rPr>
        <w:t xml:space="preserve"> in degenerated hepatocytes</w:t>
      </w:r>
      <w:r w:rsidR="00CB79F5" w:rsidRPr="00F4231A">
        <w:rPr>
          <w:rFonts w:ascii="Book Antiqua" w:hAnsi="Book Antiqua" w:cs="Arial"/>
          <w:sz w:val="24"/>
          <w:szCs w:val="24"/>
        </w:rPr>
        <w:t>.</w:t>
      </w:r>
    </w:p>
    <w:p w:rsidR="00ED1098" w:rsidRPr="00F4231A" w:rsidRDefault="00BF3073" w:rsidP="00F4231A">
      <w:pPr>
        <w:pStyle w:val="15"/>
        <w:snapToGrid w:val="0"/>
        <w:ind w:firstLineChars="100" w:firstLine="240"/>
        <w:rPr>
          <w:rFonts w:ascii="Book Antiqua" w:hAnsi="Book Antiqua" w:cs="Arial"/>
          <w:sz w:val="24"/>
          <w:szCs w:val="24"/>
        </w:rPr>
      </w:pPr>
      <w:r w:rsidRPr="00F4231A">
        <w:rPr>
          <w:rFonts w:ascii="Book Antiqua" w:hAnsi="Book Antiqua" w:cs="Arial"/>
          <w:sz w:val="24"/>
          <w:szCs w:val="24"/>
        </w:rPr>
        <w:t xml:space="preserve">Yuan </w:t>
      </w:r>
      <w:r w:rsidRPr="00F4231A">
        <w:rPr>
          <w:rFonts w:ascii="Book Antiqua" w:hAnsi="Book Antiqua" w:cs="Arial"/>
          <w:i/>
          <w:sz w:val="24"/>
          <w:szCs w:val="24"/>
        </w:rPr>
        <w:t>et al</w:t>
      </w:r>
      <w:r w:rsidR="00CB79F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B79F5" w:rsidRPr="00F4231A">
        <w:rPr>
          <w:rFonts w:ascii="Book Antiqua" w:hAnsi="Book Antiqua" w:cs="Arial"/>
          <w:sz w:val="24"/>
          <w:szCs w:val="24"/>
        </w:rPr>
        <w:instrText xml:space="preserve"> ADDIN EN.CITE </w:instrText>
      </w:r>
      <w:r w:rsidR="00CB79F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CB79F5" w:rsidRPr="00F4231A">
        <w:rPr>
          <w:rFonts w:ascii="Book Antiqua" w:hAnsi="Book Antiqua" w:cs="Arial"/>
          <w:sz w:val="24"/>
          <w:szCs w:val="24"/>
        </w:rPr>
        <w:instrText xml:space="preserve"> ADDIN EN.CITE.DATA </w:instrText>
      </w:r>
      <w:r w:rsidR="00CB79F5" w:rsidRPr="00F4231A">
        <w:rPr>
          <w:rFonts w:ascii="Book Antiqua" w:hAnsi="Book Antiqua" w:cs="Arial"/>
          <w:sz w:val="24"/>
          <w:szCs w:val="24"/>
        </w:rPr>
      </w:r>
      <w:r w:rsidR="00CB79F5" w:rsidRPr="00F4231A">
        <w:rPr>
          <w:rFonts w:ascii="Book Antiqua" w:hAnsi="Book Antiqua" w:cs="Arial"/>
          <w:sz w:val="24"/>
          <w:szCs w:val="24"/>
        </w:rPr>
        <w:fldChar w:fldCharType="end"/>
      </w:r>
      <w:r w:rsidR="00CB79F5" w:rsidRPr="00F4231A">
        <w:rPr>
          <w:rFonts w:ascii="Book Antiqua" w:hAnsi="Book Antiqua" w:cs="Arial"/>
          <w:sz w:val="24"/>
          <w:szCs w:val="24"/>
        </w:rPr>
      </w:r>
      <w:r w:rsidR="00CB79F5" w:rsidRPr="00F4231A">
        <w:rPr>
          <w:rFonts w:ascii="Book Antiqua" w:hAnsi="Book Antiqua" w:cs="Arial"/>
          <w:sz w:val="24"/>
          <w:szCs w:val="24"/>
        </w:rPr>
        <w:fldChar w:fldCharType="separate"/>
      </w:r>
      <w:r w:rsidR="00CB79F5" w:rsidRPr="00F4231A">
        <w:rPr>
          <w:rFonts w:ascii="Book Antiqua" w:hAnsi="Book Antiqua" w:cs="Arial"/>
          <w:noProof/>
          <w:sz w:val="24"/>
          <w:szCs w:val="24"/>
          <w:vertAlign w:val="superscript"/>
        </w:rPr>
        <w:t>[36]</w:t>
      </w:r>
      <w:r w:rsidR="00CB79F5" w:rsidRPr="00F4231A">
        <w:rPr>
          <w:rFonts w:ascii="Book Antiqua" w:hAnsi="Book Antiqua" w:cs="Arial"/>
          <w:sz w:val="24"/>
          <w:szCs w:val="24"/>
        </w:rPr>
        <w:fldChar w:fldCharType="end"/>
      </w:r>
      <w:r w:rsidR="00CB79F5" w:rsidRPr="00F4231A">
        <w:rPr>
          <w:rFonts w:ascii="Book Antiqua" w:hAnsi="Book Antiqua" w:cs="Arial"/>
          <w:sz w:val="24"/>
          <w:szCs w:val="24"/>
        </w:rPr>
        <w:t xml:space="preserve"> </w:t>
      </w:r>
      <w:r w:rsidR="00A20BDA" w:rsidRPr="00F4231A">
        <w:rPr>
          <w:rFonts w:ascii="Book Antiqua" w:hAnsi="Book Antiqua" w:cs="Arial"/>
          <w:sz w:val="24"/>
          <w:szCs w:val="24"/>
        </w:rPr>
        <w:t xml:space="preserve">demonstrated </w:t>
      </w:r>
      <w:r w:rsidR="006054B3" w:rsidRPr="00F4231A">
        <w:rPr>
          <w:rFonts w:ascii="Book Antiqua" w:hAnsi="Book Antiqua" w:cs="Arial"/>
          <w:sz w:val="24"/>
          <w:szCs w:val="24"/>
        </w:rPr>
        <w:t xml:space="preserve">that </w:t>
      </w:r>
      <w:r w:rsidRPr="00F4231A">
        <w:rPr>
          <w:rFonts w:ascii="Book Antiqua" w:hAnsi="Book Antiqua" w:cs="Arial"/>
          <w:sz w:val="24"/>
          <w:szCs w:val="24"/>
        </w:rPr>
        <w:t>circulating</w:t>
      </w:r>
      <w:r w:rsidR="00576B51" w:rsidRPr="00F4231A">
        <w:rPr>
          <w:rFonts w:ascii="Book Antiqua" w:hAnsi="Book Antiqua" w:cs="Arial"/>
          <w:sz w:val="24"/>
          <w:szCs w:val="24"/>
        </w:rPr>
        <w:t xml:space="preserve"> </w:t>
      </w:r>
      <w:r w:rsidR="006054B3" w:rsidRPr="00F4231A">
        <w:rPr>
          <w:rFonts w:ascii="Book Antiqua" w:hAnsi="Book Antiqua" w:cs="Arial"/>
          <w:sz w:val="24"/>
          <w:szCs w:val="24"/>
        </w:rPr>
        <w:t xml:space="preserve">LPS levels </w:t>
      </w:r>
      <w:r w:rsidR="00576B51" w:rsidRPr="00F4231A">
        <w:rPr>
          <w:rFonts w:ascii="Book Antiqua" w:hAnsi="Book Antiqua" w:cs="Arial"/>
          <w:sz w:val="24"/>
          <w:szCs w:val="24"/>
        </w:rPr>
        <w:t xml:space="preserve">in </w:t>
      </w:r>
      <w:r w:rsidRPr="00F4231A">
        <w:rPr>
          <w:rFonts w:ascii="Book Antiqua" w:hAnsi="Book Antiqua" w:cs="Arial"/>
          <w:sz w:val="24"/>
          <w:szCs w:val="24"/>
        </w:rPr>
        <w:t xml:space="preserve">pediatric </w:t>
      </w:r>
      <w:r w:rsidR="00576B51" w:rsidRPr="00F4231A">
        <w:rPr>
          <w:rFonts w:ascii="Book Antiqua" w:hAnsi="Book Antiqua" w:cs="Arial"/>
          <w:sz w:val="24"/>
          <w:szCs w:val="24"/>
        </w:rPr>
        <w:t xml:space="preserve">NASH patients were </w:t>
      </w:r>
      <w:r w:rsidR="006054B3" w:rsidRPr="00F4231A">
        <w:rPr>
          <w:rFonts w:ascii="Book Antiqua" w:hAnsi="Book Antiqua" w:cs="Arial"/>
          <w:sz w:val="24"/>
          <w:szCs w:val="24"/>
        </w:rPr>
        <w:t xml:space="preserve">distributed </w:t>
      </w:r>
      <w:r w:rsidR="00576B51" w:rsidRPr="00F4231A">
        <w:rPr>
          <w:rFonts w:ascii="Book Antiqua" w:hAnsi="Book Antiqua" w:cs="Arial"/>
          <w:sz w:val="24"/>
          <w:szCs w:val="24"/>
        </w:rPr>
        <w:t>dichotomously</w:t>
      </w:r>
      <w:r w:rsidR="00A20BDA" w:rsidRPr="00F4231A">
        <w:rPr>
          <w:rFonts w:ascii="Book Antiqua" w:hAnsi="Book Antiqua" w:cs="Arial"/>
          <w:sz w:val="24"/>
          <w:szCs w:val="24"/>
        </w:rPr>
        <w:t xml:space="preserve"> at either </w:t>
      </w:r>
      <w:r w:rsidR="006054B3" w:rsidRPr="00F4231A">
        <w:rPr>
          <w:rFonts w:ascii="Book Antiqua" w:hAnsi="Book Antiqua" w:cs="Arial"/>
          <w:sz w:val="24"/>
          <w:szCs w:val="24"/>
        </w:rPr>
        <w:t xml:space="preserve">high </w:t>
      </w:r>
      <w:r w:rsidR="00A20BDA" w:rsidRPr="00F4231A">
        <w:rPr>
          <w:rFonts w:ascii="Book Antiqua" w:hAnsi="Book Antiqua" w:cs="Arial"/>
          <w:sz w:val="24"/>
          <w:szCs w:val="24"/>
        </w:rPr>
        <w:t xml:space="preserve">or </w:t>
      </w:r>
      <w:r w:rsidR="00391375" w:rsidRPr="00F4231A">
        <w:rPr>
          <w:rFonts w:ascii="Book Antiqua" w:hAnsi="Book Antiqua" w:cs="Arial"/>
          <w:sz w:val="24"/>
          <w:szCs w:val="24"/>
        </w:rPr>
        <w:t>normal</w:t>
      </w:r>
      <w:r w:rsidR="00A20BDA" w:rsidRPr="00F4231A">
        <w:rPr>
          <w:rFonts w:ascii="Book Antiqua" w:hAnsi="Book Antiqua" w:cs="Arial"/>
          <w:sz w:val="24"/>
          <w:szCs w:val="24"/>
        </w:rPr>
        <w:t xml:space="preserve"> levels, suggesting </w:t>
      </w:r>
      <w:r w:rsidR="006054B3" w:rsidRPr="00F4231A">
        <w:rPr>
          <w:rFonts w:ascii="Book Antiqua" w:hAnsi="Book Antiqua" w:cs="Arial"/>
          <w:sz w:val="24"/>
          <w:szCs w:val="24"/>
        </w:rPr>
        <w:t xml:space="preserve">that </w:t>
      </w:r>
      <w:r w:rsidR="007F211D" w:rsidRPr="00F4231A">
        <w:rPr>
          <w:rFonts w:ascii="Book Antiqua" w:hAnsi="Book Antiqua" w:cs="Arial"/>
          <w:sz w:val="24"/>
          <w:szCs w:val="24"/>
        </w:rPr>
        <w:t>endotox</w:t>
      </w:r>
      <w:r w:rsidR="00A20BDA" w:rsidRPr="00F4231A">
        <w:rPr>
          <w:rFonts w:ascii="Book Antiqua" w:hAnsi="Book Antiqua" w:cs="Arial"/>
          <w:sz w:val="24"/>
          <w:szCs w:val="24"/>
        </w:rPr>
        <w:t xml:space="preserve">emia was present in </w:t>
      </w:r>
      <w:r w:rsidR="001F25D1" w:rsidRPr="00F4231A">
        <w:rPr>
          <w:rFonts w:ascii="Book Antiqua" w:hAnsi="Book Antiqua" w:cs="Arial"/>
          <w:sz w:val="24"/>
          <w:szCs w:val="24"/>
        </w:rPr>
        <w:t xml:space="preserve">specific </w:t>
      </w:r>
      <w:r w:rsidR="006054B3" w:rsidRPr="00F4231A">
        <w:rPr>
          <w:rFonts w:ascii="Book Antiqua" w:hAnsi="Book Antiqua" w:cs="Arial"/>
          <w:sz w:val="24"/>
          <w:szCs w:val="24"/>
        </w:rPr>
        <w:t>NASH patients</w:t>
      </w:r>
      <w:r w:rsidR="00A20BDA" w:rsidRPr="00F4231A">
        <w:rPr>
          <w:rFonts w:ascii="Book Antiqua" w:hAnsi="Book Antiqua" w:cs="Arial"/>
          <w:sz w:val="24"/>
          <w:szCs w:val="24"/>
        </w:rPr>
        <w:t xml:space="preserve"> only. </w:t>
      </w:r>
      <w:r w:rsidR="00A06FD4" w:rsidRPr="00F4231A">
        <w:rPr>
          <w:rFonts w:ascii="Book Antiqua" w:hAnsi="Book Antiqua" w:cs="Arial"/>
          <w:sz w:val="24"/>
          <w:szCs w:val="24"/>
        </w:rPr>
        <w:t xml:space="preserve">Serum LPS levels </w:t>
      </w:r>
      <w:r w:rsidR="00A20BDA" w:rsidRPr="00F4231A">
        <w:rPr>
          <w:rFonts w:ascii="Book Antiqua" w:hAnsi="Book Antiqua" w:cs="Arial"/>
          <w:sz w:val="24"/>
          <w:szCs w:val="24"/>
        </w:rPr>
        <w:t>exhibited</w:t>
      </w:r>
      <w:r w:rsidR="00A06FD4" w:rsidRPr="00F4231A">
        <w:rPr>
          <w:rFonts w:ascii="Book Antiqua" w:hAnsi="Book Antiqua" w:cs="Arial"/>
          <w:sz w:val="24"/>
          <w:szCs w:val="24"/>
        </w:rPr>
        <w:t xml:space="preserve"> no impact </w:t>
      </w:r>
      <w:r w:rsidR="00B03BEB" w:rsidRPr="00F4231A">
        <w:rPr>
          <w:rFonts w:ascii="Book Antiqua" w:hAnsi="Book Antiqua" w:cs="Arial"/>
          <w:sz w:val="24"/>
          <w:szCs w:val="24"/>
        </w:rPr>
        <w:t>o</w:t>
      </w:r>
      <w:r w:rsidR="00A06FD4" w:rsidRPr="00F4231A">
        <w:rPr>
          <w:rFonts w:ascii="Book Antiqua" w:hAnsi="Book Antiqua" w:cs="Arial"/>
          <w:sz w:val="24"/>
          <w:szCs w:val="24"/>
        </w:rPr>
        <w:t xml:space="preserve">n NAS score </w:t>
      </w:r>
      <w:r w:rsidR="00A20BDA" w:rsidRPr="00F4231A">
        <w:rPr>
          <w:rFonts w:ascii="Book Antiqua" w:hAnsi="Book Antiqua" w:cs="Arial"/>
          <w:sz w:val="24"/>
          <w:szCs w:val="24"/>
        </w:rPr>
        <w:t xml:space="preserve">or </w:t>
      </w:r>
      <w:r w:rsidR="00A06FD4" w:rsidRPr="00F4231A">
        <w:rPr>
          <w:rFonts w:ascii="Book Antiqua" w:hAnsi="Book Antiqua" w:cs="Arial"/>
          <w:sz w:val="24"/>
          <w:szCs w:val="24"/>
        </w:rPr>
        <w:t>fibrosis stage</w:t>
      </w:r>
      <w:r w:rsidR="00A20BDA" w:rsidRPr="00F4231A">
        <w:rPr>
          <w:rFonts w:ascii="Book Antiqua" w:hAnsi="Book Antiqua" w:cs="Arial"/>
          <w:sz w:val="24"/>
          <w:szCs w:val="24"/>
        </w:rPr>
        <w:t xml:space="preserve"> </w:t>
      </w:r>
      <w:r w:rsidR="00A06FD4" w:rsidRPr="00F4231A">
        <w:rPr>
          <w:rFonts w:ascii="Book Antiqua" w:hAnsi="Book Antiqua" w:cs="Arial"/>
          <w:sz w:val="24"/>
          <w:szCs w:val="24"/>
        </w:rPr>
        <w:t xml:space="preserve">and no </w:t>
      </w:r>
      <w:r w:rsidR="00B03BEB" w:rsidRPr="00F4231A">
        <w:rPr>
          <w:rFonts w:ascii="Book Antiqua" w:hAnsi="Book Antiqua" w:cs="Arial"/>
          <w:sz w:val="24"/>
          <w:szCs w:val="24"/>
        </w:rPr>
        <w:t xml:space="preserve">meaningful relationship </w:t>
      </w:r>
      <w:r w:rsidR="00A20BDA" w:rsidRPr="00F4231A">
        <w:rPr>
          <w:rFonts w:ascii="Book Antiqua" w:hAnsi="Book Antiqua" w:cs="Arial"/>
          <w:sz w:val="24"/>
          <w:szCs w:val="24"/>
        </w:rPr>
        <w:t xml:space="preserve">was </w:t>
      </w:r>
      <w:r w:rsidR="00A06FD4" w:rsidRPr="00F4231A">
        <w:rPr>
          <w:rFonts w:ascii="Book Antiqua" w:hAnsi="Book Antiqua" w:cs="Arial"/>
          <w:sz w:val="24"/>
          <w:szCs w:val="24"/>
        </w:rPr>
        <w:t xml:space="preserve">detected </w:t>
      </w:r>
      <w:r w:rsidR="006054B3" w:rsidRPr="00F4231A">
        <w:rPr>
          <w:rFonts w:ascii="Book Antiqua" w:hAnsi="Book Antiqua" w:cs="Arial"/>
          <w:sz w:val="24"/>
          <w:szCs w:val="24"/>
        </w:rPr>
        <w:t xml:space="preserve">between portal LPS and the </w:t>
      </w:r>
      <w:r w:rsidR="00632BC0" w:rsidRPr="00F4231A">
        <w:rPr>
          <w:rFonts w:ascii="Book Antiqua" w:hAnsi="Book Antiqua" w:cs="Arial"/>
          <w:sz w:val="24"/>
          <w:szCs w:val="24"/>
        </w:rPr>
        <w:t>proportion</w:t>
      </w:r>
      <w:r w:rsidR="006054B3" w:rsidRPr="00F4231A">
        <w:rPr>
          <w:rFonts w:ascii="Book Antiqua" w:hAnsi="Book Antiqua" w:cs="Arial"/>
          <w:sz w:val="24"/>
          <w:szCs w:val="24"/>
        </w:rPr>
        <w:t xml:space="preserve"> of </w:t>
      </w:r>
      <w:r w:rsidR="00A06FD4" w:rsidRPr="00F4231A">
        <w:rPr>
          <w:rFonts w:ascii="Book Antiqua" w:hAnsi="Book Antiqua" w:cs="Arial"/>
          <w:sz w:val="24"/>
          <w:szCs w:val="24"/>
        </w:rPr>
        <w:t xml:space="preserve">intestinal </w:t>
      </w:r>
      <w:r w:rsidR="006054B3" w:rsidRPr="00F4231A">
        <w:rPr>
          <w:rFonts w:ascii="Book Antiqua" w:hAnsi="Book Antiqua" w:cs="Arial"/>
          <w:sz w:val="24"/>
          <w:szCs w:val="24"/>
        </w:rPr>
        <w:t xml:space="preserve">Gram-negative </w:t>
      </w:r>
      <w:r w:rsidR="00632BC0" w:rsidRPr="00F4231A">
        <w:rPr>
          <w:rFonts w:ascii="Book Antiqua" w:hAnsi="Book Antiqua" w:cs="Arial"/>
          <w:sz w:val="24"/>
          <w:szCs w:val="24"/>
        </w:rPr>
        <w:t>bacteria</w:t>
      </w:r>
      <w:r w:rsidR="00A20BDA" w:rsidRPr="00F4231A">
        <w:rPr>
          <w:rFonts w:ascii="Book Antiqua" w:hAnsi="Book Antiqua" w:cs="Arial"/>
          <w:sz w:val="24"/>
          <w:szCs w:val="24"/>
        </w:rPr>
        <w:t xml:space="preserve">. </w:t>
      </w:r>
      <w:r w:rsidR="00B03BEB" w:rsidRPr="00F4231A">
        <w:rPr>
          <w:rFonts w:ascii="Book Antiqua" w:hAnsi="Book Antiqua" w:cs="Arial"/>
          <w:sz w:val="24"/>
          <w:szCs w:val="24"/>
        </w:rPr>
        <w:t>Therefore, they concluded</w:t>
      </w:r>
      <w:r w:rsidRPr="00F4231A">
        <w:rPr>
          <w:rFonts w:ascii="Book Antiqua" w:hAnsi="Book Antiqua" w:cs="Arial"/>
          <w:sz w:val="24"/>
          <w:szCs w:val="24"/>
        </w:rPr>
        <w:t xml:space="preserve"> that</w:t>
      </w:r>
      <w:r w:rsidR="00B03BEB" w:rsidRPr="00F4231A">
        <w:rPr>
          <w:rFonts w:ascii="Book Antiqua" w:hAnsi="Book Antiqua" w:cs="Arial"/>
          <w:sz w:val="24"/>
          <w:szCs w:val="24"/>
        </w:rPr>
        <w:t xml:space="preserve"> gut microbiome composition did </w:t>
      </w:r>
      <w:r w:rsidR="007F211D" w:rsidRPr="00F4231A">
        <w:rPr>
          <w:rFonts w:ascii="Book Antiqua" w:hAnsi="Book Antiqua" w:cs="Arial"/>
          <w:sz w:val="24"/>
          <w:szCs w:val="24"/>
        </w:rPr>
        <w:t>not contribute to endotox</w:t>
      </w:r>
      <w:r w:rsidR="00177C0E" w:rsidRPr="00F4231A">
        <w:rPr>
          <w:rFonts w:ascii="Book Antiqua" w:hAnsi="Book Antiqua" w:cs="Arial"/>
          <w:sz w:val="24"/>
          <w:szCs w:val="24"/>
        </w:rPr>
        <w:t>emia in NASH</w:t>
      </w:r>
      <w:r w:rsidR="00161D96" w:rsidRPr="00F4231A">
        <w:rPr>
          <w:rFonts w:ascii="Book Antiqua" w:hAnsi="Book Antiqua" w:cs="Arial"/>
          <w:sz w:val="24"/>
          <w:szCs w:val="24"/>
        </w:rPr>
        <w:t xml:space="preserve">, nor was </w:t>
      </w:r>
      <w:r w:rsidR="00177C0E" w:rsidRPr="00F4231A">
        <w:rPr>
          <w:rFonts w:ascii="Book Antiqua" w:hAnsi="Book Antiqua" w:cs="Arial"/>
          <w:sz w:val="24"/>
          <w:szCs w:val="24"/>
        </w:rPr>
        <w:t xml:space="preserve">endotoxemia </w:t>
      </w:r>
      <w:r w:rsidR="00AC0D9D" w:rsidRPr="00F4231A">
        <w:rPr>
          <w:rFonts w:ascii="Book Antiqua" w:hAnsi="Book Antiqua" w:cs="Arial"/>
          <w:sz w:val="24"/>
          <w:szCs w:val="24"/>
        </w:rPr>
        <w:t xml:space="preserve">always </w:t>
      </w:r>
      <w:r w:rsidR="00177C0E" w:rsidRPr="00F4231A">
        <w:rPr>
          <w:rFonts w:ascii="Book Antiqua" w:hAnsi="Book Antiqua" w:cs="Arial"/>
          <w:sz w:val="24"/>
          <w:szCs w:val="24"/>
        </w:rPr>
        <w:t>required in the pathogenesis of NASH</w:t>
      </w:r>
      <w:r w:rsidR="00AC0D9D" w:rsidRPr="00F4231A">
        <w:rPr>
          <w:rFonts w:ascii="Book Antiqua" w:hAnsi="Book Antiqua" w:cs="Arial"/>
          <w:sz w:val="24"/>
          <w:szCs w:val="24"/>
        </w:rPr>
        <w:t xml:space="preserve">, which </w:t>
      </w:r>
      <w:r w:rsidR="00161D96" w:rsidRPr="00F4231A">
        <w:rPr>
          <w:rFonts w:ascii="Book Antiqua" w:hAnsi="Book Antiqua" w:cs="Arial"/>
          <w:sz w:val="24"/>
          <w:szCs w:val="24"/>
        </w:rPr>
        <w:t xml:space="preserve">were </w:t>
      </w:r>
      <w:r w:rsidR="00AC0D9D" w:rsidRPr="00F4231A">
        <w:rPr>
          <w:rFonts w:ascii="Book Antiqua" w:hAnsi="Book Antiqua" w:cs="Arial"/>
          <w:sz w:val="24"/>
          <w:szCs w:val="24"/>
        </w:rPr>
        <w:t>partia</w:t>
      </w:r>
      <w:r w:rsidR="00A06FD4" w:rsidRPr="00F4231A">
        <w:rPr>
          <w:rFonts w:ascii="Book Antiqua" w:hAnsi="Book Antiqua" w:cs="Arial"/>
          <w:sz w:val="24"/>
          <w:szCs w:val="24"/>
        </w:rPr>
        <w:t>lly consistent with our results</w:t>
      </w:r>
      <w:r w:rsidR="00161D96" w:rsidRPr="00F4231A">
        <w:rPr>
          <w:rFonts w:ascii="Book Antiqua" w:hAnsi="Book Antiqua" w:cs="Arial"/>
          <w:sz w:val="24"/>
          <w:szCs w:val="24"/>
        </w:rPr>
        <w:t xml:space="preserve">. </w:t>
      </w:r>
      <w:r w:rsidR="006C3879" w:rsidRPr="00F4231A">
        <w:rPr>
          <w:rFonts w:ascii="Book Antiqua" w:hAnsi="Book Antiqua" w:cs="Arial"/>
          <w:sz w:val="24"/>
          <w:szCs w:val="24"/>
        </w:rPr>
        <w:t xml:space="preserve">The </w:t>
      </w:r>
      <w:r w:rsidRPr="00F4231A">
        <w:rPr>
          <w:rFonts w:ascii="Book Antiqua" w:hAnsi="Book Antiqua" w:cs="Arial"/>
          <w:sz w:val="24"/>
          <w:szCs w:val="24"/>
        </w:rPr>
        <w:t>observation</w:t>
      </w:r>
      <w:r w:rsidR="006054B3" w:rsidRPr="00F4231A">
        <w:rPr>
          <w:rFonts w:ascii="Book Antiqua" w:hAnsi="Book Antiqua" w:cs="Arial"/>
          <w:sz w:val="24"/>
          <w:szCs w:val="24"/>
        </w:rPr>
        <w:t xml:space="preserve"> that antibiotics</w:t>
      </w:r>
      <w:r w:rsidR="00FD245B" w:rsidRPr="00F4231A">
        <w:rPr>
          <w:rFonts w:ascii="Book Antiqua" w:hAnsi="Book Antiqua" w:cs="Arial"/>
          <w:sz w:val="24"/>
          <w:szCs w:val="24"/>
        </w:rPr>
        <w:t>/</w:t>
      </w:r>
      <w:r w:rsidR="006054B3" w:rsidRPr="00F4231A">
        <w:rPr>
          <w:rFonts w:ascii="Book Antiqua" w:hAnsi="Book Antiqua" w:cs="Arial"/>
          <w:sz w:val="24"/>
          <w:szCs w:val="24"/>
        </w:rPr>
        <w:t xml:space="preserve">probiotics </w:t>
      </w:r>
      <w:r w:rsidR="00A06FD4" w:rsidRPr="00F4231A">
        <w:rPr>
          <w:rFonts w:ascii="Book Antiqua" w:hAnsi="Book Antiqua" w:cs="Arial"/>
          <w:sz w:val="24"/>
          <w:szCs w:val="24"/>
        </w:rPr>
        <w:t xml:space="preserve">can </w:t>
      </w:r>
      <w:r w:rsidR="006054B3" w:rsidRPr="00F4231A">
        <w:rPr>
          <w:rFonts w:ascii="Book Antiqua" w:hAnsi="Book Antiqua" w:cs="Arial"/>
          <w:sz w:val="24"/>
          <w:szCs w:val="24"/>
        </w:rPr>
        <w:t>attenuate NAFL</w:t>
      </w:r>
      <w:r w:rsidR="00AC0D9D" w:rsidRPr="00F4231A">
        <w:rPr>
          <w:rFonts w:ascii="Book Antiqua" w:hAnsi="Book Antiqua" w:cs="Arial"/>
          <w:sz w:val="24"/>
          <w:szCs w:val="24"/>
        </w:rPr>
        <w:t xml:space="preserve">D may </w:t>
      </w:r>
      <w:r w:rsidR="00177C0E" w:rsidRPr="00F4231A">
        <w:rPr>
          <w:rFonts w:ascii="Book Antiqua" w:hAnsi="Book Antiqua" w:cs="Arial"/>
          <w:sz w:val="24"/>
          <w:szCs w:val="24"/>
        </w:rPr>
        <w:t xml:space="preserve">not </w:t>
      </w:r>
      <w:r w:rsidR="00A06FD4" w:rsidRPr="00F4231A">
        <w:rPr>
          <w:rFonts w:ascii="Book Antiqua" w:hAnsi="Book Antiqua" w:cs="Arial"/>
          <w:sz w:val="24"/>
          <w:szCs w:val="24"/>
        </w:rPr>
        <w:t xml:space="preserve">directly </w:t>
      </w:r>
      <w:r w:rsidR="00177C0E" w:rsidRPr="00F4231A">
        <w:rPr>
          <w:rFonts w:ascii="Book Antiqua" w:hAnsi="Book Antiqua" w:cs="Arial"/>
          <w:sz w:val="24"/>
          <w:szCs w:val="24"/>
        </w:rPr>
        <w:t xml:space="preserve">support a key </w:t>
      </w:r>
      <w:r w:rsidR="006054B3" w:rsidRPr="00F4231A">
        <w:rPr>
          <w:rFonts w:ascii="Book Antiqua" w:hAnsi="Book Antiqua" w:cs="Arial"/>
          <w:sz w:val="24"/>
          <w:szCs w:val="24"/>
        </w:rPr>
        <w:t>role of LPS</w:t>
      </w:r>
      <w:r w:rsidR="00177C0E" w:rsidRPr="00F4231A">
        <w:rPr>
          <w:rFonts w:ascii="Book Antiqua" w:hAnsi="Book Antiqua" w:cs="Arial"/>
          <w:sz w:val="24"/>
          <w:szCs w:val="24"/>
        </w:rPr>
        <w:t xml:space="preserve"> </w:t>
      </w:r>
      <w:r w:rsidR="00161D96" w:rsidRPr="00F4231A">
        <w:rPr>
          <w:rFonts w:ascii="Book Antiqua" w:hAnsi="Book Antiqua" w:cs="Arial"/>
          <w:sz w:val="24"/>
          <w:szCs w:val="24"/>
        </w:rPr>
        <w:t xml:space="preserve">in </w:t>
      </w:r>
      <w:r w:rsidR="00FB6320" w:rsidRPr="00F4231A">
        <w:rPr>
          <w:rFonts w:ascii="Book Antiqua" w:hAnsi="Book Antiqua" w:cs="Arial"/>
          <w:sz w:val="24"/>
          <w:szCs w:val="24"/>
        </w:rPr>
        <w:t xml:space="preserve">NASH development </w:t>
      </w:r>
      <w:r w:rsidR="00A13DAF" w:rsidRPr="00F4231A">
        <w:rPr>
          <w:rFonts w:ascii="Book Antiqua" w:hAnsi="Book Antiqua" w:cs="Arial"/>
          <w:sz w:val="24"/>
          <w:szCs w:val="24"/>
        </w:rPr>
        <w:t xml:space="preserve">since </w:t>
      </w:r>
      <w:r w:rsidR="006054B3" w:rsidRPr="00F4231A">
        <w:rPr>
          <w:rFonts w:ascii="Book Antiqua" w:hAnsi="Book Antiqua" w:cs="Arial"/>
          <w:sz w:val="24"/>
          <w:szCs w:val="24"/>
        </w:rPr>
        <w:t>intestine-derived metabolites/toxicants other than LPS, such as deoxycholic acid</w:t>
      </w:r>
      <w:r w:rsidR="00A13DAF" w:rsidRPr="00F4231A">
        <w:rPr>
          <w:rFonts w:ascii="Book Antiqua" w:hAnsi="Book Antiqua" w:cs="Arial"/>
          <w:sz w:val="24"/>
          <w:szCs w:val="24"/>
        </w:rPr>
        <w:t xml:space="preserve"> and </w:t>
      </w:r>
      <w:r w:rsidR="006054B3" w:rsidRPr="00F4231A">
        <w:rPr>
          <w:rFonts w:ascii="Book Antiqua" w:hAnsi="Book Antiqua" w:cs="Arial"/>
          <w:sz w:val="24"/>
          <w:szCs w:val="24"/>
        </w:rPr>
        <w:t>ceramides</w:t>
      </w:r>
      <w:r w:rsidR="00FB6320" w:rsidRPr="00F4231A">
        <w:rPr>
          <w:rFonts w:ascii="Book Antiqua" w:hAnsi="Book Antiqua" w:cs="Arial"/>
          <w:sz w:val="24"/>
          <w:szCs w:val="24"/>
        </w:rPr>
        <w:t xml:space="preserve">, </w:t>
      </w:r>
      <w:r w:rsidR="006054B3" w:rsidRPr="00F4231A">
        <w:rPr>
          <w:rFonts w:ascii="Book Antiqua" w:hAnsi="Book Antiqua" w:cs="Arial"/>
          <w:sz w:val="24"/>
          <w:szCs w:val="24"/>
        </w:rPr>
        <w:t>promote NAFLD/NASH development</w:t>
      </w:r>
      <w:r w:rsidR="0039137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391375" w:rsidRPr="00F4231A">
        <w:rPr>
          <w:rFonts w:ascii="Book Antiqua" w:hAnsi="Book Antiqua" w:cs="Arial"/>
          <w:sz w:val="24"/>
          <w:szCs w:val="24"/>
        </w:rPr>
        <w:instrText xml:space="preserve"> ADDIN EN.CITE </w:instrText>
      </w:r>
      <w:r w:rsidR="0039137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391375" w:rsidRPr="00F4231A">
        <w:rPr>
          <w:rFonts w:ascii="Book Antiqua" w:hAnsi="Book Antiqua" w:cs="Arial"/>
          <w:sz w:val="24"/>
          <w:szCs w:val="24"/>
        </w:rPr>
        <w:instrText xml:space="preserve"> ADDIN EN.CITE.DATA </w:instrText>
      </w:r>
      <w:r w:rsidR="00391375" w:rsidRPr="00F4231A">
        <w:rPr>
          <w:rFonts w:ascii="Book Antiqua" w:hAnsi="Book Antiqua" w:cs="Arial"/>
          <w:sz w:val="24"/>
          <w:szCs w:val="24"/>
        </w:rPr>
      </w:r>
      <w:r w:rsidR="00391375" w:rsidRPr="00F4231A">
        <w:rPr>
          <w:rFonts w:ascii="Book Antiqua" w:hAnsi="Book Antiqua" w:cs="Arial"/>
          <w:sz w:val="24"/>
          <w:szCs w:val="24"/>
        </w:rPr>
        <w:fldChar w:fldCharType="end"/>
      </w:r>
      <w:r w:rsidR="00391375" w:rsidRPr="00F4231A">
        <w:rPr>
          <w:rFonts w:ascii="Book Antiqua" w:hAnsi="Book Antiqua" w:cs="Arial"/>
          <w:sz w:val="24"/>
          <w:szCs w:val="24"/>
        </w:rPr>
      </w:r>
      <w:r w:rsidR="00391375" w:rsidRPr="00F4231A">
        <w:rPr>
          <w:rFonts w:ascii="Book Antiqua" w:hAnsi="Book Antiqua" w:cs="Arial"/>
          <w:sz w:val="24"/>
          <w:szCs w:val="24"/>
        </w:rPr>
        <w:fldChar w:fldCharType="separate"/>
      </w:r>
      <w:r w:rsidR="00391375" w:rsidRPr="00F4231A">
        <w:rPr>
          <w:rFonts w:ascii="Book Antiqua" w:hAnsi="Book Antiqua" w:cs="Arial"/>
          <w:noProof/>
          <w:sz w:val="24"/>
          <w:szCs w:val="24"/>
          <w:vertAlign w:val="superscript"/>
        </w:rPr>
        <w:t>[37,38]</w:t>
      </w:r>
      <w:r w:rsidR="00391375" w:rsidRPr="00F4231A">
        <w:rPr>
          <w:rFonts w:ascii="Book Antiqua" w:hAnsi="Book Antiqua" w:cs="Arial"/>
          <w:sz w:val="24"/>
          <w:szCs w:val="24"/>
        </w:rPr>
        <w:fldChar w:fldCharType="end"/>
      </w:r>
      <w:r w:rsidR="00A06FD4" w:rsidRPr="00F4231A">
        <w:rPr>
          <w:rFonts w:ascii="Book Antiqua" w:hAnsi="Book Antiqua" w:cs="Arial"/>
          <w:sz w:val="24"/>
          <w:szCs w:val="24"/>
        </w:rPr>
        <w:t xml:space="preserve">. </w:t>
      </w:r>
      <w:r w:rsidR="009E5C4E" w:rsidRPr="00F4231A">
        <w:rPr>
          <w:rFonts w:ascii="Book Antiqua" w:hAnsi="Book Antiqua" w:cs="Arial"/>
          <w:sz w:val="24"/>
          <w:szCs w:val="24"/>
        </w:rPr>
        <w:t>The therapeutic</w:t>
      </w:r>
      <w:r w:rsidR="00D938C2" w:rsidRPr="00F4231A">
        <w:rPr>
          <w:rFonts w:ascii="Book Antiqua" w:hAnsi="Book Antiqua" w:cs="Arial"/>
          <w:sz w:val="24"/>
          <w:szCs w:val="24"/>
        </w:rPr>
        <w:t xml:space="preserve"> use of probiotics/prebiotics </w:t>
      </w:r>
      <w:r w:rsidR="00C63A73" w:rsidRPr="00F4231A">
        <w:rPr>
          <w:rFonts w:ascii="Book Antiqua" w:hAnsi="Book Antiqua" w:cs="Arial"/>
          <w:sz w:val="24"/>
          <w:szCs w:val="24"/>
        </w:rPr>
        <w:t xml:space="preserve">has not been </w:t>
      </w:r>
      <w:r w:rsidR="009E5C4E" w:rsidRPr="00F4231A">
        <w:rPr>
          <w:rFonts w:ascii="Book Antiqua" w:hAnsi="Book Antiqua" w:cs="Arial"/>
          <w:sz w:val="24"/>
          <w:szCs w:val="24"/>
        </w:rPr>
        <w:t>supported by high-quality clinical studies</w:t>
      </w:r>
      <w:r w:rsidR="009E5C4E"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E5C4E" w:rsidRPr="00F4231A">
        <w:rPr>
          <w:rFonts w:ascii="Book Antiqua" w:hAnsi="Book Antiqua" w:cs="Arial"/>
          <w:sz w:val="24"/>
          <w:szCs w:val="24"/>
        </w:rPr>
        <w:instrText xml:space="preserve"> ADDIN EN.CITE </w:instrText>
      </w:r>
      <w:r w:rsidR="009E5C4E"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9E5C4E" w:rsidRPr="00F4231A">
        <w:rPr>
          <w:rFonts w:ascii="Book Antiqua" w:hAnsi="Book Antiqua" w:cs="Arial"/>
          <w:sz w:val="24"/>
          <w:szCs w:val="24"/>
        </w:rPr>
        <w:instrText xml:space="preserve"> ADDIN EN.CITE.DATA </w:instrText>
      </w:r>
      <w:r w:rsidR="009E5C4E" w:rsidRPr="00F4231A">
        <w:rPr>
          <w:rFonts w:ascii="Book Antiqua" w:hAnsi="Book Antiqua" w:cs="Arial"/>
          <w:sz w:val="24"/>
          <w:szCs w:val="24"/>
        </w:rPr>
      </w:r>
      <w:r w:rsidR="009E5C4E" w:rsidRPr="00F4231A">
        <w:rPr>
          <w:rFonts w:ascii="Book Antiqua" w:hAnsi="Book Antiqua" w:cs="Arial"/>
          <w:sz w:val="24"/>
          <w:szCs w:val="24"/>
        </w:rPr>
        <w:fldChar w:fldCharType="end"/>
      </w:r>
      <w:r w:rsidR="009E5C4E" w:rsidRPr="00F4231A">
        <w:rPr>
          <w:rFonts w:ascii="Book Antiqua" w:hAnsi="Book Antiqua" w:cs="Arial"/>
          <w:sz w:val="24"/>
          <w:szCs w:val="24"/>
        </w:rPr>
      </w:r>
      <w:r w:rsidR="009E5C4E" w:rsidRPr="00F4231A">
        <w:rPr>
          <w:rFonts w:ascii="Book Antiqua" w:hAnsi="Book Antiqua" w:cs="Arial"/>
          <w:sz w:val="24"/>
          <w:szCs w:val="24"/>
        </w:rPr>
        <w:fldChar w:fldCharType="separate"/>
      </w:r>
      <w:r w:rsidR="009E5C4E" w:rsidRPr="00F4231A">
        <w:rPr>
          <w:rFonts w:ascii="Book Antiqua" w:hAnsi="Book Antiqua" w:cs="Arial"/>
          <w:noProof/>
          <w:sz w:val="24"/>
          <w:szCs w:val="24"/>
          <w:vertAlign w:val="superscript"/>
        </w:rPr>
        <w:t>[39]</w:t>
      </w:r>
      <w:r w:rsidR="009E5C4E" w:rsidRPr="00F4231A">
        <w:rPr>
          <w:rFonts w:ascii="Book Antiqua" w:hAnsi="Book Antiqua" w:cs="Arial"/>
          <w:sz w:val="24"/>
          <w:szCs w:val="24"/>
        </w:rPr>
        <w:fldChar w:fldCharType="end"/>
      </w:r>
      <w:r w:rsidR="009E5C4E" w:rsidRPr="00F4231A">
        <w:rPr>
          <w:rFonts w:ascii="Book Antiqua" w:hAnsi="Book Antiqua" w:cs="Arial"/>
          <w:sz w:val="24"/>
          <w:szCs w:val="24"/>
        </w:rPr>
        <w:t xml:space="preserve">. </w:t>
      </w:r>
      <w:r w:rsidR="00FB6320" w:rsidRPr="00F4231A">
        <w:rPr>
          <w:rFonts w:ascii="Book Antiqua" w:hAnsi="Book Antiqua" w:cs="Arial"/>
          <w:sz w:val="24"/>
          <w:szCs w:val="24"/>
        </w:rPr>
        <w:t>Additionally, t</w:t>
      </w:r>
      <w:r w:rsidR="00177C0E" w:rsidRPr="00F4231A">
        <w:rPr>
          <w:rFonts w:ascii="Book Antiqua" w:hAnsi="Book Antiqua" w:cs="Arial"/>
          <w:sz w:val="24"/>
          <w:szCs w:val="24"/>
        </w:rPr>
        <w:t xml:space="preserve">he </w:t>
      </w:r>
      <w:r w:rsidRPr="00F4231A">
        <w:rPr>
          <w:rFonts w:ascii="Book Antiqua" w:hAnsi="Book Antiqua" w:cs="Arial"/>
          <w:sz w:val="24"/>
          <w:szCs w:val="24"/>
        </w:rPr>
        <w:t>notion</w:t>
      </w:r>
      <w:r w:rsidR="00177C0E" w:rsidRPr="00F4231A">
        <w:rPr>
          <w:rFonts w:ascii="Book Antiqua" w:hAnsi="Book Antiqua" w:cs="Arial"/>
          <w:sz w:val="24"/>
          <w:szCs w:val="24"/>
        </w:rPr>
        <w:t xml:space="preserve"> </w:t>
      </w:r>
      <w:r w:rsidR="006054B3" w:rsidRPr="00F4231A">
        <w:rPr>
          <w:rFonts w:ascii="Book Antiqua" w:hAnsi="Book Antiqua" w:cs="Arial"/>
          <w:sz w:val="24"/>
          <w:szCs w:val="24"/>
        </w:rPr>
        <w:t xml:space="preserve">that </w:t>
      </w:r>
      <w:r w:rsidR="00177C0E" w:rsidRPr="00F4231A">
        <w:rPr>
          <w:rFonts w:ascii="Book Antiqua" w:hAnsi="Book Antiqua" w:cs="Arial"/>
          <w:sz w:val="24"/>
          <w:szCs w:val="24"/>
        </w:rPr>
        <w:t xml:space="preserve">increased </w:t>
      </w:r>
      <w:r w:rsidRPr="00F4231A">
        <w:rPr>
          <w:rFonts w:ascii="Book Antiqua" w:hAnsi="Book Antiqua" w:cs="Arial"/>
          <w:sz w:val="24"/>
          <w:szCs w:val="24"/>
        </w:rPr>
        <w:t xml:space="preserve">hepatic </w:t>
      </w:r>
      <w:r w:rsidR="00632BC0" w:rsidRPr="00F4231A">
        <w:rPr>
          <w:rFonts w:ascii="Book Antiqua" w:hAnsi="Book Antiqua" w:cs="Arial"/>
          <w:sz w:val="24"/>
          <w:szCs w:val="24"/>
        </w:rPr>
        <w:lastRenderedPageBreak/>
        <w:t>TLR</w:t>
      </w:r>
      <w:r w:rsidR="006054B3" w:rsidRPr="00F4231A">
        <w:rPr>
          <w:rFonts w:ascii="Book Antiqua" w:hAnsi="Book Antiqua" w:cs="Arial"/>
          <w:sz w:val="24"/>
          <w:szCs w:val="24"/>
        </w:rPr>
        <w:t xml:space="preserve">4 </w:t>
      </w:r>
      <w:r w:rsidRPr="00F4231A">
        <w:rPr>
          <w:rFonts w:ascii="Book Antiqua" w:hAnsi="Book Antiqua" w:cs="Arial"/>
          <w:sz w:val="24"/>
          <w:szCs w:val="24"/>
        </w:rPr>
        <w:t xml:space="preserve">expression </w:t>
      </w:r>
      <w:r w:rsidR="002F18AD" w:rsidRPr="00F4231A">
        <w:rPr>
          <w:rFonts w:ascii="Book Antiqua" w:hAnsi="Book Antiqua" w:cs="Arial"/>
          <w:sz w:val="24"/>
          <w:szCs w:val="24"/>
        </w:rPr>
        <w:t xml:space="preserve">in NASH </w:t>
      </w:r>
      <w:r w:rsidR="006054B3" w:rsidRPr="00F4231A">
        <w:rPr>
          <w:rFonts w:ascii="Book Antiqua" w:hAnsi="Book Antiqua" w:cs="Arial"/>
          <w:sz w:val="24"/>
          <w:szCs w:val="24"/>
        </w:rPr>
        <w:t xml:space="preserve">indicates </w:t>
      </w:r>
      <w:r w:rsidR="002F18AD" w:rsidRPr="00F4231A">
        <w:rPr>
          <w:rFonts w:ascii="Book Antiqua" w:hAnsi="Book Antiqua" w:cs="Arial"/>
          <w:sz w:val="24"/>
          <w:szCs w:val="24"/>
        </w:rPr>
        <w:t xml:space="preserve">an important role of </w:t>
      </w:r>
      <w:r w:rsidR="007F211D" w:rsidRPr="00F4231A">
        <w:rPr>
          <w:rFonts w:ascii="Book Antiqua" w:hAnsi="Book Antiqua" w:cs="Arial"/>
          <w:sz w:val="24"/>
          <w:szCs w:val="24"/>
        </w:rPr>
        <w:t>portal endotox</w:t>
      </w:r>
      <w:r w:rsidR="00885C9C" w:rsidRPr="00F4231A">
        <w:rPr>
          <w:rFonts w:ascii="Book Antiqua" w:hAnsi="Book Antiqua" w:cs="Arial"/>
          <w:sz w:val="24"/>
          <w:szCs w:val="24"/>
        </w:rPr>
        <w:t>emia may be inappropriate</w:t>
      </w:r>
      <w:r w:rsidR="007D32F6" w:rsidRPr="00F4231A">
        <w:rPr>
          <w:rFonts w:ascii="Book Antiqua" w:hAnsi="Book Antiqua" w:cs="Arial"/>
          <w:sz w:val="24"/>
          <w:szCs w:val="24"/>
        </w:rPr>
        <w:t xml:space="preserve"> since </w:t>
      </w:r>
      <w:r w:rsidR="006054B3" w:rsidRPr="00F4231A">
        <w:rPr>
          <w:rFonts w:ascii="Book Antiqua" w:hAnsi="Book Antiqua" w:cs="Arial"/>
          <w:sz w:val="24"/>
          <w:szCs w:val="24"/>
        </w:rPr>
        <w:t xml:space="preserve">TLRs </w:t>
      </w:r>
      <w:r w:rsidR="00177C0E" w:rsidRPr="00F4231A">
        <w:rPr>
          <w:rFonts w:ascii="Book Antiqua" w:hAnsi="Book Antiqua" w:cs="Arial"/>
          <w:sz w:val="24"/>
          <w:szCs w:val="24"/>
        </w:rPr>
        <w:t>are</w:t>
      </w:r>
      <w:r w:rsidR="00A06FD4" w:rsidRPr="00F4231A">
        <w:rPr>
          <w:rFonts w:ascii="Book Antiqua" w:hAnsi="Book Antiqua" w:cs="Arial"/>
          <w:sz w:val="24"/>
          <w:szCs w:val="24"/>
        </w:rPr>
        <w:t xml:space="preserve"> </w:t>
      </w:r>
      <w:r w:rsidR="00177C0E" w:rsidRPr="00F4231A">
        <w:rPr>
          <w:rFonts w:ascii="Book Antiqua" w:hAnsi="Book Antiqua" w:cs="Arial"/>
          <w:sz w:val="24"/>
          <w:szCs w:val="24"/>
        </w:rPr>
        <w:t xml:space="preserve">activated </w:t>
      </w:r>
      <w:r w:rsidR="006054B3" w:rsidRPr="00F4231A">
        <w:rPr>
          <w:rFonts w:ascii="Book Antiqua" w:hAnsi="Book Antiqua" w:cs="Arial"/>
          <w:sz w:val="24"/>
          <w:szCs w:val="24"/>
        </w:rPr>
        <w:t xml:space="preserve">by </w:t>
      </w:r>
      <w:r w:rsidR="00177C0E" w:rsidRPr="00F4231A">
        <w:rPr>
          <w:rFonts w:ascii="Book Antiqua" w:hAnsi="Book Antiqua" w:cs="Arial"/>
          <w:sz w:val="24"/>
          <w:szCs w:val="24"/>
        </w:rPr>
        <w:t>several molecules other tha</w:t>
      </w:r>
      <w:r w:rsidR="00885C9C" w:rsidRPr="00F4231A">
        <w:rPr>
          <w:rFonts w:ascii="Book Antiqua" w:hAnsi="Book Antiqua" w:cs="Arial"/>
          <w:sz w:val="24"/>
          <w:szCs w:val="24"/>
        </w:rPr>
        <w:t>n LPS, including palmitic acid</w:t>
      </w:r>
      <w:r w:rsidR="0039137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391375" w:rsidRPr="00F4231A">
        <w:rPr>
          <w:rFonts w:ascii="Book Antiqua" w:hAnsi="Book Antiqua" w:cs="Arial"/>
          <w:sz w:val="24"/>
          <w:szCs w:val="24"/>
        </w:rPr>
        <w:instrText xml:space="preserve"> ADDIN EN.CITE </w:instrText>
      </w:r>
      <w:r w:rsidR="00391375"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391375" w:rsidRPr="00F4231A">
        <w:rPr>
          <w:rFonts w:ascii="Book Antiqua" w:hAnsi="Book Antiqua" w:cs="Arial"/>
          <w:sz w:val="24"/>
          <w:szCs w:val="24"/>
        </w:rPr>
        <w:instrText xml:space="preserve"> ADDIN EN.CITE.DATA </w:instrText>
      </w:r>
      <w:r w:rsidR="00391375" w:rsidRPr="00F4231A">
        <w:rPr>
          <w:rFonts w:ascii="Book Antiqua" w:hAnsi="Book Antiqua" w:cs="Arial"/>
          <w:sz w:val="24"/>
          <w:szCs w:val="24"/>
        </w:rPr>
      </w:r>
      <w:r w:rsidR="00391375" w:rsidRPr="00F4231A">
        <w:rPr>
          <w:rFonts w:ascii="Book Antiqua" w:hAnsi="Book Antiqua" w:cs="Arial"/>
          <w:sz w:val="24"/>
          <w:szCs w:val="24"/>
        </w:rPr>
        <w:fldChar w:fldCharType="end"/>
      </w:r>
      <w:r w:rsidR="00391375" w:rsidRPr="00F4231A">
        <w:rPr>
          <w:rFonts w:ascii="Book Antiqua" w:hAnsi="Book Antiqua" w:cs="Arial"/>
          <w:sz w:val="24"/>
          <w:szCs w:val="24"/>
        </w:rPr>
      </w:r>
      <w:r w:rsidR="00391375" w:rsidRPr="00F4231A">
        <w:rPr>
          <w:rFonts w:ascii="Book Antiqua" w:hAnsi="Book Antiqua" w:cs="Arial"/>
          <w:sz w:val="24"/>
          <w:szCs w:val="24"/>
        </w:rPr>
        <w:fldChar w:fldCharType="separate"/>
      </w:r>
      <w:r w:rsidR="00391375" w:rsidRPr="00F4231A">
        <w:rPr>
          <w:rFonts w:ascii="Book Antiqua" w:hAnsi="Book Antiqua" w:cs="Arial"/>
          <w:noProof/>
          <w:sz w:val="24"/>
          <w:szCs w:val="24"/>
          <w:vertAlign w:val="superscript"/>
        </w:rPr>
        <w:t>[</w:t>
      </w:r>
      <w:r w:rsidR="009E5C4E" w:rsidRPr="00F4231A">
        <w:rPr>
          <w:rFonts w:ascii="Book Antiqua" w:hAnsi="Book Antiqua" w:cs="Arial"/>
          <w:noProof/>
          <w:sz w:val="24"/>
          <w:szCs w:val="24"/>
          <w:vertAlign w:val="superscript"/>
        </w:rPr>
        <w:t>40</w:t>
      </w:r>
      <w:r w:rsidR="00391375" w:rsidRPr="00F4231A">
        <w:rPr>
          <w:rFonts w:ascii="Book Antiqua" w:hAnsi="Book Antiqua" w:cs="Arial"/>
          <w:noProof/>
          <w:sz w:val="24"/>
          <w:szCs w:val="24"/>
          <w:vertAlign w:val="superscript"/>
        </w:rPr>
        <w:t>]</w:t>
      </w:r>
      <w:r w:rsidR="00391375" w:rsidRPr="00F4231A">
        <w:rPr>
          <w:rFonts w:ascii="Book Antiqua" w:hAnsi="Book Antiqua" w:cs="Arial"/>
          <w:sz w:val="24"/>
          <w:szCs w:val="24"/>
        </w:rPr>
        <w:fldChar w:fldCharType="end"/>
      </w:r>
      <w:r w:rsidR="00CB79F5" w:rsidRPr="00F4231A">
        <w:rPr>
          <w:rFonts w:ascii="Book Antiqua" w:hAnsi="Book Antiqua" w:cs="Arial"/>
          <w:sz w:val="24"/>
          <w:szCs w:val="24"/>
        </w:rPr>
        <w:t>.</w:t>
      </w:r>
    </w:p>
    <w:p w:rsidR="00696653" w:rsidRPr="00F4231A" w:rsidRDefault="00C63A73" w:rsidP="00F4231A">
      <w:pPr>
        <w:pStyle w:val="15"/>
        <w:snapToGrid w:val="0"/>
        <w:ind w:firstLineChars="100" w:firstLine="240"/>
        <w:rPr>
          <w:rFonts w:ascii="Book Antiqua" w:hAnsi="Book Antiqua" w:cs="Arial"/>
          <w:sz w:val="24"/>
          <w:szCs w:val="24"/>
        </w:rPr>
      </w:pPr>
      <w:r w:rsidRPr="00F4231A">
        <w:rPr>
          <w:rFonts w:ascii="Book Antiqua" w:hAnsi="Book Antiqua" w:cs="Arial"/>
          <w:sz w:val="24"/>
          <w:szCs w:val="24"/>
        </w:rPr>
        <w:t xml:space="preserve">A key limitation of </w:t>
      </w:r>
      <w:r w:rsidR="00ED1098" w:rsidRPr="00F4231A">
        <w:rPr>
          <w:rFonts w:ascii="Book Antiqua" w:hAnsi="Book Antiqua" w:cs="Arial"/>
          <w:sz w:val="24"/>
          <w:szCs w:val="24"/>
        </w:rPr>
        <w:t xml:space="preserve">this study was that </w:t>
      </w:r>
      <w:r w:rsidRPr="00F4231A">
        <w:rPr>
          <w:rFonts w:ascii="Book Antiqua" w:hAnsi="Book Antiqua" w:cs="Arial"/>
          <w:sz w:val="24"/>
          <w:szCs w:val="24"/>
        </w:rPr>
        <w:t>it</w:t>
      </w:r>
      <w:r w:rsidR="009764ED" w:rsidRPr="00F4231A">
        <w:rPr>
          <w:rFonts w:ascii="Book Antiqua" w:hAnsi="Book Antiqua" w:cs="Arial"/>
          <w:sz w:val="24"/>
          <w:szCs w:val="24"/>
        </w:rPr>
        <w:t xml:space="preserve"> did </w:t>
      </w:r>
      <w:r w:rsidR="00C848E8" w:rsidRPr="00F4231A">
        <w:rPr>
          <w:rFonts w:ascii="Book Antiqua" w:hAnsi="Book Antiqua" w:cs="Arial"/>
          <w:sz w:val="24"/>
          <w:szCs w:val="24"/>
        </w:rPr>
        <w:t xml:space="preserve">not </w:t>
      </w:r>
      <w:r w:rsidRPr="00F4231A">
        <w:rPr>
          <w:rFonts w:ascii="Book Antiqua" w:hAnsi="Book Antiqua" w:cs="Arial"/>
          <w:sz w:val="24"/>
          <w:szCs w:val="24"/>
        </w:rPr>
        <w:t xml:space="preserve">directly </w:t>
      </w:r>
      <w:r w:rsidR="00C848E8" w:rsidRPr="00F4231A">
        <w:rPr>
          <w:rFonts w:ascii="Book Antiqua" w:hAnsi="Book Antiqua" w:cs="Arial"/>
          <w:sz w:val="24"/>
          <w:szCs w:val="24"/>
        </w:rPr>
        <w:t>measure LPS concentration</w:t>
      </w:r>
      <w:r w:rsidR="00ED1098" w:rsidRPr="00F4231A">
        <w:rPr>
          <w:rFonts w:ascii="Book Antiqua" w:hAnsi="Book Antiqua" w:cs="Arial"/>
          <w:sz w:val="24"/>
          <w:szCs w:val="24"/>
        </w:rPr>
        <w:t xml:space="preserve">s. </w:t>
      </w:r>
      <w:r w:rsidR="001F361C" w:rsidRPr="00F4231A">
        <w:rPr>
          <w:rFonts w:ascii="Book Antiqua" w:hAnsi="Book Antiqua" w:cs="Arial"/>
          <w:sz w:val="24"/>
          <w:szCs w:val="24"/>
        </w:rPr>
        <w:t xml:space="preserve">Since </w:t>
      </w:r>
      <w:r w:rsidR="007E5840" w:rsidRPr="00F4231A">
        <w:rPr>
          <w:rFonts w:ascii="Book Antiqua" w:hAnsi="Book Antiqua" w:cs="Arial"/>
          <w:sz w:val="24"/>
          <w:szCs w:val="24"/>
        </w:rPr>
        <w:t xml:space="preserve">the present </w:t>
      </w:r>
      <w:r w:rsidRPr="00F4231A">
        <w:rPr>
          <w:rFonts w:ascii="Book Antiqua" w:hAnsi="Book Antiqua" w:cs="Arial"/>
          <w:sz w:val="24"/>
          <w:szCs w:val="24"/>
        </w:rPr>
        <w:t xml:space="preserve">investigation used </w:t>
      </w:r>
      <w:r w:rsidR="0073197E" w:rsidRPr="00F4231A">
        <w:rPr>
          <w:rFonts w:ascii="Book Antiqua" w:hAnsi="Book Antiqua" w:cs="Arial"/>
          <w:sz w:val="24"/>
          <w:szCs w:val="24"/>
        </w:rPr>
        <w:t xml:space="preserve">cryogenically </w:t>
      </w:r>
      <w:r w:rsidRPr="00F4231A">
        <w:rPr>
          <w:rFonts w:ascii="Book Antiqua" w:hAnsi="Book Antiqua" w:cs="Arial"/>
          <w:sz w:val="24"/>
          <w:szCs w:val="24"/>
        </w:rPr>
        <w:t xml:space="preserve">stored </w:t>
      </w:r>
      <w:r w:rsidR="001F361C" w:rsidRPr="00F4231A">
        <w:rPr>
          <w:rFonts w:ascii="Book Antiqua" w:hAnsi="Book Antiqua" w:cs="Arial"/>
          <w:sz w:val="24"/>
          <w:szCs w:val="24"/>
        </w:rPr>
        <w:t>samples</w:t>
      </w:r>
      <w:r w:rsidR="007E5840" w:rsidRPr="00F4231A">
        <w:rPr>
          <w:rFonts w:ascii="Book Antiqua" w:hAnsi="Book Antiqua" w:cs="Arial"/>
          <w:sz w:val="24"/>
          <w:szCs w:val="24"/>
        </w:rPr>
        <w:t xml:space="preserve">, </w:t>
      </w:r>
      <w:r w:rsidR="001F361C" w:rsidRPr="00F4231A">
        <w:rPr>
          <w:rFonts w:ascii="Book Antiqua" w:hAnsi="Book Antiqua" w:cs="Arial"/>
          <w:sz w:val="24"/>
          <w:szCs w:val="24"/>
        </w:rPr>
        <w:t xml:space="preserve">we were concerned about </w:t>
      </w:r>
      <w:r w:rsidRPr="00F4231A">
        <w:rPr>
          <w:rFonts w:ascii="Book Antiqua" w:hAnsi="Book Antiqua" w:cs="Arial"/>
          <w:sz w:val="24"/>
          <w:szCs w:val="24"/>
        </w:rPr>
        <w:t xml:space="preserve">the </w:t>
      </w:r>
      <w:r w:rsidR="00586EF5" w:rsidRPr="00F4231A">
        <w:rPr>
          <w:rFonts w:ascii="Book Antiqua" w:hAnsi="Book Antiqua" w:cs="Arial"/>
          <w:sz w:val="24"/>
          <w:szCs w:val="24"/>
        </w:rPr>
        <w:t>accuracy of LPS value</w:t>
      </w:r>
      <w:r w:rsidRPr="00F4231A">
        <w:rPr>
          <w:rFonts w:ascii="Book Antiqua" w:hAnsi="Book Antiqua" w:cs="Arial"/>
          <w:sz w:val="24"/>
          <w:szCs w:val="24"/>
        </w:rPr>
        <w:t xml:space="preserve"> measurement</w:t>
      </w:r>
      <w:r w:rsidR="00586EF5" w:rsidRPr="00F4231A">
        <w:rPr>
          <w:rFonts w:ascii="Book Antiqua" w:hAnsi="Book Antiqua" w:cs="Arial"/>
          <w:sz w:val="24"/>
          <w:szCs w:val="24"/>
        </w:rPr>
        <w:t xml:space="preserve"> due to </w:t>
      </w:r>
      <w:r w:rsidRPr="00F4231A">
        <w:rPr>
          <w:rFonts w:ascii="Book Antiqua" w:hAnsi="Book Antiqua" w:cs="Arial"/>
          <w:sz w:val="24"/>
          <w:szCs w:val="24"/>
        </w:rPr>
        <w:t xml:space="preserve">the </w:t>
      </w:r>
      <w:r w:rsidR="001F361C" w:rsidRPr="00F4231A">
        <w:rPr>
          <w:rFonts w:ascii="Book Antiqua" w:hAnsi="Book Antiqua" w:cs="Arial"/>
          <w:sz w:val="24"/>
          <w:szCs w:val="24"/>
        </w:rPr>
        <w:t>abovementioned fl</w:t>
      </w:r>
      <w:r w:rsidR="00586EF5" w:rsidRPr="00F4231A">
        <w:rPr>
          <w:rFonts w:ascii="Book Antiqua" w:hAnsi="Book Antiqua" w:cs="Arial"/>
          <w:sz w:val="24"/>
          <w:szCs w:val="24"/>
        </w:rPr>
        <w:t xml:space="preserve">aws </w:t>
      </w:r>
      <w:r w:rsidRPr="00F4231A">
        <w:rPr>
          <w:rFonts w:ascii="Book Antiqua" w:hAnsi="Book Antiqua" w:cs="Arial"/>
          <w:sz w:val="24"/>
          <w:szCs w:val="24"/>
        </w:rPr>
        <w:t>in</w:t>
      </w:r>
      <w:r w:rsidR="00586EF5" w:rsidRPr="00F4231A">
        <w:rPr>
          <w:rFonts w:ascii="Book Antiqua" w:hAnsi="Book Antiqua" w:cs="Arial"/>
          <w:sz w:val="24"/>
          <w:szCs w:val="24"/>
        </w:rPr>
        <w:t xml:space="preserve"> </w:t>
      </w:r>
      <w:r w:rsidR="00ED1098" w:rsidRPr="00F4231A">
        <w:rPr>
          <w:rFonts w:ascii="Book Antiqua" w:hAnsi="Book Antiqua" w:cs="Arial"/>
          <w:sz w:val="24"/>
          <w:szCs w:val="24"/>
        </w:rPr>
        <w:t xml:space="preserve">the </w:t>
      </w:r>
      <w:r w:rsidR="00586EF5" w:rsidRPr="00F4231A">
        <w:rPr>
          <w:rFonts w:ascii="Book Antiqua" w:hAnsi="Book Antiqua" w:cs="Arial"/>
          <w:sz w:val="24"/>
          <w:szCs w:val="24"/>
        </w:rPr>
        <w:t>LPS</w:t>
      </w:r>
      <w:r w:rsidR="00ED1098" w:rsidRPr="00F4231A">
        <w:rPr>
          <w:rFonts w:ascii="Book Antiqua" w:hAnsi="Book Antiqua" w:cs="Arial"/>
          <w:sz w:val="24"/>
          <w:szCs w:val="24"/>
        </w:rPr>
        <w:t xml:space="preserve"> assay</w:t>
      </w:r>
      <w:r w:rsidR="00586EF5" w:rsidRPr="00F4231A">
        <w:rPr>
          <w:rFonts w:ascii="Book Antiqua" w:hAnsi="Book Antiqua" w:cs="Arial"/>
          <w:sz w:val="24"/>
          <w:szCs w:val="24"/>
        </w:rPr>
        <w:t xml:space="preserve"> system</w:t>
      </w:r>
      <w:r w:rsidR="007E5840" w:rsidRPr="00F4231A">
        <w:rPr>
          <w:rFonts w:ascii="Book Antiqua" w:hAnsi="Book Antiqua" w:cs="Arial"/>
          <w:sz w:val="24"/>
          <w:szCs w:val="24"/>
        </w:rPr>
        <w:t xml:space="preserve">. </w:t>
      </w:r>
      <w:r w:rsidRPr="00F4231A">
        <w:rPr>
          <w:rFonts w:ascii="Book Antiqua" w:hAnsi="Book Antiqua" w:cs="Arial"/>
          <w:sz w:val="24"/>
          <w:szCs w:val="24"/>
        </w:rPr>
        <w:t xml:space="preserve">Future studies will benefit from </w:t>
      </w:r>
      <w:r w:rsidR="00BC0ED6" w:rsidRPr="00F4231A">
        <w:rPr>
          <w:rFonts w:ascii="Book Antiqua" w:hAnsi="Book Antiqua" w:cs="Arial"/>
          <w:sz w:val="24"/>
          <w:szCs w:val="24"/>
        </w:rPr>
        <w:t xml:space="preserve">assessment of </w:t>
      </w:r>
      <w:r w:rsidR="00B21F2D" w:rsidRPr="00F4231A">
        <w:rPr>
          <w:rFonts w:ascii="Book Antiqua" w:hAnsi="Book Antiqua" w:cs="Arial"/>
          <w:sz w:val="24"/>
          <w:szCs w:val="24"/>
        </w:rPr>
        <w:t>LPS using freshly prepared serum</w:t>
      </w:r>
      <w:r w:rsidR="00ED1098" w:rsidRPr="00F4231A">
        <w:rPr>
          <w:rFonts w:ascii="Book Antiqua" w:hAnsi="Book Antiqua" w:cs="Arial"/>
          <w:sz w:val="24"/>
          <w:szCs w:val="24"/>
        </w:rPr>
        <w:t xml:space="preserve"> samples</w:t>
      </w:r>
      <w:r w:rsidR="00BC0ED6" w:rsidRPr="00F4231A">
        <w:rPr>
          <w:rFonts w:ascii="Book Antiqua" w:hAnsi="Book Antiqua" w:cs="Arial"/>
          <w:sz w:val="24"/>
          <w:szCs w:val="24"/>
        </w:rPr>
        <w:t xml:space="preserve"> along with </w:t>
      </w:r>
      <w:r w:rsidR="00FF4B7F" w:rsidRPr="00F4231A">
        <w:rPr>
          <w:rFonts w:ascii="Book Antiqua" w:hAnsi="Book Antiqua" w:cs="Arial"/>
          <w:sz w:val="24"/>
          <w:szCs w:val="24"/>
        </w:rPr>
        <w:t>improvement</w:t>
      </w:r>
      <w:r w:rsidR="00E9634D" w:rsidRPr="00F4231A">
        <w:rPr>
          <w:rFonts w:ascii="Book Antiqua" w:hAnsi="Book Antiqua" w:cs="Arial"/>
          <w:sz w:val="24"/>
          <w:szCs w:val="24"/>
        </w:rPr>
        <w:t xml:space="preserve">s in </w:t>
      </w:r>
      <w:r w:rsidR="00FF4B7F" w:rsidRPr="00F4231A">
        <w:rPr>
          <w:rFonts w:ascii="Book Antiqua" w:hAnsi="Book Antiqua" w:cs="Arial"/>
          <w:sz w:val="24"/>
          <w:szCs w:val="24"/>
        </w:rPr>
        <w:t>LPS assay system</w:t>
      </w:r>
      <w:r w:rsidR="00BC0ED6" w:rsidRPr="00F4231A">
        <w:rPr>
          <w:rFonts w:ascii="Book Antiqua" w:hAnsi="Book Antiqua" w:cs="Arial"/>
          <w:sz w:val="24"/>
          <w:szCs w:val="24"/>
        </w:rPr>
        <w:t xml:space="preserve">s. </w:t>
      </w:r>
      <w:r w:rsidR="00696653" w:rsidRPr="00F4231A">
        <w:rPr>
          <w:rFonts w:ascii="Book Antiqua" w:hAnsi="Book Antiqua" w:cs="Arial"/>
          <w:sz w:val="24"/>
          <w:szCs w:val="24"/>
        </w:rPr>
        <w:t xml:space="preserve">Another limitation was </w:t>
      </w:r>
      <w:r w:rsidR="00ED1098" w:rsidRPr="00F4231A">
        <w:rPr>
          <w:rFonts w:ascii="Book Antiqua" w:hAnsi="Book Antiqua" w:cs="Arial"/>
          <w:sz w:val="24"/>
          <w:szCs w:val="24"/>
        </w:rPr>
        <w:t xml:space="preserve">that we </w:t>
      </w:r>
      <w:r w:rsidR="005A7816" w:rsidRPr="00F4231A">
        <w:rPr>
          <w:rFonts w:ascii="Book Antiqua" w:hAnsi="Book Antiqua" w:cs="Arial"/>
          <w:sz w:val="24"/>
          <w:szCs w:val="24"/>
        </w:rPr>
        <w:t xml:space="preserve">could not examine the </w:t>
      </w:r>
      <w:r w:rsidR="00B21F2D" w:rsidRPr="00F4231A">
        <w:rPr>
          <w:rFonts w:ascii="Book Antiqua" w:hAnsi="Book Antiqua" w:cs="Arial"/>
          <w:sz w:val="24"/>
          <w:szCs w:val="24"/>
        </w:rPr>
        <w:t xml:space="preserve">association between LBP and </w:t>
      </w:r>
      <w:r w:rsidR="005A7816" w:rsidRPr="00F4231A">
        <w:rPr>
          <w:rFonts w:ascii="Book Antiqua" w:hAnsi="Book Antiqua" w:cs="Arial"/>
          <w:i/>
          <w:sz w:val="24"/>
          <w:szCs w:val="24"/>
        </w:rPr>
        <w:t>PNPLA3</w:t>
      </w:r>
      <w:r w:rsidR="00696653" w:rsidRPr="00F4231A">
        <w:rPr>
          <w:rFonts w:ascii="Book Antiqua" w:hAnsi="Book Antiqua" w:cs="Arial"/>
          <w:sz w:val="24"/>
          <w:szCs w:val="24"/>
        </w:rPr>
        <w:t xml:space="preserve"> </w:t>
      </w:r>
      <w:r w:rsidR="005A7816" w:rsidRPr="00F4231A">
        <w:rPr>
          <w:rFonts w:ascii="Book Antiqua" w:hAnsi="Book Antiqua" w:cs="Arial"/>
          <w:sz w:val="24"/>
          <w:szCs w:val="24"/>
        </w:rPr>
        <w:t>polymorphism</w:t>
      </w:r>
      <w:r w:rsidR="00BC0ED6" w:rsidRPr="00F4231A">
        <w:rPr>
          <w:rFonts w:ascii="Book Antiqua" w:hAnsi="Book Antiqua" w:cs="Arial"/>
          <w:sz w:val="24"/>
          <w:szCs w:val="24"/>
        </w:rPr>
        <w:t xml:space="preserve">s, which might impact </w:t>
      </w:r>
      <w:r w:rsidR="00B21F2D" w:rsidRPr="00F4231A">
        <w:rPr>
          <w:rFonts w:ascii="Book Antiqua" w:hAnsi="Book Antiqua" w:cs="Arial"/>
          <w:sz w:val="24"/>
          <w:szCs w:val="24"/>
        </w:rPr>
        <w:t xml:space="preserve">the </w:t>
      </w:r>
      <w:r w:rsidR="00157B12" w:rsidRPr="00F4231A">
        <w:rPr>
          <w:rFonts w:ascii="Book Antiqua" w:hAnsi="Book Antiqua" w:cs="Arial"/>
          <w:sz w:val="24"/>
          <w:szCs w:val="24"/>
        </w:rPr>
        <w:t xml:space="preserve">degree </w:t>
      </w:r>
      <w:r w:rsidR="00B21F2D" w:rsidRPr="00F4231A">
        <w:rPr>
          <w:rFonts w:ascii="Book Antiqua" w:hAnsi="Book Antiqua" w:cs="Arial"/>
          <w:sz w:val="24"/>
          <w:szCs w:val="24"/>
        </w:rPr>
        <w:t xml:space="preserve">of </w:t>
      </w:r>
      <w:r w:rsidR="00FF4B7F" w:rsidRPr="00F4231A">
        <w:rPr>
          <w:rFonts w:ascii="Book Antiqua" w:hAnsi="Book Antiqua" w:cs="Arial"/>
          <w:sz w:val="24"/>
          <w:szCs w:val="24"/>
        </w:rPr>
        <w:t xml:space="preserve">hepatic </w:t>
      </w:r>
      <w:r w:rsidR="00B21F2D" w:rsidRPr="00F4231A">
        <w:rPr>
          <w:rFonts w:ascii="Book Antiqua" w:hAnsi="Book Antiqua" w:cs="Arial"/>
          <w:sz w:val="24"/>
          <w:szCs w:val="24"/>
        </w:rPr>
        <w:t>steatosis</w:t>
      </w:r>
      <w:r w:rsidR="00696653" w:rsidRPr="00F4231A">
        <w:rPr>
          <w:rFonts w:ascii="Book Antiqua" w:hAnsi="Book Antiqua" w:cs="Arial"/>
          <w:sz w:val="24"/>
          <w:szCs w:val="24"/>
        </w:rPr>
        <w:t xml:space="preserve">. </w:t>
      </w:r>
      <w:r w:rsidR="00B21F2D" w:rsidRPr="00F4231A">
        <w:rPr>
          <w:rFonts w:ascii="Book Antiqua" w:hAnsi="Book Antiqua" w:cs="Arial"/>
          <w:sz w:val="24"/>
          <w:szCs w:val="24"/>
        </w:rPr>
        <w:t>H</w:t>
      </w:r>
      <w:r w:rsidR="00ED1098" w:rsidRPr="00F4231A">
        <w:rPr>
          <w:rFonts w:ascii="Book Antiqua" w:hAnsi="Book Antiqua" w:cs="Arial"/>
          <w:sz w:val="24"/>
          <w:szCs w:val="24"/>
        </w:rPr>
        <w:t xml:space="preserve">owever, a recent study </w:t>
      </w:r>
      <w:r w:rsidR="00041AB7" w:rsidRPr="00F4231A">
        <w:rPr>
          <w:rFonts w:ascii="Book Antiqua" w:hAnsi="Book Antiqua" w:cs="Arial"/>
          <w:sz w:val="24"/>
          <w:szCs w:val="24"/>
        </w:rPr>
        <w:t>showed</w:t>
      </w:r>
      <w:r w:rsidR="002D26CC" w:rsidRPr="00F4231A">
        <w:rPr>
          <w:rFonts w:ascii="Book Antiqua" w:hAnsi="Book Antiqua" w:cs="Arial"/>
          <w:sz w:val="24"/>
          <w:szCs w:val="24"/>
        </w:rPr>
        <w:t xml:space="preserve"> </w:t>
      </w:r>
      <w:r w:rsidR="00B21F2D" w:rsidRPr="00F4231A">
        <w:rPr>
          <w:rFonts w:ascii="Book Antiqua" w:hAnsi="Book Antiqua" w:cs="Arial"/>
          <w:sz w:val="24"/>
          <w:szCs w:val="24"/>
        </w:rPr>
        <w:t xml:space="preserve">no relationship between </w:t>
      </w:r>
      <w:r w:rsidR="005A7816" w:rsidRPr="00F4231A">
        <w:rPr>
          <w:rFonts w:ascii="Book Antiqua" w:hAnsi="Book Antiqua" w:cs="Arial"/>
          <w:i/>
          <w:sz w:val="24"/>
          <w:szCs w:val="24"/>
        </w:rPr>
        <w:t>PNPLA3</w:t>
      </w:r>
      <w:r w:rsidR="005A7816" w:rsidRPr="00F4231A">
        <w:rPr>
          <w:rFonts w:ascii="Book Antiqua" w:hAnsi="Book Antiqua" w:cs="Arial"/>
          <w:sz w:val="24"/>
          <w:szCs w:val="24"/>
        </w:rPr>
        <w:t xml:space="preserve"> variant</w:t>
      </w:r>
      <w:r w:rsidR="00BC0ED6" w:rsidRPr="00F4231A">
        <w:rPr>
          <w:rFonts w:ascii="Book Antiqua" w:hAnsi="Book Antiqua" w:cs="Arial"/>
          <w:sz w:val="24"/>
          <w:szCs w:val="24"/>
        </w:rPr>
        <w:t>s</w:t>
      </w:r>
      <w:r w:rsidR="005A7816" w:rsidRPr="00F4231A">
        <w:rPr>
          <w:rFonts w:ascii="Book Antiqua" w:hAnsi="Book Antiqua" w:cs="Arial"/>
          <w:sz w:val="24"/>
          <w:szCs w:val="24"/>
        </w:rPr>
        <w:t xml:space="preserve"> </w:t>
      </w:r>
      <w:r w:rsidR="00B21F2D" w:rsidRPr="00F4231A">
        <w:rPr>
          <w:rFonts w:ascii="Book Antiqua" w:hAnsi="Book Antiqua" w:cs="Arial"/>
          <w:sz w:val="24"/>
          <w:szCs w:val="24"/>
        </w:rPr>
        <w:t xml:space="preserve">and </w:t>
      </w:r>
      <w:r w:rsidR="005A7816" w:rsidRPr="00F4231A">
        <w:rPr>
          <w:rFonts w:ascii="Book Antiqua" w:hAnsi="Book Antiqua" w:cs="Arial"/>
          <w:sz w:val="24"/>
          <w:szCs w:val="24"/>
        </w:rPr>
        <w:t xml:space="preserve">circulating LBP levels in </w:t>
      </w:r>
      <w:r w:rsidR="00FC4B2C" w:rsidRPr="00F4231A">
        <w:rPr>
          <w:rFonts w:ascii="Book Antiqua" w:hAnsi="Book Antiqua" w:cs="Arial"/>
          <w:sz w:val="24"/>
          <w:szCs w:val="24"/>
        </w:rPr>
        <w:t xml:space="preserve">chronic </w:t>
      </w:r>
      <w:r w:rsidR="00B21F2D" w:rsidRPr="00F4231A">
        <w:rPr>
          <w:rFonts w:ascii="Book Antiqua" w:hAnsi="Book Antiqua" w:cs="Arial"/>
          <w:sz w:val="24"/>
          <w:szCs w:val="24"/>
        </w:rPr>
        <w:t>hepatitis C</w:t>
      </w:r>
      <w:r w:rsidR="005A7816" w:rsidRPr="00F4231A">
        <w:rPr>
          <w:rFonts w:ascii="Book Antiqua" w:hAnsi="Book Antiqua" w:cs="Arial"/>
          <w:sz w:val="24"/>
          <w:szCs w:val="24"/>
        </w:rPr>
        <w:t xml:space="preserve"> patients</w:t>
      </w:r>
      <w:r w:rsidR="00B21F2D" w:rsidRPr="00F4231A">
        <w:rPr>
          <w:rFonts w:ascii="Book Antiqua" w:hAnsi="Book Antiqua" w:cs="Arial"/>
          <w:sz w:val="24"/>
          <w:szCs w:val="24"/>
          <w:vertAlign w:val="superscript"/>
        </w:rPr>
        <w:t>[41]</w:t>
      </w:r>
      <w:r w:rsidR="00CB79F5" w:rsidRPr="00F4231A">
        <w:rPr>
          <w:rFonts w:ascii="Book Antiqua" w:hAnsi="Book Antiqua" w:cs="Arial"/>
          <w:sz w:val="24"/>
          <w:szCs w:val="24"/>
        </w:rPr>
        <w:t>.</w:t>
      </w:r>
    </w:p>
    <w:p w:rsidR="009B1994" w:rsidRPr="00DD0F66" w:rsidRDefault="00F8588A" w:rsidP="00F4231A">
      <w:pPr>
        <w:pStyle w:val="15"/>
        <w:snapToGrid w:val="0"/>
        <w:ind w:firstLineChars="100" w:firstLine="240"/>
        <w:rPr>
          <w:rFonts w:ascii="Book Antiqua" w:eastAsia="SimSun" w:hAnsi="Book Antiqua" w:cs="Arial"/>
          <w:sz w:val="24"/>
          <w:szCs w:val="24"/>
          <w:lang w:eastAsia="zh-CN"/>
        </w:rPr>
      </w:pPr>
      <w:r w:rsidRPr="00F4231A">
        <w:rPr>
          <w:rFonts w:ascii="Book Antiqua" w:hAnsi="Book Antiqua" w:cs="Arial"/>
          <w:sz w:val="24"/>
          <w:szCs w:val="24"/>
        </w:rPr>
        <w:t>It is reasonable to consider that chronic LPS challenge to steatotic livers</w:t>
      </w:r>
      <w:r w:rsidR="007D32F6" w:rsidRPr="00F4231A">
        <w:rPr>
          <w:rFonts w:ascii="Book Antiqua" w:hAnsi="Book Antiqua" w:cs="Arial"/>
          <w:sz w:val="24"/>
          <w:szCs w:val="24"/>
        </w:rPr>
        <w:t xml:space="preserve">, such as </w:t>
      </w:r>
      <w:r w:rsidRPr="00F4231A">
        <w:rPr>
          <w:rFonts w:ascii="Book Antiqua" w:hAnsi="Book Antiqua" w:cs="Arial"/>
          <w:sz w:val="24"/>
          <w:szCs w:val="24"/>
        </w:rPr>
        <w:t xml:space="preserve">NAFLD accompanied with severe gingivitis </w:t>
      </w:r>
      <w:r w:rsidR="00662763" w:rsidRPr="00F4231A">
        <w:rPr>
          <w:rFonts w:ascii="Book Antiqua" w:hAnsi="Book Antiqua" w:cs="Arial"/>
          <w:sz w:val="24"/>
          <w:szCs w:val="24"/>
        </w:rPr>
        <w:t>or</w:t>
      </w:r>
      <w:r w:rsidRPr="00F4231A">
        <w:rPr>
          <w:rFonts w:ascii="Book Antiqua" w:hAnsi="Book Antiqua" w:cs="Arial"/>
          <w:sz w:val="24"/>
          <w:szCs w:val="24"/>
        </w:rPr>
        <w:t xml:space="preserve"> inflammatory bow</w:t>
      </w:r>
      <w:r w:rsidR="007D32F6" w:rsidRPr="00F4231A">
        <w:rPr>
          <w:rFonts w:ascii="Book Antiqua" w:hAnsi="Book Antiqua" w:cs="Arial"/>
          <w:sz w:val="24"/>
          <w:szCs w:val="24"/>
        </w:rPr>
        <w:t xml:space="preserve">el disease, may be detrimental to liver condition. </w:t>
      </w:r>
      <w:r w:rsidRPr="00F4231A">
        <w:rPr>
          <w:rFonts w:ascii="Book Antiqua" w:hAnsi="Book Antiqua" w:cs="Arial"/>
          <w:sz w:val="24"/>
          <w:szCs w:val="24"/>
        </w:rPr>
        <w:t>However</w:t>
      </w:r>
      <w:r w:rsidR="007D32F6" w:rsidRPr="00F4231A">
        <w:rPr>
          <w:rFonts w:ascii="Book Antiqua" w:hAnsi="Book Antiqua" w:cs="Arial"/>
          <w:sz w:val="24"/>
          <w:szCs w:val="24"/>
        </w:rPr>
        <w:t xml:space="preserve">, establishing a </w:t>
      </w:r>
      <w:r w:rsidR="00A210AB" w:rsidRPr="00F4231A">
        <w:rPr>
          <w:rFonts w:ascii="Book Antiqua" w:hAnsi="Book Antiqua" w:cs="Arial"/>
          <w:sz w:val="24"/>
          <w:szCs w:val="24"/>
        </w:rPr>
        <w:t xml:space="preserve">key </w:t>
      </w:r>
      <w:r w:rsidR="007D32F6" w:rsidRPr="00F4231A">
        <w:rPr>
          <w:rFonts w:ascii="Book Antiqua" w:hAnsi="Book Antiqua" w:cs="Arial"/>
          <w:sz w:val="24"/>
          <w:szCs w:val="24"/>
        </w:rPr>
        <w:t xml:space="preserve">contribution of LPS to the histological severity of </w:t>
      </w:r>
      <w:r w:rsidRPr="00F4231A">
        <w:rPr>
          <w:rFonts w:ascii="Book Antiqua" w:hAnsi="Book Antiqua" w:cs="Arial"/>
          <w:sz w:val="24"/>
          <w:szCs w:val="24"/>
        </w:rPr>
        <w:t>human primary N</w:t>
      </w:r>
      <w:r w:rsidR="00F856F5" w:rsidRPr="00F4231A">
        <w:rPr>
          <w:rFonts w:ascii="Book Antiqua" w:hAnsi="Book Antiqua" w:cs="Arial"/>
          <w:sz w:val="24"/>
          <w:szCs w:val="24"/>
        </w:rPr>
        <w:t>ASH was</w:t>
      </w:r>
      <w:r w:rsidR="007D32F6" w:rsidRPr="00F4231A">
        <w:rPr>
          <w:rFonts w:ascii="Book Antiqua" w:hAnsi="Book Antiqua" w:cs="Arial"/>
          <w:sz w:val="24"/>
          <w:szCs w:val="24"/>
        </w:rPr>
        <w:t xml:space="preserve"> not possible in the current study. </w:t>
      </w:r>
      <w:r w:rsidR="00A210AB" w:rsidRPr="00F4231A">
        <w:rPr>
          <w:rFonts w:ascii="Book Antiqua" w:hAnsi="Book Antiqua" w:cs="Arial"/>
          <w:sz w:val="24"/>
          <w:szCs w:val="24"/>
        </w:rPr>
        <w:t xml:space="preserve">The </w:t>
      </w:r>
      <w:r w:rsidR="00FF41BA" w:rsidRPr="00F4231A">
        <w:rPr>
          <w:rFonts w:ascii="Book Antiqua" w:hAnsi="Book Antiqua" w:cs="Arial"/>
          <w:sz w:val="24"/>
          <w:szCs w:val="24"/>
        </w:rPr>
        <w:t xml:space="preserve">lack of appropriate endotoxin markers is </w:t>
      </w:r>
      <w:r w:rsidR="007D32F6" w:rsidRPr="00F4231A">
        <w:rPr>
          <w:rFonts w:ascii="Book Antiqua" w:hAnsi="Book Antiqua" w:cs="Arial"/>
          <w:sz w:val="24"/>
          <w:szCs w:val="24"/>
        </w:rPr>
        <w:t xml:space="preserve">a </w:t>
      </w:r>
      <w:r w:rsidR="00FF41BA" w:rsidRPr="00F4231A">
        <w:rPr>
          <w:rFonts w:ascii="Book Antiqua" w:hAnsi="Book Antiqua" w:cs="Arial"/>
          <w:sz w:val="24"/>
          <w:szCs w:val="24"/>
        </w:rPr>
        <w:t>ma</w:t>
      </w:r>
      <w:r w:rsidR="00415AAA" w:rsidRPr="00F4231A">
        <w:rPr>
          <w:rFonts w:ascii="Book Antiqua" w:hAnsi="Book Antiqua" w:cs="Arial"/>
          <w:sz w:val="24"/>
          <w:szCs w:val="24"/>
        </w:rPr>
        <w:t>jor</w:t>
      </w:r>
      <w:r w:rsidR="00FF41BA" w:rsidRPr="00F4231A">
        <w:rPr>
          <w:rFonts w:ascii="Book Antiqua" w:hAnsi="Book Antiqua" w:cs="Arial"/>
          <w:sz w:val="24"/>
          <w:szCs w:val="24"/>
        </w:rPr>
        <w:t xml:space="preserve"> limitation at present</w:t>
      </w:r>
      <w:r w:rsidR="007D32F6" w:rsidRPr="00F4231A">
        <w:rPr>
          <w:rFonts w:ascii="Book Antiqua" w:hAnsi="Book Antiqua" w:cs="Arial"/>
          <w:sz w:val="24"/>
          <w:szCs w:val="24"/>
        </w:rPr>
        <w:t>, as is the low sensitivity/specificity of LBP/EndoCab IgG assays. F</w:t>
      </w:r>
      <w:r w:rsidR="00AA0B9B" w:rsidRPr="00F4231A">
        <w:rPr>
          <w:rFonts w:ascii="Book Antiqua" w:hAnsi="Book Antiqua" w:cs="Arial"/>
          <w:sz w:val="24"/>
          <w:szCs w:val="24"/>
        </w:rPr>
        <w:t>urther i</w:t>
      </w:r>
      <w:r w:rsidR="007D32F6" w:rsidRPr="00F4231A">
        <w:rPr>
          <w:rFonts w:ascii="Book Antiqua" w:hAnsi="Book Antiqua" w:cs="Arial"/>
          <w:sz w:val="24"/>
          <w:szCs w:val="24"/>
        </w:rPr>
        <w:t xml:space="preserve">mprovements in </w:t>
      </w:r>
      <w:r w:rsidR="00AE6C8C" w:rsidRPr="00F4231A">
        <w:rPr>
          <w:rFonts w:ascii="Book Antiqua" w:hAnsi="Book Antiqua" w:cs="Arial"/>
          <w:sz w:val="24"/>
          <w:szCs w:val="24"/>
        </w:rPr>
        <w:t>LPS detection system</w:t>
      </w:r>
      <w:r w:rsidR="007D32F6" w:rsidRPr="00F4231A">
        <w:rPr>
          <w:rFonts w:ascii="Book Antiqua" w:hAnsi="Book Antiqua" w:cs="Arial"/>
          <w:sz w:val="24"/>
          <w:szCs w:val="24"/>
        </w:rPr>
        <w:t>s</w:t>
      </w:r>
      <w:r w:rsidR="00AE6C8C" w:rsidRPr="00F4231A">
        <w:rPr>
          <w:rFonts w:ascii="Book Antiqua" w:hAnsi="Book Antiqua" w:cs="Arial"/>
          <w:sz w:val="24"/>
          <w:szCs w:val="24"/>
        </w:rPr>
        <w:t xml:space="preserve"> </w:t>
      </w:r>
      <w:r w:rsidR="007C3C61" w:rsidRPr="00F4231A">
        <w:rPr>
          <w:rFonts w:ascii="Book Antiqua" w:hAnsi="Book Antiqua" w:cs="Arial"/>
          <w:sz w:val="24"/>
          <w:szCs w:val="24"/>
        </w:rPr>
        <w:t xml:space="preserve">may provide </w:t>
      </w:r>
      <w:r w:rsidR="00DE6C11" w:rsidRPr="00F4231A">
        <w:rPr>
          <w:rFonts w:ascii="Book Antiqua" w:hAnsi="Book Antiqua" w:cs="Arial"/>
          <w:sz w:val="24"/>
          <w:szCs w:val="24"/>
        </w:rPr>
        <w:t>nove</w:t>
      </w:r>
      <w:r w:rsidR="007C3C61" w:rsidRPr="00F4231A">
        <w:rPr>
          <w:rFonts w:ascii="Book Antiqua" w:hAnsi="Book Antiqua" w:cs="Arial"/>
          <w:sz w:val="24"/>
          <w:szCs w:val="24"/>
        </w:rPr>
        <w:t>l</w:t>
      </w:r>
      <w:r w:rsidR="00DE6C11" w:rsidRPr="00F4231A">
        <w:rPr>
          <w:rFonts w:ascii="Book Antiqua" w:hAnsi="Book Antiqua" w:cs="Arial"/>
          <w:sz w:val="24"/>
          <w:szCs w:val="24"/>
        </w:rPr>
        <w:t xml:space="preserve"> information</w:t>
      </w:r>
      <w:r w:rsidR="005A22A1" w:rsidRPr="00F4231A">
        <w:rPr>
          <w:rFonts w:ascii="Book Antiqua" w:hAnsi="Book Antiqua" w:cs="Arial"/>
          <w:sz w:val="24"/>
          <w:szCs w:val="24"/>
        </w:rPr>
        <w:t xml:space="preserve"> on </w:t>
      </w:r>
      <w:r w:rsidR="00AE6C8C" w:rsidRPr="00F4231A">
        <w:rPr>
          <w:rFonts w:ascii="Book Antiqua" w:hAnsi="Book Antiqua" w:cs="Arial"/>
          <w:sz w:val="24"/>
          <w:szCs w:val="24"/>
        </w:rPr>
        <w:t xml:space="preserve">the </w:t>
      </w:r>
      <w:r w:rsidR="009B1994" w:rsidRPr="00F4231A">
        <w:rPr>
          <w:rFonts w:ascii="Book Antiqua" w:hAnsi="Book Antiqua" w:cs="Arial"/>
          <w:sz w:val="24"/>
          <w:szCs w:val="24"/>
        </w:rPr>
        <w:t xml:space="preserve">role </w:t>
      </w:r>
      <w:r w:rsidR="00AE6C8C" w:rsidRPr="00F4231A">
        <w:rPr>
          <w:rFonts w:ascii="Book Antiqua" w:hAnsi="Book Antiqua" w:cs="Arial"/>
          <w:sz w:val="24"/>
          <w:szCs w:val="24"/>
        </w:rPr>
        <w:t>of LPS</w:t>
      </w:r>
      <w:r w:rsidR="007F211D" w:rsidRPr="00F4231A">
        <w:rPr>
          <w:rFonts w:ascii="Book Antiqua" w:hAnsi="Book Antiqua" w:cs="Arial"/>
          <w:sz w:val="24"/>
          <w:szCs w:val="24"/>
        </w:rPr>
        <w:t>/endotox</w:t>
      </w:r>
      <w:r w:rsidR="00FF41BA" w:rsidRPr="00F4231A">
        <w:rPr>
          <w:rFonts w:ascii="Book Antiqua" w:hAnsi="Book Antiqua" w:cs="Arial"/>
          <w:sz w:val="24"/>
          <w:szCs w:val="24"/>
        </w:rPr>
        <w:t>emia</w:t>
      </w:r>
      <w:r w:rsidR="00AE6C8C" w:rsidRPr="00F4231A">
        <w:rPr>
          <w:rFonts w:ascii="Book Antiqua" w:hAnsi="Book Antiqua" w:cs="Arial"/>
          <w:sz w:val="24"/>
          <w:szCs w:val="24"/>
        </w:rPr>
        <w:t xml:space="preserve"> </w:t>
      </w:r>
      <w:r w:rsidR="005A22A1" w:rsidRPr="00F4231A">
        <w:rPr>
          <w:rFonts w:ascii="Book Antiqua" w:hAnsi="Book Antiqua" w:cs="Arial"/>
          <w:sz w:val="24"/>
          <w:szCs w:val="24"/>
        </w:rPr>
        <w:t xml:space="preserve">in </w:t>
      </w:r>
      <w:r w:rsidR="009B1994" w:rsidRPr="00F4231A">
        <w:rPr>
          <w:rFonts w:ascii="Book Antiqua" w:hAnsi="Book Antiqua" w:cs="Arial"/>
          <w:sz w:val="24"/>
          <w:szCs w:val="24"/>
        </w:rPr>
        <w:t xml:space="preserve">the pathogenesis of </w:t>
      </w:r>
      <w:r w:rsidR="002F18AD" w:rsidRPr="00F4231A">
        <w:rPr>
          <w:rFonts w:ascii="Book Antiqua" w:hAnsi="Book Antiqua" w:cs="Arial"/>
          <w:sz w:val="24"/>
          <w:szCs w:val="24"/>
        </w:rPr>
        <w:t>conventional</w:t>
      </w:r>
      <w:r w:rsidR="00A210AB" w:rsidRPr="00F4231A">
        <w:rPr>
          <w:rFonts w:ascii="Book Antiqua" w:hAnsi="Book Antiqua" w:cs="Arial"/>
          <w:sz w:val="24"/>
          <w:szCs w:val="24"/>
        </w:rPr>
        <w:t xml:space="preserve"> </w:t>
      </w:r>
      <w:r w:rsidR="009B1994" w:rsidRPr="00F4231A">
        <w:rPr>
          <w:rFonts w:ascii="Book Antiqua" w:hAnsi="Book Antiqua" w:cs="Arial"/>
          <w:sz w:val="24"/>
          <w:szCs w:val="24"/>
        </w:rPr>
        <w:t>NASH</w:t>
      </w:r>
      <w:r w:rsidR="00DD0F66">
        <w:rPr>
          <w:rFonts w:ascii="Book Antiqua" w:hAnsi="Book Antiqua" w:cs="Arial"/>
          <w:sz w:val="24"/>
          <w:szCs w:val="24"/>
        </w:rPr>
        <w:t>.</w:t>
      </w:r>
    </w:p>
    <w:p w:rsidR="00AE5898" w:rsidRPr="00145CDA" w:rsidRDefault="00AE5898" w:rsidP="00F4231A">
      <w:pPr>
        <w:pStyle w:val="15"/>
        <w:snapToGrid w:val="0"/>
        <w:rPr>
          <w:rFonts w:ascii="Book Antiqua" w:eastAsia="SimSun" w:hAnsi="Book Antiqua" w:cs="Arial"/>
          <w:b/>
          <w:sz w:val="24"/>
          <w:szCs w:val="24"/>
          <w:lang w:eastAsia="zh-CN"/>
        </w:rPr>
      </w:pPr>
    </w:p>
    <w:p w:rsidR="009B1994" w:rsidRPr="00F4231A" w:rsidRDefault="009B1994" w:rsidP="00F4231A">
      <w:pPr>
        <w:pStyle w:val="15"/>
        <w:snapToGrid w:val="0"/>
        <w:rPr>
          <w:rFonts w:ascii="Book Antiqua" w:hAnsi="Book Antiqua" w:cs="Arial"/>
          <w:b/>
          <w:sz w:val="24"/>
          <w:szCs w:val="24"/>
        </w:rPr>
      </w:pPr>
      <w:r w:rsidRPr="00F4231A">
        <w:rPr>
          <w:rFonts w:ascii="Book Antiqua" w:hAnsi="Book Antiqua" w:cs="Arial"/>
          <w:b/>
          <w:sz w:val="24"/>
          <w:szCs w:val="24"/>
        </w:rPr>
        <w:t>A</w:t>
      </w:r>
      <w:r w:rsidR="00C810DE" w:rsidRPr="00F4231A">
        <w:rPr>
          <w:rFonts w:ascii="Book Antiqua" w:hAnsi="Book Antiqua" w:cs="Arial"/>
          <w:b/>
          <w:sz w:val="24"/>
          <w:szCs w:val="24"/>
        </w:rPr>
        <w:t>CKNOWLEDGEMENTS</w:t>
      </w:r>
    </w:p>
    <w:p w:rsidR="00C84BF4" w:rsidRPr="00145CDA" w:rsidRDefault="005E2809" w:rsidP="00F4231A">
      <w:pPr>
        <w:pStyle w:val="15"/>
        <w:snapToGrid w:val="0"/>
        <w:rPr>
          <w:rFonts w:ascii="Book Antiqua" w:eastAsia="SimSun" w:hAnsi="Book Antiqua" w:cs="Arial"/>
          <w:sz w:val="24"/>
          <w:szCs w:val="24"/>
          <w:lang w:eastAsia="zh-CN"/>
        </w:rPr>
      </w:pPr>
      <w:r w:rsidRPr="00F4231A">
        <w:rPr>
          <w:rFonts w:ascii="Book Antiqua" w:hAnsi="Book Antiqua" w:cs="Arial"/>
          <w:sz w:val="24"/>
          <w:szCs w:val="24"/>
        </w:rPr>
        <w:t>The authors thank</w:t>
      </w:r>
      <w:r w:rsidR="009B1994" w:rsidRPr="00F4231A">
        <w:rPr>
          <w:rFonts w:ascii="Book Antiqua" w:hAnsi="Book Antiqua" w:cs="Arial"/>
          <w:sz w:val="24"/>
          <w:szCs w:val="24"/>
        </w:rPr>
        <w:t xml:space="preserve"> Mr. Trevor Ralp</w:t>
      </w:r>
      <w:r w:rsidR="00145CDA">
        <w:rPr>
          <w:rFonts w:ascii="Book Antiqua" w:hAnsi="Book Antiqua" w:cs="Arial"/>
          <w:sz w:val="24"/>
          <w:szCs w:val="24"/>
        </w:rPr>
        <w:t>h for his editorial assistance.</w:t>
      </w:r>
    </w:p>
    <w:p w:rsidR="00C84BF4" w:rsidRPr="00F4231A" w:rsidRDefault="00C84BF4" w:rsidP="00F4231A">
      <w:pPr>
        <w:pStyle w:val="15"/>
        <w:snapToGrid w:val="0"/>
        <w:rPr>
          <w:rFonts w:ascii="Book Antiqua" w:hAnsi="Book Antiqua" w:cs="Arial"/>
          <w:sz w:val="24"/>
          <w:szCs w:val="24"/>
        </w:rPr>
      </w:pPr>
    </w:p>
    <w:p w:rsidR="00C84BF4" w:rsidRPr="00F4231A" w:rsidRDefault="00181682" w:rsidP="00F4231A">
      <w:pPr>
        <w:pStyle w:val="15"/>
        <w:snapToGrid w:val="0"/>
        <w:rPr>
          <w:rFonts w:ascii="Book Antiqua" w:hAnsi="Book Antiqua" w:cs="Arial"/>
          <w:sz w:val="24"/>
          <w:szCs w:val="24"/>
        </w:rPr>
      </w:pPr>
      <w:r w:rsidRPr="00F4231A">
        <w:rPr>
          <w:rFonts w:ascii="Book Antiqua" w:hAnsi="Book Antiqua" w:cs="Arial"/>
          <w:b/>
          <w:sz w:val="24"/>
          <w:szCs w:val="24"/>
        </w:rPr>
        <w:t>C</w:t>
      </w:r>
      <w:r w:rsidR="00C810DE" w:rsidRPr="00F4231A">
        <w:rPr>
          <w:rFonts w:ascii="Book Antiqua" w:hAnsi="Book Antiqua" w:cs="Arial"/>
          <w:b/>
          <w:sz w:val="24"/>
          <w:szCs w:val="24"/>
        </w:rPr>
        <w:t>OMMENTS</w:t>
      </w:r>
    </w:p>
    <w:p w:rsidR="00181682" w:rsidRPr="00F4231A" w:rsidRDefault="00181682" w:rsidP="00F4231A">
      <w:pPr>
        <w:pStyle w:val="15"/>
        <w:snapToGrid w:val="0"/>
        <w:rPr>
          <w:rFonts w:ascii="Book Antiqua" w:hAnsi="Book Antiqua" w:cs="Arial"/>
          <w:b/>
          <w:i/>
          <w:sz w:val="24"/>
          <w:szCs w:val="24"/>
        </w:rPr>
      </w:pPr>
      <w:r w:rsidRPr="00F4231A">
        <w:rPr>
          <w:rFonts w:ascii="Book Antiqua" w:hAnsi="Book Antiqua" w:cs="Arial"/>
          <w:b/>
          <w:i/>
          <w:sz w:val="24"/>
          <w:szCs w:val="24"/>
        </w:rPr>
        <w:t>Background</w:t>
      </w:r>
    </w:p>
    <w:p w:rsidR="00DB1F3B" w:rsidRPr="00253A68" w:rsidRDefault="0080460A" w:rsidP="00F4231A">
      <w:pPr>
        <w:pStyle w:val="15"/>
        <w:snapToGrid w:val="0"/>
        <w:rPr>
          <w:rFonts w:ascii="Book Antiqua" w:eastAsia="SimSun" w:hAnsi="Book Antiqua" w:cs="Arial"/>
          <w:sz w:val="24"/>
          <w:szCs w:val="24"/>
          <w:lang w:eastAsia="zh-CN"/>
        </w:rPr>
      </w:pPr>
      <w:r w:rsidRPr="00F4231A">
        <w:rPr>
          <w:rFonts w:ascii="Book Antiqua" w:hAnsi="Book Antiqua" w:cs="Arial"/>
          <w:sz w:val="24"/>
          <w:szCs w:val="24"/>
        </w:rPr>
        <w:t xml:space="preserve">Recent murine studies have demonstrated a key role of </w:t>
      </w:r>
      <w:r w:rsidRPr="00F4231A">
        <w:rPr>
          <w:rFonts w:ascii="Book Antiqua" w:hAnsi="Book Antiqua" w:cs="Arial"/>
          <w:sz w:val="24"/>
          <w:szCs w:val="24"/>
        </w:rPr>
        <w:lastRenderedPageBreak/>
        <w:t xml:space="preserve">endotoxin/lipopolysaccharide (LPS) in the onset of </w:t>
      </w:r>
      <w:r w:rsidR="00B80C75" w:rsidRPr="00F4231A">
        <w:rPr>
          <w:rFonts w:ascii="Book Antiqua" w:hAnsi="Book Antiqua" w:cs="Arial"/>
          <w:sz w:val="24"/>
          <w:szCs w:val="24"/>
        </w:rPr>
        <w:t xml:space="preserve">nonalcoholic steatohepatitis (NASH). </w:t>
      </w:r>
      <w:r w:rsidR="004B023C" w:rsidRPr="00F4231A">
        <w:rPr>
          <w:rFonts w:ascii="Book Antiqua" w:hAnsi="Book Antiqua" w:cs="Arial"/>
          <w:sz w:val="24"/>
          <w:szCs w:val="24"/>
        </w:rPr>
        <w:t xml:space="preserve">The </w:t>
      </w:r>
      <w:r w:rsidR="00BC232E" w:rsidRPr="00F4231A">
        <w:rPr>
          <w:rFonts w:ascii="Book Antiqua" w:hAnsi="Book Antiqua" w:cs="Arial"/>
          <w:sz w:val="24"/>
          <w:szCs w:val="24"/>
        </w:rPr>
        <w:t xml:space="preserve">contribution of intestinal bacterial overgrowth, increased intestinal permeability, and portal endotoxemia to the progression from nonalcoholic fatty liver (NAFL) to </w:t>
      </w:r>
      <w:r w:rsidR="00B80C75" w:rsidRPr="00F4231A">
        <w:rPr>
          <w:rFonts w:ascii="Book Antiqua" w:hAnsi="Book Antiqua" w:cs="Arial"/>
          <w:sz w:val="24"/>
          <w:szCs w:val="24"/>
        </w:rPr>
        <w:t>NASH</w:t>
      </w:r>
      <w:r w:rsidR="00BC232E" w:rsidRPr="00F4231A">
        <w:rPr>
          <w:rFonts w:ascii="Book Antiqua" w:hAnsi="Book Antiqua" w:cs="Arial"/>
          <w:sz w:val="24"/>
          <w:szCs w:val="24"/>
        </w:rPr>
        <w:t xml:space="preserve"> </w:t>
      </w:r>
      <w:r w:rsidRPr="00F4231A">
        <w:rPr>
          <w:rFonts w:ascii="Book Antiqua" w:hAnsi="Book Antiqua" w:cs="Arial"/>
          <w:sz w:val="24"/>
          <w:szCs w:val="24"/>
        </w:rPr>
        <w:t xml:space="preserve">has attracted </w:t>
      </w:r>
      <w:r w:rsidR="009602D8" w:rsidRPr="00F4231A">
        <w:rPr>
          <w:rFonts w:ascii="Book Antiqua" w:hAnsi="Book Antiqua" w:cs="Arial"/>
          <w:sz w:val="24"/>
          <w:szCs w:val="24"/>
        </w:rPr>
        <w:t xml:space="preserve">considerable </w:t>
      </w:r>
      <w:r w:rsidR="00C66858" w:rsidRPr="00F4231A">
        <w:rPr>
          <w:rFonts w:ascii="Book Antiqua" w:hAnsi="Book Antiqua" w:cs="Arial"/>
          <w:sz w:val="24"/>
          <w:szCs w:val="24"/>
        </w:rPr>
        <w:t xml:space="preserve">recent </w:t>
      </w:r>
      <w:r w:rsidRPr="00F4231A">
        <w:rPr>
          <w:rFonts w:ascii="Book Antiqua" w:hAnsi="Book Antiqua" w:cs="Arial"/>
          <w:sz w:val="24"/>
          <w:szCs w:val="24"/>
        </w:rPr>
        <w:t>attention</w:t>
      </w:r>
      <w:r w:rsidR="009602D8" w:rsidRPr="00F4231A">
        <w:rPr>
          <w:rFonts w:ascii="Book Antiqua" w:hAnsi="Book Antiqua" w:cs="Arial"/>
          <w:sz w:val="24"/>
          <w:szCs w:val="24"/>
        </w:rPr>
        <w:t xml:space="preserve">. </w:t>
      </w:r>
      <w:r w:rsidR="00C66858" w:rsidRPr="00F4231A">
        <w:rPr>
          <w:rFonts w:ascii="Book Antiqua" w:hAnsi="Book Antiqua" w:cs="Arial"/>
          <w:sz w:val="24"/>
          <w:szCs w:val="24"/>
        </w:rPr>
        <w:t xml:space="preserve">However, evaluating the </w:t>
      </w:r>
      <w:r w:rsidR="00DB1F3B" w:rsidRPr="00F4231A">
        <w:rPr>
          <w:rFonts w:ascii="Book Antiqua" w:hAnsi="Book Antiqua" w:cs="Arial"/>
          <w:sz w:val="24"/>
          <w:szCs w:val="24"/>
        </w:rPr>
        <w:t xml:space="preserve">LPS contribution to human NASH is challenging since LPS is </w:t>
      </w:r>
      <w:r w:rsidR="00C66858" w:rsidRPr="00F4231A">
        <w:rPr>
          <w:rFonts w:ascii="Book Antiqua" w:hAnsi="Book Antiqua" w:cs="Arial"/>
          <w:sz w:val="24"/>
          <w:szCs w:val="24"/>
        </w:rPr>
        <w:t xml:space="preserve">rapidly eliminated in the liver, </w:t>
      </w:r>
      <w:r w:rsidR="00DB1F3B" w:rsidRPr="00F4231A">
        <w:rPr>
          <w:rFonts w:ascii="Book Antiqua" w:hAnsi="Book Antiqua" w:cs="Arial"/>
          <w:sz w:val="24"/>
          <w:szCs w:val="24"/>
        </w:rPr>
        <w:t xml:space="preserve">and </w:t>
      </w:r>
      <w:r w:rsidR="00C66858" w:rsidRPr="00F4231A">
        <w:rPr>
          <w:rFonts w:ascii="Book Antiqua" w:hAnsi="Book Antiqua" w:cs="Arial"/>
          <w:sz w:val="24"/>
          <w:szCs w:val="24"/>
        </w:rPr>
        <w:t xml:space="preserve">therefore </w:t>
      </w:r>
      <w:r w:rsidR="00DB1F3B" w:rsidRPr="00F4231A">
        <w:rPr>
          <w:rFonts w:ascii="Book Antiqua" w:hAnsi="Book Antiqua" w:cs="Arial"/>
          <w:sz w:val="24"/>
          <w:szCs w:val="24"/>
        </w:rPr>
        <w:t>venous LPS concentrations of</w:t>
      </w:r>
      <w:r w:rsidR="00253A68">
        <w:rPr>
          <w:rFonts w:ascii="Book Antiqua" w:hAnsi="Book Antiqua" w:cs="Arial"/>
          <w:sz w:val="24"/>
          <w:szCs w:val="24"/>
        </w:rPr>
        <w:t>ten do not reflect portal ones.</w:t>
      </w:r>
    </w:p>
    <w:p w:rsidR="00CB79F5" w:rsidRPr="00F4231A" w:rsidRDefault="00CB79F5" w:rsidP="00F4231A">
      <w:pPr>
        <w:pStyle w:val="15"/>
        <w:snapToGrid w:val="0"/>
        <w:rPr>
          <w:rFonts w:ascii="Book Antiqua" w:hAnsi="Book Antiqua" w:cs="Arial"/>
          <w:b/>
          <w:i/>
          <w:sz w:val="24"/>
          <w:szCs w:val="24"/>
        </w:rPr>
      </w:pPr>
    </w:p>
    <w:p w:rsidR="00DB1F3B" w:rsidRPr="00F4231A" w:rsidRDefault="008D3922" w:rsidP="00F4231A">
      <w:pPr>
        <w:pStyle w:val="15"/>
        <w:snapToGrid w:val="0"/>
        <w:rPr>
          <w:rFonts w:ascii="Book Antiqua" w:hAnsi="Book Antiqua" w:cs="Arial"/>
          <w:b/>
          <w:i/>
          <w:sz w:val="24"/>
          <w:szCs w:val="24"/>
        </w:rPr>
      </w:pPr>
      <w:r w:rsidRPr="00F4231A">
        <w:rPr>
          <w:rFonts w:ascii="Book Antiqua" w:hAnsi="Book Antiqua" w:cs="Arial"/>
          <w:b/>
          <w:i/>
          <w:sz w:val="24"/>
          <w:szCs w:val="24"/>
        </w:rPr>
        <w:t>Research frontiers</w:t>
      </w:r>
    </w:p>
    <w:p w:rsidR="00F91AE2" w:rsidRPr="00F4231A" w:rsidRDefault="009602D8" w:rsidP="00F4231A">
      <w:pPr>
        <w:pStyle w:val="15"/>
        <w:snapToGrid w:val="0"/>
        <w:rPr>
          <w:rFonts w:ascii="Book Antiqua" w:hAnsi="Book Antiqua" w:cs="Arial"/>
          <w:sz w:val="24"/>
          <w:szCs w:val="24"/>
        </w:rPr>
      </w:pPr>
      <w:r w:rsidRPr="00F4231A">
        <w:rPr>
          <w:rFonts w:ascii="Book Antiqua" w:hAnsi="Book Antiqua" w:cs="Arial"/>
          <w:sz w:val="24"/>
          <w:szCs w:val="24"/>
        </w:rPr>
        <w:t>Circulatin</w:t>
      </w:r>
      <w:r w:rsidR="00C66858" w:rsidRPr="00F4231A">
        <w:rPr>
          <w:rFonts w:ascii="Book Antiqua" w:hAnsi="Book Antiqua" w:cs="Arial"/>
          <w:sz w:val="24"/>
          <w:szCs w:val="24"/>
        </w:rPr>
        <w:t xml:space="preserve">g LPS-binding protein (LBP) and the </w:t>
      </w:r>
      <w:r w:rsidRPr="00F4231A">
        <w:rPr>
          <w:rFonts w:ascii="Book Antiqua" w:hAnsi="Book Antiqua" w:cs="Arial"/>
          <w:sz w:val="24"/>
          <w:szCs w:val="24"/>
        </w:rPr>
        <w:t>anti-endotoxin core immunoglobulin G (EndoCab IgG) antibody are commercially available su</w:t>
      </w:r>
      <w:r w:rsidR="00C66858" w:rsidRPr="00F4231A">
        <w:rPr>
          <w:rFonts w:ascii="Book Antiqua" w:hAnsi="Book Antiqua" w:cs="Arial"/>
          <w:sz w:val="24"/>
          <w:szCs w:val="24"/>
        </w:rPr>
        <w:t xml:space="preserve">rrogate markers of endotoxemia that </w:t>
      </w:r>
      <w:r w:rsidRPr="00F4231A">
        <w:rPr>
          <w:rFonts w:ascii="Book Antiqua" w:hAnsi="Book Antiqua" w:cs="Arial"/>
          <w:sz w:val="24"/>
          <w:szCs w:val="24"/>
        </w:rPr>
        <w:t xml:space="preserve">are more stable than LPS. </w:t>
      </w:r>
      <w:r w:rsidR="00F91AE2" w:rsidRPr="00F4231A">
        <w:rPr>
          <w:rFonts w:ascii="Book Antiqua" w:hAnsi="Book Antiqua" w:cs="Arial"/>
          <w:sz w:val="24"/>
          <w:szCs w:val="24"/>
        </w:rPr>
        <w:t xml:space="preserve">The research hotspot is to examine whether these endotoxemia markers correlate with histological severity </w:t>
      </w:r>
      <w:r w:rsidR="00C66858" w:rsidRPr="00F4231A">
        <w:rPr>
          <w:rFonts w:ascii="Book Antiqua" w:hAnsi="Book Antiqua" w:cs="Arial"/>
          <w:sz w:val="24"/>
          <w:szCs w:val="24"/>
        </w:rPr>
        <w:t>in</w:t>
      </w:r>
      <w:r w:rsidR="00F91AE2" w:rsidRPr="00F4231A">
        <w:rPr>
          <w:rFonts w:ascii="Book Antiqua" w:hAnsi="Book Antiqua" w:cs="Arial"/>
          <w:sz w:val="24"/>
          <w:szCs w:val="24"/>
        </w:rPr>
        <w:t xml:space="preserve"> </w:t>
      </w:r>
      <w:r w:rsidR="004B023C" w:rsidRPr="00F4231A">
        <w:rPr>
          <w:rFonts w:ascii="Book Antiqua" w:hAnsi="Book Antiqua" w:cs="Arial"/>
          <w:sz w:val="24"/>
          <w:szCs w:val="24"/>
        </w:rPr>
        <w:t xml:space="preserve">nonalcoholic fatty liver disease (NAFLD). </w:t>
      </w:r>
    </w:p>
    <w:p w:rsidR="00CB79F5" w:rsidRPr="00F4231A" w:rsidRDefault="00CB79F5" w:rsidP="00F4231A">
      <w:pPr>
        <w:pStyle w:val="15"/>
        <w:snapToGrid w:val="0"/>
        <w:rPr>
          <w:rFonts w:ascii="Book Antiqua" w:hAnsi="Book Antiqua" w:cs="Arial"/>
          <w:b/>
          <w:i/>
          <w:sz w:val="24"/>
          <w:szCs w:val="24"/>
        </w:rPr>
      </w:pPr>
    </w:p>
    <w:p w:rsidR="00F91AE2" w:rsidRPr="00F4231A" w:rsidRDefault="00181682" w:rsidP="00F4231A">
      <w:pPr>
        <w:pStyle w:val="15"/>
        <w:snapToGrid w:val="0"/>
        <w:rPr>
          <w:rFonts w:ascii="Book Antiqua" w:hAnsi="Book Antiqua" w:cs="Arial"/>
          <w:sz w:val="24"/>
          <w:szCs w:val="24"/>
        </w:rPr>
      </w:pPr>
      <w:r w:rsidRPr="00F4231A">
        <w:rPr>
          <w:rFonts w:ascii="Book Antiqua" w:hAnsi="Book Antiqua" w:cs="Arial"/>
          <w:b/>
          <w:i/>
          <w:sz w:val="24"/>
          <w:szCs w:val="24"/>
        </w:rPr>
        <w:t>Innovations and breakthrough</w:t>
      </w:r>
      <w:r w:rsidR="00883E5D" w:rsidRPr="00F4231A">
        <w:rPr>
          <w:rFonts w:ascii="Book Antiqua" w:hAnsi="Book Antiqua" w:cs="Arial"/>
          <w:b/>
          <w:i/>
          <w:sz w:val="24"/>
          <w:szCs w:val="24"/>
        </w:rPr>
        <w:t>s</w:t>
      </w:r>
    </w:p>
    <w:p w:rsidR="00A07374" w:rsidRPr="00F4231A" w:rsidRDefault="00F91AE2" w:rsidP="00F4231A">
      <w:pPr>
        <w:pStyle w:val="15"/>
        <w:snapToGrid w:val="0"/>
        <w:rPr>
          <w:rFonts w:ascii="Book Antiqua" w:hAnsi="Book Antiqua" w:cs="Arial"/>
          <w:sz w:val="24"/>
          <w:szCs w:val="24"/>
        </w:rPr>
      </w:pPr>
      <w:r w:rsidRPr="00F4231A">
        <w:rPr>
          <w:rFonts w:ascii="Book Antiqua" w:hAnsi="Book Antiqua" w:cs="Arial"/>
          <w:sz w:val="24"/>
          <w:szCs w:val="24"/>
        </w:rPr>
        <w:t xml:space="preserve">This is the first study simultaneously measuring two </w:t>
      </w:r>
      <w:r w:rsidR="00662763" w:rsidRPr="00F4231A">
        <w:rPr>
          <w:rFonts w:ascii="Book Antiqua" w:hAnsi="Book Antiqua" w:cs="Arial"/>
          <w:sz w:val="24"/>
          <w:szCs w:val="24"/>
        </w:rPr>
        <w:t xml:space="preserve">surrogate endotoxemia </w:t>
      </w:r>
      <w:r w:rsidRPr="00F4231A">
        <w:rPr>
          <w:rFonts w:ascii="Book Antiqua" w:hAnsi="Book Antiqua" w:cs="Arial"/>
          <w:sz w:val="24"/>
          <w:szCs w:val="24"/>
        </w:rPr>
        <w:t>markers, LBP and EndoCab IgG, in biopsy-proven NAFLD patients</w:t>
      </w:r>
      <w:r w:rsidR="00662763" w:rsidRPr="00F4231A">
        <w:rPr>
          <w:rFonts w:ascii="Book Antiqua" w:hAnsi="Book Antiqua" w:cs="Arial"/>
          <w:sz w:val="24"/>
          <w:szCs w:val="24"/>
        </w:rPr>
        <w:t xml:space="preserve"> in order to </w:t>
      </w:r>
      <w:r w:rsidRPr="00F4231A">
        <w:rPr>
          <w:rFonts w:ascii="Book Antiqua" w:hAnsi="Book Antiqua" w:cs="Arial"/>
          <w:sz w:val="24"/>
          <w:szCs w:val="24"/>
        </w:rPr>
        <w:t xml:space="preserve">assess </w:t>
      </w:r>
      <w:r w:rsidR="00662763" w:rsidRPr="00F4231A">
        <w:rPr>
          <w:rFonts w:ascii="Book Antiqua" w:hAnsi="Book Antiqua" w:cs="Arial"/>
          <w:sz w:val="24"/>
          <w:szCs w:val="24"/>
        </w:rPr>
        <w:t xml:space="preserve">for relationships </w:t>
      </w:r>
      <w:r w:rsidRPr="00F4231A">
        <w:rPr>
          <w:rFonts w:ascii="Book Antiqua" w:hAnsi="Book Antiqua" w:cs="Arial"/>
          <w:sz w:val="24"/>
          <w:szCs w:val="24"/>
        </w:rPr>
        <w:t xml:space="preserve">with the histological scores of NAFLD. </w:t>
      </w:r>
      <w:r w:rsidR="00A07374" w:rsidRPr="00F4231A">
        <w:rPr>
          <w:rFonts w:ascii="Book Antiqua" w:hAnsi="Book Antiqua" w:cs="Arial"/>
          <w:sz w:val="24"/>
          <w:szCs w:val="24"/>
        </w:rPr>
        <w:t>Serum LBP concentration was significantly increased in NASH patients and was correlated with steatosis and ballooning scores, but not with the severity of lobular inflammation or fibrosis. Serum EndoCab IgG concentration was comparable between NASH and NAFL p</w:t>
      </w:r>
      <w:r w:rsidR="00D660F2" w:rsidRPr="00F4231A">
        <w:rPr>
          <w:rFonts w:ascii="Book Antiqua" w:hAnsi="Book Antiqua" w:cs="Arial"/>
          <w:sz w:val="24"/>
          <w:szCs w:val="24"/>
        </w:rPr>
        <w:t xml:space="preserve">atients. </w:t>
      </w:r>
      <w:r w:rsidR="00662763" w:rsidRPr="00F4231A">
        <w:rPr>
          <w:rFonts w:ascii="Book Antiqua" w:hAnsi="Book Antiqua" w:cs="Arial"/>
          <w:sz w:val="24"/>
          <w:szCs w:val="24"/>
        </w:rPr>
        <w:t xml:space="preserve">Neither endotoxin marker was </w:t>
      </w:r>
      <w:r w:rsidRPr="00F4231A">
        <w:rPr>
          <w:rFonts w:ascii="Book Antiqua" w:hAnsi="Book Antiqua" w:cs="Arial"/>
          <w:sz w:val="24"/>
          <w:szCs w:val="24"/>
        </w:rPr>
        <w:t>correlated with lob</w:t>
      </w:r>
      <w:r w:rsidR="00A07374" w:rsidRPr="00F4231A">
        <w:rPr>
          <w:rFonts w:ascii="Book Antiqua" w:hAnsi="Book Antiqua" w:cs="Arial"/>
          <w:sz w:val="24"/>
          <w:szCs w:val="24"/>
        </w:rPr>
        <w:t xml:space="preserve">ular inflammation </w:t>
      </w:r>
      <w:r w:rsidR="00662763" w:rsidRPr="00F4231A">
        <w:rPr>
          <w:rFonts w:ascii="Book Antiqua" w:hAnsi="Book Antiqua" w:cs="Arial"/>
          <w:sz w:val="24"/>
          <w:szCs w:val="24"/>
        </w:rPr>
        <w:t>or</w:t>
      </w:r>
      <w:r w:rsidR="00A07374" w:rsidRPr="00F4231A">
        <w:rPr>
          <w:rFonts w:ascii="Book Antiqua" w:hAnsi="Book Antiqua" w:cs="Arial"/>
          <w:sz w:val="24"/>
          <w:szCs w:val="24"/>
        </w:rPr>
        <w:t xml:space="preserve"> fibrosis in human conventional NAFLD/NASH. </w:t>
      </w:r>
    </w:p>
    <w:p w:rsidR="00CB79F5" w:rsidRPr="00F4231A" w:rsidRDefault="00CB79F5" w:rsidP="00F4231A">
      <w:pPr>
        <w:pStyle w:val="15"/>
        <w:snapToGrid w:val="0"/>
        <w:rPr>
          <w:rFonts w:ascii="Book Antiqua" w:hAnsi="Book Antiqua" w:cs="Arial"/>
          <w:b/>
          <w:i/>
          <w:sz w:val="24"/>
          <w:szCs w:val="24"/>
        </w:rPr>
      </w:pPr>
    </w:p>
    <w:p w:rsidR="00181682" w:rsidRPr="00F4231A" w:rsidRDefault="00181682" w:rsidP="00F4231A">
      <w:pPr>
        <w:pStyle w:val="15"/>
        <w:snapToGrid w:val="0"/>
        <w:rPr>
          <w:rFonts w:ascii="Book Antiqua" w:hAnsi="Book Antiqua" w:cs="Arial"/>
          <w:b/>
          <w:i/>
          <w:sz w:val="24"/>
          <w:szCs w:val="24"/>
        </w:rPr>
      </w:pPr>
      <w:r w:rsidRPr="00F4231A">
        <w:rPr>
          <w:rFonts w:ascii="Book Antiqua" w:hAnsi="Book Antiqua" w:cs="Arial"/>
          <w:b/>
          <w:i/>
          <w:sz w:val="24"/>
          <w:szCs w:val="24"/>
        </w:rPr>
        <w:t>Applications</w:t>
      </w:r>
    </w:p>
    <w:p w:rsidR="00181682" w:rsidRPr="00F4231A" w:rsidRDefault="00AD3F1F" w:rsidP="00F4231A">
      <w:pPr>
        <w:pStyle w:val="15"/>
        <w:snapToGrid w:val="0"/>
        <w:rPr>
          <w:rFonts w:ascii="Book Antiqua" w:hAnsi="Book Antiqua" w:cs="Arial"/>
          <w:sz w:val="24"/>
          <w:szCs w:val="24"/>
        </w:rPr>
      </w:pPr>
      <w:r w:rsidRPr="00F4231A">
        <w:rPr>
          <w:rFonts w:ascii="Book Antiqua" w:hAnsi="Book Antiqua" w:cs="Arial"/>
          <w:sz w:val="24"/>
          <w:szCs w:val="24"/>
        </w:rPr>
        <w:t xml:space="preserve">It is reasonable to consider that chronic LPS challenge to steatotic livers, such as NAFLD accompanied with severe gingivitis </w:t>
      </w:r>
      <w:r w:rsidR="00662763" w:rsidRPr="00F4231A">
        <w:rPr>
          <w:rFonts w:ascii="Book Antiqua" w:hAnsi="Book Antiqua" w:cs="Arial"/>
          <w:sz w:val="24"/>
          <w:szCs w:val="24"/>
        </w:rPr>
        <w:t>or</w:t>
      </w:r>
      <w:r w:rsidRPr="00F4231A">
        <w:rPr>
          <w:rFonts w:ascii="Book Antiqua" w:hAnsi="Book Antiqua" w:cs="Arial"/>
          <w:sz w:val="24"/>
          <w:szCs w:val="24"/>
        </w:rPr>
        <w:t xml:space="preserve"> inflammatory bowel disease, may be detrimental to liver condition. However, the contribution of LPS to the </w:t>
      </w:r>
      <w:r w:rsidRPr="00F4231A">
        <w:rPr>
          <w:rFonts w:ascii="Book Antiqua" w:hAnsi="Book Antiqua" w:cs="Arial"/>
          <w:sz w:val="24"/>
          <w:szCs w:val="24"/>
        </w:rPr>
        <w:lastRenderedPageBreak/>
        <w:t>histological</w:t>
      </w:r>
      <w:r w:rsidR="00662763" w:rsidRPr="00F4231A">
        <w:rPr>
          <w:rFonts w:ascii="Book Antiqua" w:hAnsi="Book Antiqua" w:cs="Arial"/>
          <w:sz w:val="24"/>
          <w:szCs w:val="24"/>
        </w:rPr>
        <w:t xml:space="preserve"> severity of human primary NASH could not be </w:t>
      </w:r>
      <w:r w:rsidRPr="00F4231A">
        <w:rPr>
          <w:rFonts w:ascii="Book Antiqua" w:hAnsi="Book Antiqua" w:cs="Arial"/>
          <w:sz w:val="24"/>
          <w:szCs w:val="24"/>
        </w:rPr>
        <w:t>confirmed</w:t>
      </w:r>
      <w:r w:rsidR="0082435C" w:rsidRPr="00F4231A">
        <w:rPr>
          <w:rFonts w:ascii="Book Antiqua" w:hAnsi="Book Antiqua" w:cs="Arial"/>
          <w:sz w:val="24"/>
          <w:szCs w:val="24"/>
        </w:rPr>
        <w:t xml:space="preserve"> in the current study. </w:t>
      </w:r>
      <w:r w:rsidRPr="00F4231A">
        <w:rPr>
          <w:rFonts w:ascii="Book Antiqua" w:hAnsi="Book Antiqua" w:cs="Arial"/>
          <w:sz w:val="24"/>
          <w:szCs w:val="24"/>
        </w:rPr>
        <w:t>The lack of appropriate endotoxin markers is a major limitation at present, as is the low sensitivity</w:t>
      </w:r>
      <w:r w:rsidR="00E729DE" w:rsidRPr="00F4231A">
        <w:rPr>
          <w:rFonts w:ascii="Book Antiqua" w:hAnsi="Book Antiqua" w:cs="Arial"/>
          <w:sz w:val="24"/>
          <w:szCs w:val="24"/>
        </w:rPr>
        <w:t>/</w:t>
      </w:r>
      <w:r w:rsidRPr="00F4231A">
        <w:rPr>
          <w:rFonts w:ascii="Book Antiqua" w:hAnsi="Book Antiqua" w:cs="Arial"/>
          <w:sz w:val="24"/>
          <w:szCs w:val="24"/>
        </w:rPr>
        <w:t>specificity of LBP/EndoCab IgG assays. Further improvements in LPS detection systems may provide novel information on the role of LPS/endotoxemia in the pa</w:t>
      </w:r>
      <w:r w:rsidR="00E738EF" w:rsidRPr="00F4231A">
        <w:rPr>
          <w:rFonts w:ascii="Book Antiqua" w:hAnsi="Book Antiqua" w:cs="Arial"/>
          <w:sz w:val="24"/>
          <w:szCs w:val="24"/>
        </w:rPr>
        <w:t>t</w:t>
      </w:r>
      <w:r w:rsidR="0082435C" w:rsidRPr="00F4231A">
        <w:rPr>
          <w:rFonts w:ascii="Book Antiqua" w:hAnsi="Book Antiqua" w:cs="Arial"/>
          <w:sz w:val="24"/>
          <w:szCs w:val="24"/>
        </w:rPr>
        <w:t xml:space="preserve">hogenesis of conventional NASH. </w:t>
      </w:r>
      <w:r w:rsidR="002B35A9" w:rsidRPr="00F4231A">
        <w:rPr>
          <w:rFonts w:ascii="Book Antiqua" w:hAnsi="Book Antiqua" w:cs="Arial"/>
          <w:sz w:val="24"/>
          <w:szCs w:val="24"/>
        </w:rPr>
        <w:t>This study provides</w:t>
      </w:r>
      <w:r w:rsidR="0082435C" w:rsidRPr="00F4231A">
        <w:rPr>
          <w:rFonts w:ascii="Book Antiqua" w:hAnsi="Book Antiqua" w:cs="Arial"/>
          <w:sz w:val="24"/>
          <w:szCs w:val="24"/>
        </w:rPr>
        <w:t xml:space="preserve"> </w:t>
      </w:r>
      <w:r w:rsidR="00662763" w:rsidRPr="00F4231A">
        <w:rPr>
          <w:rFonts w:ascii="Book Antiqua" w:hAnsi="Book Antiqua" w:cs="Arial"/>
          <w:sz w:val="24"/>
          <w:szCs w:val="24"/>
        </w:rPr>
        <w:t xml:space="preserve">important information regarding the </w:t>
      </w:r>
      <w:r w:rsidR="002B35A9" w:rsidRPr="00F4231A">
        <w:rPr>
          <w:rFonts w:ascii="Book Antiqua" w:hAnsi="Book Antiqua" w:cs="Arial"/>
          <w:sz w:val="24"/>
          <w:szCs w:val="24"/>
        </w:rPr>
        <w:t xml:space="preserve">gut-liver axis in </w:t>
      </w:r>
      <w:r w:rsidR="00716C58" w:rsidRPr="00F4231A">
        <w:rPr>
          <w:rFonts w:ascii="Book Antiqua" w:hAnsi="Book Antiqua" w:cs="Arial"/>
          <w:sz w:val="24"/>
          <w:szCs w:val="24"/>
        </w:rPr>
        <w:t xml:space="preserve">the pathogenesis of NAFLD/NASH. </w:t>
      </w:r>
    </w:p>
    <w:p w:rsidR="00CB79F5" w:rsidRPr="00F4231A" w:rsidRDefault="00CB79F5" w:rsidP="00F4231A">
      <w:pPr>
        <w:pStyle w:val="15"/>
        <w:snapToGrid w:val="0"/>
        <w:rPr>
          <w:rFonts w:ascii="Book Antiqua" w:hAnsi="Book Antiqua" w:cs="Arial"/>
          <w:b/>
          <w:i/>
          <w:sz w:val="24"/>
          <w:szCs w:val="24"/>
        </w:rPr>
      </w:pPr>
    </w:p>
    <w:p w:rsidR="00181682" w:rsidRPr="00F4231A" w:rsidRDefault="00181682" w:rsidP="00F4231A">
      <w:pPr>
        <w:pStyle w:val="15"/>
        <w:snapToGrid w:val="0"/>
        <w:rPr>
          <w:rFonts w:ascii="Book Antiqua" w:hAnsi="Book Antiqua" w:cs="Arial"/>
          <w:b/>
          <w:i/>
          <w:sz w:val="24"/>
          <w:szCs w:val="24"/>
        </w:rPr>
      </w:pPr>
      <w:r w:rsidRPr="00F4231A">
        <w:rPr>
          <w:rFonts w:ascii="Book Antiqua" w:hAnsi="Book Antiqua" w:cs="Arial"/>
          <w:b/>
          <w:i/>
          <w:sz w:val="24"/>
          <w:szCs w:val="24"/>
        </w:rPr>
        <w:t>Terminology</w:t>
      </w:r>
    </w:p>
    <w:p w:rsidR="004B023C" w:rsidRPr="00F4231A" w:rsidRDefault="00E729DE" w:rsidP="00F4231A">
      <w:pPr>
        <w:pStyle w:val="15"/>
        <w:snapToGrid w:val="0"/>
        <w:rPr>
          <w:rFonts w:ascii="Book Antiqua" w:hAnsi="Book Antiqua" w:cs="Arial"/>
          <w:sz w:val="24"/>
          <w:szCs w:val="24"/>
        </w:rPr>
      </w:pPr>
      <w:r w:rsidRPr="00F4231A">
        <w:rPr>
          <w:rFonts w:ascii="Book Antiqua" w:hAnsi="Book Antiqua" w:cs="Arial"/>
          <w:sz w:val="24"/>
          <w:szCs w:val="24"/>
        </w:rPr>
        <w:t>NAFLD</w:t>
      </w:r>
      <w:r w:rsidR="004B023C" w:rsidRPr="00F4231A">
        <w:rPr>
          <w:rFonts w:ascii="Book Antiqua" w:hAnsi="Book Antiqua" w:cs="Arial"/>
          <w:sz w:val="24"/>
          <w:szCs w:val="24"/>
        </w:rPr>
        <w:t xml:space="preserve"> is a chronic liver disease increasing worldwide</w:t>
      </w:r>
      <w:r w:rsidR="00662763" w:rsidRPr="00F4231A">
        <w:rPr>
          <w:rFonts w:ascii="Book Antiqua" w:hAnsi="Book Antiqua" w:cs="Arial"/>
          <w:sz w:val="24"/>
          <w:szCs w:val="24"/>
        </w:rPr>
        <w:t xml:space="preserve"> that </w:t>
      </w:r>
      <w:r w:rsidR="004B023C" w:rsidRPr="00F4231A">
        <w:rPr>
          <w:rFonts w:ascii="Book Antiqua" w:hAnsi="Book Antiqua" w:cs="Arial"/>
          <w:sz w:val="24"/>
          <w:szCs w:val="24"/>
        </w:rPr>
        <w:t xml:space="preserve">includes a wide spectrum of disorders, ranging from </w:t>
      </w:r>
      <w:r w:rsidRPr="00F4231A">
        <w:rPr>
          <w:rFonts w:ascii="Book Antiqua" w:hAnsi="Book Antiqua" w:cs="Arial"/>
          <w:sz w:val="24"/>
          <w:szCs w:val="24"/>
        </w:rPr>
        <w:t>NAFL</w:t>
      </w:r>
      <w:r w:rsidR="004B023C" w:rsidRPr="00F4231A">
        <w:rPr>
          <w:rFonts w:ascii="Book Antiqua" w:hAnsi="Book Antiqua" w:cs="Arial"/>
          <w:sz w:val="24"/>
          <w:szCs w:val="24"/>
        </w:rPr>
        <w:t xml:space="preserve"> to </w:t>
      </w:r>
      <w:r w:rsidRPr="00F4231A">
        <w:rPr>
          <w:rFonts w:ascii="Book Antiqua" w:hAnsi="Book Antiqua" w:cs="Arial"/>
          <w:sz w:val="24"/>
          <w:szCs w:val="24"/>
        </w:rPr>
        <w:t xml:space="preserve">NASH </w:t>
      </w:r>
      <w:r w:rsidR="004B023C" w:rsidRPr="00F4231A">
        <w:rPr>
          <w:rFonts w:ascii="Book Antiqua" w:hAnsi="Book Antiqua" w:cs="Arial"/>
          <w:sz w:val="24"/>
          <w:szCs w:val="24"/>
        </w:rPr>
        <w:t>and resultant liver cirrhosis and hepatocellular carcinoma</w:t>
      </w:r>
      <w:r w:rsidR="00F63576" w:rsidRPr="00F4231A">
        <w:rPr>
          <w:rFonts w:ascii="Book Antiqua" w:hAnsi="Book Antiqua" w:cs="Arial"/>
          <w:sz w:val="24"/>
          <w:szCs w:val="24"/>
        </w:rPr>
        <w:t xml:space="preserve">. </w:t>
      </w:r>
      <w:r w:rsidR="004B023C" w:rsidRPr="00F4231A">
        <w:rPr>
          <w:rFonts w:ascii="Book Antiqua" w:hAnsi="Book Antiqua" w:cs="Arial"/>
          <w:sz w:val="24"/>
          <w:szCs w:val="24"/>
        </w:rPr>
        <w:t>NASH is characterized by the presence of hepatocyte ballooning, lobular inflammation and/or various degree</w:t>
      </w:r>
      <w:r w:rsidR="00F219FA" w:rsidRPr="00F4231A">
        <w:rPr>
          <w:rFonts w:ascii="Book Antiqua" w:hAnsi="Book Antiqua" w:cs="Arial"/>
          <w:sz w:val="24"/>
          <w:szCs w:val="24"/>
        </w:rPr>
        <w:t>s</w:t>
      </w:r>
      <w:r w:rsidR="004B023C" w:rsidRPr="00F4231A">
        <w:rPr>
          <w:rFonts w:ascii="Book Antiqua" w:hAnsi="Book Antiqua" w:cs="Arial"/>
          <w:sz w:val="24"/>
          <w:szCs w:val="24"/>
        </w:rPr>
        <w:t xml:space="preserve"> of fibrosis in addition to macrovesicular steatosis. Increased intestinal permeability and ensuing portal endotoxemia is </w:t>
      </w:r>
      <w:r w:rsidR="00662763" w:rsidRPr="00F4231A">
        <w:rPr>
          <w:rFonts w:ascii="Book Antiqua" w:hAnsi="Book Antiqua" w:cs="Arial"/>
          <w:sz w:val="24"/>
          <w:szCs w:val="24"/>
        </w:rPr>
        <w:t xml:space="preserve">presumed </w:t>
      </w:r>
      <w:r w:rsidR="004B023C" w:rsidRPr="00F4231A">
        <w:rPr>
          <w:rFonts w:ascii="Book Antiqua" w:hAnsi="Book Antiqua" w:cs="Arial"/>
          <w:sz w:val="24"/>
          <w:szCs w:val="24"/>
        </w:rPr>
        <w:t>to be one of the con</w:t>
      </w:r>
      <w:r w:rsidR="00F63576" w:rsidRPr="00F4231A">
        <w:rPr>
          <w:rFonts w:ascii="Book Antiqua" w:hAnsi="Book Antiqua" w:cs="Arial"/>
          <w:sz w:val="24"/>
          <w:szCs w:val="24"/>
        </w:rPr>
        <w:t xml:space="preserve">tributors to the progression </w:t>
      </w:r>
      <w:r w:rsidR="00662763" w:rsidRPr="00F4231A">
        <w:rPr>
          <w:rFonts w:ascii="Book Antiqua" w:hAnsi="Book Antiqua" w:cs="Arial"/>
          <w:sz w:val="24"/>
          <w:szCs w:val="24"/>
        </w:rPr>
        <w:t>of</w:t>
      </w:r>
      <w:r w:rsidR="00D660F2" w:rsidRPr="00F4231A">
        <w:rPr>
          <w:rFonts w:ascii="Book Antiqua" w:hAnsi="Book Antiqua" w:cs="Arial"/>
          <w:sz w:val="24"/>
          <w:szCs w:val="24"/>
        </w:rPr>
        <w:t xml:space="preserve"> NASH. </w:t>
      </w:r>
    </w:p>
    <w:p w:rsidR="00CB79F5" w:rsidRPr="00F4231A" w:rsidRDefault="00CB79F5" w:rsidP="00F4231A">
      <w:pPr>
        <w:pStyle w:val="15"/>
        <w:snapToGrid w:val="0"/>
        <w:rPr>
          <w:rFonts w:ascii="Book Antiqua" w:hAnsi="Book Antiqua" w:cs="Arial"/>
          <w:b/>
          <w:i/>
          <w:sz w:val="24"/>
          <w:szCs w:val="24"/>
        </w:rPr>
      </w:pPr>
    </w:p>
    <w:p w:rsidR="00181682" w:rsidRPr="00F4231A" w:rsidRDefault="00181682" w:rsidP="00F4231A">
      <w:pPr>
        <w:pStyle w:val="15"/>
        <w:snapToGrid w:val="0"/>
        <w:rPr>
          <w:rFonts w:ascii="Book Antiqua" w:hAnsi="Book Antiqua" w:cs="Arial"/>
          <w:b/>
          <w:i/>
          <w:sz w:val="24"/>
          <w:szCs w:val="24"/>
        </w:rPr>
      </w:pPr>
      <w:r w:rsidRPr="00F4231A">
        <w:rPr>
          <w:rFonts w:ascii="Book Antiqua" w:hAnsi="Book Antiqua" w:cs="Arial"/>
          <w:b/>
          <w:i/>
          <w:sz w:val="24"/>
          <w:szCs w:val="24"/>
        </w:rPr>
        <w:t>Peer-review</w:t>
      </w:r>
    </w:p>
    <w:p w:rsidR="00CB79F5" w:rsidRPr="00F4231A" w:rsidRDefault="00CB79F5" w:rsidP="00F4231A">
      <w:pPr>
        <w:pStyle w:val="15"/>
        <w:snapToGrid w:val="0"/>
        <w:rPr>
          <w:rFonts w:ascii="Book Antiqua" w:hAnsi="Book Antiqua" w:cs="Arial"/>
          <w:sz w:val="24"/>
          <w:szCs w:val="24"/>
        </w:rPr>
      </w:pPr>
      <w:r w:rsidRPr="00F4231A">
        <w:rPr>
          <w:rFonts w:ascii="Book Antiqua" w:hAnsi="Book Antiqua" w:cs="Arial"/>
          <w:sz w:val="24"/>
          <w:szCs w:val="24"/>
        </w:rPr>
        <w:t xml:space="preserve">This report, written by Kitabatake </w:t>
      </w:r>
      <w:r w:rsidRPr="00F4231A">
        <w:rPr>
          <w:rFonts w:ascii="Book Antiqua" w:hAnsi="Book Antiqua" w:cs="Arial"/>
          <w:i/>
          <w:sz w:val="24"/>
          <w:szCs w:val="24"/>
        </w:rPr>
        <w:t>et al</w:t>
      </w:r>
      <w:r w:rsidRPr="00F4231A">
        <w:rPr>
          <w:rFonts w:ascii="Book Antiqua" w:hAnsi="Book Antiqua" w:cs="Arial"/>
          <w:sz w:val="24"/>
          <w:szCs w:val="24"/>
        </w:rPr>
        <w:t xml:space="preserve">, is of an important retrospective study that has been carried out to disclose pathological mechanisms of NAFLD/NASH as well as its diagnosis.  Especially, the close relationship between LBP and NASH is very interesting. </w:t>
      </w:r>
    </w:p>
    <w:p w:rsidR="003A736C" w:rsidRPr="00F4231A" w:rsidRDefault="009B1994" w:rsidP="00F4231A">
      <w:pPr>
        <w:pStyle w:val="15"/>
        <w:snapToGrid w:val="0"/>
        <w:rPr>
          <w:rFonts w:ascii="Book Antiqua" w:hAnsi="Book Antiqua" w:cs="Arial"/>
          <w:sz w:val="24"/>
          <w:szCs w:val="24"/>
        </w:rPr>
      </w:pPr>
      <w:r w:rsidRPr="00F4231A">
        <w:rPr>
          <w:rFonts w:ascii="Book Antiqua" w:hAnsi="Book Antiqua" w:cs="Arial"/>
          <w:b/>
          <w:sz w:val="24"/>
          <w:szCs w:val="24"/>
        </w:rPr>
        <w:br w:type="page"/>
      </w:r>
      <w:r w:rsidR="00C810DE" w:rsidRPr="00F4231A">
        <w:rPr>
          <w:rFonts w:ascii="Book Antiqua" w:hAnsi="Book Antiqua" w:cs="Arial"/>
          <w:b/>
          <w:sz w:val="24"/>
          <w:szCs w:val="24"/>
        </w:rPr>
        <w:lastRenderedPageBreak/>
        <w:t>REFERENCES</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 xml:space="preserve">1 </w:t>
      </w:r>
      <w:r w:rsidRPr="00894674">
        <w:rPr>
          <w:rFonts w:ascii="Book Antiqua" w:eastAsia="SimSun" w:hAnsi="Book Antiqua" w:cs="SimSun"/>
          <w:b/>
          <w:bCs/>
          <w:color w:val="000000"/>
          <w:kern w:val="0"/>
          <w:sz w:val="24"/>
          <w:szCs w:val="24"/>
          <w:lang w:eastAsia="zh-CN"/>
        </w:rPr>
        <w:t>Hashimoto E</w:t>
      </w:r>
      <w:r w:rsidRPr="00894674">
        <w:rPr>
          <w:rFonts w:ascii="Book Antiqua" w:eastAsia="SimSun" w:hAnsi="Book Antiqua" w:cs="SimSun"/>
          <w:color w:val="000000"/>
          <w:kern w:val="0"/>
          <w:sz w:val="24"/>
          <w:szCs w:val="24"/>
          <w:lang w:eastAsia="zh-CN"/>
        </w:rPr>
        <w:t>, Tokushige K, Ludwig J. Diagnosis and classification of non-alcoholic fatty liver disease and non-alcoholic steatohepatitis: Current concepts and remaining challenges. </w:t>
      </w:r>
      <w:r w:rsidRPr="00894674">
        <w:rPr>
          <w:rFonts w:ascii="Book Antiqua" w:eastAsia="SimSun" w:hAnsi="Book Antiqua" w:cs="SimSun"/>
          <w:i/>
          <w:iCs/>
          <w:color w:val="000000"/>
          <w:kern w:val="0"/>
          <w:sz w:val="24"/>
          <w:szCs w:val="24"/>
          <w:lang w:eastAsia="zh-CN"/>
        </w:rPr>
        <w:t>Hepatol Res</w:t>
      </w:r>
      <w:r w:rsidRPr="00894674">
        <w:rPr>
          <w:rFonts w:ascii="Book Antiqua" w:eastAsia="SimSun" w:hAnsi="Book Antiqua" w:cs="SimSun"/>
          <w:color w:val="000000"/>
          <w:kern w:val="0"/>
          <w:sz w:val="24"/>
          <w:szCs w:val="24"/>
          <w:lang w:eastAsia="zh-CN"/>
        </w:rPr>
        <w:t> 2015; </w:t>
      </w:r>
      <w:r w:rsidRPr="00894674">
        <w:rPr>
          <w:rFonts w:ascii="Book Antiqua" w:eastAsia="SimSun" w:hAnsi="Book Antiqua" w:cs="SimSun"/>
          <w:b/>
          <w:bCs/>
          <w:color w:val="000000"/>
          <w:kern w:val="0"/>
          <w:sz w:val="24"/>
          <w:szCs w:val="24"/>
          <w:lang w:eastAsia="zh-CN"/>
        </w:rPr>
        <w:t>45</w:t>
      </w:r>
      <w:r w:rsidRPr="00894674">
        <w:rPr>
          <w:rFonts w:ascii="Book Antiqua" w:eastAsia="SimSun" w:hAnsi="Book Antiqua" w:cs="SimSun"/>
          <w:color w:val="000000"/>
          <w:kern w:val="0"/>
          <w:sz w:val="24"/>
          <w:szCs w:val="24"/>
          <w:lang w:eastAsia="zh-CN"/>
        </w:rPr>
        <w:t>: 20-28 [PMID: 24661406 DOI: 10.1111/hepr.12333]</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2 </w:t>
      </w:r>
      <w:r w:rsidRPr="00894674">
        <w:rPr>
          <w:rFonts w:ascii="Book Antiqua" w:eastAsia="SimSun" w:hAnsi="Book Antiqua" w:cs="SimSun"/>
          <w:b/>
          <w:bCs/>
          <w:color w:val="000000"/>
          <w:kern w:val="0"/>
          <w:sz w:val="24"/>
          <w:szCs w:val="24"/>
          <w:lang w:eastAsia="zh-CN"/>
        </w:rPr>
        <w:t>Mishra A</w:t>
      </w:r>
      <w:r w:rsidRPr="00894674">
        <w:rPr>
          <w:rFonts w:ascii="Book Antiqua" w:eastAsia="SimSun" w:hAnsi="Book Antiqua" w:cs="SimSun"/>
          <w:color w:val="000000"/>
          <w:kern w:val="0"/>
          <w:sz w:val="24"/>
          <w:szCs w:val="24"/>
          <w:lang w:eastAsia="zh-CN"/>
        </w:rPr>
        <w:t>, Younossi ZM. Epidemiology and Natural History of Non-alcoholic Fatty Liver Disease. </w:t>
      </w:r>
      <w:r w:rsidRPr="00894674">
        <w:rPr>
          <w:rFonts w:ascii="Book Antiqua" w:eastAsia="SimSun" w:hAnsi="Book Antiqua" w:cs="SimSun"/>
          <w:i/>
          <w:iCs/>
          <w:color w:val="000000"/>
          <w:kern w:val="0"/>
          <w:sz w:val="24"/>
          <w:szCs w:val="24"/>
          <w:lang w:eastAsia="zh-CN"/>
        </w:rPr>
        <w:t>J Clin Exp Hepatol</w:t>
      </w:r>
      <w:r w:rsidRPr="00894674">
        <w:rPr>
          <w:rFonts w:ascii="Book Antiqua" w:eastAsia="SimSun" w:hAnsi="Book Antiqua" w:cs="SimSun"/>
          <w:color w:val="000000"/>
          <w:kern w:val="0"/>
          <w:sz w:val="24"/>
          <w:szCs w:val="24"/>
          <w:lang w:eastAsia="zh-CN"/>
        </w:rPr>
        <w:t> 2012; </w:t>
      </w:r>
      <w:r w:rsidRPr="00894674">
        <w:rPr>
          <w:rFonts w:ascii="Book Antiqua" w:eastAsia="SimSun" w:hAnsi="Book Antiqua" w:cs="SimSun"/>
          <w:b/>
          <w:bCs/>
          <w:color w:val="000000"/>
          <w:kern w:val="0"/>
          <w:sz w:val="24"/>
          <w:szCs w:val="24"/>
          <w:lang w:eastAsia="zh-CN"/>
        </w:rPr>
        <w:t>2</w:t>
      </w:r>
      <w:r w:rsidRPr="00894674">
        <w:rPr>
          <w:rFonts w:ascii="Book Antiqua" w:eastAsia="SimSun" w:hAnsi="Book Antiqua" w:cs="SimSun"/>
          <w:color w:val="000000"/>
          <w:kern w:val="0"/>
          <w:sz w:val="24"/>
          <w:szCs w:val="24"/>
          <w:lang w:eastAsia="zh-CN"/>
        </w:rPr>
        <w:t>: 135-144 [PMID: 25755422 DOI: 10.1016/S0973-6883(12)60102-9]</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3 </w:t>
      </w:r>
      <w:r w:rsidRPr="00894674">
        <w:rPr>
          <w:rFonts w:ascii="Book Antiqua" w:eastAsia="SimSun" w:hAnsi="Book Antiqua" w:cs="SimSun"/>
          <w:b/>
          <w:bCs/>
          <w:color w:val="000000"/>
          <w:kern w:val="0"/>
          <w:sz w:val="24"/>
          <w:szCs w:val="24"/>
          <w:lang w:eastAsia="zh-CN"/>
        </w:rPr>
        <w:t>Cohen JC</w:t>
      </w:r>
      <w:r w:rsidRPr="00894674">
        <w:rPr>
          <w:rFonts w:ascii="Book Antiqua" w:eastAsia="SimSun" w:hAnsi="Book Antiqua" w:cs="SimSun"/>
          <w:color w:val="000000"/>
          <w:kern w:val="0"/>
          <w:sz w:val="24"/>
          <w:szCs w:val="24"/>
          <w:lang w:eastAsia="zh-CN"/>
        </w:rPr>
        <w:t>, Horton JD, Hobbs HH. Human fatty liver disease: old questions and new insights. </w:t>
      </w:r>
      <w:r w:rsidRPr="00894674">
        <w:rPr>
          <w:rFonts w:ascii="Book Antiqua" w:eastAsia="SimSun" w:hAnsi="Book Antiqua" w:cs="SimSun"/>
          <w:i/>
          <w:iCs/>
          <w:color w:val="000000"/>
          <w:kern w:val="0"/>
          <w:sz w:val="24"/>
          <w:szCs w:val="24"/>
          <w:lang w:eastAsia="zh-CN"/>
        </w:rPr>
        <w:t>Science</w:t>
      </w:r>
      <w:r w:rsidRPr="00894674">
        <w:rPr>
          <w:rFonts w:ascii="Book Antiqua" w:eastAsia="SimSun" w:hAnsi="Book Antiqua" w:cs="SimSun"/>
          <w:color w:val="000000"/>
          <w:kern w:val="0"/>
          <w:sz w:val="24"/>
          <w:szCs w:val="24"/>
          <w:lang w:eastAsia="zh-CN"/>
        </w:rPr>
        <w:t> 2011; </w:t>
      </w:r>
      <w:r w:rsidRPr="00894674">
        <w:rPr>
          <w:rFonts w:ascii="Book Antiqua" w:eastAsia="SimSun" w:hAnsi="Book Antiqua" w:cs="SimSun"/>
          <w:b/>
          <w:bCs/>
          <w:color w:val="000000"/>
          <w:kern w:val="0"/>
          <w:sz w:val="24"/>
          <w:szCs w:val="24"/>
          <w:lang w:eastAsia="zh-CN"/>
        </w:rPr>
        <w:t>332</w:t>
      </w:r>
      <w:r w:rsidRPr="00894674">
        <w:rPr>
          <w:rFonts w:ascii="Book Antiqua" w:eastAsia="SimSun" w:hAnsi="Book Antiqua" w:cs="SimSun"/>
          <w:color w:val="000000"/>
          <w:kern w:val="0"/>
          <w:sz w:val="24"/>
          <w:szCs w:val="24"/>
          <w:lang w:eastAsia="zh-CN"/>
        </w:rPr>
        <w:t>: 1519-1523 [PMID: 21700865 DOI: 10.1126/science.1204265]</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4 </w:t>
      </w:r>
      <w:r w:rsidRPr="00894674">
        <w:rPr>
          <w:rFonts w:ascii="Book Antiqua" w:eastAsia="SimSun" w:hAnsi="Book Antiqua" w:cs="SimSun"/>
          <w:b/>
          <w:bCs/>
          <w:color w:val="000000"/>
          <w:kern w:val="0"/>
          <w:sz w:val="24"/>
          <w:szCs w:val="24"/>
          <w:lang w:eastAsia="zh-CN"/>
        </w:rPr>
        <w:t>Nagaya T</w:t>
      </w:r>
      <w:r w:rsidRPr="00894674">
        <w:rPr>
          <w:rFonts w:ascii="Book Antiqua" w:eastAsia="SimSun" w:hAnsi="Book Antiqua" w:cs="SimSun"/>
          <w:color w:val="000000"/>
          <w:kern w:val="0"/>
          <w:sz w:val="24"/>
          <w:szCs w:val="24"/>
          <w:lang w:eastAsia="zh-CN"/>
        </w:rPr>
        <w:t>, Tanaka N, Komatsu M, Ichijo T, Sano K, Horiuchi A, Joshita S, Umemura T, Matsumoto A, Yoshizawa K, Aoyama T, Kiyosawa K, Tanaka E. Development from simple steatosis to liver cirrhosis and hepatocellular carcinoma: a 27-year follow-up case. </w:t>
      </w:r>
      <w:r w:rsidRPr="00894674">
        <w:rPr>
          <w:rFonts w:ascii="Book Antiqua" w:eastAsia="SimSun" w:hAnsi="Book Antiqua" w:cs="SimSun"/>
          <w:i/>
          <w:iCs/>
          <w:color w:val="000000"/>
          <w:kern w:val="0"/>
          <w:sz w:val="24"/>
          <w:szCs w:val="24"/>
          <w:lang w:eastAsia="zh-CN"/>
        </w:rPr>
        <w:t>Clin J Gastroenterol</w:t>
      </w:r>
      <w:r w:rsidRPr="00894674">
        <w:rPr>
          <w:rFonts w:ascii="Book Antiqua" w:eastAsia="SimSun" w:hAnsi="Book Antiqua" w:cs="SimSun"/>
          <w:color w:val="000000"/>
          <w:kern w:val="0"/>
          <w:sz w:val="24"/>
          <w:szCs w:val="24"/>
          <w:lang w:eastAsia="zh-CN"/>
        </w:rPr>
        <w:t> 2008; </w:t>
      </w:r>
      <w:r w:rsidRPr="00894674">
        <w:rPr>
          <w:rFonts w:ascii="Book Antiqua" w:eastAsia="SimSun" w:hAnsi="Book Antiqua" w:cs="SimSun"/>
          <w:b/>
          <w:bCs/>
          <w:color w:val="000000"/>
          <w:kern w:val="0"/>
          <w:sz w:val="24"/>
          <w:szCs w:val="24"/>
          <w:lang w:eastAsia="zh-CN"/>
        </w:rPr>
        <w:t>1</w:t>
      </w:r>
      <w:r w:rsidRPr="00894674">
        <w:rPr>
          <w:rFonts w:ascii="Book Antiqua" w:eastAsia="SimSun" w:hAnsi="Book Antiqua" w:cs="SimSun"/>
          <w:color w:val="000000"/>
          <w:kern w:val="0"/>
          <w:sz w:val="24"/>
          <w:szCs w:val="24"/>
          <w:lang w:eastAsia="zh-CN"/>
        </w:rPr>
        <w:t>: 116-121 [PMID: 26193649 DOI: 10.1007/s12328-008-0017-0]</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5 </w:t>
      </w:r>
      <w:r w:rsidRPr="00894674">
        <w:rPr>
          <w:rFonts w:ascii="Book Antiqua" w:eastAsia="SimSun" w:hAnsi="Book Antiqua" w:cs="SimSun"/>
          <w:b/>
          <w:bCs/>
          <w:color w:val="000000"/>
          <w:kern w:val="0"/>
          <w:sz w:val="24"/>
          <w:szCs w:val="24"/>
          <w:lang w:eastAsia="zh-CN"/>
        </w:rPr>
        <w:t>Paolella G</w:t>
      </w:r>
      <w:r w:rsidRPr="00894674">
        <w:rPr>
          <w:rFonts w:ascii="Book Antiqua" w:eastAsia="SimSun" w:hAnsi="Book Antiqua" w:cs="SimSun"/>
          <w:color w:val="000000"/>
          <w:kern w:val="0"/>
          <w:sz w:val="24"/>
          <w:szCs w:val="24"/>
          <w:lang w:eastAsia="zh-CN"/>
        </w:rPr>
        <w:t>, Mandato C, Pierri L, Poeta M, Di Stasi M, Vajro P. Gut-liver axis and probiotics: their role in non-alcoholic fatty liver disease. </w:t>
      </w:r>
      <w:r w:rsidRPr="00894674">
        <w:rPr>
          <w:rFonts w:ascii="Book Antiqua" w:eastAsia="SimSun" w:hAnsi="Book Antiqua" w:cs="SimSun"/>
          <w:i/>
          <w:iCs/>
          <w:color w:val="000000"/>
          <w:kern w:val="0"/>
          <w:sz w:val="24"/>
          <w:szCs w:val="24"/>
          <w:lang w:eastAsia="zh-CN"/>
        </w:rPr>
        <w:t>World J Gastroenterol</w:t>
      </w:r>
      <w:r w:rsidRPr="00894674">
        <w:rPr>
          <w:rFonts w:ascii="Book Antiqua" w:eastAsia="SimSun" w:hAnsi="Book Antiqua" w:cs="SimSun"/>
          <w:color w:val="000000"/>
          <w:kern w:val="0"/>
          <w:sz w:val="24"/>
          <w:szCs w:val="24"/>
          <w:lang w:eastAsia="zh-CN"/>
        </w:rPr>
        <w:t xml:space="preserve"> 2014; </w:t>
      </w:r>
      <w:r w:rsidRPr="00894674">
        <w:rPr>
          <w:rFonts w:ascii="Book Antiqua" w:eastAsia="SimSun" w:hAnsi="Book Antiqua" w:cs="SimSun"/>
          <w:b/>
          <w:bCs/>
          <w:color w:val="000000"/>
          <w:kern w:val="0"/>
          <w:sz w:val="24"/>
          <w:szCs w:val="24"/>
          <w:lang w:eastAsia="zh-CN"/>
        </w:rPr>
        <w:t>20</w:t>
      </w:r>
      <w:r w:rsidRPr="00894674">
        <w:rPr>
          <w:rFonts w:ascii="Book Antiqua" w:eastAsia="SimSun" w:hAnsi="Book Antiqua" w:cs="SimSun"/>
          <w:color w:val="000000"/>
          <w:kern w:val="0"/>
          <w:sz w:val="24"/>
          <w:szCs w:val="24"/>
          <w:lang w:eastAsia="zh-CN"/>
        </w:rPr>
        <w:t>: 15518-15531 [PMID: 25400436 DOI: 10.3748/wjg.v20.i42.15518]</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6 </w:t>
      </w:r>
      <w:r w:rsidRPr="00894674">
        <w:rPr>
          <w:rFonts w:ascii="Book Antiqua" w:eastAsia="SimSun" w:hAnsi="Book Antiqua" w:cs="SimSun"/>
          <w:b/>
          <w:bCs/>
          <w:color w:val="000000"/>
          <w:kern w:val="0"/>
          <w:sz w:val="24"/>
          <w:szCs w:val="24"/>
          <w:lang w:eastAsia="zh-CN"/>
        </w:rPr>
        <w:t>Zhu L</w:t>
      </w:r>
      <w:r w:rsidRPr="00894674">
        <w:rPr>
          <w:rFonts w:ascii="Book Antiqua" w:eastAsia="SimSun" w:hAnsi="Book Antiqua" w:cs="SimSun"/>
          <w:color w:val="000000"/>
          <w:kern w:val="0"/>
          <w:sz w:val="24"/>
          <w:szCs w:val="24"/>
          <w:lang w:eastAsia="zh-CN"/>
        </w:rPr>
        <w:t xml:space="preserve">, Baker RD, Baker SS. Gut microbiome and nonalcoholic fatty liver diseases. </w:t>
      </w:r>
      <w:r w:rsidRPr="00894674">
        <w:rPr>
          <w:rFonts w:ascii="Book Antiqua" w:eastAsia="SimSun" w:hAnsi="Book Antiqua" w:cs="SimSun"/>
          <w:i/>
          <w:iCs/>
          <w:color w:val="000000"/>
          <w:kern w:val="0"/>
          <w:sz w:val="24"/>
          <w:szCs w:val="24"/>
          <w:lang w:eastAsia="zh-CN"/>
        </w:rPr>
        <w:t>Pediatr Res</w:t>
      </w:r>
      <w:r w:rsidRPr="00894674">
        <w:rPr>
          <w:rFonts w:ascii="Book Antiqua" w:eastAsia="SimSun" w:hAnsi="Book Antiqua" w:cs="SimSun"/>
          <w:color w:val="000000"/>
          <w:kern w:val="0"/>
          <w:sz w:val="24"/>
          <w:szCs w:val="24"/>
          <w:lang w:eastAsia="zh-CN"/>
        </w:rPr>
        <w:t> 2015; </w:t>
      </w:r>
      <w:r w:rsidRPr="00894674">
        <w:rPr>
          <w:rFonts w:ascii="Book Antiqua" w:eastAsia="SimSun" w:hAnsi="Book Antiqua" w:cs="SimSun"/>
          <w:b/>
          <w:bCs/>
          <w:color w:val="000000"/>
          <w:kern w:val="0"/>
          <w:sz w:val="24"/>
          <w:szCs w:val="24"/>
          <w:lang w:eastAsia="zh-CN"/>
        </w:rPr>
        <w:t>77</w:t>
      </w:r>
      <w:r w:rsidRPr="00894674">
        <w:rPr>
          <w:rFonts w:ascii="Book Antiqua" w:eastAsia="SimSun" w:hAnsi="Book Antiqua" w:cs="SimSun"/>
          <w:color w:val="000000"/>
          <w:kern w:val="0"/>
          <w:sz w:val="24"/>
          <w:szCs w:val="24"/>
          <w:lang w:eastAsia="zh-CN"/>
        </w:rPr>
        <w:t>: 245-251 [PMID: 25310763 DOI: 10.1038/pr.2014.157]</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7 </w:t>
      </w:r>
      <w:r w:rsidRPr="00894674">
        <w:rPr>
          <w:rFonts w:ascii="Book Antiqua" w:eastAsia="SimSun" w:hAnsi="Book Antiqua" w:cs="SimSun"/>
          <w:b/>
          <w:bCs/>
          <w:color w:val="000000"/>
          <w:kern w:val="0"/>
          <w:sz w:val="24"/>
          <w:szCs w:val="24"/>
          <w:lang w:eastAsia="zh-CN"/>
        </w:rPr>
        <w:t>Imajo K</w:t>
      </w:r>
      <w:r w:rsidRPr="00894674">
        <w:rPr>
          <w:rFonts w:ascii="Book Antiqua" w:eastAsia="SimSun" w:hAnsi="Book Antiqua" w:cs="SimSun"/>
          <w:color w:val="000000"/>
          <w:kern w:val="0"/>
          <w:sz w:val="24"/>
          <w:szCs w:val="24"/>
          <w:lang w:eastAsia="zh-CN"/>
        </w:rPr>
        <w:t>, Fujita K, Yoneda M, Nozaki Y, Ogawa Y, Shinohara Y, Kato S, Mawatari H, Shibata W, Kitani H, Ikejima K, Kirikoshi H, Nakajima N, Saito S, Maeyama S, Watanabe S, Wada K, Nakajima A. Hyperresponsivity to low-dose endotoxin during progression to nonalcoholic steatohepatitis is regulated by leptin-mediated signaling. </w:t>
      </w:r>
      <w:r w:rsidRPr="00894674">
        <w:rPr>
          <w:rFonts w:ascii="Book Antiqua" w:eastAsia="SimSun" w:hAnsi="Book Antiqua" w:cs="SimSun"/>
          <w:i/>
          <w:iCs/>
          <w:color w:val="000000"/>
          <w:kern w:val="0"/>
          <w:sz w:val="24"/>
          <w:szCs w:val="24"/>
          <w:lang w:eastAsia="zh-CN"/>
        </w:rPr>
        <w:t>Cell Metab</w:t>
      </w:r>
      <w:r w:rsidRPr="00894674">
        <w:rPr>
          <w:rFonts w:ascii="Book Antiqua" w:eastAsia="SimSun" w:hAnsi="Book Antiqua" w:cs="SimSun"/>
          <w:color w:val="000000"/>
          <w:kern w:val="0"/>
          <w:sz w:val="24"/>
          <w:szCs w:val="24"/>
          <w:lang w:eastAsia="zh-CN"/>
        </w:rPr>
        <w:t> 2012; </w:t>
      </w:r>
      <w:r w:rsidRPr="00894674">
        <w:rPr>
          <w:rFonts w:ascii="Book Antiqua" w:eastAsia="SimSun" w:hAnsi="Book Antiqua" w:cs="SimSun"/>
          <w:b/>
          <w:bCs/>
          <w:color w:val="000000"/>
          <w:kern w:val="0"/>
          <w:sz w:val="24"/>
          <w:szCs w:val="24"/>
          <w:lang w:eastAsia="zh-CN"/>
        </w:rPr>
        <w:t>16</w:t>
      </w:r>
      <w:r w:rsidRPr="00894674">
        <w:rPr>
          <w:rFonts w:ascii="Book Antiqua" w:eastAsia="SimSun" w:hAnsi="Book Antiqua" w:cs="SimSun"/>
          <w:color w:val="000000"/>
          <w:kern w:val="0"/>
          <w:sz w:val="24"/>
          <w:szCs w:val="24"/>
          <w:lang w:eastAsia="zh-CN"/>
        </w:rPr>
        <w:t>: 44-54 [PMID: 22768838 DOI: 10.1016/j.cmet.2012.05.012]</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lastRenderedPageBreak/>
        <w:t>8 </w:t>
      </w:r>
      <w:r w:rsidRPr="00894674">
        <w:rPr>
          <w:rFonts w:ascii="Book Antiqua" w:eastAsia="SimSun" w:hAnsi="Book Antiqua" w:cs="SimSun"/>
          <w:b/>
          <w:bCs/>
          <w:color w:val="000000"/>
          <w:kern w:val="0"/>
          <w:sz w:val="24"/>
          <w:szCs w:val="24"/>
          <w:lang w:eastAsia="zh-CN"/>
        </w:rPr>
        <w:t>Csak T</w:t>
      </w:r>
      <w:r w:rsidRPr="00894674">
        <w:rPr>
          <w:rFonts w:ascii="Book Antiqua" w:eastAsia="SimSun" w:hAnsi="Book Antiqua" w:cs="SimSun"/>
          <w:color w:val="000000"/>
          <w:kern w:val="0"/>
          <w:sz w:val="24"/>
          <w:szCs w:val="24"/>
          <w:lang w:eastAsia="zh-CN"/>
        </w:rPr>
        <w:t>, Velayudham A, Hritz I, Petrasek J, Levin I, Lippai D, Catalano D, Mandrekar P, Dolganiuc A, Kurt-Jones E, Szabo G. Deficiency in myeloid differentiation factor-2 and toll-like receptor 4 expression attenuates nonalcoholic steatohepatitis and fibrosis in mice. </w:t>
      </w:r>
      <w:r w:rsidRPr="00894674">
        <w:rPr>
          <w:rFonts w:ascii="Book Antiqua" w:eastAsia="SimSun" w:hAnsi="Book Antiqua" w:cs="SimSun"/>
          <w:i/>
          <w:iCs/>
          <w:color w:val="000000"/>
          <w:kern w:val="0"/>
          <w:sz w:val="24"/>
          <w:szCs w:val="24"/>
          <w:lang w:eastAsia="zh-CN"/>
        </w:rPr>
        <w:t>Am J Physiol Gastrointest Liver Physiol</w:t>
      </w:r>
      <w:r w:rsidRPr="00F4231A">
        <w:rPr>
          <w:rFonts w:ascii="Book Antiqua" w:eastAsia="SimSun" w:hAnsi="Book Antiqua" w:cs="SimSun"/>
          <w:color w:val="000000"/>
          <w:kern w:val="0"/>
          <w:sz w:val="24"/>
          <w:szCs w:val="24"/>
          <w:lang w:eastAsia="zh-CN"/>
        </w:rPr>
        <w:t xml:space="preserve"> </w:t>
      </w:r>
      <w:r w:rsidRPr="00894674">
        <w:rPr>
          <w:rFonts w:ascii="Book Antiqua" w:eastAsia="SimSun" w:hAnsi="Book Antiqua" w:cs="SimSun"/>
          <w:color w:val="000000"/>
          <w:kern w:val="0"/>
          <w:sz w:val="24"/>
          <w:szCs w:val="24"/>
          <w:lang w:eastAsia="zh-CN"/>
        </w:rPr>
        <w:t>2011; </w:t>
      </w:r>
      <w:r w:rsidRPr="00894674">
        <w:rPr>
          <w:rFonts w:ascii="Book Antiqua" w:eastAsia="SimSun" w:hAnsi="Book Antiqua" w:cs="SimSun"/>
          <w:b/>
          <w:bCs/>
          <w:color w:val="000000"/>
          <w:kern w:val="0"/>
          <w:sz w:val="24"/>
          <w:szCs w:val="24"/>
          <w:lang w:eastAsia="zh-CN"/>
        </w:rPr>
        <w:t>300</w:t>
      </w:r>
      <w:r w:rsidRPr="00894674">
        <w:rPr>
          <w:rFonts w:ascii="Book Antiqua" w:eastAsia="SimSun" w:hAnsi="Book Antiqua" w:cs="SimSun"/>
          <w:color w:val="000000"/>
          <w:kern w:val="0"/>
          <w:sz w:val="24"/>
          <w:szCs w:val="24"/>
          <w:lang w:eastAsia="zh-CN"/>
        </w:rPr>
        <w:t>: G433-G441 [PMID: 21233280 DOI: 10.1152/ajpgi.00163.2009]</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9 </w:t>
      </w:r>
      <w:r w:rsidRPr="00894674">
        <w:rPr>
          <w:rFonts w:ascii="Book Antiqua" w:eastAsia="SimSun" w:hAnsi="Book Antiqua" w:cs="SimSun"/>
          <w:b/>
          <w:bCs/>
          <w:color w:val="000000"/>
          <w:kern w:val="0"/>
          <w:sz w:val="24"/>
          <w:szCs w:val="24"/>
          <w:lang w:eastAsia="zh-CN"/>
        </w:rPr>
        <w:t>Gardiner KR</w:t>
      </w:r>
      <w:r w:rsidRPr="00894674">
        <w:rPr>
          <w:rFonts w:ascii="Book Antiqua" w:eastAsia="SimSun" w:hAnsi="Book Antiqua" w:cs="SimSun"/>
          <w:color w:val="000000"/>
          <w:kern w:val="0"/>
          <w:sz w:val="24"/>
          <w:szCs w:val="24"/>
          <w:lang w:eastAsia="zh-CN"/>
        </w:rPr>
        <w:t>, Halliday MI, Barclay GR, Milne L, Brown D, Stephens S, Maxwell RJ, Rowlands BJ. Significance of systemic endotoxaemia in inflammatory bowel disease. </w:t>
      </w:r>
      <w:r w:rsidRPr="00894674">
        <w:rPr>
          <w:rFonts w:ascii="Book Antiqua" w:eastAsia="SimSun" w:hAnsi="Book Antiqua" w:cs="SimSun"/>
          <w:i/>
          <w:iCs/>
          <w:color w:val="000000"/>
          <w:kern w:val="0"/>
          <w:sz w:val="24"/>
          <w:szCs w:val="24"/>
          <w:lang w:eastAsia="zh-CN"/>
        </w:rPr>
        <w:t>Gut</w:t>
      </w:r>
      <w:r w:rsidRPr="00894674">
        <w:rPr>
          <w:rFonts w:ascii="Book Antiqua" w:eastAsia="SimSun" w:hAnsi="Book Antiqua" w:cs="SimSun"/>
          <w:color w:val="000000"/>
          <w:kern w:val="0"/>
          <w:sz w:val="24"/>
          <w:szCs w:val="24"/>
          <w:lang w:eastAsia="zh-CN"/>
        </w:rPr>
        <w:t> 1995; </w:t>
      </w:r>
      <w:r w:rsidRPr="00894674">
        <w:rPr>
          <w:rFonts w:ascii="Book Antiqua" w:eastAsia="SimSun" w:hAnsi="Book Antiqua" w:cs="SimSun"/>
          <w:b/>
          <w:bCs/>
          <w:color w:val="000000"/>
          <w:kern w:val="0"/>
          <w:sz w:val="24"/>
          <w:szCs w:val="24"/>
          <w:lang w:eastAsia="zh-CN"/>
        </w:rPr>
        <w:t>36</w:t>
      </w:r>
      <w:r w:rsidRPr="00894674">
        <w:rPr>
          <w:rFonts w:ascii="Book Antiqua" w:eastAsia="SimSun" w:hAnsi="Book Antiqua" w:cs="SimSun"/>
          <w:color w:val="000000"/>
          <w:kern w:val="0"/>
          <w:sz w:val="24"/>
          <w:szCs w:val="24"/>
          <w:lang w:eastAsia="zh-CN"/>
        </w:rPr>
        <w:t>: 897-901 [PMID: 7615280]</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10 </w:t>
      </w:r>
      <w:r w:rsidRPr="00894674">
        <w:rPr>
          <w:rFonts w:ascii="Book Antiqua" w:eastAsia="SimSun" w:hAnsi="Book Antiqua" w:cs="SimSun"/>
          <w:b/>
          <w:bCs/>
          <w:color w:val="000000"/>
          <w:kern w:val="0"/>
          <w:sz w:val="24"/>
          <w:szCs w:val="24"/>
          <w:lang w:eastAsia="zh-CN"/>
        </w:rPr>
        <w:t>Pasternak BA</w:t>
      </w:r>
      <w:r w:rsidRPr="00894674">
        <w:rPr>
          <w:rFonts w:ascii="Book Antiqua" w:eastAsia="SimSun" w:hAnsi="Book Antiqua" w:cs="SimSun"/>
          <w:color w:val="000000"/>
          <w:kern w:val="0"/>
          <w:sz w:val="24"/>
          <w:szCs w:val="24"/>
          <w:lang w:eastAsia="zh-CN"/>
        </w:rPr>
        <w:t>, D'Mello S, Jurickova II, Han X, Willson T, Flick L, Petiniot L, Uozumi N, Divanovic S, Traurnicht A, Bonkowski E, Kugathasan S, Karp CL, Denson LA. Lipopolysaccharide exposure is linked to activation of the acute phase response and growth failure in pediatric Crohn's disease and murine colitis.</w:t>
      </w:r>
      <w:r w:rsidRPr="00F4231A">
        <w:rPr>
          <w:rFonts w:ascii="Book Antiqua" w:eastAsia="SimSun" w:hAnsi="Book Antiqua" w:cs="SimSun"/>
          <w:color w:val="000000"/>
          <w:kern w:val="0"/>
          <w:sz w:val="24"/>
          <w:szCs w:val="24"/>
          <w:lang w:eastAsia="zh-CN"/>
        </w:rPr>
        <w:t xml:space="preserve"> </w:t>
      </w:r>
      <w:r w:rsidRPr="00894674">
        <w:rPr>
          <w:rFonts w:ascii="Book Antiqua" w:eastAsia="SimSun" w:hAnsi="Book Antiqua" w:cs="SimSun"/>
          <w:i/>
          <w:iCs/>
          <w:color w:val="000000"/>
          <w:kern w:val="0"/>
          <w:sz w:val="24"/>
          <w:szCs w:val="24"/>
          <w:lang w:eastAsia="zh-CN"/>
        </w:rPr>
        <w:t>Inflamm Bowel Dis</w:t>
      </w:r>
      <w:r w:rsidRPr="00894674">
        <w:rPr>
          <w:rFonts w:ascii="Book Antiqua" w:eastAsia="SimSun" w:hAnsi="Book Antiqua" w:cs="SimSun"/>
          <w:color w:val="000000"/>
          <w:kern w:val="0"/>
          <w:sz w:val="24"/>
          <w:szCs w:val="24"/>
          <w:lang w:eastAsia="zh-CN"/>
        </w:rPr>
        <w:t> 2010; </w:t>
      </w:r>
      <w:r w:rsidRPr="00894674">
        <w:rPr>
          <w:rFonts w:ascii="Book Antiqua" w:eastAsia="SimSun" w:hAnsi="Book Antiqua" w:cs="SimSun"/>
          <w:b/>
          <w:bCs/>
          <w:color w:val="000000"/>
          <w:kern w:val="0"/>
          <w:sz w:val="24"/>
          <w:szCs w:val="24"/>
          <w:lang w:eastAsia="zh-CN"/>
        </w:rPr>
        <w:t>16</w:t>
      </w:r>
      <w:r w:rsidRPr="00894674">
        <w:rPr>
          <w:rFonts w:ascii="Book Antiqua" w:eastAsia="SimSun" w:hAnsi="Book Antiqua" w:cs="SimSun"/>
          <w:color w:val="000000"/>
          <w:kern w:val="0"/>
          <w:sz w:val="24"/>
          <w:szCs w:val="24"/>
          <w:lang w:eastAsia="zh-CN"/>
        </w:rPr>
        <w:t>: 856-869 [PMID: 19924809 DOI: 10.1002/ibd.21132]</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11 </w:t>
      </w:r>
      <w:r w:rsidRPr="00894674">
        <w:rPr>
          <w:rFonts w:ascii="Book Antiqua" w:eastAsia="SimSun" w:hAnsi="Book Antiqua" w:cs="SimSun"/>
          <w:b/>
          <w:bCs/>
          <w:color w:val="000000"/>
          <w:kern w:val="0"/>
          <w:sz w:val="24"/>
          <w:szCs w:val="24"/>
          <w:lang w:eastAsia="zh-CN"/>
        </w:rPr>
        <w:t>Tanaka N</w:t>
      </w:r>
      <w:r w:rsidRPr="00894674">
        <w:rPr>
          <w:rFonts w:ascii="Book Antiqua" w:eastAsia="SimSun" w:hAnsi="Book Antiqua" w:cs="SimSun"/>
          <w:color w:val="000000"/>
          <w:kern w:val="0"/>
          <w:sz w:val="24"/>
          <w:szCs w:val="24"/>
          <w:lang w:eastAsia="zh-CN"/>
        </w:rPr>
        <w:t>, Horiuchi A, Yokoyama T, Kaneko G, Horigome N, Yamaura T, Nagaya T, Komatsu M, Sano K, Miyagawa S, Aoyama T, Tanaka E. Clinical characteristics of de novo nonalcoholic fatty liver disease following pancreaticoduodenectomy. </w:t>
      </w:r>
      <w:r w:rsidRPr="00894674">
        <w:rPr>
          <w:rFonts w:ascii="Book Antiqua" w:eastAsia="SimSun" w:hAnsi="Book Antiqua" w:cs="SimSun"/>
          <w:i/>
          <w:iCs/>
          <w:color w:val="000000"/>
          <w:kern w:val="0"/>
          <w:sz w:val="24"/>
          <w:szCs w:val="24"/>
          <w:lang w:eastAsia="zh-CN"/>
        </w:rPr>
        <w:t>J Gastroenterol</w:t>
      </w:r>
      <w:r w:rsidRPr="00894674">
        <w:rPr>
          <w:rFonts w:ascii="Book Antiqua" w:eastAsia="SimSun" w:hAnsi="Book Antiqua" w:cs="SimSun"/>
          <w:color w:val="000000"/>
          <w:kern w:val="0"/>
          <w:sz w:val="24"/>
          <w:szCs w:val="24"/>
          <w:lang w:eastAsia="zh-CN"/>
        </w:rPr>
        <w:t> 2011; </w:t>
      </w:r>
      <w:r w:rsidRPr="00894674">
        <w:rPr>
          <w:rFonts w:ascii="Book Antiqua" w:eastAsia="SimSun" w:hAnsi="Book Antiqua" w:cs="SimSun"/>
          <w:b/>
          <w:bCs/>
          <w:color w:val="000000"/>
          <w:kern w:val="0"/>
          <w:sz w:val="24"/>
          <w:szCs w:val="24"/>
          <w:lang w:eastAsia="zh-CN"/>
        </w:rPr>
        <w:t>46</w:t>
      </w:r>
      <w:r w:rsidRPr="00894674">
        <w:rPr>
          <w:rFonts w:ascii="Book Antiqua" w:eastAsia="SimSun" w:hAnsi="Book Antiqua" w:cs="SimSun"/>
          <w:color w:val="000000"/>
          <w:kern w:val="0"/>
          <w:sz w:val="24"/>
          <w:szCs w:val="24"/>
          <w:lang w:eastAsia="zh-CN"/>
        </w:rPr>
        <w:t>: 758-768 [PMID: 21267748 DOI: 10.1007/s00535-011-0370-5]</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12 </w:t>
      </w:r>
      <w:r w:rsidRPr="00894674">
        <w:rPr>
          <w:rFonts w:ascii="Book Antiqua" w:eastAsia="SimSun" w:hAnsi="Book Antiqua" w:cs="SimSun"/>
          <w:b/>
          <w:bCs/>
          <w:color w:val="000000"/>
          <w:kern w:val="0"/>
          <w:sz w:val="24"/>
          <w:szCs w:val="24"/>
          <w:lang w:eastAsia="zh-CN"/>
        </w:rPr>
        <w:t>Nagaya T</w:t>
      </w:r>
      <w:r w:rsidRPr="00894674">
        <w:rPr>
          <w:rFonts w:ascii="Book Antiqua" w:eastAsia="SimSun" w:hAnsi="Book Antiqua" w:cs="SimSun"/>
          <w:color w:val="000000"/>
          <w:kern w:val="0"/>
          <w:sz w:val="24"/>
          <w:szCs w:val="24"/>
          <w:lang w:eastAsia="zh-CN"/>
        </w:rPr>
        <w:t>, Tanaka N, Kimura T, Kitabatake H, Fujimori N, Komatsu M, Horiuchi A, Yamaura T, Umemura T, Sano K, Gonzalez FJ, Aoyama T, Tanaka E. Mechanism of the development of nonalcoholic steatohepatitis after pancreaticoduodenectomy. </w:t>
      </w:r>
      <w:r w:rsidRPr="00894674">
        <w:rPr>
          <w:rFonts w:ascii="Book Antiqua" w:eastAsia="SimSun" w:hAnsi="Book Antiqua" w:cs="SimSun"/>
          <w:i/>
          <w:iCs/>
          <w:color w:val="000000"/>
          <w:kern w:val="0"/>
          <w:sz w:val="24"/>
          <w:szCs w:val="24"/>
          <w:lang w:eastAsia="zh-CN"/>
        </w:rPr>
        <w:t>BBA Clin</w:t>
      </w:r>
      <w:r w:rsidRPr="00894674">
        <w:rPr>
          <w:rFonts w:ascii="Book Antiqua" w:eastAsia="SimSun" w:hAnsi="Book Antiqua" w:cs="SimSun"/>
          <w:color w:val="000000"/>
          <w:kern w:val="0"/>
          <w:sz w:val="24"/>
          <w:szCs w:val="24"/>
          <w:lang w:eastAsia="zh-CN"/>
        </w:rPr>
        <w:t> 2015; </w:t>
      </w:r>
      <w:r w:rsidRPr="00894674">
        <w:rPr>
          <w:rFonts w:ascii="Book Antiqua" w:eastAsia="SimSun" w:hAnsi="Book Antiqua" w:cs="SimSun"/>
          <w:b/>
          <w:bCs/>
          <w:color w:val="000000"/>
          <w:kern w:val="0"/>
          <w:sz w:val="24"/>
          <w:szCs w:val="24"/>
          <w:lang w:eastAsia="zh-CN"/>
        </w:rPr>
        <w:t>3</w:t>
      </w:r>
      <w:r w:rsidRPr="00894674">
        <w:rPr>
          <w:rFonts w:ascii="Book Antiqua" w:eastAsia="SimSun" w:hAnsi="Book Antiqua" w:cs="SimSun"/>
          <w:color w:val="000000"/>
          <w:kern w:val="0"/>
          <w:sz w:val="24"/>
          <w:szCs w:val="24"/>
          <w:lang w:eastAsia="zh-CN"/>
        </w:rPr>
        <w:t>: 168-174 [PMID: 26674248 DOI: 10.1016/j.bbacli.2015.02.001]</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13 </w:t>
      </w:r>
      <w:r w:rsidRPr="00894674">
        <w:rPr>
          <w:rFonts w:ascii="Book Antiqua" w:eastAsia="SimSun" w:hAnsi="Book Antiqua" w:cs="SimSun"/>
          <w:b/>
          <w:bCs/>
          <w:color w:val="000000"/>
          <w:kern w:val="0"/>
          <w:sz w:val="24"/>
          <w:szCs w:val="24"/>
          <w:lang w:eastAsia="zh-CN"/>
        </w:rPr>
        <w:t>Zweigner J</w:t>
      </w:r>
      <w:r w:rsidRPr="00894674">
        <w:rPr>
          <w:rFonts w:ascii="Book Antiqua" w:eastAsia="SimSun" w:hAnsi="Book Antiqua" w:cs="SimSun"/>
          <w:color w:val="000000"/>
          <w:kern w:val="0"/>
          <w:sz w:val="24"/>
          <w:szCs w:val="24"/>
          <w:lang w:eastAsia="zh-CN"/>
        </w:rPr>
        <w:t xml:space="preserve">, Schumann RR, Weber JR. The role of lipopolysaccharide-binding protein in modulating the innate immune response. </w:t>
      </w:r>
      <w:r w:rsidRPr="00894674">
        <w:rPr>
          <w:rFonts w:ascii="Book Antiqua" w:eastAsia="SimSun" w:hAnsi="Book Antiqua" w:cs="SimSun"/>
          <w:i/>
          <w:iCs/>
          <w:color w:val="000000"/>
          <w:kern w:val="0"/>
          <w:sz w:val="24"/>
          <w:szCs w:val="24"/>
          <w:lang w:eastAsia="zh-CN"/>
        </w:rPr>
        <w:t>Microbes Infect</w:t>
      </w:r>
      <w:r w:rsidRPr="00894674">
        <w:rPr>
          <w:rFonts w:ascii="Book Antiqua" w:eastAsia="SimSun" w:hAnsi="Book Antiqua" w:cs="SimSun"/>
          <w:color w:val="000000"/>
          <w:kern w:val="0"/>
          <w:sz w:val="24"/>
          <w:szCs w:val="24"/>
          <w:lang w:eastAsia="zh-CN"/>
        </w:rPr>
        <w:t> 2006; </w:t>
      </w:r>
      <w:r w:rsidRPr="00894674">
        <w:rPr>
          <w:rFonts w:ascii="Book Antiqua" w:eastAsia="SimSun" w:hAnsi="Book Antiqua" w:cs="SimSun"/>
          <w:b/>
          <w:bCs/>
          <w:color w:val="000000"/>
          <w:kern w:val="0"/>
          <w:sz w:val="24"/>
          <w:szCs w:val="24"/>
          <w:lang w:eastAsia="zh-CN"/>
        </w:rPr>
        <w:t>8</w:t>
      </w:r>
      <w:r w:rsidRPr="00894674">
        <w:rPr>
          <w:rFonts w:ascii="Book Antiqua" w:eastAsia="SimSun" w:hAnsi="Book Antiqua" w:cs="SimSun"/>
          <w:color w:val="000000"/>
          <w:kern w:val="0"/>
          <w:sz w:val="24"/>
          <w:szCs w:val="24"/>
          <w:lang w:eastAsia="zh-CN"/>
        </w:rPr>
        <w:t>: 946-952 [PMID: 16483818 DOI: 10.1016/j.micinf.2005.10.006]</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14 </w:t>
      </w:r>
      <w:r w:rsidRPr="00894674">
        <w:rPr>
          <w:rFonts w:ascii="Book Antiqua" w:eastAsia="SimSun" w:hAnsi="Book Antiqua" w:cs="SimSun"/>
          <w:b/>
          <w:bCs/>
          <w:color w:val="000000"/>
          <w:kern w:val="0"/>
          <w:sz w:val="24"/>
          <w:szCs w:val="24"/>
          <w:lang w:eastAsia="zh-CN"/>
        </w:rPr>
        <w:t>Wong VW</w:t>
      </w:r>
      <w:r w:rsidRPr="00894674">
        <w:rPr>
          <w:rFonts w:ascii="Book Antiqua" w:eastAsia="SimSun" w:hAnsi="Book Antiqua" w:cs="SimSun"/>
          <w:color w:val="000000"/>
          <w:kern w:val="0"/>
          <w:sz w:val="24"/>
          <w:szCs w:val="24"/>
          <w:lang w:eastAsia="zh-CN"/>
        </w:rPr>
        <w:t xml:space="preserve">, Wong GL, Chan HY, Yeung DK, Chan RS, Chim AM, Chan CK, Tse YK, Woo J, Chu WC, Chan HL. Bacterial endotoxin and non-alcoholic fatty </w:t>
      </w:r>
      <w:r w:rsidRPr="00894674">
        <w:rPr>
          <w:rFonts w:ascii="Book Antiqua" w:eastAsia="SimSun" w:hAnsi="Book Antiqua" w:cs="SimSun"/>
          <w:color w:val="000000"/>
          <w:kern w:val="0"/>
          <w:sz w:val="24"/>
          <w:szCs w:val="24"/>
          <w:lang w:eastAsia="zh-CN"/>
        </w:rPr>
        <w:lastRenderedPageBreak/>
        <w:t>liver disease in the general population: a prospective cohort study. </w:t>
      </w:r>
      <w:r w:rsidRPr="00894674">
        <w:rPr>
          <w:rFonts w:ascii="Book Antiqua" w:eastAsia="SimSun" w:hAnsi="Book Antiqua" w:cs="SimSun"/>
          <w:i/>
          <w:iCs/>
          <w:color w:val="000000"/>
          <w:kern w:val="0"/>
          <w:sz w:val="24"/>
          <w:szCs w:val="24"/>
          <w:lang w:eastAsia="zh-CN"/>
        </w:rPr>
        <w:t>Aliment Pharmacol</w:t>
      </w:r>
      <w:r w:rsidRPr="00F4231A">
        <w:rPr>
          <w:rFonts w:ascii="Book Antiqua" w:eastAsia="SimSun" w:hAnsi="Book Antiqua" w:cs="SimSun"/>
          <w:i/>
          <w:iCs/>
          <w:color w:val="000000"/>
          <w:kern w:val="0"/>
          <w:sz w:val="24"/>
          <w:szCs w:val="24"/>
          <w:lang w:eastAsia="zh-CN"/>
        </w:rPr>
        <w:t xml:space="preserve"> </w:t>
      </w:r>
      <w:r w:rsidRPr="00894674">
        <w:rPr>
          <w:rFonts w:ascii="Book Antiqua" w:eastAsia="SimSun" w:hAnsi="Book Antiqua" w:cs="SimSun"/>
          <w:i/>
          <w:iCs/>
          <w:color w:val="000000"/>
          <w:kern w:val="0"/>
          <w:sz w:val="24"/>
          <w:szCs w:val="24"/>
          <w:lang w:eastAsia="zh-CN"/>
        </w:rPr>
        <w:t>Ther</w:t>
      </w:r>
      <w:r w:rsidRPr="00894674">
        <w:rPr>
          <w:rFonts w:ascii="Book Antiqua" w:eastAsia="SimSun" w:hAnsi="Book Antiqua" w:cs="SimSun"/>
          <w:color w:val="000000"/>
          <w:kern w:val="0"/>
          <w:sz w:val="24"/>
          <w:szCs w:val="24"/>
          <w:lang w:eastAsia="zh-CN"/>
        </w:rPr>
        <w:t> 2015; </w:t>
      </w:r>
      <w:r w:rsidRPr="00894674">
        <w:rPr>
          <w:rFonts w:ascii="Book Antiqua" w:eastAsia="SimSun" w:hAnsi="Book Antiqua" w:cs="SimSun"/>
          <w:b/>
          <w:bCs/>
          <w:color w:val="000000"/>
          <w:kern w:val="0"/>
          <w:sz w:val="24"/>
          <w:szCs w:val="24"/>
          <w:lang w:eastAsia="zh-CN"/>
        </w:rPr>
        <w:t>42</w:t>
      </w:r>
      <w:r w:rsidRPr="00894674">
        <w:rPr>
          <w:rFonts w:ascii="Book Antiqua" w:eastAsia="SimSun" w:hAnsi="Book Antiqua" w:cs="SimSun"/>
          <w:color w:val="000000"/>
          <w:kern w:val="0"/>
          <w:sz w:val="24"/>
          <w:szCs w:val="24"/>
          <w:lang w:eastAsia="zh-CN"/>
        </w:rPr>
        <w:t>: 731-740 [PMID: 26202818 DOI: 10.1111/apt.13327]</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15 </w:t>
      </w:r>
      <w:r w:rsidRPr="00894674">
        <w:rPr>
          <w:rFonts w:ascii="Book Antiqua" w:eastAsia="SimSun" w:hAnsi="Book Antiqua" w:cs="SimSun"/>
          <w:b/>
          <w:bCs/>
          <w:color w:val="000000"/>
          <w:kern w:val="0"/>
          <w:sz w:val="24"/>
          <w:szCs w:val="24"/>
          <w:lang w:eastAsia="zh-CN"/>
        </w:rPr>
        <w:t>Tsutsui M</w:t>
      </w:r>
      <w:r w:rsidRPr="00894674">
        <w:rPr>
          <w:rFonts w:ascii="Book Antiqua" w:eastAsia="SimSun" w:hAnsi="Book Antiqua" w:cs="SimSun"/>
          <w:color w:val="000000"/>
          <w:kern w:val="0"/>
          <w:sz w:val="24"/>
          <w:szCs w:val="24"/>
          <w:lang w:eastAsia="zh-CN"/>
        </w:rPr>
        <w:t>, Tanaka N, Kawakubo M, Sheena Y, Horiuchi A, Komatsu M, Nagaya T, Joshita S, Umemura T, Ichijo T, Matsumoto A, Yoshizawa K, Aoyama T, Tanaka E, Sano K. Serum fragmented cytokeratin 18 levels reflect the histologic activity score of nonalcoholic fatty liver disease more accurately than serum alanine aminotransferase levels. </w:t>
      </w:r>
      <w:r w:rsidRPr="00894674">
        <w:rPr>
          <w:rFonts w:ascii="Book Antiqua" w:eastAsia="SimSun" w:hAnsi="Book Antiqua" w:cs="SimSun"/>
          <w:i/>
          <w:iCs/>
          <w:color w:val="000000"/>
          <w:kern w:val="0"/>
          <w:sz w:val="24"/>
          <w:szCs w:val="24"/>
          <w:lang w:eastAsia="zh-CN"/>
        </w:rPr>
        <w:t>J Clin Gastroenterol</w:t>
      </w:r>
      <w:r w:rsidRPr="00894674">
        <w:rPr>
          <w:rFonts w:ascii="Book Antiqua" w:eastAsia="SimSun" w:hAnsi="Book Antiqua" w:cs="SimSun"/>
          <w:color w:val="000000"/>
          <w:kern w:val="0"/>
          <w:sz w:val="24"/>
          <w:szCs w:val="24"/>
          <w:lang w:eastAsia="zh-CN"/>
        </w:rPr>
        <w:t> 2010; </w:t>
      </w:r>
      <w:r w:rsidRPr="00894674">
        <w:rPr>
          <w:rFonts w:ascii="Book Antiqua" w:eastAsia="SimSun" w:hAnsi="Book Antiqua" w:cs="SimSun"/>
          <w:b/>
          <w:bCs/>
          <w:color w:val="000000"/>
          <w:kern w:val="0"/>
          <w:sz w:val="24"/>
          <w:szCs w:val="24"/>
          <w:lang w:eastAsia="zh-CN"/>
        </w:rPr>
        <w:t>44</w:t>
      </w:r>
      <w:r w:rsidRPr="00894674">
        <w:rPr>
          <w:rFonts w:ascii="Book Antiqua" w:eastAsia="SimSun" w:hAnsi="Book Antiqua" w:cs="SimSun"/>
          <w:color w:val="000000"/>
          <w:kern w:val="0"/>
          <w:sz w:val="24"/>
          <w:szCs w:val="24"/>
          <w:lang w:eastAsia="zh-CN"/>
        </w:rPr>
        <w:t>: 440-447 [PMID: 20104187 DOI: 10.1097/MCG.0b013e3181bdefe2]</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16 </w:t>
      </w:r>
      <w:r w:rsidRPr="00894674">
        <w:rPr>
          <w:rFonts w:ascii="Book Antiqua" w:eastAsia="SimSun" w:hAnsi="Book Antiqua" w:cs="SimSun"/>
          <w:b/>
          <w:bCs/>
          <w:color w:val="000000"/>
          <w:kern w:val="0"/>
          <w:sz w:val="24"/>
          <w:szCs w:val="24"/>
          <w:lang w:eastAsia="zh-CN"/>
        </w:rPr>
        <w:t>Tsuruta G</w:t>
      </w:r>
      <w:r w:rsidRPr="00894674">
        <w:rPr>
          <w:rFonts w:ascii="Book Antiqua" w:eastAsia="SimSun" w:hAnsi="Book Antiqua" w:cs="SimSun"/>
          <w:color w:val="000000"/>
          <w:kern w:val="0"/>
          <w:sz w:val="24"/>
          <w:szCs w:val="24"/>
          <w:lang w:eastAsia="zh-CN"/>
        </w:rPr>
        <w:t>, Tanaka N, Hongo M, Komatsu M, Horiuchi A, Hamamoto K, Iguchi C, Nakayama Y, Umemura T, Ichijo T, Matsumoto A, Yoshizawa K, Aoyama T, Tanaka E. Nonalcoholic fatty liver disease in Japanese junior high school students: its prevalence and relationship to lifestyle habits. </w:t>
      </w:r>
      <w:r w:rsidRPr="00894674">
        <w:rPr>
          <w:rFonts w:ascii="Book Antiqua" w:eastAsia="SimSun" w:hAnsi="Book Antiqua" w:cs="SimSun"/>
          <w:i/>
          <w:iCs/>
          <w:color w:val="000000"/>
          <w:kern w:val="0"/>
          <w:sz w:val="24"/>
          <w:szCs w:val="24"/>
          <w:lang w:eastAsia="zh-CN"/>
        </w:rPr>
        <w:t>J Gastroenterol</w:t>
      </w:r>
      <w:r w:rsidRPr="00894674">
        <w:rPr>
          <w:rFonts w:ascii="Book Antiqua" w:eastAsia="SimSun" w:hAnsi="Book Antiqua" w:cs="SimSun"/>
          <w:color w:val="000000"/>
          <w:kern w:val="0"/>
          <w:sz w:val="24"/>
          <w:szCs w:val="24"/>
          <w:lang w:eastAsia="zh-CN"/>
        </w:rPr>
        <w:t xml:space="preserve"> 2010; </w:t>
      </w:r>
      <w:r w:rsidRPr="00894674">
        <w:rPr>
          <w:rFonts w:ascii="Book Antiqua" w:eastAsia="SimSun" w:hAnsi="Book Antiqua" w:cs="SimSun"/>
          <w:b/>
          <w:bCs/>
          <w:color w:val="000000"/>
          <w:kern w:val="0"/>
          <w:sz w:val="24"/>
          <w:szCs w:val="24"/>
          <w:lang w:eastAsia="zh-CN"/>
        </w:rPr>
        <w:t>45</w:t>
      </w:r>
      <w:r w:rsidRPr="00894674">
        <w:rPr>
          <w:rFonts w:ascii="Book Antiqua" w:eastAsia="SimSun" w:hAnsi="Book Antiqua" w:cs="SimSun"/>
          <w:color w:val="000000"/>
          <w:kern w:val="0"/>
          <w:sz w:val="24"/>
          <w:szCs w:val="24"/>
          <w:lang w:eastAsia="zh-CN"/>
        </w:rPr>
        <w:t>: 666-672 [PMID: 20084525 DOI: 10.1007/s00535-009-0198-4]</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17 </w:t>
      </w:r>
      <w:r w:rsidRPr="00894674">
        <w:rPr>
          <w:rFonts w:ascii="Book Antiqua" w:eastAsia="SimSun" w:hAnsi="Book Antiqua" w:cs="SimSun"/>
          <w:b/>
          <w:bCs/>
          <w:color w:val="000000"/>
          <w:kern w:val="0"/>
          <w:sz w:val="24"/>
          <w:szCs w:val="24"/>
          <w:lang w:eastAsia="zh-CN"/>
        </w:rPr>
        <w:t>Hatta T</w:t>
      </w:r>
      <w:r w:rsidRPr="00894674">
        <w:rPr>
          <w:rFonts w:ascii="Book Antiqua" w:eastAsia="SimSun" w:hAnsi="Book Antiqua" w:cs="SimSun"/>
          <w:color w:val="000000"/>
          <w:kern w:val="0"/>
          <w:sz w:val="24"/>
          <w:szCs w:val="24"/>
          <w:lang w:eastAsia="zh-CN"/>
        </w:rPr>
        <w:t>, Fujinaga Y, Kadoya M, Ueda H, Murayama H, Kurozumi M, Ueda K, Komatsu M, Nagaya T, Joshita S, Kodama R, Tanaka E, Uehara T, Sano K, Tanaka N. Accurate and simple method for quantification of hepatic fat content using magnetic resonance imaging: a prospective study in biopsy-proven nonalcoholic fatty liver disease. </w:t>
      </w:r>
      <w:r w:rsidRPr="00894674">
        <w:rPr>
          <w:rFonts w:ascii="Book Antiqua" w:eastAsia="SimSun" w:hAnsi="Book Antiqua" w:cs="SimSun"/>
          <w:i/>
          <w:iCs/>
          <w:color w:val="000000"/>
          <w:kern w:val="0"/>
          <w:sz w:val="24"/>
          <w:szCs w:val="24"/>
          <w:lang w:eastAsia="zh-CN"/>
        </w:rPr>
        <w:t>J Gastroenterol</w:t>
      </w:r>
      <w:r w:rsidRPr="00894674">
        <w:rPr>
          <w:rFonts w:ascii="Book Antiqua" w:eastAsia="SimSun" w:hAnsi="Book Antiqua" w:cs="SimSun"/>
          <w:color w:val="000000"/>
          <w:kern w:val="0"/>
          <w:sz w:val="24"/>
          <w:szCs w:val="24"/>
          <w:lang w:eastAsia="zh-CN"/>
        </w:rPr>
        <w:t> 2010; </w:t>
      </w:r>
      <w:r w:rsidRPr="00894674">
        <w:rPr>
          <w:rFonts w:ascii="Book Antiqua" w:eastAsia="SimSun" w:hAnsi="Book Antiqua" w:cs="SimSun"/>
          <w:b/>
          <w:bCs/>
          <w:color w:val="000000"/>
          <w:kern w:val="0"/>
          <w:sz w:val="24"/>
          <w:szCs w:val="24"/>
          <w:lang w:eastAsia="zh-CN"/>
        </w:rPr>
        <w:t>45</w:t>
      </w:r>
      <w:r w:rsidRPr="00894674">
        <w:rPr>
          <w:rFonts w:ascii="Book Antiqua" w:eastAsia="SimSun" w:hAnsi="Book Antiqua" w:cs="SimSun"/>
          <w:color w:val="000000"/>
          <w:kern w:val="0"/>
          <w:sz w:val="24"/>
          <w:szCs w:val="24"/>
          <w:lang w:eastAsia="zh-CN"/>
        </w:rPr>
        <w:t>: 1263-1271 [PMID: 20625773 DOI: 10.1007/s00535-010-0277-6]</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18 </w:t>
      </w:r>
      <w:r w:rsidRPr="00894674">
        <w:rPr>
          <w:rFonts w:ascii="Book Antiqua" w:eastAsia="SimSun" w:hAnsi="Book Antiqua" w:cs="SimSun"/>
          <w:b/>
          <w:bCs/>
          <w:color w:val="000000"/>
          <w:kern w:val="0"/>
          <w:sz w:val="24"/>
          <w:szCs w:val="24"/>
          <w:lang w:eastAsia="zh-CN"/>
        </w:rPr>
        <w:t>Fujimori N</w:t>
      </w:r>
      <w:r w:rsidRPr="00894674">
        <w:rPr>
          <w:rFonts w:ascii="Book Antiqua" w:eastAsia="SimSun" w:hAnsi="Book Antiqua" w:cs="SimSun"/>
          <w:color w:val="000000"/>
          <w:kern w:val="0"/>
          <w:sz w:val="24"/>
          <w:szCs w:val="24"/>
          <w:lang w:eastAsia="zh-CN"/>
        </w:rPr>
        <w:t>, Tanaka N, Shibata S, Sano K, Yamazaki T, Sekiguchi T, Kitabatake H, Ichikawa Y, Kimura T, Komatsu M, Umemura T, Matsumoto A, Tanaka E. Controlled attenuation parameter is correlated with actual hepatic fat content in patients with non-alcoholic fatty liver disease with none-to-mild obesity and liver fibrosis. </w:t>
      </w:r>
      <w:r w:rsidRPr="00894674">
        <w:rPr>
          <w:rFonts w:ascii="Book Antiqua" w:eastAsia="SimSun" w:hAnsi="Book Antiqua" w:cs="SimSun"/>
          <w:i/>
          <w:iCs/>
          <w:color w:val="000000"/>
          <w:kern w:val="0"/>
          <w:sz w:val="24"/>
          <w:szCs w:val="24"/>
          <w:lang w:eastAsia="zh-CN"/>
        </w:rPr>
        <w:t>Hepatol Res</w:t>
      </w:r>
      <w:r w:rsidRPr="00894674">
        <w:rPr>
          <w:rFonts w:ascii="Book Antiqua" w:eastAsia="SimSun" w:hAnsi="Book Antiqua" w:cs="SimSun"/>
          <w:color w:val="000000"/>
          <w:kern w:val="0"/>
          <w:sz w:val="24"/>
          <w:szCs w:val="24"/>
          <w:lang w:eastAsia="zh-CN"/>
        </w:rPr>
        <w:t> 2016; </w:t>
      </w:r>
      <w:r w:rsidRPr="00894674">
        <w:rPr>
          <w:rFonts w:ascii="Book Antiqua" w:eastAsia="SimSun" w:hAnsi="Book Antiqua" w:cs="SimSun"/>
          <w:b/>
          <w:bCs/>
          <w:color w:val="000000"/>
          <w:kern w:val="0"/>
          <w:sz w:val="24"/>
          <w:szCs w:val="24"/>
          <w:lang w:eastAsia="zh-CN"/>
        </w:rPr>
        <w:t>46</w:t>
      </w:r>
      <w:r w:rsidRPr="00894674">
        <w:rPr>
          <w:rFonts w:ascii="Book Antiqua" w:eastAsia="SimSun" w:hAnsi="Book Antiqua" w:cs="SimSun"/>
          <w:color w:val="000000"/>
          <w:kern w:val="0"/>
          <w:sz w:val="24"/>
          <w:szCs w:val="24"/>
          <w:lang w:eastAsia="zh-CN"/>
        </w:rPr>
        <w:t>: 1019-1027 [PMID: 27183219 DOI: 10.1111/hepr.12649]</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 xml:space="preserve">19 </w:t>
      </w:r>
      <w:r w:rsidRPr="00894674">
        <w:rPr>
          <w:rFonts w:ascii="Book Antiqua" w:eastAsia="SimSun" w:hAnsi="Book Antiqua" w:cs="SimSun"/>
          <w:b/>
          <w:color w:val="000000"/>
          <w:kern w:val="0"/>
          <w:sz w:val="24"/>
          <w:szCs w:val="24"/>
          <w:lang w:eastAsia="zh-CN"/>
        </w:rPr>
        <w:t>Examination Committee of Criteria for 'Obesity Disease' in Japan</w:t>
      </w:r>
      <w:r w:rsidRPr="00894674">
        <w:rPr>
          <w:rFonts w:ascii="Book Antiqua" w:eastAsia="SimSun" w:hAnsi="Book Antiqua" w:cs="SimSun"/>
          <w:color w:val="000000"/>
          <w:kern w:val="0"/>
          <w:sz w:val="24"/>
          <w:szCs w:val="24"/>
          <w:lang w:eastAsia="zh-CN"/>
        </w:rPr>
        <w:t>; Japan Society for the Study of Obesity. New criteria for 'obesity disease' in Japan. </w:t>
      </w:r>
      <w:r w:rsidRPr="00894674">
        <w:rPr>
          <w:rFonts w:ascii="Book Antiqua" w:eastAsia="SimSun" w:hAnsi="Book Antiqua" w:cs="SimSun"/>
          <w:i/>
          <w:iCs/>
          <w:color w:val="000000"/>
          <w:kern w:val="0"/>
          <w:sz w:val="24"/>
          <w:szCs w:val="24"/>
          <w:lang w:eastAsia="zh-CN"/>
        </w:rPr>
        <w:t>Circ J</w:t>
      </w:r>
      <w:r w:rsidRPr="00894674">
        <w:rPr>
          <w:rFonts w:ascii="Book Antiqua" w:eastAsia="SimSun" w:hAnsi="Book Antiqua" w:cs="SimSun"/>
          <w:color w:val="000000"/>
          <w:kern w:val="0"/>
          <w:sz w:val="24"/>
          <w:szCs w:val="24"/>
          <w:lang w:eastAsia="zh-CN"/>
        </w:rPr>
        <w:t> 2002; </w:t>
      </w:r>
      <w:r w:rsidRPr="00894674">
        <w:rPr>
          <w:rFonts w:ascii="Book Antiqua" w:eastAsia="SimSun" w:hAnsi="Book Antiqua" w:cs="SimSun"/>
          <w:b/>
          <w:bCs/>
          <w:color w:val="000000"/>
          <w:kern w:val="0"/>
          <w:sz w:val="24"/>
          <w:szCs w:val="24"/>
          <w:lang w:eastAsia="zh-CN"/>
        </w:rPr>
        <w:t>66</w:t>
      </w:r>
      <w:r w:rsidRPr="00894674">
        <w:rPr>
          <w:rFonts w:ascii="Book Antiqua" w:eastAsia="SimSun" w:hAnsi="Book Antiqua" w:cs="SimSun"/>
          <w:color w:val="000000"/>
          <w:kern w:val="0"/>
          <w:sz w:val="24"/>
          <w:szCs w:val="24"/>
          <w:lang w:eastAsia="zh-CN"/>
        </w:rPr>
        <w:t>: 987-992 [PMID: 12419927]</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lastRenderedPageBreak/>
        <w:t>20 </w:t>
      </w:r>
      <w:r w:rsidRPr="00894674">
        <w:rPr>
          <w:rFonts w:ascii="Book Antiqua" w:eastAsia="SimSun" w:hAnsi="Book Antiqua" w:cs="SimSun"/>
          <w:b/>
          <w:bCs/>
          <w:color w:val="000000"/>
          <w:kern w:val="0"/>
          <w:sz w:val="24"/>
          <w:szCs w:val="24"/>
          <w:lang w:eastAsia="zh-CN"/>
        </w:rPr>
        <w:t>Komatsu M</w:t>
      </w:r>
      <w:r w:rsidRPr="00894674">
        <w:rPr>
          <w:rFonts w:ascii="Book Antiqua" w:eastAsia="SimSun" w:hAnsi="Book Antiqua" w:cs="SimSun"/>
          <w:color w:val="000000"/>
          <w:kern w:val="0"/>
          <w:sz w:val="24"/>
          <w:szCs w:val="24"/>
          <w:lang w:eastAsia="zh-CN"/>
        </w:rPr>
        <w:t>, Yazaki M, Tanaka N, Sano K, Hashimoto E, Takei Y, Song YZ, Tanaka E, Kiyosawa K, Saheki T, Aoyama T, Kobayashi K. Citrin deficiency as a cause of chronic liver disorder mimicking non-alcoholic fatty liver disease. </w:t>
      </w:r>
      <w:r w:rsidRPr="00894674">
        <w:rPr>
          <w:rFonts w:ascii="Book Antiqua" w:eastAsia="SimSun" w:hAnsi="Book Antiqua" w:cs="SimSun"/>
          <w:i/>
          <w:iCs/>
          <w:color w:val="000000"/>
          <w:kern w:val="0"/>
          <w:sz w:val="24"/>
          <w:szCs w:val="24"/>
          <w:lang w:eastAsia="zh-CN"/>
        </w:rPr>
        <w:t>J Hepatol</w:t>
      </w:r>
      <w:r w:rsidRPr="00F4231A">
        <w:rPr>
          <w:rFonts w:ascii="Book Antiqua" w:eastAsia="SimSun" w:hAnsi="Book Antiqua" w:cs="SimSun"/>
          <w:color w:val="000000"/>
          <w:kern w:val="0"/>
          <w:sz w:val="24"/>
          <w:szCs w:val="24"/>
          <w:lang w:eastAsia="zh-CN"/>
        </w:rPr>
        <w:t xml:space="preserve"> </w:t>
      </w:r>
      <w:r w:rsidRPr="00894674">
        <w:rPr>
          <w:rFonts w:ascii="Book Antiqua" w:eastAsia="SimSun" w:hAnsi="Book Antiqua" w:cs="SimSun"/>
          <w:color w:val="000000"/>
          <w:kern w:val="0"/>
          <w:sz w:val="24"/>
          <w:szCs w:val="24"/>
          <w:lang w:eastAsia="zh-CN"/>
        </w:rPr>
        <w:t>2008; </w:t>
      </w:r>
      <w:r w:rsidRPr="00894674">
        <w:rPr>
          <w:rFonts w:ascii="Book Antiqua" w:eastAsia="SimSun" w:hAnsi="Book Antiqua" w:cs="SimSun"/>
          <w:b/>
          <w:bCs/>
          <w:color w:val="000000"/>
          <w:kern w:val="0"/>
          <w:sz w:val="24"/>
          <w:szCs w:val="24"/>
          <w:lang w:eastAsia="zh-CN"/>
        </w:rPr>
        <w:t>49</w:t>
      </w:r>
      <w:r w:rsidRPr="00894674">
        <w:rPr>
          <w:rFonts w:ascii="Book Antiqua" w:eastAsia="SimSun" w:hAnsi="Book Antiqua" w:cs="SimSun"/>
          <w:color w:val="000000"/>
          <w:kern w:val="0"/>
          <w:sz w:val="24"/>
          <w:szCs w:val="24"/>
          <w:lang w:eastAsia="zh-CN"/>
        </w:rPr>
        <w:t>: 810-820 [PMID: 18620775 DOI: 10.1016/j.jhep.2008.05.016]</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21 </w:t>
      </w:r>
      <w:r w:rsidRPr="00894674">
        <w:rPr>
          <w:rFonts w:ascii="Book Antiqua" w:eastAsia="SimSun" w:hAnsi="Book Antiqua" w:cs="SimSun"/>
          <w:b/>
          <w:bCs/>
          <w:color w:val="000000"/>
          <w:kern w:val="0"/>
          <w:sz w:val="24"/>
          <w:szCs w:val="24"/>
          <w:lang w:eastAsia="zh-CN"/>
        </w:rPr>
        <w:t>Nagaya T</w:t>
      </w:r>
      <w:r w:rsidRPr="00894674">
        <w:rPr>
          <w:rFonts w:ascii="Book Antiqua" w:eastAsia="SimSun" w:hAnsi="Book Antiqua" w:cs="SimSun"/>
          <w:color w:val="000000"/>
          <w:kern w:val="0"/>
          <w:sz w:val="24"/>
          <w:szCs w:val="24"/>
          <w:lang w:eastAsia="zh-CN"/>
        </w:rPr>
        <w:t>, Tanaka N, Suzuki T, Sano K, Horiuchi A, Komatsu M, Nakajima T, Nishizawa T, Joshita S, Umemura T, Ichijo T, Matsumoto A, Yoshizawa K, Nakayama J, Tanaka E, Aoyama T. Down-regulation of SREBP-1c is associated with the development of burned-out NASH. </w:t>
      </w:r>
      <w:r w:rsidRPr="00894674">
        <w:rPr>
          <w:rFonts w:ascii="Book Antiqua" w:eastAsia="SimSun" w:hAnsi="Book Antiqua" w:cs="SimSun"/>
          <w:i/>
          <w:iCs/>
          <w:color w:val="000000"/>
          <w:kern w:val="0"/>
          <w:sz w:val="24"/>
          <w:szCs w:val="24"/>
          <w:lang w:eastAsia="zh-CN"/>
        </w:rPr>
        <w:t>J Hepatol</w:t>
      </w:r>
      <w:r w:rsidRPr="00894674">
        <w:rPr>
          <w:rFonts w:ascii="Book Antiqua" w:eastAsia="SimSun" w:hAnsi="Book Antiqua" w:cs="SimSun"/>
          <w:color w:val="000000"/>
          <w:kern w:val="0"/>
          <w:sz w:val="24"/>
          <w:szCs w:val="24"/>
          <w:lang w:eastAsia="zh-CN"/>
        </w:rPr>
        <w:t> 2010; </w:t>
      </w:r>
      <w:r w:rsidRPr="00894674">
        <w:rPr>
          <w:rFonts w:ascii="Book Antiqua" w:eastAsia="SimSun" w:hAnsi="Book Antiqua" w:cs="SimSun"/>
          <w:b/>
          <w:bCs/>
          <w:color w:val="000000"/>
          <w:kern w:val="0"/>
          <w:sz w:val="24"/>
          <w:szCs w:val="24"/>
          <w:lang w:eastAsia="zh-CN"/>
        </w:rPr>
        <w:t>53</w:t>
      </w:r>
      <w:r w:rsidRPr="00894674">
        <w:rPr>
          <w:rFonts w:ascii="Book Antiqua" w:eastAsia="SimSun" w:hAnsi="Book Antiqua" w:cs="SimSun"/>
          <w:color w:val="000000"/>
          <w:kern w:val="0"/>
          <w:sz w:val="24"/>
          <w:szCs w:val="24"/>
          <w:lang w:eastAsia="zh-CN"/>
        </w:rPr>
        <w:t>: 724-731 [PMID: 20655124 DOI: 10.1016/j.jhep.2010.04.033]</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22 </w:t>
      </w:r>
      <w:r w:rsidRPr="00894674">
        <w:rPr>
          <w:rFonts w:ascii="Book Antiqua" w:eastAsia="SimSun" w:hAnsi="Book Antiqua" w:cs="SimSun"/>
          <w:b/>
          <w:bCs/>
          <w:color w:val="000000"/>
          <w:kern w:val="0"/>
          <w:sz w:val="24"/>
          <w:szCs w:val="24"/>
          <w:lang w:eastAsia="zh-CN"/>
        </w:rPr>
        <w:t>Kleiner DE</w:t>
      </w:r>
      <w:r w:rsidRPr="00894674">
        <w:rPr>
          <w:rFonts w:ascii="Book Antiqua" w:eastAsia="SimSun" w:hAnsi="Book Antiqua" w:cs="SimSun"/>
          <w:color w:val="000000"/>
          <w:kern w:val="0"/>
          <w:sz w:val="24"/>
          <w:szCs w:val="24"/>
          <w:lang w:eastAsia="zh-CN"/>
        </w:rPr>
        <w:t>, Brunt EM, Van Natta M, Behling C, Contos MJ, Cummings OW, Ferrell LD, Liu YC, Torbenson MS, Unalp-Arida A, Yeh M, McCullough AJ, Sanyal AJ. Design and validation of a histological scoring system for nonalcoholic</w:t>
      </w:r>
      <w:r w:rsidRPr="00F4231A">
        <w:rPr>
          <w:rFonts w:ascii="Book Antiqua" w:eastAsia="SimSun" w:hAnsi="Book Antiqua" w:cs="SimSun"/>
          <w:color w:val="000000"/>
          <w:kern w:val="0"/>
          <w:sz w:val="24"/>
          <w:szCs w:val="24"/>
          <w:lang w:eastAsia="zh-CN"/>
        </w:rPr>
        <w:t xml:space="preserve"> </w:t>
      </w:r>
      <w:r w:rsidRPr="00894674">
        <w:rPr>
          <w:rFonts w:ascii="Book Antiqua" w:eastAsia="SimSun" w:hAnsi="Book Antiqua" w:cs="SimSun"/>
          <w:color w:val="000000"/>
          <w:kern w:val="0"/>
          <w:sz w:val="24"/>
          <w:szCs w:val="24"/>
          <w:lang w:eastAsia="zh-CN"/>
        </w:rPr>
        <w:t>fatty liver disease. </w:t>
      </w:r>
      <w:r w:rsidRPr="00894674">
        <w:rPr>
          <w:rFonts w:ascii="Book Antiqua" w:eastAsia="SimSun" w:hAnsi="Book Antiqua" w:cs="SimSun"/>
          <w:i/>
          <w:iCs/>
          <w:color w:val="000000"/>
          <w:kern w:val="0"/>
          <w:sz w:val="24"/>
          <w:szCs w:val="24"/>
          <w:lang w:eastAsia="zh-CN"/>
        </w:rPr>
        <w:t>Hepatology</w:t>
      </w:r>
      <w:r w:rsidRPr="00894674">
        <w:rPr>
          <w:rFonts w:ascii="Book Antiqua" w:eastAsia="SimSun" w:hAnsi="Book Antiqua" w:cs="SimSun"/>
          <w:color w:val="000000"/>
          <w:kern w:val="0"/>
          <w:sz w:val="24"/>
          <w:szCs w:val="24"/>
          <w:lang w:eastAsia="zh-CN"/>
        </w:rPr>
        <w:t> 2005; </w:t>
      </w:r>
      <w:r w:rsidRPr="00894674">
        <w:rPr>
          <w:rFonts w:ascii="Book Antiqua" w:eastAsia="SimSun" w:hAnsi="Book Antiqua" w:cs="SimSun"/>
          <w:b/>
          <w:bCs/>
          <w:color w:val="000000"/>
          <w:kern w:val="0"/>
          <w:sz w:val="24"/>
          <w:szCs w:val="24"/>
          <w:lang w:eastAsia="zh-CN"/>
        </w:rPr>
        <w:t>41</w:t>
      </w:r>
      <w:r w:rsidRPr="00894674">
        <w:rPr>
          <w:rFonts w:ascii="Book Antiqua" w:eastAsia="SimSun" w:hAnsi="Book Antiqua" w:cs="SimSun"/>
          <w:color w:val="000000"/>
          <w:kern w:val="0"/>
          <w:sz w:val="24"/>
          <w:szCs w:val="24"/>
          <w:lang w:eastAsia="zh-CN"/>
        </w:rPr>
        <w:t>: 1313-1321 [PMID: 15915461 DOI: 10.1002/hep.20701]</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23 </w:t>
      </w:r>
      <w:r w:rsidRPr="00894674">
        <w:rPr>
          <w:rFonts w:ascii="Book Antiqua" w:eastAsia="SimSun" w:hAnsi="Book Antiqua" w:cs="SimSun"/>
          <w:b/>
          <w:bCs/>
          <w:color w:val="000000"/>
          <w:kern w:val="0"/>
          <w:sz w:val="24"/>
          <w:szCs w:val="24"/>
          <w:lang w:eastAsia="zh-CN"/>
        </w:rPr>
        <w:t>Thuy S</w:t>
      </w:r>
      <w:r w:rsidRPr="00894674">
        <w:rPr>
          <w:rFonts w:ascii="Book Antiqua" w:eastAsia="SimSun" w:hAnsi="Book Antiqua" w:cs="SimSun"/>
          <w:color w:val="000000"/>
          <w:kern w:val="0"/>
          <w:sz w:val="24"/>
          <w:szCs w:val="24"/>
          <w:lang w:eastAsia="zh-CN"/>
        </w:rPr>
        <w:t>, Ladurner R, Volynets V, Wagner S, Strahl S, Königsrainer A, Maier KP, Bischoff SC, Bergheim I. Nonalcoholic fatty liver disease in humans is associated with increased plasma endotoxin and plasminogen activator inhibitor 1 concentrations and with fructose intake. </w:t>
      </w:r>
      <w:r w:rsidRPr="00894674">
        <w:rPr>
          <w:rFonts w:ascii="Book Antiqua" w:eastAsia="SimSun" w:hAnsi="Book Antiqua" w:cs="SimSun"/>
          <w:i/>
          <w:iCs/>
          <w:color w:val="000000"/>
          <w:kern w:val="0"/>
          <w:sz w:val="24"/>
          <w:szCs w:val="24"/>
          <w:lang w:eastAsia="zh-CN"/>
        </w:rPr>
        <w:t>J Nutr</w:t>
      </w:r>
      <w:r w:rsidRPr="00894674">
        <w:rPr>
          <w:rFonts w:ascii="Book Antiqua" w:eastAsia="SimSun" w:hAnsi="Book Antiqua" w:cs="SimSun"/>
          <w:color w:val="000000"/>
          <w:kern w:val="0"/>
          <w:sz w:val="24"/>
          <w:szCs w:val="24"/>
          <w:lang w:eastAsia="zh-CN"/>
        </w:rPr>
        <w:t> 2008; </w:t>
      </w:r>
      <w:r w:rsidRPr="00894674">
        <w:rPr>
          <w:rFonts w:ascii="Book Antiqua" w:eastAsia="SimSun" w:hAnsi="Book Antiqua" w:cs="SimSun"/>
          <w:b/>
          <w:bCs/>
          <w:color w:val="000000"/>
          <w:kern w:val="0"/>
          <w:sz w:val="24"/>
          <w:szCs w:val="24"/>
          <w:lang w:eastAsia="zh-CN"/>
        </w:rPr>
        <w:t>138</w:t>
      </w:r>
      <w:r w:rsidRPr="00894674">
        <w:rPr>
          <w:rFonts w:ascii="Book Antiqua" w:eastAsia="SimSun" w:hAnsi="Book Antiqua" w:cs="SimSun"/>
          <w:color w:val="000000"/>
          <w:kern w:val="0"/>
          <w:sz w:val="24"/>
          <w:szCs w:val="24"/>
          <w:lang w:eastAsia="zh-CN"/>
        </w:rPr>
        <w:t>: 1452-1455 [PMID: 18641190]</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24 </w:t>
      </w:r>
      <w:r w:rsidRPr="00894674">
        <w:rPr>
          <w:rFonts w:ascii="Book Antiqua" w:eastAsia="SimSun" w:hAnsi="Book Antiqua" w:cs="SimSun"/>
          <w:b/>
          <w:bCs/>
          <w:color w:val="000000"/>
          <w:kern w:val="0"/>
          <w:sz w:val="24"/>
          <w:szCs w:val="24"/>
          <w:lang w:eastAsia="zh-CN"/>
        </w:rPr>
        <w:t>Cohen J</w:t>
      </w:r>
      <w:r w:rsidRPr="00894674">
        <w:rPr>
          <w:rFonts w:ascii="Book Antiqua" w:eastAsia="SimSun" w:hAnsi="Book Antiqua" w:cs="SimSun"/>
          <w:color w:val="000000"/>
          <w:kern w:val="0"/>
          <w:sz w:val="24"/>
          <w:szCs w:val="24"/>
          <w:lang w:eastAsia="zh-CN"/>
        </w:rPr>
        <w:t>, McConnell JS. Observations on the measurement and evaluation of endotoxemia by a quantitative limulus lysate microassay. </w:t>
      </w:r>
      <w:r w:rsidRPr="00894674">
        <w:rPr>
          <w:rFonts w:ascii="Book Antiqua" w:eastAsia="SimSun" w:hAnsi="Book Antiqua" w:cs="SimSun"/>
          <w:i/>
          <w:iCs/>
          <w:color w:val="000000"/>
          <w:kern w:val="0"/>
          <w:sz w:val="24"/>
          <w:szCs w:val="24"/>
          <w:lang w:eastAsia="zh-CN"/>
        </w:rPr>
        <w:t>J Infect Dis</w:t>
      </w:r>
      <w:r w:rsidRPr="00894674">
        <w:rPr>
          <w:rFonts w:ascii="Book Antiqua" w:eastAsia="SimSun" w:hAnsi="Book Antiqua" w:cs="SimSun"/>
          <w:color w:val="000000"/>
          <w:kern w:val="0"/>
          <w:sz w:val="24"/>
          <w:szCs w:val="24"/>
          <w:lang w:eastAsia="zh-CN"/>
        </w:rPr>
        <w:t xml:space="preserve"> 1984; </w:t>
      </w:r>
      <w:r w:rsidRPr="00894674">
        <w:rPr>
          <w:rFonts w:ascii="Book Antiqua" w:eastAsia="SimSun" w:hAnsi="Book Antiqua" w:cs="SimSun"/>
          <w:b/>
          <w:bCs/>
          <w:color w:val="000000"/>
          <w:kern w:val="0"/>
          <w:sz w:val="24"/>
          <w:szCs w:val="24"/>
          <w:lang w:eastAsia="zh-CN"/>
        </w:rPr>
        <w:t>150</w:t>
      </w:r>
      <w:r w:rsidRPr="00894674">
        <w:rPr>
          <w:rFonts w:ascii="Book Antiqua" w:eastAsia="SimSun" w:hAnsi="Book Antiqua" w:cs="SimSun"/>
          <w:color w:val="000000"/>
          <w:kern w:val="0"/>
          <w:sz w:val="24"/>
          <w:szCs w:val="24"/>
          <w:lang w:eastAsia="zh-CN"/>
        </w:rPr>
        <w:t>: 916-924 [PMID: 6501933]</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25 </w:t>
      </w:r>
      <w:r w:rsidRPr="00894674">
        <w:rPr>
          <w:rFonts w:ascii="Book Antiqua" w:eastAsia="SimSun" w:hAnsi="Book Antiqua" w:cs="SimSun"/>
          <w:b/>
          <w:bCs/>
          <w:color w:val="000000"/>
          <w:kern w:val="0"/>
          <w:sz w:val="24"/>
          <w:szCs w:val="24"/>
          <w:lang w:eastAsia="zh-CN"/>
        </w:rPr>
        <w:t>Shanab AA</w:t>
      </w:r>
      <w:r w:rsidRPr="00894674">
        <w:rPr>
          <w:rFonts w:ascii="Book Antiqua" w:eastAsia="SimSun" w:hAnsi="Book Antiqua" w:cs="SimSun"/>
          <w:color w:val="000000"/>
          <w:kern w:val="0"/>
          <w:sz w:val="24"/>
          <w:szCs w:val="24"/>
          <w:lang w:eastAsia="zh-CN"/>
        </w:rPr>
        <w:t>, Scully P, Crosbie O, Buckley M, O'Mahony L, Shanahan F, Gazareen S, Murphy E, Quigley EM. Small intestinal bacterial overgrowth in nonalcoholic steatohepatitis: association with toll-like receptor 4 expression and plasma levels of interleukin 8. </w:t>
      </w:r>
      <w:r w:rsidRPr="00894674">
        <w:rPr>
          <w:rFonts w:ascii="Book Antiqua" w:eastAsia="SimSun" w:hAnsi="Book Antiqua" w:cs="SimSun"/>
          <w:i/>
          <w:iCs/>
          <w:color w:val="000000"/>
          <w:kern w:val="0"/>
          <w:sz w:val="24"/>
          <w:szCs w:val="24"/>
          <w:lang w:eastAsia="zh-CN"/>
        </w:rPr>
        <w:t>Dig Dis Sci</w:t>
      </w:r>
      <w:r w:rsidRPr="00894674">
        <w:rPr>
          <w:rFonts w:ascii="Book Antiqua" w:eastAsia="SimSun" w:hAnsi="Book Antiqua" w:cs="SimSun"/>
          <w:color w:val="000000"/>
          <w:kern w:val="0"/>
          <w:sz w:val="24"/>
          <w:szCs w:val="24"/>
          <w:lang w:eastAsia="zh-CN"/>
        </w:rPr>
        <w:t> 2011; </w:t>
      </w:r>
      <w:r w:rsidRPr="00894674">
        <w:rPr>
          <w:rFonts w:ascii="Book Antiqua" w:eastAsia="SimSun" w:hAnsi="Book Antiqua" w:cs="SimSun"/>
          <w:b/>
          <w:bCs/>
          <w:color w:val="000000"/>
          <w:kern w:val="0"/>
          <w:sz w:val="24"/>
          <w:szCs w:val="24"/>
          <w:lang w:eastAsia="zh-CN"/>
        </w:rPr>
        <w:t>56</w:t>
      </w:r>
      <w:r w:rsidRPr="00894674">
        <w:rPr>
          <w:rFonts w:ascii="Book Antiqua" w:eastAsia="SimSun" w:hAnsi="Book Antiqua" w:cs="SimSun"/>
          <w:color w:val="000000"/>
          <w:kern w:val="0"/>
          <w:sz w:val="24"/>
          <w:szCs w:val="24"/>
          <w:lang w:eastAsia="zh-CN"/>
        </w:rPr>
        <w:t>: 1524-1534 [PMID: 21046243 DOI: 10.1007/s10620-010-1447-3]</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26 </w:t>
      </w:r>
      <w:r w:rsidRPr="00894674">
        <w:rPr>
          <w:rFonts w:ascii="Book Antiqua" w:eastAsia="SimSun" w:hAnsi="Book Antiqua" w:cs="SimSun"/>
          <w:b/>
          <w:bCs/>
          <w:color w:val="000000"/>
          <w:kern w:val="0"/>
          <w:sz w:val="24"/>
          <w:szCs w:val="24"/>
          <w:lang w:eastAsia="zh-CN"/>
        </w:rPr>
        <w:t>Ruiz AG</w:t>
      </w:r>
      <w:r w:rsidRPr="00894674">
        <w:rPr>
          <w:rFonts w:ascii="Book Antiqua" w:eastAsia="SimSun" w:hAnsi="Book Antiqua" w:cs="SimSun"/>
          <w:color w:val="000000"/>
          <w:kern w:val="0"/>
          <w:sz w:val="24"/>
          <w:szCs w:val="24"/>
          <w:lang w:eastAsia="zh-CN"/>
        </w:rPr>
        <w:t xml:space="preserve">, Casafont F, Crespo J, Cayón A, Mayorga M, Estebanez A, Fernadez-Escalante JC, Pons-Romero F. Lipopolysaccharide-binding protein </w:t>
      </w:r>
      <w:r w:rsidRPr="00894674">
        <w:rPr>
          <w:rFonts w:ascii="Book Antiqua" w:eastAsia="SimSun" w:hAnsi="Book Antiqua" w:cs="SimSun"/>
          <w:color w:val="000000"/>
          <w:kern w:val="0"/>
          <w:sz w:val="24"/>
          <w:szCs w:val="24"/>
          <w:lang w:eastAsia="zh-CN"/>
        </w:rPr>
        <w:lastRenderedPageBreak/>
        <w:t>plasma levels and liver TNF-alpha gene expression in obese patients: evidence for the potential role of endotoxin in the pathogenesis of non-alcoholic steatohepatitis. </w:t>
      </w:r>
      <w:r w:rsidRPr="00894674">
        <w:rPr>
          <w:rFonts w:ascii="Book Antiqua" w:eastAsia="SimSun" w:hAnsi="Book Antiqua" w:cs="SimSun"/>
          <w:i/>
          <w:iCs/>
          <w:color w:val="000000"/>
          <w:kern w:val="0"/>
          <w:sz w:val="24"/>
          <w:szCs w:val="24"/>
          <w:lang w:eastAsia="zh-CN"/>
        </w:rPr>
        <w:t>Obes Surg</w:t>
      </w:r>
      <w:r w:rsidRPr="00894674">
        <w:rPr>
          <w:rFonts w:ascii="Book Antiqua" w:eastAsia="SimSun" w:hAnsi="Book Antiqua" w:cs="SimSun"/>
          <w:color w:val="000000"/>
          <w:kern w:val="0"/>
          <w:sz w:val="24"/>
          <w:szCs w:val="24"/>
          <w:lang w:eastAsia="zh-CN"/>
        </w:rPr>
        <w:t> 2007; </w:t>
      </w:r>
      <w:r w:rsidRPr="00894674">
        <w:rPr>
          <w:rFonts w:ascii="Book Antiqua" w:eastAsia="SimSun" w:hAnsi="Book Antiqua" w:cs="SimSun"/>
          <w:b/>
          <w:bCs/>
          <w:color w:val="000000"/>
          <w:kern w:val="0"/>
          <w:sz w:val="24"/>
          <w:szCs w:val="24"/>
          <w:lang w:eastAsia="zh-CN"/>
        </w:rPr>
        <w:t>17</w:t>
      </w:r>
      <w:r w:rsidRPr="00894674">
        <w:rPr>
          <w:rFonts w:ascii="Book Antiqua" w:eastAsia="SimSun" w:hAnsi="Book Antiqua" w:cs="SimSun"/>
          <w:color w:val="000000"/>
          <w:kern w:val="0"/>
          <w:sz w:val="24"/>
          <w:szCs w:val="24"/>
          <w:lang w:eastAsia="zh-CN"/>
        </w:rPr>
        <w:t>: 1374-1380 [PMID: 18000721 DOI: 10.1007/s11695-007-9243-7]</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27 </w:t>
      </w:r>
      <w:r w:rsidRPr="00894674">
        <w:rPr>
          <w:rFonts w:ascii="Book Antiqua" w:eastAsia="SimSun" w:hAnsi="Book Antiqua" w:cs="SimSun"/>
          <w:b/>
          <w:bCs/>
          <w:color w:val="000000"/>
          <w:kern w:val="0"/>
          <w:sz w:val="24"/>
          <w:szCs w:val="24"/>
          <w:lang w:eastAsia="zh-CN"/>
        </w:rPr>
        <w:t>Vespasiani-Gentilucci U</w:t>
      </w:r>
      <w:r w:rsidRPr="00894674">
        <w:rPr>
          <w:rFonts w:ascii="Book Antiqua" w:eastAsia="SimSun" w:hAnsi="Book Antiqua" w:cs="SimSun"/>
          <w:color w:val="000000"/>
          <w:kern w:val="0"/>
          <w:sz w:val="24"/>
          <w:szCs w:val="24"/>
          <w:lang w:eastAsia="zh-CN"/>
        </w:rPr>
        <w:t>, Carotti S, Perrone G, Mazzarelli C, Galati G, Onetti-Muda A, Picardi A, Morini S. Hepatic toll-like receptor 4 expression is associated with portal inflammation and fibrosis in patients with NAFLD. </w:t>
      </w:r>
      <w:r w:rsidRPr="00894674">
        <w:rPr>
          <w:rFonts w:ascii="Book Antiqua" w:eastAsia="SimSun" w:hAnsi="Book Antiqua" w:cs="SimSun"/>
          <w:i/>
          <w:iCs/>
          <w:color w:val="000000"/>
          <w:kern w:val="0"/>
          <w:sz w:val="24"/>
          <w:szCs w:val="24"/>
          <w:lang w:eastAsia="zh-CN"/>
        </w:rPr>
        <w:t>Liver Int</w:t>
      </w:r>
      <w:r w:rsidRPr="00894674">
        <w:rPr>
          <w:rFonts w:ascii="Book Antiqua" w:eastAsia="SimSun" w:hAnsi="Book Antiqua" w:cs="SimSun"/>
          <w:color w:val="000000"/>
          <w:kern w:val="0"/>
          <w:sz w:val="24"/>
          <w:szCs w:val="24"/>
          <w:lang w:eastAsia="zh-CN"/>
        </w:rPr>
        <w:t> 2015; </w:t>
      </w:r>
      <w:r w:rsidRPr="00894674">
        <w:rPr>
          <w:rFonts w:ascii="Book Antiqua" w:eastAsia="SimSun" w:hAnsi="Book Antiqua" w:cs="SimSun"/>
          <w:b/>
          <w:bCs/>
          <w:color w:val="000000"/>
          <w:kern w:val="0"/>
          <w:sz w:val="24"/>
          <w:szCs w:val="24"/>
          <w:lang w:eastAsia="zh-CN"/>
        </w:rPr>
        <w:t>35</w:t>
      </w:r>
      <w:r w:rsidRPr="00894674">
        <w:rPr>
          <w:rFonts w:ascii="Book Antiqua" w:eastAsia="SimSun" w:hAnsi="Book Antiqua" w:cs="SimSun"/>
          <w:color w:val="000000"/>
          <w:kern w:val="0"/>
          <w:sz w:val="24"/>
          <w:szCs w:val="24"/>
          <w:lang w:eastAsia="zh-CN"/>
        </w:rPr>
        <w:t>: 569-581 [PMID: 24649857 DOI: 10.1111/liv.12531]</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28 </w:t>
      </w:r>
      <w:r w:rsidRPr="00894674">
        <w:rPr>
          <w:rFonts w:ascii="Book Antiqua" w:eastAsia="SimSun" w:hAnsi="Book Antiqua" w:cs="SimSun"/>
          <w:b/>
          <w:bCs/>
          <w:color w:val="000000"/>
          <w:kern w:val="0"/>
          <w:sz w:val="24"/>
          <w:szCs w:val="24"/>
          <w:lang w:eastAsia="zh-CN"/>
        </w:rPr>
        <w:t>Soza A</w:t>
      </w:r>
      <w:r w:rsidRPr="00894674">
        <w:rPr>
          <w:rFonts w:ascii="Book Antiqua" w:eastAsia="SimSun" w:hAnsi="Book Antiqua" w:cs="SimSun"/>
          <w:color w:val="000000"/>
          <w:kern w:val="0"/>
          <w:sz w:val="24"/>
          <w:szCs w:val="24"/>
          <w:lang w:eastAsia="zh-CN"/>
        </w:rPr>
        <w:t>, Riquelme A, González R, Alvarez M, Pérez-Ayuso RM, Glasinovic JC, Arrese M. Increased orocecal transit time in patients with nonalcoholic fatty liver disease. </w:t>
      </w:r>
      <w:r w:rsidRPr="00894674">
        <w:rPr>
          <w:rFonts w:ascii="Book Antiqua" w:eastAsia="SimSun" w:hAnsi="Book Antiqua" w:cs="SimSun"/>
          <w:i/>
          <w:iCs/>
          <w:color w:val="000000"/>
          <w:kern w:val="0"/>
          <w:sz w:val="24"/>
          <w:szCs w:val="24"/>
          <w:lang w:eastAsia="zh-CN"/>
        </w:rPr>
        <w:t>Dig Dis Sci</w:t>
      </w:r>
      <w:r w:rsidRPr="00894674">
        <w:rPr>
          <w:rFonts w:ascii="Book Antiqua" w:eastAsia="SimSun" w:hAnsi="Book Antiqua" w:cs="SimSun"/>
          <w:color w:val="000000"/>
          <w:kern w:val="0"/>
          <w:sz w:val="24"/>
          <w:szCs w:val="24"/>
          <w:lang w:eastAsia="zh-CN"/>
        </w:rPr>
        <w:t> 2005; </w:t>
      </w:r>
      <w:r w:rsidRPr="00894674">
        <w:rPr>
          <w:rFonts w:ascii="Book Antiqua" w:eastAsia="SimSun" w:hAnsi="Book Antiqua" w:cs="SimSun"/>
          <w:b/>
          <w:bCs/>
          <w:color w:val="000000"/>
          <w:kern w:val="0"/>
          <w:sz w:val="24"/>
          <w:szCs w:val="24"/>
          <w:lang w:eastAsia="zh-CN"/>
        </w:rPr>
        <w:t>50</w:t>
      </w:r>
      <w:r w:rsidRPr="00894674">
        <w:rPr>
          <w:rFonts w:ascii="Book Antiqua" w:eastAsia="SimSun" w:hAnsi="Book Antiqua" w:cs="SimSun"/>
          <w:color w:val="000000"/>
          <w:kern w:val="0"/>
          <w:sz w:val="24"/>
          <w:szCs w:val="24"/>
          <w:lang w:eastAsia="zh-CN"/>
        </w:rPr>
        <w:t>: 1136-1140 [PMID: 15986870]</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29 </w:t>
      </w:r>
      <w:r w:rsidRPr="00894674">
        <w:rPr>
          <w:rFonts w:ascii="Book Antiqua" w:eastAsia="SimSun" w:hAnsi="Book Antiqua" w:cs="SimSun"/>
          <w:b/>
          <w:bCs/>
          <w:color w:val="000000"/>
          <w:kern w:val="0"/>
          <w:sz w:val="24"/>
          <w:szCs w:val="24"/>
          <w:lang w:eastAsia="zh-CN"/>
        </w:rPr>
        <w:t>Verdam FJ</w:t>
      </w:r>
      <w:r w:rsidRPr="00894674">
        <w:rPr>
          <w:rFonts w:ascii="Book Antiqua" w:eastAsia="SimSun" w:hAnsi="Book Antiqua" w:cs="SimSun"/>
          <w:color w:val="000000"/>
          <w:kern w:val="0"/>
          <w:sz w:val="24"/>
          <w:szCs w:val="24"/>
          <w:lang w:eastAsia="zh-CN"/>
        </w:rPr>
        <w:t xml:space="preserve">, Rensen SS, Driessen A, Greve JW, Buurman WA. Novel evidence for chronic exposure to endotoxin in human nonalcoholic steatohepatitis. </w:t>
      </w:r>
      <w:r w:rsidRPr="00894674">
        <w:rPr>
          <w:rFonts w:ascii="Book Antiqua" w:eastAsia="SimSun" w:hAnsi="Book Antiqua" w:cs="SimSun"/>
          <w:i/>
          <w:iCs/>
          <w:color w:val="000000"/>
          <w:kern w:val="0"/>
          <w:sz w:val="24"/>
          <w:szCs w:val="24"/>
          <w:lang w:eastAsia="zh-CN"/>
        </w:rPr>
        <w:t>J Clin Gastroenterol</w:t>
      </w:r>
      <w:r w:rsidRPr="00894674">
        <w:rPr>
          <w:rFonts w:ascii="Book Antiqua" w:eastAsia="SimSun" w:hAnsi="Book Antiqua" w:cs="SimSun"/>
          <w:color w:val="000000"/>
          <w:kern w:val="0"/>
          <w:sz w:val="24"/>
          <w:szCs w:val="24"/>
          <w:lang w:eastAsia="zh-CN"/>
        </w:rPr>
        <w:t> 2011; </w:t>
      </w:r>
      <w:r w:rsidRPr="00894674">
        <w:rPr>
          <w:rFonts w:ascii="Book Antiqua" w:eastAsia="SimSun" w:hAnsi="Book Antiqua" w:cs="SimSun"/>
          <w:b/>
          <w:bCs/>
          <w:color w:val="000000"/>
          <w:kern w:val="0"/>
          <w:sz w:val="24"/>
          <w:szCs w:val="24"/>
          <w:lang w:eastAsia="zh-CN"/>
        </w:rPr>
        <w:t>45</w:t>
      </w:r>
      <w:r w:rsidRPr="00894674">
        <w:rPr>
          <w:rFonts w:ascii="Book Antiqua" w:eastAsia="SimSun" w:hAnsi="Book Antiqua" w:cs="SimSun"/>
          <w:color w:val="000000"/>
          <w:kern w:val="0"/>
          <w:sz w:val="24"/>
          <w:szCs w:val="24"/>
          <w:lang w:eastAsia="zh-CN"/>
        </w:rPr>
        <w:t>: 149-152 [PMID: 20661154 DOI: 10.1097/MCG.0b013e3181e12c24]</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30 </w:t>
      </w:r>
      <w:r w:rsidRPr="00894674">
        <w:rPr>
          <w:rFonts w:ascii="Book Antiqua" w:eastAsia="SimSun" w:hAnsi="Book Antiqua" w:cs="SimSun"/>
          <w:b/>
          <w:bCs/>
          <w:color w:val="000000"/>
          <w:kern w:val="0"/>
          <w:sz w:val="24"/>
          <w:szCs w:val="24"/>
          <w:lang w:eastAsia="zh-CN"/>
        </w:rPr>
        <w:t>Jin CJ</w:t>
      </w:r>
      <w:r w:rsidRPr="00894674">
        <w:rPr>
          <w:rFonts w:ascii="Book Antiqua" w:eastAsia="SimSun" w:hAnsi="Book Antiqua" w:cs="SimSun"/>
          <w:color w:val="000000"/>
          <w:kern w:val="0"/>
          <w:sz w:val="24"/>
          <w:szCs w:val="24"/>
          <w:lang w:eastAsia="zh-CN"/>
        </w:rPr>
        <w:t>, Engstler AJ, Ziegenhardt D, Bischoff SC, Trautwein C, Bergheim I. Loss of lipopolysaccharide-binding protein attenuates the development of diet-induced non-alcoholic fatty liver disease (NAFLD) in mice. </w:t>
      </w:r>
      <w:r w:rsidRPr="00894674">
        <w:rPr>
          <w:rFonts w:ascii="Book Antiqua" w:eastAsia="SimSun" w:hAnsi="Book Antiqua" w:cs="SimSun"/>
          <w:i/>
          <w:iCs/>
          <w:color w:val="000000"/>
          <w:kern w:val="0"/>
          <w:sz w:val="24"/>
          <w:szCs w:val="24"/>
          <w:lang w:eastAsia="zh-CN"/>
        </w:rPr>
        <w:t>J Gastroenterol Hepatol</w:t>
      </w:r>
      <w:r w:rsidRPr="00894674">
        <w:rPr>
          <w:rFonts w:ascii="Book Antiqua" w:eastAsia="SimSun" w:hAnsi="Book Antiqua" w:cs="SimSun"/>
          <w:color w:val="000000"/>
          <w:kern w:val="0"/>
          <w:sz w:val="24"/>
          <w:szCs w:val="24"/>
          <w:lang w:eastAsia="zh-CN"/>
        </w:rPr>
        <w:t> 2016; : [PMID: 27404046 DOI: 10.1111/jgh.13488]</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31 </w:t>
      </w:r>
      <w:r w:rsidRPr="00894674">
        <w:rPr>
          <w:rFonts w:ascii="Book Antiqua" w:eastAsia="SimSun" w:hAnsi="Book Antiqua" w:cs="SimSun"/>
          <w:b/>
          <w:bCs/>
          <w:color w:val="000000"/>
          <w:kern w:val="0"/>
          <w:sz w:val="24"/>
          <w:szCs w:val="24"/>
          <w:lang w:eastAsia="zh-CN"/>
        </w:rPr>
        <w:t>Moreno-Navarrete JM</w:t>
      </w:r>
      <w:r w:rsidRPr="00894674">
        <w:rPr>
          <w:rFonts w:ascii="Book Antiqua" w:eastAsia="SimSun" w:hAnsi="Book Antiqua" w:cs="SimSun"/>
          <w:color w:val="000000"/>
          <w:kern w:val="0"/>
          <w:sz w:val="24"/>
          <w:szCs w:val="24"/>
          <w:lang w:eastAsia="zh-CN"/>
        </w:rPr>
        <w:t>, Escoté X, Ortega F, Camps M, Ricart W, Zorzano A, Vendrell J, Vidal-Puig A, Fernández-Real JM. Lipopolysaccharide binding protein is an adipokine involved in the resilience of the mouse adipocyte to inflammation.</w:t>
      </w:r>
      <w:r w:rsidRPr="00F4231A">
        <w:rPr>
          <w:rFonts w:ascii="Book Antiqua" w:eastAsia="SimSun" w:hAnsi="Book Antiqua" w:cs="SimSun"/>
          <w:color w:val="000000"/>
          <w:kern w:val="0"/>
          <w:sz w:val="24"/>
          <w:szCs w:val="24"/>
          <w:lang w:eastAsia="zh-CN"/>
        </w:rPr>
        <w:t xml:space="preserve"> </w:t>
      </w:r>
      <w:r w:rsidRPr="00894674">
        <w:rPr>
          <w:rFonts w:ascii="Book Antiqua" w:eastAsia="SimSun" w:hAnsi="Book Antiqua" w:cs="SimSun"/>
          <w:i/>
          <w:iCs/>
          <w:color w:val="000000"/>
          <w:kern w:val="0"/>
          <w:sz w:val="24"/>
          <w:szCs w:val="24"/>
          <w:lang w:eastAsia="zh-CN"/>
        </w:rPr>
        <w:t>Diabetologia</w:t>
      </w:r>
      <w:r w:rsidRPr="00894674">
        <w:rPr>
          <w:rFonts w:ascii="Book Antiqua" w:eastAsia="SimSun" w:hAnsi="Book Antiqua" w:cs="SimSun"/>
          <w:color w:val="000000"/>
          <w:kern w:val="0"/>
          <w:sz w:val="24"/>
          <w:szCs w:val="24"/>
          <w:lang w:eastAsia="zh-CN"/>
        </w:rPr>
        <w:t> 2015; </w:t>
      </w:r>
      <w:r w:rsidRPr="00894674">
        <w:rPr>
          <w:rFonts w:ascii="Book Antiqua" w:eastAsia="SimSun" w:hAnsi="Book Antiqua" w:cs="SimSun"/>
          <w:b/>
          <w:bCs/>
          <w:color w:val="000000"/>
          <w:kern w:val="0"/>
          <w:sz w:val="24"/>
          <w:szCs w:val="24"/>
          <w:lang w:eastAsia="zh-CN"/>
        </w:rPr>
        <w:t>58</w:t>
      </w:r>
      <w:r w:rsidRPr="00894674">
        <w:rPr>
          <w:rFonts w:ascii="Book Antiqua" w:eastAsia="SimSun" w:hAnsi="Book Antiqua" w:cs="SimSun"/>
          <w:color w:val="000000"/>
          <w:kern w:val="0"/>
          <w:sz w:val="24"/>
          <w:szCs w:val="24"/>
          <w:lang w:eastAsia="zh-CN"/>
        </w:rPr>
        <w:t>: 2424-2434 [PMID: 26201685 DOI: 10.1007/s00125-015-3692-7]</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32 </w:t>
      </w:r>
      <w:r w:rsidRPr="00894674">
        <w:rPr>
          <w:rFonts w:ascii="Book Antiqua" w:eastAsia="SimSun" w:hAnsi="Book Antiqua" w:cs="SimSun"/>
          <w:b/>
          <w:bCs/>
          <w:color w:val="000000"/>
          <w:kern w:val="0"/>
          <w:sz w:val="24"/>
          <w:szCs w:val="24"/>
          <w:lang w:eastAsia="zh-CN"/>
        </w:rPr>
        <w:t>Grube BJ</w:t>
      </w:r>
      <w:r w:rsidRPr="00894674">
        <w:rPr>
          <w:rFonts w:ascii="Book Antiqua" w:eastAsia="SimSun" w:hAnsi="Book Antiqua" w:cs="SimSun"/>
          <w:color w:val="000000"/>
          <w:kern w:val="0"/>
          <w:sz w:val="24"/>
          <w:szCs w:val="24"/>
          <w:lang w:eastAsia="zh-CN"/>
        </w:rPr>
        <w:t>, Cochane CG, Ye RD, Green CE, McPhail ME, Ulevitch RJ, Tobias PS. Lipopolysaccharide binding protein expression in primary human hepatocytes and HepG2 hepatoma cells. </w:t>
      </w:r>
      <w:r w:rsidRPr="00894674">
        <w:rPr>
          <w:rFonts w:ascii="Book Antiqua" w:eastAsia="SimSun" w:hAnsi="Book Antiqua" w:cs="SimSun"/>
          <w:i/>
          <w:iCs/>
          <w:color w:val="000000"/>
          <w:kern w:val="0"/>
          <w:sz w:val="24"/>
          <w:szCs w:val="24"/>
          <w:lang w:eastAsia="zh-CN"/>
        </w:rPr>
        <w:t>J Biol Chem</w:t>
      </w:r>
      <w:r w:rsidRPr="00894674">
        <w:rPr>
          <w:rFonts w:ascii="Book Antiqua" w:eastAsia="SimSun" w:hAnsi="Book Antiqua" w:cs="SimSun"/>
          <w:color w:val="000000"/>
          <w:kern w:val="0"/>
          <w:sz w:val="24"/>
          <w:szCs w:val="24"/>
          <w:lang w:eastAsia="zh-CN"/>
        </w:rPr>
        <w:t> 1994; </w:t>
      </w:r>
      <w:r w:rsidRPr="00894674">
        <w:rPr>
          <w:rFonts w:ascii="Book Antiqua" w:eastAsia="SimSun" w:hAnsi="Book Antiqua" w:cs="SimSun"/>
          <w:b/>
          <w:bCs/>
          <w:color w:val="000000"/>
          <w:kern w:val="0"/>
          <w:sz w:val="24"/>
          <w:szCs w:val="24"/>
          <w:lang w:eastAsia="zh-CN"/>
        </w:rPr>
        <w:t>269</w:t>
      </w:r>
      <w:r w:rsidRPr="00894674">
        <w:rPr>
          <w:rFonts w:ascii="Book Antiqua" w:eastAsia="SimSun" w:hAnsi="Book Antiqua" w:cs="SimSun"/>
          <w:color w:val="000000"/>
          <w:kern w:val="0"/>
          <w:sz w:val="24"/>
          <w:szCs w:val="24"/>
          <w:lang w:eastAsia="zh-CN"/>
        </w:rPr>
        <w:t>: 8477-8482 [PMID: 7510687]</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lastRenderedPageBreak/>
        <w:t>33 </w:t>
      </w:r>
      <w:r w:rsidRPr="00894674">
        <w:rPr>
          <w:rFonts w:ascii="Book Antiqua" w:eastAsia="SimSun" w:hAnsi="Book Antiqua" w:cs="SimSun"/>
          <w:b/>
          <w:bCs/>
          <w:color w:val="000000"/>
          <w:kern w:val="0"/>
          <w:sz w:val="24"/>
          <w:szCs w:val="24"/>
          <w:lang w:eastAsia="zh-CN"/>
        </w:rPr>
        <w:t>Wieckowska A</w:t>
      </w:r>
      <w:r w:rsidRPr="00894674">
        <w:rPr>
          <w:rFonts w:ascii="Book Antiqua" w:eastAsia="SimSun" w:hAnsi="Book Antiqua" w:cs="SimSun"/>
          <w:color w:val="000000"/>
          <w:kern w:val="0"/>
          <w:sz w:val="24"/>
          <w:szCs w:val="24"/>
          <w:lang w:eastAsia="zh-CN"/>
        </w:rPr>
        <w:t>, Papouchado BG, Li Z, Lopez R, Zein NN, Feldstein AE. Increased hepatic and circulating interleukin-6 levels in human nonalcoholic steatohepatitis. </w:t>
      </w:r>
      <w:r w:rsidRPr="00894674">
        <w:rPr>
          <w:rFonts w:ascii="Book Antiqua" w:eastAsia="SimSun" w:hAnsi="Book Antiqua" w:cs="SimSun"/>
          <w:i/>
          <w:iCs/>
          <w:color w:val="000000"/>
          <w:kern w:val="0"/>
          <w:sz w:val="24"/>
          <w:szCs w:val="24"/>
          <w:lang w:eastAsia="zh-CN"/>
        </w:rPr>
        <w:t>Am J Gastroenterol</w:t>
      </w:r>
      <w:r w:rsidRPr="00894674">
        <w:rPr>
          <w:rFonts w:ascii="Book Antiqua" w:eastAsia="SimSun" w:hAnsi="Book Antiqua" w:cs="SimSun"/>
          <w:color w:val="000000"/>
          <w:kern w:val="0"/>
          <w:sz w:val="24"/>
          <w:szCs w:val="24"/>
          <w:lang w:eastAsia="zh-CN"/>
        </w:rPr>
        <w:t> 2008; </w:t>
      </w:r>
      <w:r w:rsidRPr="00894674">
        <w:rPr>
          <w:rFonts w:ascii="Book Antiqua" w:eastAsia="SimSun" w:hAnsi="Book Antiqua" w:cs="SimSun"/>
          <w:b/>
          <w:bCs/>
          <w:color w:val="000000"/>
          <w:kern w:val="0"/>
          <w:sz w:val="24"/>
          <w:szCs w:val="24"/>
          <w:lang w:eastAsia="zh-CN"/>
        </w:rPr>
        <w:t>103</w:t>
      </w:r>
      <w:r w:rsidRPr="00894674">
        <w:rPr>
          <w:rFonts w:ascii="Book Antiqua" w:eastAsia="SimSun" w:hAnsi="Book Antiqua" w:cs="SimSun"/>
          <w:color w:val="000000"/>
          <w:kern w:val="0"/>
          <w:sz w:val="24"/>
          <w:szCs w:val="24"/>
          <w:lang w:eastAsia="zh-CN"/>
        </w:rPr>
        <w:t>: 1372-1379 [PMID: 18510618 DOI: 10.1111/j.1572-0241.2007.01774.x]</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34 </w:t>
      </w:r>
      <w:r w:rsidRPr="00894674">
        <w:rPr>
          <w:rFonts w:ascii="Book Antiqua" w:eastAsia="SimSun" w:hAnsi="Book Antiqua" w:cs="SimSun"/>
          <w:b/>
          <w:bCs/>
          <w:color w:val="000000"/>
          <w:kern w:val="0"/>
          <w:sz w:val="24"/>
          <w:szCs w:val="24"/>
          <w:lang w:eastAsia="zh-CN"/>
        </w:rPr>
        <w:t>Kakisaka K</w:t>
      </w:r>
      <w:r w:rsidRPr="00894674">
        <w:rPr>
          <w:rFonts w:ascii="Book Antiqua" w:eastAsia="SimSun" w:hAnsi="Book Antiqua" w:cs="SimSun"/>
          <w:color w:val="000000"/>
          <w:kern w:val="0"/>
          <w:sz w:val="24"/>
          <w:szCs w:val="24"/>
          <w:lang w:eastAsia="zh-CN"/>
        </w:rPr>
        <w:t>, Cazanave SC, Werneburg NW, Razumilava N, Mertens JC, Bronk SF, Gores GJ. A hedgehog survival pathway in 'undead' lipotoxic hepatocytes.</w:t>
      </w:r>
      <w:r w:rsidRPr="00F4231A">
        <w:rPr>
          <w:rFonts w:ascii="Book Antiqua" w:eastAsia="SimSun" w:hAnsi="Book Antiqua" w:cs="SimSun"/>
          <w:color w:val="000000"/>
          <w:kern w:val="0"/>
          <w:sz w:val="24"/>
          <w:szCs w:val="24"/>
          <w:lang w:eastAsia="zh-CN"/>
        </w:rPr>
        <w:t xml:space="preserve"> </w:t>
      </w:r>
      <w:r w:rsidRPr="00894674">
        <w:rPr>
          <w:rFonts w:ascii="Book Antiqua" w:eastAsia="SimSun" w:hAnsi="Book Antiqua" w:cs="SimSun"/>
          <w:i/>
          <w:iCs/>
          <w:color w:val="000000"/>
          <w:kern w:val="0"/>
          <w:sz w:val="24"/>
          <w:szCs w:val="24"/>
          <w:lang w:eastAsia="zh-CN"/>
        </w:rPr>
        <w:t>J Hepatol</w:t>
      </w:r>
      <w:r w:rsidRPr="00894674">
        <w:rPr>
          <w:rFonts w:ascii="Book Antiqua" w:eastAsia="SimSun" w:hAnsi="Book Antiqua" w:cs="SimSun"/>
          <w:color w:val="000000"/>
          <w:kern w:val="0"/>
          <w:sz w:val="24"/>
          <w:szCs w:val="24"/>
          <w:lang w:eastAsia="zh-CN"/>
        </w:rPr>
        <w:t> 2012; </w:t>
      </w:r>
      <w:r w:rsidRPr="00894674">
        <w:rPr>
          <w:rFonts w:ascii="Book Antiqua" w:eastAsia="SimSun" w:hAnsi="Book Antiqua" w:cs="SimSun"/>
          <w:b/>
          <w:bCs/>
          <w:color w:val="000000"/>
          <w:kern w:val="0"/>
          <w:sz w:val="24"/>
          <w:szCs w:val="24"/>
          <w:lang w:eastAsia="zh-CN"/>
        </w:rPr>
        <w:t>57</w:t>
      </w:r>
      <w:r w:rsidRPr="00894674">
        <w:rPr>
          <w:rFonts w:ascii="Book Antiqua" w:eastAsia="SimSun" w:hAnsi="Book Antiqua" w:cs="SimSun"/>
          <w:color w:val="000000"/>
          <w:kern w:val="0"/>
          <w:sz w:val="24"/>
          <w:szCs w:val="24"/>
          <w:lang w:eastAsia="zh-CN"/>
        </w:rPr>
        <w:t>: 844-851 [PMID: 22641094 DOI: 10.1016/j.jhep.2012.05.011]</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35 </w:t>
      </w:r>
      <w:r w:rsidRPr="00894674">
        <w:rPr>
          <w:rFonts w:ascii="Book Antiqua" w:eastAsia="SimSun" w:hAnsi="Book Antiqua" w:cs="SimSun"/>
          <w:b/>
          <w:bCs/>
          <w:color w:val="000000"/>
          <w:kern w:val="0"/>
          <w:sz w:val="24"/>
          <w:szCs w:val="24"/>
          <w:lang w:eastAsia="zh-CN"/>
        </w:rPr>
        <w:t>Ding PH</w:t>
      </w:r>
      <w:r w:rsidRPr="00894674">
        <w:rPr>
          <w:rFonts w:ascii="Book Antiqua" w:eastAsia="SimSun" w:hAnsi="Book Antiqua" w:cs="SimSun"/>
          <w:color w:val="000000"/>
          <w:kern w:val="0"/>
          <w:sz w:val="24"/>
          <w:szCs w:val="24"/>
          <w:lang w:eastAsia="zh-CN"/>
        </w:rPr>
        <w:t>, Wang CY, Darveau RP, Jin LJ. Nuclear factor-κB and p38 mitogen-activated protein kinase signaling pathways are critically involved in Porphyromonas gingivalis lipopolysaccharide induction of lipopolysaccharide-binding protein expression in human oral keratinocytes.</w:t>
      </w:r>
      <w:r w:rsidRPr="00F4231A">
        <w:rPr>
          <w:rFonts w:ascii="Book Antiqua" w:eastAsia="SimSun" w:hAnsi="Book Antiqua" w:cs="SimSun"/>
          <w:color w:val="000000"/>
          <w:kern w:val="0"/>
          <w:sz w:val="24"/>
          <w:szCs w:val="24"/>
          <w:lang w:eastAsia="zh-CN"/>
        </w:rPr>
        <w:t xml:space="preserve"> </w:t>
      </w:r>
      <w:r w:rsidRPr="00894674">
        <w:rPr>
          <w:rFonts w:ascii="Book Antiqua" w:eastAsia="SimSun" w:hAnsi="Book Antiqua" w:cs="SimSun"/>
          <w:i/>
          <w:iCs/>
          <w:color w:val="000000"/>
          <w:kern w:val="0"/>
          <w:sz w:val="24"/>
          <w:szCs w:val="24"/>
          <w:lang w:eastAsia="zh-CN"/>
        </w:rPr>
        <w:t>Mol Oral Microbiol</w:t>
      </w:r>
      <w:r w:rsidRPr="00894674">
        <w:rPr>
          <w:rFonts w:ascii="Book Antiqua" w:eastAsia="SimSun" w:hAnsi="Book Antiqua" w:cs="SimSun"/>
          <w:color w:val="000000"/>
          <w:kern w:val="0"/>
          <w:sz w:val="24"/>
          <w:szCs w:val="24"/>
          <w:lang w:eastAsia="zh-CN"/>
        </w:rPr>
        <w:t> 2013; </w:t>
      </w:r>
      <w:r w:rsidRPr="00894674">
        <w:rPr>
          <w:rFonts w:ascii="Book Antiqua" w:eastAsia="SimSun" w:hAnsi="Book Antiqua" w:cs="SimSun"/>
          <w:b/>
          <w:bCs/>
          <w:color w:val="000000"/>
          <w:kern w:val="0"/>
          <w:sz w:val="24"/>
          <w:szCs w:val="24"/>
          <w:lang w:eastAsia="zh-CN"/>
        </w:rPr>
        <w:t>28</w:t>
      </w:r>
      <w:r w:rsidRPr="00894674">
        <w:rPr>
          <w:rFonts w:ascii="Book Antiqua" w:eastAsia="SimSun" w:hAnsi="Book Antiqua" w:cs="SimSun"/>
          <w:color w:val="000000"/>
          <w:kern w:val="0"/>
          <w:sz w:val="24"/>
          <w:szCs w:val="24"/>
          <w:lang w:eastAsia="zh-CN"/>
        </w:rPr>
        <w:t>: 129-141 [PMID: 23194012 DOI: 10.1111/omi.12010]</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36 </w:t>
      </w:r>
      <w:r w:rsidRPr="00894674">
        <w:rPr>
          <w:rFonts w:ascii="Book Antiqua" w:eastAsia="SimSun" w:hAnsi="Book Antiqua" w:cs="SimSun"/>
          <w:b/>
          <w:bCs/>
          <w:color w:val="000000"/>
          <w:kern w:val="0"/>
          <w:sz w:val="24"/>
          <w:szCs w:val="24"/>
          <w:lang w:eastAsia="zh-CN"/>
        </w:rPr>
        <w:t>Yuan J</w:t>
      </w:r>
      <w:r w:rsidRPr="00894674">
        <w:rPr>
          <w:rFonts w:ascii="Book Antiqua" w:eastAsia="SimSun" w:hAnsi="Book Antiqua" w:cs="SimSun"/>
          <w:color w:val="000000"/>
          <w:kern w:val="0"/>
          <w:sz w:val="24"/>
          <w:szCs w:val="24"/>
          <w:lang w:eastAsia="zh-CN"/>
        </w:rPr>
        <w:t>, Baker SS, Liu W, Alkhouri R, Baker RD, Xie J, Ji G, Zhu L. Endotoxemia unrequired in the pathogenesis of pediatric nonalcoholic steatohepatitis. </w:t>
      </w:r>
      <w:r w:rsidRPr="00894674">
        <w:rPr>
          <w:rFonts w:ascii="Book Antiqua" w:eastAsia="SimSun" w:hAnsi="Book Antiqua" w:cs="SimSun"/>
          <w:i/>
          <w:iCs/>
          <w:color w:val="000000"/>
          <w:kern w:val="0"/>
          <w:sz w:val="24"/>
          <w:szCs w:val="24"/>
          <w:lang w:eastAsia="zh-CN"/>
        </w:rPr>
        <w:t>J Gastroenterol Hepatol</w:t>
      </w:r>
      <w:r w:rsidRPr="00894674">
        <w:rPr>
          <w:rFonts w:ascii="Book Antiqua" w:eastAsia="SimSun" w:hAnsi="Book Antiqua" w:cs="SimSun"/>
          <w:color w:val="000000"/>
          <w:kern w:val="0"/>
          <w:sz w:val="24"/>
          <w:szCs w:val="24"/>
          <w:lang w:eastAsia="zh-CN"/>
        </w:rPr>
        <w:t> 2014; </w:t>
      </w:r>
      <w:r w:rsidRPr="00894674">
        <w:rPr>
          <w:rFonts w:ascii="Book Antiqua" w:eastAsia="SimSun" w:hAnsi="Book Antiqua" w:cs="SimSun"/>
          <w:b/>
          <w:bCs/>
          <w:color w:val="000000"/>
          <w:kern w:val="0"/>
          <w:sz w:val="24"/>
          <w:szCs w:val="24"/>
          <w:lang w:eastAsia="zh-CN"/>
        </w:rPr>
        <w:t>29</w:t>
      </w:r>
      <w:r w:rsidRPr="00894674">
        <w:rPr>
          <w:rFonts w:ascii="Book Antiqua" w:eastAsia="SimSun" w:hAnsi="Book Antiqua" w:cs="SimSun"/>
          <w:color w:val="000000"/>
          <w:kern w:val="0"/>
          <w:sz w:val="24"/>
          <w:szCs w:val="24"/>
          <w:lang w:eastAsia="zh-CN"/>
        </w:rPr>
        <w:t>: 1292-1298 [PMID: 24372861 DOI: 10.1111/jgh.12510]</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37 </w:t>
      </w:r>
      <w:r w:rsidRPr="00894674">
        <w:rPr>
          <w:rFonts w:ascii="Book Antiqua" w:eastAsia="SimSun" w:hAnsi="Book Antiqua" w:cs="SimSun"/>
          <w:b/>
          <w:bCs/>
          <w:color w:val="000000"/>
          <w:kern w:val="0"/>
          <w:sz w:val="24"/>
          <w:szCs w:val="24"/>
          <w:lang w:eastAsia="zh-CN"/>
        </w:rPr>
        <w:t>Yoshimoto S</w:t>
      </w:r>
      <w:r w:rsidRPr="00894674">
        <w:rPr>
          <w:rFonts w:ascii="Book Antiqua" w:eastAsia="SimSun" w:hAnsi="Book Antiqua" w:cs="SimSun"/>
          <w:color w:val="000000"/>
          <w:kern w:val="0"/>
          <w:sz w:val="24"/>
          <w:szCs w:val="24"/>
          <w:lang w:eastAsia="zh-CN"/>
        </w:rPr>
        <w:t>, Loo TM, Atarashi K, Kanda H, Sato S, Oyadomari S, Iwakura Y, Oshima K, Morita H, Hattori M, Honda K, Ishikawa Y, Hara E, Ohtani N. Obesity-induced gut microbial metabolite promotes liver cancer through senescence secretome. </w:t>
      </w:r>
      <w:r w:rsidRPr="00894674">
        <w:rPr>
          <w:rFonts w:ascii="Book Antiqua" w:eastAsia="SimSun" w:hAnsi="Book Antiqua" w:cs="SimSun"/>
          <w:i/>
          <w:iCs/>
          <w:color w:val="000000"/>
          <w:kern w:val="0"/>
          <w:sz w:val="24"/>
          <w:szCs w:val="24"/>
          <w:lang w:eastAsia="zh-CN"/>
        </w:rPr>
        <w:t>Nature</w:t>
      </w:r>
      <w:r w:rsidRPr="00894674">
        <w:rPr>
          <w:rFonts w:ascii="Book Antiqua" w:eastAsia="SimSun" w:hAnsi="Book Antiqua" w:cs="SimSun"/>
          <w:color w:val="000000"/>
          <w:kern w:val="0"/>
          <w:sz w:val="24"/>
          <w:szCs w:val="24"/>
          <w:lang w:eastAsia="zh-CN"/>
        </w:rPr>
        <w:t> 2013; </w:t>
      </w:r>
      <w:r w:rsidRPr="00894674">
        <w:rPr>
          <w:rFonts w:ascii="Book Antiqua" w:eastAsia="SimSun" w:hAnsi="Book Antiqua" w:cs="SimSun"/>
          <w:b/>
          <w:bCs/>
          <w:color w:val="000000"/>
          <w:kern w:val="0"/>
          <w:sz w:val="24"/>
          <w:szCs w:val="24"/>
          <w:lang w:eastAsia="zh-CN"/>
        </w:rPr>
        <w:t>499</w:t>
      </w:r>
      <w:r w:rsidRPr="00894674">
        <w:rPr>
          <w:rFonts w:ascii="Book Antiqua" w:eastAsia="SimSun" w:hAnsi="Book Antiqua" w:cs="SimSun"/>
          <w:color w:val="000000"/>
          <w:kern w:val="0"/>
          <w:sz w:val="24"/>
          <w:szCs w:val="24"/>
          <w:lang w:eastAsia="zh-CN"/>
        </w:rPr>
        <w:t>: 97-101 [PMID: 23803760 DOI: 10.1038/nature12347]</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38 </w:t>
      </w:r>
      <w:r w:rsidRPr="00894674">
        <w:rPr>
          <w:rFonts w:ascii="Book Antiqua" w:eastAsia="SimSun" w:hAnsi="Book Antiqua" w:cs="SimSun"/>
          <w:b/>
          <w:bCs/>
          <w:color w:val="000000"/>
          <w:kern w:val="0"/>
          <w:sz w:val="24"/>
          <w:szCs w:val="24"/>
          <w:lang w:eastAsia="zh-CN"/>
        </w:rPr>
        <w:t>Jiang C</w:t>
      </w:r>
      <w:r w:rsidRPr="00894674">
        <w:rPr>
          <w:rFonts w:ascii="Book Antiqua" w:eastAsia="SimSun" w:hAnsi="Book Antiqua" w:cs="SimSun"/>
          <w:color w:val="000000"/>
          <w:kern w:val="0"/>
          <w:sz w:val="24"/>
          <w:szCs w:val="24"/>
          <w:lang w:eastAsia="zh-CN"/>
        </w:rPr>
        <w:t>, Xie C, Li F, Zhang L, Nichols RG, Krausz KW, Cai J, Qi Y, Fang ZZ, Takahashi S, Tanaka N, Desai D, Amin SG, Albert I, Patterson AD, Gonzalez FJ. Intestinal farnesoid X receptor signaling promotes nonalcoholic fatty liver disease. </w:t>
      </w:r>
      <w:r w:rsidRPr="00894674">
        <w:rPr>
          <w:rFonts w:ascii="Book Antiqua" w:eastAsia="SimSun" w:hAnsi="Book Antiqua" w:cs="SimSun"/>
          <w:i/>
          <w:iCs/>
          <w:color w:val="000000"/>
          <w:kern w:val="0"/>
          <w:sz w:val="24"/>
          <w:szCs w:val="24"/>
          <w:lang w:eastAsia="zh-CN"/>
        </w:rPr>
        <w:t>J Clin Invest</w:t>
      </w:r>
      <w:r w:rsidRPr="00894674">
        <w:rPr>
          <w:rFonts w:ascii="Book Antiqua" w:eastAsia="SimSun" w:hAnsi="Book Antiqua" w:cs="SimSun"/>
          <w:color w:val="000000"/>
          <w:kern w:val="0"/>
          <w:sz w:val="24"/>
          <w:szCs w:val="24"/>
          <w:lang w:eastAsia="zh-CN"/>
        </w:rPr>
        <w:t> 2015; </w:t>
      </w:r>
      <w:r w:rsidRPr="00894674">
        <w:rPr>
          <w:rFonts w:ascii="Book Antiqua" w:eastAsia="SimSun" w:hAnsi="Book Antiqua" w:cs="SimSun"/>
          <w:b/>
          <w:bCs/>
          <w:color w:val="000000"/>
          <w:kern w:val="0"/>
          <w:sz w:val="24"/>
          <w:szCs w:val="24"/>
          <w:lang w:eastAsia="zh-CN"/>
        </w:rPr>
        <w:t>125</w:t>
      </w:r>
      <w:r w:rsidRPr="00894674">
        <w:rPr>
          <w:rFonts w:ascii="Book Antiqua" w:eastAsia="SimSun" w:hAnsi="Book Antiqua" w:cs="SimSun"/>
          <w:color w:val="000000"/>
          <w:kern w:val="0"/>
          <w:sz w:val="24"/>
          <w:szCs w:val="24"/>
          <w:lang w:eastAsia="zh-CN"/>
        </w:rPr>
        <w:t>: 386-402 [PMID: 25500885 DOI: 10.1172/JCI76738]</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39 </w:t>
      </w:r>
      <w:r w:rsidRPr="00894674">
        <w:rPr>
          <w:rFonts w:ascii="Book Antiqua" w:eastAsia="SimSun" w:hAnsi="Book Antiqua" w:cs="SimSun"/>
          <w:b/>
          <w:bCs/>
          <w:color w:val="000000"/>
          <w:kern w:val="0"/>
          <w:sz w:val="24"/>
          <w:szCs w:val="24"/>
          <w:lang w:eastAsia="zh-CN"/>
        </w:rPr>
        <w:t>Tarantino G</w:t>
      </w:r>
      <w:r w:rsidRPr="00894674">
        <w:rPr>
          <w:rFonts w:ascii="Book Antiqua" w:eastAsia="SimSun" w:hAnsi="Book Antiqua" w:cs="SimSun"/>
          <w:color w:val="000000"/>
          <w:kern w:val="0"/>
          <w:sz w:val="24"/>
          <w:szCs w:val="24"/>
          <w:lang w:eastAsia="zh-CN"/>
        </w:rPr>
        <w:t xml:space="preserve">, Finelli C. Systematic review on intervention with prebiotics/probiotics in patients with obesity-related nonalcoholic fatty liver </w:t>
      </w:r>
      <w:r w:rsidRPr="00894674">
        <w:rPr>
          <w:rFonts w:ascii="Book Antiqua" w:eastAsia="SimSun" w:hAnsi="Book Antiqua" w:cs="SimSun"/>
          <w:color w:val="000000"/>
          <w:kern w:val="0"/>
          <w:sz w:val="24"/>
          <w:szCs w:val="24"/>
          <w:lang w:eastAsia="zh-CN"/>
        </w:rPr>
        <w:lastRenderedPageBreak/>
        <w:t xml:space="preserve">disease. </w:t>
      </w:r>
      <w:r w:rsidRPr="00894674">
        <w:rPr>
          <w:rFonts w:ascii="Book Antiqua" w:eastAsia="SimSun" w:hAnsi="Book Antiqua" w:cs="SimSun"/>
          <w:i/>
          <w:iCs/>
          <w:color w:val="000000"/>
          <w:kern w:val="0"/>
          <w:sz w:val="24"/>
          <w:szCs w:val="24"/>
          <w:lang w:eastAsia="zh-CN"/>
        </w:rPr>
        <w:t>Future Microbiol</w:t>
      </w:r>
      <w:r w:rsidRPr="00894674">
        <w:rPr>
          <w:rFonts w:ascii="Book Antiqua" w:eastAsia="SimSun" w:hAnsi="Book Antiqua" w:cs="SimSun"/>
          <w:color w:val="000000"/>
          <w:kern w:val="0"/>
          <w:sz w:val="24"/>
          <w:szCs w:val="24"/>
          <w:lang w:eastAsia="zh-CN"/>
        </w:rPr>
        <w:t> 2015; </w:t>
      </w:r>
      <w:r w:rsidRPr="00894674">
        <w:rPr>
          <w:rFonts w:ascii="Book Antiqua" w:eastAsia="SimSun" w:hAnsi="Book Antiqua" w:cs="SimSun"/>
          <w:b/>
          <w:bCs/>
          <w:color w:val="000000"/>
          <w:kern w:val="0"/>
          <w:sz w:val="24"/>
          <w:szCs w:val="24"/>
          <w:lang w:eastAsia="zh-CN"/>
        </w:rPr>
        <w:t>10</w:t>
      </w:r>
      <w:r w:rsidRPr="00894674">
        <w:rPr>
          <w:rFonts w:ascii="Book Antiqua" w:eastAsia="SimSun" w:hAnsi="Book Antiqua" w:cs="SimSun"/>
          <w:color w:val="000000"/>
          <w:kern w:val="0"/>
          <w:sz w:val="24"/>
          <w:szCs w:val="24"/>
          <w:lang w:eastAsia="zh-CN"/>
        </w:rPr>
        <w:t>: 889-902 [PMID: 26000656 DOI: 10.2217/fmb.15.13]</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40 </w:t>
      </w:r>
      <w:r w:rsidRPr="00894674">
        <w:rPr>
          <w:rFonts w:ascii="Book Antiqua" w:eastAsia="SimSun" w:hAnsi="Book Antiqua" w:cs="SimSun"/>
          <w:b/>
          <w:bCs/>
          <w:color w:val="000000"/>
          <w:kern w:val="0"/>
          <w:sz w:val="24"/>
          <w:szCs w:val="24"/>
          <w:lang w:eastAsia="zh-CN"/>
        </w:rPr>
        <w:t>Sharifnia T</w:t>
      </w:r>
      <w:r w:rsidRPr="00894674">
        <w:rPr>
          <w:rFonts w:ascii="Book Antiqua" w:eastAsia="SimSun" w:hAnsi="Book Antiqua" w:cs="SimSun"/>
          <w:color w:val="000000"/>
          <w:kern w:val="0"/>
          <w:sz w:val="24"/>
          <w:szCs w:val="24"/>
          <w:lang w:eastAsia="zh-CN"/>
        </w:rPr>
        <w:t>, Antoun J, Verriere TG, Suarez G, Wattacheril J, Wilson KT, Peek RM, Abumrad NN, Flynn CR. Hepatic TLR4 signaling in obese NAFLD. </w:t>
      </w:r>
      <w:r w:rsidRPr="00894674">
        <w:rPr>
          <w:rFonts w:ascii="Book Antiqua" w:eastAsia="SimSun" w:hAnsi="Book Antiqua" w:cs="SimSun"/>
          <w:i/>
          <w:iCs/>
          <w:color w:val="000000"/>
          <w:kern w:val="0"/>
          <w:sz w:val="24"/>
          <w:szCs w:val="24"/>
          <w:lang w:eastAsia="zh-CN"/>
        </w:rPr>
        <w:t>Am J Physiol Gastrointest Liver Physiol</w:t>
      </w:r>
      <w:r w:rsidRPr="00894674">
        <w:rPr>
          <w:rFonts w:ascii="Book Antiqua" w:eastAsia="SimSun" w:hAnsi="Book Antiqua" w:cs="SimSun"/>
          <w:color w:val="000000"/>
          <w:kern w:val="0"/>
          <w:sz w:val="24"/>
          <w:szCs w:val="24"/>
          <w:lang w:eastAsia="zh-CN"/>
        </w:rPr>
        <w:t> 2015; </w:t>
      </w:r>
      <w:r w:rsidRPr="00894674">
        <w:rPr>
          <w:rFonts w:ascii="Book Antiqua" w:eastAsia="SimSun" w:hAnsi="Book Antiqua" w:cs="SimSun"/>
          <w:b/>
          <w:bCs/>
          <w:color w:val="000000"/>
          <w:kern w:val="0"/>
          <w:sz w:val="24"/>
          <w:szCs w:val="24"/>
          <w:lang w:eastAsia="zh-CN"/>
        </w:rPr>
        <w:t>309</w:t>
      </w:r>
      <w:r w:rsidRPr="00894674">
        <w:rPr>
          <w:rFonts w:ascii="Book Antiqua" w:eastAsia="SimSun" w:hAnsi="Book Antiqua" w:cs="SimSun"/>
          <w:color w:val="000000"/>
          <w:kern w:val="0"/>
          <w:sz w:val="24"/>
          <w:szCs w:val="24"/>
          <w:lang w:eastAsia="zh-CN"/>
        </w:rPr>
        <w:t>: G270-G278 [PMID: 26113297 DOI: 10.1152/ajpgi.00304.2014]</w:t>
      </w:r>
    </w:p>
    <w:p w:rsidR="00894674" w:rsidRPr="00894674" w:rsidRDefault="00894674" w:rsidP="00F4231A">
      <w:pPr>
        <w:widowControl/>
        <w:snapToGrid w:val="0"/>
        <w:spacing w:line="360" w:lineRule="auto"/>
        <w:rPr>
          <w:rFonts w:ascii="Book Antiqua" w:eastAsia="SimSun" w:hAnsi="Book Antiqua" w:cs="SimSun"/>
          <w:color w:val="000000"/>
          <w:kern w:val="0"/>
          <w:sz w:val="24"/>
          <w:szCs w:val="24"/>
          <w:lang w:eastAsia="zh-CN"/>
        </w:rPr>
      </w:pPr>
      <w:r w:rsidRPr="00894674">
        <w:rPr>
          <w:rFonts w:ascii="Book Antiqua" w:eastAsia="SimSun" w:hAnsi="Book Antiqua" w:cs="SimSun"/>
          <w:color w:val="000000"/>
          <w:kern w:val="0"/>
          <w:sz w:val="24"/>
          <w:szCs w:val="24"/>
          <w:lang w:eastAsia="zh-CN"/>
        </w:rPr>
        <w:t>41 </w:t>
      </w:r>
      <w:r w:rsidRPr="00894674">
        <w:rPr>
          <w:rFonts w:ascii="Book Antiqua" w:eastAsia="SimSun" w:hAnsi="Book Antiqua" w:cs="SimSun"/>
          <w:b/>
          <w:bCs/>
          <w:color w:val="000000"/>
          <w:kern w:val="0"/>
          <w:sz w:val="24"/>
          <w:szCs w:val="24"/>
          <w:lang w:eastAsia="zh-CN"/>
        </w:rPr>
        <w:t>Mateos-Muñoz B</w:t>
      </w:r>
      <w:r w:rsidRPr="00894674">
        <w:rPr>
          <w:rFonts w:ascii="Book Antiqua" w:eastAsia="SimSun" w:hAnsi="Book Antiqua" w:cs="SimSun"/>
          <w:color w:val="000000"/>
          <w:kern w:val="0"/>
          <w:sz w:val="24"/>
          <w:szCs w:val="24"/>
          <w:lang w:eastAsia="zh-CN"/>
        </w:rPr>
        <w:t>, García-Martín E, Torrejón MJ, Devesa-Medina MJ, Esguevillas G, Cárdenas MC, Fernández C, Carballo M, Agúndez JA, Ladero JM. GC Gene Polymorphism and Unbound Serum Retinol-Binding Protein 4 Are Related to the Risk of Insulin Resistance in Patients With Chronic Hepatitis C: A Prospective Cross-Sectional Study. </w:t>
      </w:r>
      <w:r w:rsidRPr="00894674">
        <w:rPr>
          <w:rFonts w:ascii="Book Antiqua" w:eastAsia="SimSun" w:hAnsi="Book Antiqua" w:cs="SimSun"/>
          <w:i/>
          <w:iCs/>
          <w:color w:val="000000"/>
          <w:kern w:val="0"/>
          <w:sz w:val="24"/>
          <w:szCs w:val="24"/>
          <w:lang w:eastAsia="zh-CN"/>
        </w:rPr>
        <w:t>Medicine (Baltimore)</w:t>
      </w:r>
      <w:r w:rsidRPr="00894674">
        <w:rPr>
          <w:rFonts w:ascii="Book Antiqua" w:eastAsia="SimSun" w:hAnsi="Book Antiqua" w:cs="SimSun"/>
          <w:color w:val="000000"/>
          <w:kern w:val="0"/>
          <w:sz w:val="24"/>
          <w:szCs w:val="24"/>
          <w:lang w:eastAsia="zh-CN"/>
        </w:rPr>
        <w:t> 2016; </w:t>
      </w:r>
      <w:r w:rsidRPr="00894674">
        <w:rPr>
          <w:rFonts w:ascii="Book Antiqua" w:eastAsia="SimSun" w:hAnsi="Book Antiqua" w:cs="SimSun"/>
          <w:b/>
          <w:bCs/>
          <w:color w:val="000000"/>
          <w:kern w:val="0"/>
          <w:sz w:val="24"/>
          <w:szCs w:val="24"/>
          <w:lang w:eastAsia="zh-CN"/>
        </w:rPr>
        <w:t>95</w:t>
      </w:r>
      <w:r w:rsidRPr="00894674">
        <w:rPr>
          <w:rFonts w:ascii="Book Antiqua" w:eastAsia="SimSun" w:hAnsi="Book Antiqua" w:cs="SimSun"/>
          <w:color w:val="000000"/>
          <w:kern w:val="0"/>
          <w:sz w:val="24"/>
          <w:szCs w:val="24"/>
          <w:lang w:eastAsia="zh-CN"/>
        </w:rPr>
        <w:t>: e3019 [PMID: 26962819 DOI: 10.1097/MD.0000000000003019]</w:t>
      </w:r>
    </w:p>
    <w:p w:rsidR="00894674" w:rsidRPr="00894674" w:rsidRDefault="00894674" w:rsidP="00E57967">
      <w:pPr>
        <w:widowControl/>
        <w:wordWrap w:val="0"/>
        <w:snapToGrid w:val="0"/>
        <w:spacing w:line="360" w:lineRule="auto"/>
        <w:jc w:val="right"/>
        <w:rPr>
          <w:rFonts w:ascii="Book Antiqua" w:eastAsia="SimSun" w:hAnsi="Book Antiqua"/>
          <w:kern w:val="0"/>
          <w:sz w:val="24"/>
          <w:szCs w:val="24"/>
          <w:lang w:eastAsia="zh-CN"/>
        </w:rPr>
      </w:pPr>
      <w:bookmarkStart w:id="16" w:name="OLE_LINK51"/>
      <w:bookmarkStart w:id="17" w:name="OLE_LINK52"/>
      <w:bookmarkStart w:id="18" w:name="OLE_LINK120"/>
      <w:bookmarkStart w:id="19" w:name="OLE_LINK148"/>
      <w:bookmarkStart w:id="20" w:name="OLE_LINK72"/>
      <w:bookmarkStart w:id="21" w:name="OLE_LINK112"/>
      <w:bookmarkStart w:id="22" w:name="OLE_LINK320"/>
      <w:bookmarkStart w:id="23" w:name="OLE_LINK387"/>
      <w:bookmarkStart w:id="24" w:name="OLE_LINK183"/>
      <w:bookmarkStart w:id="25" w:name="OLE_LINK254"/>
      <w:bookmarkStart w:id="26" w:name="OLE_LINK149"/>
      <w:bookmarkStart w:id="27" w:name="OLE_LINK225"/>
      <w:bookmarkStart w:id="28" w:name="OLE_LINK207"/>
      <w:bookmarkStart w:id="29" w:name="OLE_LINK226"/>
      <w:bookmarkStart w:id="30" w:name="OLE_LINK212"/>
      <w:bookmarkStart w:id="31" w:name="OLE_LINK250"/>
      <w:bookmarkStart w:id="32" w:name="OLE_LINK281"/>
      <w:bookmarkStart w:id="33" w:name="OLE_LINK282"/>
      <w:bookmarkStart w:id="34" w:name="OLE_LINK313"/>
      <w:bookmarkStart w:id="35" w:name="OLE_LINK304"/>
      <w:bookmarkStart w:id="36" w:name="OLE_LINK321"/>
      <w:bookmarkStart w:id="37" w:name="OLE_LINK385"/>
      <w:bookmarkStart w:id="38" w:name="OLE_LINK400"/>
      <w:bookmarkStart w:id="39" w:name="OLE_LINK346"/>
      <w:bookmarkStart w:id="40" w:name="OLE_LINK371"/>
      <w:bookmarkStart w:id="41" w:name="OLE_LINK334"/>
      <w:bookmarkStart w:id="42" w:name="OLE_LINK1830"/>
      <w:bookmarkStart w:id="43" w:name="OLE_LINK457"/>
      <w:bookmarkStart w:id="44" w:name="OLE_LINK288"/>
      <w:bookmarkStart w:id="45" w:name="OLE_LINK384"/>
      <w:bookmarkStart w:id="46" w:name="OLE_LINK379"/>
      <w:bookmarkStart w:id="47" w:name="OLE_LINK303"/>
      <w:bookmarkStart w:id="48" w:name="OLE_LINK450"/>
      <w:bookmarkStart w:id="49" w:name="OLE_LINK489"/>
      <w:bookmarkStart w:id="50" w:name="OLE_LINK535"/>
      <w:bookmarkStart w:id="51" w:name="OLE_LINK648"/>
      <w:bookmarkStart w:id="52" w:name="OLE_LINK686"/>
      <w:bookmarkStart w:id="53" w:name="OLE_LINK471"/>
      <w:bookmarkStart w:id="54" w:name="OLE_LINK462"/>
      <w:bookmarkStart w:id="55" w:name="OLE_LINK519"/>
      <w:bookmarkStart w:id="56" w:name="OLE_LINK575"/>
      <w:bookmarkStart w:id="57" w:name="OLE_LINK491"/>
      <w:bookmarkStart w:id="58" w:name="OLE_LINK532"/>
      <w:bookmarkStart w:id="59" w:name="OLE_LINK572"/>
      <w:bookmarkStart w:id="60" w:name="OLE_LINK574"/>
      <w:bookmarkStart w:id="61" w:name="OLE_LINK480"/>
      <w:bookmarkStart w:id="62" w:name="OLE_LINK567"/>
      <w:bookmarkStart w:id="63" w:name="OLE_LINK2700"/>
      <w:bookmarkStart w:id="64" w:name="OLE_LINK581"/>
      <w:bookmarkStart w:id="65" w:name="OLE_LINK639"/>
      <w:bookmarkStart w:id="66" w:name="OLE_LINK688"/>
      <w:bookmarkStart w:id="67" w:name="OLE_LINK722"/>
      <w:bookmarkStart w:id="68" w:name="OLE_LINK542"/>
      <w:bookmarkStart w:id="69" w:name="OLE_LINK589"/>
      <w:bookmarkStart w:id="70" w:name="OLE_LINK582"/>
      <w:bookmarkStart w:id="71" w:name="OLE_LINK640"/>
      <w:bookmarkStart w:id="72" w:name="OLE_LINK714"/>
      <w:bookmarkStart w:id="73" w:name="OLE_LINK593"/>
      <w:bookmarkStart w:id="74" w:name="OLE_LINK716"/>
      <w:bookmarkStart w:id="75" w:name="OLE_LINK770"/>
      <w:bookmarkStart w:id="76" w:name="OLE_LINK801"/>
      <w:bookmarkStart w:id="77" w:name="OLE_LINK660"/>
      <w:bookmarkStart w:id="78" w:name="OLE_LINK781"/>
      <w:bookmarkStart w:id="79" w:name="OLE_LINK833"/>
      <w:bookmarkStart w:id="80" w:name="OLE_LINK642"/>
      <w:bookmarkStart w:id="81" w:name="OLE_LINK700"/>
      <w:bookmarkStart w:id="82" w:name="OLE_LINK792"/>
      <w:bookmarkStart w:id="83" w:name="OLE_LINK2882"/>
      <w:bookmarkStart w:id="84" w:name="OLE_LINK836"/>
      <w:bookmarkStart w:id="85" w:name="OLE_LINK889"/>
      <w:bookmarkStart w:id="86" w:name="OLE_LINK782"/>
      <w:bookmarkStart w:id="87" w:name="OLE_LINK826"/>
      <w:bookmarkStart w:id="88" w:name="OLE_LINK865"/>
      <w:bookmarkStart w:id="89" w:name="OLE_LINK856"/>
      <w:bookmarkStart w:id="90" w:name="OLE_LINK908"/>
      <w:bookmarkStart w:id="91" w:name="OLE_LINK980"/>
      <w:bookmarkStart w:id="92" w:name="OLE_LINK1018"/>
      <w:bookmarkStart w:id="93" w:name="OLE_LINK1049"/>
      <w:bookmarkStart w:id="94" w:name="OLE_LINK1076"/>
      <w:bookmarkStart w:id="95" w:name="OLE_LINK1106"/>
      <w:bookmarkStart w:id="96" w:name="OLE_LINK891"/>
      <w:bookmarkStart w:id="97" w:name="OLE_LINK943"/>
      <w:bookmarkStart w:id="98" w:name="OLE_LINK981"/>
      <w:bookmarkStart w:id="99" w:name="OLE_LINK1030"/>
      <w:bookmarkStart w:id="100" w:name="OLE_LINK847"/>
      <w:bookmarkStart w:id="101" w:name="OLE_LINK909"/>
      <w:bookmarkStart w:id="102" w:name="OLE_LINK906"/>
      <w:bookmarkStart w:id="103" w:name="OLE_LINK992"/>
      <w:bookmarkStart w:id="104" w:name="OLE_LINK993"/>
      <w:bookmarkStart w:id="105" w:name="OLE_LINK1052"/>
      <w:bookmarkStart w:id="106" w:name="OLE_LINK946"/>
      <w:bookmarkStart w:id="107" w:name="OLE_LINK911"/>
      <w:bookmarkStart w:id="108" w:name="OLE_LINK930"/>
      <w:bookmarkStart w:id="109" w:name="OLE_LINK1059"/>
      <w:bookmarkStart w:id="110" w:name="OLE_LINK1174"/>
      <w:bookmarkStart w:id="111" w:name="OLE_LINK1137"/>
      <w:bookmarkStart w:id="112" w:name="OLE_LINK1167"/>
      <w:bookmarkStart w:id="113" w:name="OLE_LINK1200"/>
      <w:bookmarkStart w:id="114" w:name="OLE_LINK1241"/>
      <w:bookmarkStart w:id="115" w:name="OLE_LINK1288"/>
      <w:bookmarkStart w:id="116" w:name="OLE_LINK1056"/>
      <w:bookmarkStart w:id="117" w:name="OLE_LINK1158"/>
      <w:bookmarkStart w:id="118" w:name="OLE_LINK1175"/>
      <w:bookmarkStart w:id="119" w:name="OLE_LINK1074"/>
      <w:bookmarkStart w:id="120" w:name="OLE_LINK1169"/>
      <w:r w:rsidRPr="00894674">
        <w:rPr>
          <w:rFonts w:ascii="Book Antiqua" w:eastAsia="SimSun" w:hAnsi="Book Antiqua"/>
          <w:b/>
          <w:bCs/>
          <w:kern w:val="0"/>
          <w:sz w:val="24"/>
          <w:szCs w:val="24"/>
          <w:lang w:eastAsia="zh-CN"/>
        </w:rPr>
        <w:t xml:space="preserve">P-Reviewer: </w:t>
      </w:r>
      <w:r w:rsidRPr="00894674">
        <w:rPr>
          <w:rFonts w:ascii="Book Antiqua" w:eastAsia="SimSun" w:hAnsi="Book Antiqua"/>
          <w:bCs/>
          <w:kern w:val="0"/>
          <w:sz w:val="24"/>
          <w:szCs w:val="24"/>
          <w:lang w:eastAsia="zh-CN"/>
        </w:rPr>
        <w:t xml:space="preserve">Ikura Y, </w:t>
      </w:r>
      <w:r w:rsidR="00E57967" w:rsidRPr="00E57967">
        <w:rPr>
          <w:rFonts w:ascii="Book Antiqua" w:eastAsia="SimSun" w:hAnsi="Book Antiqua"/>
          <w:bCs/>
          <w:kern w:val="0"/>
          <w:sz w:val="24"/>
          <w:szCs w:val="24"/>
          <w:lang w:eastAsia="zh-CN"/>
        </w:rPr>
        <w:t>Lee</w:t>
      </w:r>
      <w:r w:rsidR="00E57967">
        <w:rPr>
          <w:rFonts w:ascii="Book Antiqua" w:eastAsia="SimSun" w:hAnsi="Book Antiqua" w:hint="eastAsia"/>
          <w:bCs/>
          <w:kern w:val="0"/>
          <w:sz w:val="24"/>
          <w:szCs w:val="24"/>
          <w:lang w:eastAsia="zh-CN"/>
        </w:rPr>
        <w:t xml:space="preserve"> HC, </w:t>
      </w:r>
      <w:r w:rsidRPr="00894674">
        <w:rPr>
          <w:rFonts w:ascii="Book Antiqua" w:eastAsia="SimSun" w:hAnsi="Book Antiqua"/>
          <w:bCs/>
          <w:kern w:val="0"/>
          <w:sz w:val="24"/>
          <w:szCs w:val="24"/>
          <w:lang w:eastAsia="zh-CN"/>
        </w:rPr>
        <w:t>Tarantino G, Valenti LV</w:t>
      </w:r>
      <w:r w:rsidRPr="00894674">
        <w:rPr>
          <w:rFonts w:ascii="Book Antiqua" w:eastAsia="SimSun" w:hAnsi="Book Antiqua"/>
          <w:b/>
          <w:bCs/>
          <w:kern w:val="0"/>
          <w:sz w:val="24"/>
          <w:szCs w:val="24"/>
          <w:lang w:eastAsia="zh-CN"/>
        </w:rPr>
        <w:t xml:space="preserve"> S-Editor:</w:t>
      </w:r>
      <w:r w:rsidRPr="00894674">
        <w:rPr>
          <w:rFonts w:ascii="Book Antiqua" w:eastAsia="SimSun" w:hAnsi="Book Antiqua"/>
          <w:kern w:val="0"/>
          <w:sz w:val="24"/>
          <w:szCs w:val="24"/>
          <w:lang w:eastAsia="zh-CN"/>
        </w:rPr>
        <w:t xml:space="preserve"> Gong ZM</w:t>
      </w:r>
    </w:p>
    <w:p w:rsidR="00894674" w:rsidRPr="00894674" w:rsidRDefault="00894674" w:rsidP="00F4231A">
      <w:pPr>
        <w:widowControl/>
        <w:snapToGrid w:val="0"/>
        <w:spacing w:line="360" w:lineRule="auto"/>
        <w:jc w:val="right"/>
        <w:rPr>
          <w:rFonts w:ascii="Book Antiqua" w:eastAsia="SimSun" w:hAnsi="Book Antiqua"/>
          <w:b/>
          <w:bCs/>
          <w:kern w:val="0"/>
          <w:sz w:val="24"/>
          <w:szCs w:val="24"/>
          <w:lang w:eastAsia="zh-CN"/>
        </w:rPr>
      </w:pPr>
      <w:r w:rsidRPr="00894674">
        <w:rPr>
          <w:rFonts w:ascii="Book Antiqua" w:eastAsia="SimSun" w:hAnsi="Book Antiqua"/>
          <w:b/>
          <w:bCs/>
          <w:kern w:val="0"/>
          <w:sz w:val="24"/>
          <w:szCs w:val="24"/>
          <w:lang w:eastAsia="zh-CN"/>
        </w:rPr>
        <w:t>L-Editor:</w:t>
      </w:r>
      <w:r w:rsidRPr="00894674">
        <w:rPr>
          <w:rFonts w:ascii="Book Antiqua" w:eastAsia="SimSun" w:hAnsi="Book Antiqua"/>
          <w:kern w:val="0"/>
          <w:sz w:val="24"/>
          <w:szCs w:val="24"/>
          <w:lang w:eastAsia="zh-CN"/>
        </w:rPr>
        <w:t xml:space="preserve"> </w:t>
      </w:r>
      <w:r w:rsidRPr="00894674">
        <w:rPr>
          <w:rFonts w:ascii="Book Antiqua" w:eastAsia="SimSun" w:hAnsi="Book Antiqua"/>
          <w:b/>
          <w:bCs/>
          <w:kern w:val="0"/>
          <w:sz w:val="24"/>
          <w:szCs w:val="24"/>
          <w:lang w:eastAsia="zh-CN"/>
        </w:rPr>
        <w:t>E-Editor:</w:t>
      </w:r>
    </w:p>
    <w:p w:rsidR="00894674" w:rsidRPr="00894674" w:rsidRDefault="00894674" w:rsidP="00F4231A">
      <w:pPr>
        <w:widowControl/>
        <w:shd w:val="clear" w:color="auto" w:fill="FFFFFF"/>
        <w:snapToGrid w:val="0"/>
        <w:spacing w:line="360" w:lineRule="auto"/>
        <w:rPr>
          <w:rFonts w:ascii="Book Antiqua" w:eastAsia="SimSun" w:hAnsi="Book Antiqua" w:cs="Helvetica"/>
          <w:b/>
          <w:kern w:val="0"/>
          <w:sz w:val="24"/>
          <w:szCs w:val="24"/>
          <w:lang w:eastAsia="zh-CN"/>
        </w:rPr>
      </w:pPr>
      <w:bookmarkStart w:id="121" w:name="OLE_LINK880"/>
      <w:bookmarkStart w:id="122" w:name="OLE_LINK88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894674">
        <w:rPr>
          <w:rFonts w:ascii="Book Antiqua" w:eastAsia="SimSun" w:hAnsi="Book Antiqua" w:cs="Helvetica"/>
          <w:b/>
          <w:kern w:val="0"/>
          <w:sz w:val="24"/>
          <w:szCs w:val="24"/>
          <w:lang w:eastAsia="zh-CN"/>
        </w:rPr>
        <w:t xml:space="preserve">Specialty type: </w:t>
      </w:r>
      <w:r w:rsidRPr="00894674">
        <w:rPr>
          <w:rFonts w:ascii="Book Antiqua" w:eastAsia="SimSun" w:hAnsi="Book Antiqua" w:cs="Helvetica"/>
          <w:kern w:val="0"/>
          <w:sz w:val="24"/>
          <w:szCs w:val="24"/>
          <w:lang w:eastAsia="zh-CN"/>
        </w:rPr>
        <w:t>Gastroenterology and hepatology</w:t>
      </w:r>
    </w:p>
    <w:p w:rsidR="00894674" w:rsidRPr="00894674" w:rsidRDefault="00894674" w:rsidP="00F4231A">
      <w:pPr>
        <w:widowControl/>
        <w:shd w:val="clear" w:color="auto" w:fill="FFFFFF"/>
        <w:snapToGrid w:val="0"/>
        <w:spacing w:line="360" w:lineRule="auto"/>
        <w:rPr>
          <w:rFonts w:ascii="Book Antiqua" w:eastAsia="SimSun" w:hAnsi="Book Antiqua" w:cs="Helvetica"/>
          <w:b/>
          <w:kern w:val="0"/>
          <w:sz w:val="24"/>
          <w:szCs w:val="24"/>
          <w:lang w:eastAsia="zh-CN"/>
        </w:rPr>
      </w:pPr>
      <w:r w:rsidRPr="00894674">
        <w:rPr>
          <w:rFonts w:ascii="Book Antiqua" w:eastAsia="SimSun" w:hAnsi="Book Antiqua" w:cs="Helvetica"/>
          <w:b/>
          <w:kern w:val="0"/>
          <w:sz w:val="24"/>
          <w:szCs w:val="24"/>
          <w:lang w:eastAsia="zh-CN"/>
        </w:rPr>
        <w:t xml:space="preserve">Country of origin: </w:t>
      </w:r>
      <w:r w:rsidRPr="00894674">
        <w:rPr>
          <w:rFonts w:ascii="Book Antiqua" w:eastAsia="SimSun" w:hAnsi="Book Antiqua" w:cs="Helvetica"/>
          <w:kern w:val="0"/>
          <w:sz w:val="24"/>
          <w:szCs w:val="24"/>
          <w:lang w:val="en-CA" w:eastAsia="zh-CN"/>
        </w:rPr>
        <w:t>Japan</w:t>
      </w:r>
    </w:p>
    <w:p w:rsidR="00894674" w:rsidRPr="00894674" w:rsidRDefault="00894674" w:rsidP="00F4231A">
      <w:pPr>
        <w:widowControl/>
        <w:shd w:val="clear" w:color="auto" w:fill="FFFFFF"/>
        <w:snapToGrid w:val="0"/>
        <w:spacing w:line="360" w:lineRule="auto"/>
        <w:rPr>
          <w:rFonts w:ascii="Book Antiqua" w:eastAsia="SimSun" w:hAnsi="Book Antiqua" w:cs="Helvetica"/>
          <w:b/>
          <w:kern w:val="0"/>
          <w:sz w:val="24"/>
          <w:szCs w:val="24"/>
          <w:lang w:eastAsia="zh-CN"/>
        </w:rPr>
      </w:pPr>
      <w:r w:rsidRPr="00894674">
        <w:rPr>
          <w:rFonts w:ascii="Book Antiqua" w:eastAsia="SimSun" w:hAnsi="Book Antiqua" w:cs="Helvetica"/>
          <w:b/>
          <w:kern w:val="0"/>
          <w:sz w:val="24"/>
          <w:szCs w:val="24"/>
          <w:lang w:eastAsia="zh-CN"/>
        </w:rPr>
        <w:t>Peer-review report classification</w:t>
      </w:r>
    </w:p>
    <w:p w:rsidR="00894674" w:rsidRPr="00894674" w:rsidRDefault="00E57967" w:rsidP="00F4231A">
      <w:pPr>
        <w:widowControl/>
        <w:shd w:val="clear" w:color="auto" w:fill="FFFFFF"/>
        <w:snapToGrid w:val="0"/>
        <w:spacing w:line="360" w:lineRule="auto"/>
        <w:rPr>
          <w:rFonts w:ascii="Book Antiqua" w:eastAsia="SimSun" w:hAnsi="Book Antiqua" w:cs="Helvetica"/>
          <w:kern w:val="0"/>
          <w:sz w:val="24"/>
          <w:szCs w:val="24"/>
          <w:lang w:eastAsia="zh-CN"/>
        </w:rPr>
      </w:pPr>
      <w:r>
        <w:rPr>
          <w:rFonts w:ascii="Book Antiqua" w:eastAsia="SimSun" w:hAnsi="Book Antiqua" w:cs="Helvetica"/>
          <w:kern w:val="0"/>
          <w:sz w:val="24"/>
          <w:szCs w:val="24"/>
          <w:lang w:eastAsia="zh-CN"/>
        </w:rPr>
        <w:t xml:space="preserve">Grade A (Excellent): </w:t>
      </w:r>
      <w:r>
        <w:rPr>
          <w:rFonts w:ascii="Book Antiqua" w:eastAsia="SimSun" w:hAnsi="Book Antiqua" w:cs="Helvetica" w:hint="eastAsia"/>
          <w:kern w:val="0"/>
          <w:sz w:val="24"/>
          <w:szCs w:val="24"/>
          <w:lang w:eastAsia="zh-CN"/>
        </w:rPr>
        <w:t>A</w:t>
      </w:r>
    </w:p>
    <w:p w:rsidR="00894674" w:rsidRPr="00894674" w:rsidRDefault="00894674" w:rsidP="00F4231A">
      <w:pPr>
        <w:widowControl/>
        <w:shd w:val="clear" w:color="auto" w:fill="FFFFFF"/>
        <w:snapToGrid w:val="0"/>
        <w:spacing w:line="360" w:lineRule="auto"/>
        <w:rPr>
          <w:rFonts w:ascii="Book Antiqua" w:eastAsia="SimSun" w:hAnsi="Book Antiqua" w:cs="Helvetica"/>
          <w:kern w:val="0"/>
          <w:sz w:val="24"/>
          <w:szCs w:val="24"/>
          <w:lang w:eastAsia="zh-CN"/>
        </w:rPr>
      </w:pPr>
      <w:r w:rsidRPr="00894674">
        <w:rPr>
          <w:rFonts w:ascii="Book Antiqua" w:eastAsia="SimSun" w:hAnsi="Book Antiqua" w:cs="Helvetica"/>
          <w:kern w:val="0"/>
          <w:sz w:val="24"/>
          <w:szCs w:val="24"/>
          <w:lang w:eastAsia="zh-CN"/>
        </w:rPr>
        <w:t>Grade B (Very good): B</w:t>
      </w:r>
    </w:p>
    <w:p w:rsidR="00894674" w:rsidRPr="00894674" w:rsidRDefault="00894674" w:rsidP="00F4231A">
      <w:pPr>
        <w:widowControl/>
        <w:shd w:val="clear" w:color="auto" w:fill="FFFFFF"/>
        <w:snapToGrid w:val="0"/>
        <w:spacing w:line="360" w:lineRule="auto"/>
        <w:rPr>
          <w:rFonts w:ascii="Book Antiqua" w:eastAsia="SimSun" w:hAnsi="Book Antiqua" w:cs="Helvetica"/>
          <w:kern w:val="0"/>
          <w:sz w:val="24"/>
          <w:szCs w:val="24"/>
          <w:lang w:eastAsia="zh-CN"/>
        </w:rPr>
      </w:pPr>
      <w:r w:rsidRPr="00894674">
        <w:rPr>
          <w:rFonts w:ascii="Book Antiqua" w:eastAsia="SimSun" w:hAnsi="Book Antiqua" w:cs="Helvetica"/>
          <w:kern w:val="0"/>
          <w:sz w:val="24"/>
          <w:szCs w:val="24"/>
          <w:lang w:eastAsia="zh-CN"/>
        </w:rPr>
        <w:t>Grade C (Good): C</w:t>
      </w:r>
    </w:p>
    <w:p w:rsidR="00894674" w:rsidRPr="00894674" w:rsidRDefault="00894674" w:rsidP="00F4231A">
      <w:pPr>
        <w:widowControl/>
        <w:shd w:val="clear" w:color="auto" w:fill="FFFFFF"/>
        <w:snapToGrid w:val="0"/>
        <w:spacing w:line="360" w:lineRule="auto"/>
        <w:rPr>
          <w:rFonts w:ascii="Book Antiqua" w:eastAsia="SimSun" w:hAnsi="Book Antiqua" w:cs="Helvetica"/>
          <w:kern w:val="0"/>
          <w:sz w:val="24"/>
          <w:szCs w:val="24"/>
          <w:lang w:eastAsia="zh-CN"/>
        </w:rPr>
      </w:pPr>
      <w:r w:rsidRPr="00894674">
        <w:rPr>
          <w:rFonts w:ascii="Book Antiqua" w:eastAsia="SimSun" w:hAnsi="Book Antiqua" w:cs="Helvetica"/>
          <w:kern w:val="0"/>
          <w:sz w:val="24"/>
          <w:szCs w:val="24"/>
          <w:lang w:eastAsia="zh-CN"/>
        </w:rPr>
        <w:t>Grade D (Fair): D</w:t>
      </w:r>
    </w:p>
    <w:p w:rsidR="00894674" w:rsidRPr="00894674" w:rsidRDefault="00894674" w:rsidP="00F4231A">
      <w:pPr>
        <w:widowControl/>
        <w:snapToGrid w:val="0"/>
        <w:spacing w:line="360" w:lineRule="auto"/>
        <w:rPr>
          <w:rFonts w:ascii="Book Antiqua" w:eastAsia="SimSun" w:hAnsi="Book Antiqua"/>
          <w:kern w:val="0"/>
          <w:sz w:val="24"/>
          <w:szCs w:val="24"/>
          <w:lang w:eastAsia="zh-CN"/>
        </w:rPr>
      </w:pPr>
      <w:r w:rsidRPr="00894674">
        <w:rPr>
          <w:rFonts w:ascii="Book Antiqua" w:eastAsia="SimSun" w:hAnsi="Book Antiqua" w:cs="Helvetica"/>
          <w:kern w:val="0"/>
          <w:sz w:val="24"/>
          <w:szCs w:val="24"/>
          <w:lang w:eastAsia="zh-CN"/>
        </w:rPr>
        <w:t>Grade E (Poor): 0</w:t>
      </w:r>
      <w:bookmarkEnd w:id="121"/>
      <w:bookmarkEnd w:id="122"/>
    </w:p>
    <w:p w:rsidR="00536276" w:rsidRPr="007F48BF" w:rsidRDefault="00CC64ED" w:rsidP="00F4231A">
      <w:pPr>
        <w:snapToGrid w:val="0"/>
        <w:spacing w:line="360" w:lineRule="auto"/>
        <w:rPr>
          <w:rFonts w:ascii="Book Antiqua" w:eastAsia="SimSun" w:hAnsi="Book Antiqua" w:cs="Arial"/>
          <w:b/>
          <w:sz w:val="24"/>
          <w:szCs w:val="24"/>
          <w:lang w:eastAsia="zh-CN"/>
        </w:rPr>
      </w:pPr>
      <w:r w:rsidRPr="00F4231A">
        <w:rPr>
          <w:rFonts w:ascii="Book Antiqua" w:eastAsia="MS UI Gothic" w:hAnsi="Book Antiqua" w:cs="Arial"/>
          <w:sz w:val="24"/>
          <w:szCs w:val="24"/>
        </w:rPr>
        <w:br w:type="page"/>
      </w:r>
      <w:r w:rsidR="00536276" w:rsidRPr="00F4231A">
        <w:rPr>
          <w:rFonts w:ascii="Book Antiqua" w:eastAsia="MS UI Gothic" w:hAnsi="Book Antiqua" w:cs="Arial"/>
          <w:b/>
          <w:sz w:val="24"/>
          <w:szCs w:val="24"/>
        </w:rPr>
        <w:lastRenderedPageBreak/>
        <w:t>Table 1</w:t>
      </w:r>
      <w:r w:rsidR="00CB79F5" w:rsidRPr="00F4231A">
        <w:rPr>
          <w:rFonts w:ascii="Book Antiqua" w:eastAsia="MS UI Gothic" w:hAnsi="Book Antiqua" w:cs="Arial"/>
          <w:b/>
          <w:sz w:val="24"/>
          <w:szCs w:val="24"/>
        </w:rPr>
        <w:t xml:space="preserve"> </w:t>
      </w:r>
      <w:r w:rsidR="00536276" w:rsidRPr="00F4231A">
        <w:rPr>
          <w:rFonts w:ascii="Book Antiqua" w:eastAsia="MS UI Gothic" w:hAnsi="Book Antiqua" w:cs="Arial"/>
          <w:b/>
          <w:sz w:val="24"/>
          <w:szCs w:val="24"/>
        </w:rPr>
        <w:t xml:space="preserve">Clinicopathological features of </w:t>
      </w:r>
      <w:r w:rsidR="004B6E3E" w:rsidRPr="004B6E3E">
        <w:rPr>
          <w:rFonts w:ascii="Book Antiqua" w:eastAsia="MS UI Gothic" w:hAnsi="Book Antiqua" w:cs="Arial"/>
          <w:b/>
          <w:sz w:val="24"/>
          <w:szCs w:val="24"/>
        </w:rPr>
        <w:t>nonalcoholic fatty liver disease</w:t>
      </w:r>
      <w:r w:rsidR="00536276" w:rsidRPr="00F4231A">
        <w:rPr>
          <w:rFonts w:ascii="Book Antiqua" w:eastAsia="MS UI Gothic" w:hAnsi="Book Antiqua" w:cs="Arial"/>
          <w:b/>
          <w:sz w:val="24"/>
          <w:szCs w:val="24"/>
        </w:rPr>
        <w:t xml:space="preserve"> patients</w:t>
      </w:r>
    </w:p>
    <w:tbl>
      <w:tblPr>
        <w:tblW w:w="1075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878"/>
        <w:gridCol w:w="1877"/>
        <w:gridCol w:w="2114"/>
        <w:gridCol w:w="1626"/>
      </w:tblGrid>
      <w:tr w:rsidR="00414921" w:rsidRPr="00414921" w:rsidTr="00414921">
        <w:trPr>
          <w:trHeight w:val="439"/>
        </w:trPr>
        <w:tc>
          <w:tcPr>
            <w:tcW w:w="3263" w:type="dxa"/>
            <w:shd w:val="clear" w:color="auto" w:fill="auto"/>
          </w:tcPr>
          <w:p w:rsidR="00577B9B" w:rsidRPr="00414921" w:rsidRDefault="00577B9B" w:rsidP="00414921">
            <w:pPr>
              <w:snapToGrid w:val="0"/>
              <w:spacing w:line="360" w:lineRule="auto"/>
              <w:rPr>
                <w:rFonts w:ascii="Book Antiqua" w:eastAsia="SimSun" w:hAnsi="Book Antiqua" w:cs="Arial"/>
                <w:b/>
                <w:sz w:val="24"/>
                <w:szCs w:val="24"/>
                <w:lang w:eastAsia="zh-CN"/>
              </w:rPr>
            </w:pPr>
            <w:r w:rsidRPr="00414921">
              <w:rPr>
                <w:rFonts w:ascii="Book Antiqua" w:eastAsia="MS UI Gothic" w:hAnsi="Book Antiqua" w:cs="Arial"/>
                <w:b/>
                <w:sz w:val="24"/>
                <w:szCs w:val="24"/>
              </w:rPr>
              <w:t>Parameter</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eastAsia="MS UI Gothic" w:hAnsi="Book Antiqua" w:cs="Arial"/>
                <w:b/>
                <w:sz w:val="24"/>
                <w:szCs w:val="24"/>
              </w:rPr>
              <w:t>All</w:t>
            </w:r>
            <w:r w:rsidRPr="00414921">
              <w:rPr>
                <w:rFonts w:ascii="Book Antiqua" w:eastAsia="SimSun" w:hAnsi="Book Antiqua" w:cs="Arial" w:hint="eastAsia"/>
                <w:b/>
                <w:sz w:val="24"/>
                <w:szCs w:val="24"/>
                <w:lang w:eastAsia="zh-CN"/>
              </w:rPr>
              <w:t xml:space="preserve"> </w:t>
            </w:r>
            <w:r w:rsidRPr="00414921">
              <w:rPr>
                <w:rFonts w:ascii="Book Antiqua" w:eastAsia="MS UI Gothic" w:hAnsi="Book Antiqua" w:cs="Arial"/>
                <w:b/>
                <w:sz w:val="24"/>
                <w:szCs w:val="24"/>
              </w:rPr>
              <w:t>(</w:t>
            </w:r>
            <w:r w:rsidRPr="00414921">
              <w:rPr>
                <w:rFonts w:ascii="Book Antiqua" w:eastAsia="MS UI Gothic" w:hAnsi="Book Antiqua" w:cs="Arial"/>
                <w:b/>
                <w:i/>
                <w:sz w:val="24"/>
                <w:szCs w:val="24"/>
              </w:rPr>
              <w:t>n</w:t>
            </w:r>
            <w:r w:rsidRPr="00414921">
              <w:rPr>
                <w:rFonts w:ascii="Book Antiqua" w:eastAsia="SimSun" w:hAnsi="Book Antiqua" w:cs="Arial" w:hint="eastAsia"/>
                <w:b/>
                <w:i/>
                <w:sz w:val="24"/>
                <w:szCs w:val="24"/>
                <w:lang w:eastAsia="zh-CN"/>
              </w:rPr>
              <w:t xml:space="preserve"> </w:t>
            </w:r>
            <w:r w:rsidRPr="00414921">
              <w:rPr>
                <w:rFonts w:ascii="Book Antiqua" w:eastAsia="MS UI Gothic" w:hAnsi="Book Antiqua" w:cs="Arial"/>
                <w:b/>
                <w:sz w:val="24"/>
                <w:szCs w:val="24"/>
              </w:rPr>
              <w:t>= 126)</w:t>
            </w: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eastAsia="MS UI Gothic" w:hAnsi="Book Antiqua" w:cs="Arial"/>
                <w:b/>
                <w:sz w:val="24"/>
                <w:szCs w:val="24"/>
              </w:rPr>
              <w:t>NAFL</w:t>
            </w:r>
            <w:r w:rsidRPr="00414921">
              <w:rPr>
                <w:rFonts w:ascii="Book Antiqua" w:eastAsia="SimSun" w:hAnsi="Book Antiqua" w:cs="Arial" w:hint="eastAsia"/>
                <w:b/>
                <w:sz w:val="24"/>
                <w:szCs w:val="24"/>
                <w:lang w:eastAsia="zh-CN"/>
              </w:rPr>
              <w:t xml:space="preserve"> </w:t>
            </w:r>
            <w:r w:rsidRPr="00414921">
              <w:rPr>
                <w:rFonts w:ascii="Book Antiqua" w:eastAsia="MS UI Gothic" w:hAnsi="Book Antiqua" w:cs="Arial"/>
                <w:b/>
                <w:sz w:val="24"/>
                <w:szCs w:val="24"/>
              </w:rPr>
              <w:t>(</w:t>
            </w:r>
            <w:r w:rsidRPr="00414921">
              <w:rPr>
                <w:rFonts w:ascii="Book Antiqua" w:eastAsia="MS UI Gothic" w:hAnsi="Book Antiqua" w:cs="Arial"/>
                <w:b/>
                <w:i/>
                <w:sz w:val="24"/>
                <w:szCs w:val="24"/>
              </w:rPr>
              <w:t>n</w:t>
            </w:r>
            <w:r w:rsidRPr="00414921">
              <w:rPr>
                <w:rFonts w:ascii="Book Antiqua" w:eastAsia="MS UI Gothic" w:hAnsi="Book Antiqua" w:cs="Arial"/>
                <w:b/>
                <w:sz w:val="24"/>
                <w:szCs w:val="24"/>
              </w:rPr>
              <w:t xml:space="preserve"> = 26)</w:t>
            </w:r>
          </w:p>
        </w:tc>
        <w:tc>
          <w:tcPr>
            <w:tcW w:w="2114"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eastAsia="MS UI Gothic" w:hAnsi="Book Antiqua" w:cs="Arial"/>
                <w:b/>
                <w:sz w:val="24"/>
                <w:szCs w:val="24"/>
              </w:rPr>
              <w:t>NASH</w:t>
            </w:r>
            <w:r w:rsidRPr="00414921">
              <w:rPr>
                <w:rFonts w:ascii="Book Antiqua" w:eastAsia="SimSun" w:hAnsi="Book Antiqua" w:cs="Arial" w:hint="eastAsia"/>
                <w:b/>
                <w:sz w:val="24"/>
                <w:szCs w:val="24"/>
                <w:lang w:eastAsia="zh-CN"/>
              </w:rPr>
              <w:t xml:space="preserve"> </w:t>
            </w:r>
            <w:r w:rsidRPr="00414921">
              <w:rPr>
                <w:rFonts w:ascii="Book Antiqua" w:eastAsia="MS UI Gothic" w:hAnsi="Book Antiqua" w:cs="Arial"/>
                <w:b/>
                <w:sz w:val="24"/>
                <w:szCs w:val="24"/>
              </w:rPr>
              <w:t>(</w:t>
            </w:r>
            <w:r w:rsidRPr="00414921">
              <w:rPr>
                <w:rFonts w:ascii="Book Antiqua" w:eastAsia="MS UI Gothic" w:hAnsi="Book Antiqua" w:cs="Arial"/>
                <w:b/>
                <w:i/>
                <w:sz w:val="24"/>
                <w:szCs w:val="24"/>
              </w:rPr>
              <w:t>n</w:t>
            </w:r>
            <w:r w:rsidRPr="00414921">
              <w:rPr>
                <w:rFonts w:ascii="Book Antiqua" w:eastAsia="MS UI Gothic" w:hAnsi="Book Antiqua" w:cs="Arial"/>
                <w:b/>
                <w:sz w:val="24"/>
                <w:szCs w:val="24"/>
              </w:rPr>
              <w:t xml:space="preserve"> = 100)</w:t>
            </w:r>
          </w:p>
        </w:tc>
        <w:tc>
          <w:tcPr>
            <w:tcW w:w="1626"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eastAsia="MS UI Gothic" w:hAnsi="Book Antiqua" w:cs="Arial"/>
                <w:b/>
                <w:i/>
                <w:sz w:val="24"/>
                <w:szCs w:val="24"/>
              </w:rPr>
              <w:t xml:space="preserve">P </w:t>
            </w:r>
            <w:r w:rsidRPr="00414921">
              <w:rPr>
                <w:rFonts w:ascii="Book Antiqua" w:eastAsia="MS UI Gothic" w:hAnsi="Book Antiqua" w:cs="Arial"/>
                <w:b/>
                <w:sz w:val="24"/>
                <w:szCs w:val="24"/>
              </w:rPr>
              <w:t>value</w:t>
            </w:r>
          </w:p>
        </w:tc>
      </w:tr>
      <w:tr w:rsidR="00414921" w:rsidRPr="00414921" w:rsidTr="00414921">
        <w:trPr>
          <w:trHeight w:val="439"/>
        </w:trPr>
        <w:tc>
          <w:tcPr>
            <w:tcW w:w="3263" w:type="dxa"/>
            <w:shd w:val="clear" w:color="auto" w:fill="auto"/>
          </w:tcPr>
          <w:p w:rsidR="00577B9B" w:rsidRPr="00414921" w:rsidRDefault="00577B9B" w:rsidP="00414921">
            <w:pPr>
              <w:snapToGrid w:val="0"/>
              <w:spacing w:line="360" w:lineRule="auto"/>
              <w:rPr>
                <w:rFonts w:ascii="Book Antiqua" w:eastAsia="SimSun" w:hAnsi="Book Antiqua" w:cs="Arial"/>
                <w:sz w:val="24"/>
                <w:szCs w:val="24"/>
                <w:lang w:eastAsia="zh-CN"/>
              </w:rPr>
            </w:pPr>
            <w:r w:rsidRPr="00414921">
              <w:rPr>
                <w:rFonts w:ascii="Book Antiqua" w:hAnsi="Book Antiqua" w:cs="Arial"/>
                <w:sz w:val="24"/>
                <w:szCs w:val="24"/>
              </w:rPr>
              <w:t>Clinical findings</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p>
        </w:tc>
        <w:tc>
          <w:tcPr>
            <w:tcW w:w="2114"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p>
        </w:tc>
        <w:tc>
          <w:tcPr>
            <w:tcW w:w="1626"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p>
        </w:tc>
      </w:tr>
      <w:tr w:rsidR="00414921" w:rsidRPr="00414921" w:rsidTr="00414921">
        <w:trPr>
          <w:trHeight w:val="452"/>
        </w:trPr>
        <w:tc>
          <w:tcPr>
            <w:tcW w:w="3263" w:type="dxa"/>
            <w:shd w:val="clear" w:color="auto" w:fill="auto"/>
          </w:tcPr>
          <w:p w:rsidR="00577B9B" w:rsidRPr="00414921" w:rsidRDefault="00577B9B" w:rsidP="00414921">
            <w:pPr>
              <w:snapToGrid w:val="0"/>
              <w:spacing w:line="360" w:lineRule="auto"/>
              <w:ind w:firstLineChars="100" w:firstLine="240"/>
              <w:rPr>
                <w:rFonts w:ascii="Book Antiqua" w:eastAsia="SimSun" w:hAnsi="Book Antiqua" w:cs="Arial"/>
                <w:b/>
                <w:sz w:val="24"/>
                <w:szCs w:val="24"/>
                <w:lang w:eastAsia="zh-CN"/>
              </w:rPr>
            </w:pPr>
            <w:r w:rsidRPr="00414921">
              <w:rPr>
                <w:rFonts w:ascii="Book Antiqua" w:hAnsi="Book Antiqua" w:cs="Arial"/>
                <w:sz w:val="24"/>
                <w:szCs w:val="24"/>
              </w:rPr>
              <w:t>Age (yr)</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56 (44-65)</w:t>
            </w: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52 (42-58)</w:t>
            </w:r>
          </w:p>
        </w:tc>
        <w:tc>
          <w:tcPr>
            <w:tcW w:w="2114"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58 (45-65)</w:t>
            </w:r>
          </w:p>
        </w:tc>
        <w:tc>
          <w:tcPr>
            <w:tcW w:w="1626"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0.17</w:t>
            </w:r>
          </w:p>
        </w:tc>
      </w:tr>
      <w:tr w:rsidR="00414921" w:rsidRPr="00414921" w:rsidTr="00414921">
        <w:trPr>
          <w:trHeight w:val="452"/>
        </w:trPr>
        <w:tc>
          <w:tcPr>
            <w:tcW w:w="3263" w:type="dxa"/>
            <w:shd w:val="clear" w:color="auto" w:fill="auto"/>
          </w:tcPr>
          <w:p w:rsidR="00577B9B" w:rsidRPr="00414921" w:rsidRDefault="00577B9B" w:rsidP="00414921">
            <w:pPr>
              <w:snapToGrid w:val="0"/>
              <w:spacing w:line="360" w:lineRule="auto"/>
              <w:ind w:firstLineChars="100" w:firstLine="240"/>
              <w:rPr>
                <w:rFonts w:ascii="Book Antiqua" w:eastAsia="SimSun" w:hAnsi="Book Antiqua" w:cs="Arial"/>
                <w:b/>
                <w:sz w:val="24"/>
                <w:szCs w:val="24"/>
                <w:lang w:eastAsia="zh-CN"/>
              </w:rPr>
            </w:pPr>
            <w:r w:rsidRPr="00414921">
              <w:rPr>
                <w:rFonts w:ascii="Book Antiqua" w:hAnsi="Book Antiqua" w:cs="Arial"/>
                <w:sz w:val="24"/>
                <w:szCs w:val="24"/>
              </w:rPr>
              <w:t>Male</w:t>
            </w:r>
            <w:r w:rsidR="00B54A57" w:rsidRPr="00414921">
              <w:rPr>
                <w:rFonts w:ascii="Book Antiqua" w:eastAsia="SimSun" w:hAnsi="Book Antiqua" w:cs="Arial" w:hint="eastAsia"/>
                <w:sz w:val="24"/>
                <w:szCs w:val="24"/>
                <w:lang w:eastAsia="zh-CN"/>
              </w:rPr>
              <w:t xml:space="preserve">, </w:t>
            </w:r>
            <w:r w:rsidR="00B54A57" w:rsidRPr="00414921">
              <w:rPr>
                <w:rFonts w:ascii="Book Antiqua" w:hAnsi="Book Antiqua" w:cs="Arial"/>
                <w:i/>
                <w:sz w:val="24"/>
                <w:szCs w:val="24"/>
              </w:rPr>
              <w:t>n</w:t>
            </w:r>
            <w:r w:rsidR="00B54A57" w:rsidRPr="00414921">
              <w:rPr>
                <w:rFonts w:ascii="Book Antiqua" w:eastAsia="SimSun" w:hAnsi="Book Antiqua" w:cs="Arial" w:hint="eastAsia"/>
                <w:sz w:val="24"/>
                <w:szCs w:val="24"/>
                <w:lang w:eastAsia="zh-CN"/>
              </w:rPr>
              <w:t xml:space="preserve"> (</w:t>
            </w:r>
            <w:r w:rsidR="00B54A57" w:rsidRPr="00414921">
              <w:rPr>
                <w:rFonts w:ascii="Book Antiqua" w:hAnsi="Book Antiqua" w:cs="Arial"/>
                <w:sz w:val="24"/>
                <w:szCs w:val="24"/>
              </w:rPr>
              <w:t>%</w:t>
            </w:r>
            <w:r w:rsidR="00B54A57" w:rsidRPr="00414921">
              <w:rPr>
                <w:rFonts w:ascii="Book Antiqua" w:eastAsia="SimSun" w:hAnsi="Book Antiqua" w:cs="Arial" w:hint="eastAsia"/>
                <w:sz w:val="24"/>
                <w:szCs w:val="24"/>
                <w:lang w:eastAsia="zh-CN"/>
              </w:rPr>
              <w:t>)</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54 (43)</w:t>
            </w: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14 (54)</w:t>
            </w:r>
          </w:p>
        </w:tc>
        <w:tc>
          <w:tcPr>
            <w:tcW w:w="2114"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40 (40)</w:t>
            </w:r>
          </w:p>
        </w:tc>
        <w:tc>
          <w:tcPr>
            <w:tcW w:w="1626"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0.2</w:t>
            </w:r>
            <w:r w:rsidRPr="00414921">
              <w:rPr>
                <w:rFonts w:ascii="Book Antiqua" w:eastAsia="SimSun" w:hAnsi="Book Antiqua" w:cs="Arial" w:hint="eastAsia"/>
                <w:sz w:val="24"/>
                <w:szCs w:val="24"/>
                <w:lang w:eastAsia="zh-CN"/>
              </w:rPr>
              <w:t>0</w:t>
            </w:r>
          </w:p>
        </w:tc>
      </w:tr>
      <w:tr w:rsidR="00414921" w:rsidRPr="00414921" w:rsidTr="00414921">
        <w:trPr>
          <w:trHeight w:val="452"/>
        </w:trPr>
        <w:tc>
          <w:tcPr>
            <w:tcW w:w="3263" w:type="dxa"/>
            <w:shd w:val="clear" w:color="auto" w:fill="auto"/>
          </w:tcPr>
          <w:p w:rsidR="00577B9B" w:rsidRPr="00414921" w:rsidRDefault="00577B9B" w:rsidP="00414921">
            <w:pPr>
              <w:snapToGrid w:val="0"/>
              <w:spacing w:line="360" w:lineRule="auto"/>
              <w:ind w:firstLineChars="100" w:firstLine="240"/>
              <w:rPr>
                <w:rFonts w:ascii="Book Antiqua" w:eastAsia="SimSun" w:hAnsi="Book Antiqua" w:cs="Arial"/>
                <w:b/>
                <w:sz w:val="24"/>
                <w:szCs w:val="24"/>
                <w:lang w:eastAsia="zh-CN"/>
              </w:rPr>
            </w:pPr>
            <w:r w:rsidRPr="00414921">
              <w:rPr>
                <w:rFonts w:ascii="Book Antiqua" w:hAnsi="Book Antiqua" w:cs="Arial"/>
                <w:sz w:val="24"/>
                <w:szCs w:val="24"/>
              </w:rPr>
              <w:t>BMI ≥</w:t>
            </w:r>
            <w:r w:rsidRPr="00414921">
              <w:rPr>
                <w:rFonts w:ascii="Book Antiqua" w:eastAsia="SimSun" w:hAnsi="Book Antiqua" w:cs="Arial" w:hint="eastAsia"/>
                <w:sz w:val="24"/>
                <w:szCs w:val="24"/>
                <w:lang w:eastAsia="zh-CN"/>
              </w:rPr>
              <w:t xml:space="preserve"> </w:t>
            </w:r>
            <w:r w:rsidRPr="00414921">
              <w:rPr>
                <w:rFonts w:ascii="Book Antiqua" w:hAnsi="Book Antiqua" w:cs="Arial"/>
                <w:sz w:val="24"/>
                <w:szCs w:val="24"/>
              </w:rPr>
              <w:t>25 kg/m</w:t>
            </w:r>
            <w:r w:rsidRPr="00414921">
              <w:rPr>
                <w:rFonts w:ascii="Book Antiqua" w:hAnsi="Book Antiqua" w:cs="Arial"/>
                <w:sz w:val="24"/>
                <w:szCs w:val="24"/>
                <w:vertAlign w:val="superscript"/>
              </w:rPr>
              <w:t>2</w:t>
            </w:r>
            <w:r w:rsidR="00BE1F85" w:rsidRPr="00414921">
              <w:rPr>
                <w:rFonts w:ascii="Book Antiqua" w:eastAsia="SimSun" w:hAnsi="Book Antiqua" w:cs="Arial" w:hint="eastAsia"/>
                <w:sz w:val="24"/>
                <w:szCs w:val="24"/>
                <w:lang w:eastAsia="zh-CN"/>
              </w:rPr>
              <w:t xml:space="preserve">, </w:t>
            </w:r>
            <w:r w:rsidR="00BE1F85" w:rsidRPr="00414921">
              <w:rPr>
                <w:rFonts w:ascii="Book Antiqua" w:hAnsi="Book Antiqua" w:cs="Arial"/>
                <w:i/>
                <w:sz w:val="24"/>
                <w:szCs w:val="24"/>
              </w:rPr>
              <w:t>n</w:t>
            </w:r>
            <w:r w:rsidR="00BE1F85" w:rsidRPr="00414921">
              <w:rPr>
                <w:rFonts w:ascii="Book Antiqua" w:eastAsia="SimSun" w:hAnsi="Book Antiqua" w:cs="Arial" w:hint="eastAsia"/>
                <w:sz w:val="24"/>
                <w:szCs w:val="24"/>
                <w:lang w:eastAsia="zh-CN"/>
              </w:rPr>
              <w:t xml:space="preserve"> (</w:t>
            </w:r>
            <w:r w:rsidR="00BE1F85" w:rsidRPr="00414921">
              <w:rPr>
                <w:rFonts w:ascii="Book Antiqua" w:hAnsi="Book Antiqua" w:cs="Arial"/>
                <w:sz w:val="24"/>
                <w:szCs w:val="24"/>
              </w:rPr>
              <w:t>%</w:t>
            </w:r>
            <w:r w:rsidR="00BE1F85" w:rsidRPr="00414921">
              <w:rPr>
                <w:rFonts w:ascii="Book Antiqua" w:eastAsia="SimSun" w:hAnsi="Book Antiqua" w:cs="Arial" w:hint="eastAsia"/>
                <w:sz w:val="24"/>
                <w:szCs w:val="24"/>
                <w:lang w:eastAsia="zh-CN"/>
              </w:rPr>
              <w:t>)</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76 (60)</w:t>
            </w: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12 (46)</w:t>
            </w:r>
          </w:p>
        </w:tc>
        <w:tc>
          <w:tcPr>
            <w:tcW w:w="2114"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64 (64)</w:t>
            </w:r>
          </w:p>
        </w:tc>
        <w:tc>
          <w:tcPr>
            <w:tcW w:w="1626"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0.1</w:t>
            </w:r>
            <w:r w:rsidRPr="00414921">
              <w:rPr>
                <w:rFonts w:ascii="Book Antiqua" w:eastAsia="SimSun" w:hAnsi="Book Antiqua" w:cs="Arial" w:hint="eastAsia"/>
                <w:sz w:val="24"/>
                <w:szCs w:val="24"/>
                <w:lang w:eastAsia="zh-CN"/>
              </w:rPr>
              <w:t>0</w:t>
            </w:r>
          </w:p>
        </w:tc>
      </w:tr>
      <w:tr w:rsidR="00414921" w:rsidRPr="00414921" w:rsidTr="00414921">
        <w:trPr>
          <w:trHeight w:val="439"/>
        </w:trPr>
        <w:tc>
          <w:tcPr>
            <w:tcW w:w="3263" w:type="dxa"/>
            <w:shd w:val="clear" w:color="auto" w:fill="auto"/>
          </w:tcPr>
          <w:p w:rsidR="00577B9B" w:rsidRPr="00414921" w:rsidRDefault="00577B9B" w:rsidP="00414921">
            <w:pPr>
              <w:snapToGrid w:val="0"/>
              <w:spacing w:line="360" w:lineRule="auto"/>
              <w:ind w:firstLineChars="100" w:firstLine="240"/>
              <w:rPr>
                <w:rFonts w:ascii="Book Antiqua" w:eastAsia="SimSun" w:hAnsi="Book Antiqua" w:cs="Arial"/>
                <w:b/>
                <w:sz w:val="24"/>
                <w:szCs w:val="24"/>
                <w:lang w:eastAsia="zh-CN"/>
              </w:rPr>
            </w:pPr>
            <w:r w:rsidRPr="00414921">
              <w:rPr>
                <w:rFonts w:ascii="Book Antiqua" w:hAnsi="Book Antiqua" w:cs="Arial"/>
                <w:sz w:val="24"/>
                <w:szCs w:val="24"/>
              </w:rPr>
              <w:t>Diabetes</w:t>
            </w:r>
            <w:r w:rsidR="00BE1F85" w:rsidRPr="00414921">
              <w:rPr>
                <w:rFonts w:ascii="Book Antiqua" w:eastAsia="SimSun" w:hAnsi="Book Antiqua" w:cs="Arial" w:hint="eastAsia"/>
                <w:sz w:val="24"/>
                <w:szCs w:val="24"/>
                <w:lang w:eastAsia="zh-CN"/>
              </w:rPr>
              <w:t xml:space="preserve">, </w:t>
            </w:r>
            <w:r w:rsidR="00BE1F85" w:rsidRPr="00414921">
              <w:rPr>
                <w:rFonts w:ascii="Book Antiqua" w:hAnsi="Book Antiqua" w:cs="Arial"/>
                <w:i/>
                <w:sz w:val="24"/>
                <w:szCs w:val="24"/>
              </w:rPr>
              <w:t>n</w:t>
            </w:r>
            <w:r w:rsidR="00BE1F85" w:rsidRPr="00414921">
              <w:rPr>
                <w:rFonts w:ascii="Book Antiqua" w:eastAsia="SimSun" w:hAnsi="Book Antiqua" w:cs="Arial" w:hint="eastAsia"/>
                <w:sz w:val="24"/>
                <w:szCs w:val="24"/>
                <w:lang w:eastAsia="zh-CN"/>
              </w:rPr>
              <w:t xml:space="preserve"> (</w:t>
            </w:r>
            <w:r w:rsidR="00BE1F85" w:rsidRPr="00414921">
              <w:rPr>
                <w:rFonts w:ascii="Book Antiqua" w:hAnsi="Book Antiqua" w:cs="Arial"/>
                <w:sz w:val="24"/>
                <w:szCs w:val="24"/>
              </w:rPr>
              <w:t>%</w:t>
            </w:r>
            <w:r w:rsidR="00BE1F85" w:rsidRPr="00414921">
              <w:rPr>
                <w:rFonts w:ascii="Book Antiqua" w:eastAsia="SimSun" w:hAnsi="Book Antiqua" w:cs="Arial" w:hint="eastAsia"/>
                <w:sz w:val="24"/>
                <w:szCs w:val="24"/>
                <w:lang w:eastAsia="zh-CN"/>
              </w:rPr>
              <w:t>)</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43 (34)</w:t>
            </w: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5 (19)</w:t>
            </w:r>
          </w:p>
        </w:tc>
        <w:tc>
          <w:tcPr>
            <w:tcW w:w="2114"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38 (38)</w:t>
            </w:r>
          </w:p>
        </w:tc>
        <w:tc>
          <w:tcPr>
            <w:tcW w:w="1626"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0.07</w:t>
            </w:r>
          </w:p>
        </w:tc>
      </w:tr>
      <w:tr w:rsidR="00414921" w:rsidRPr="00414921" w:rsidTr="00414921">
        <w:trPr>
          <w:trHeight w:val="452"/>
        </w:trPr>
        <w:tc>
          <w:tcPr>
            <w:tcW w:w="3263" w:type="dxa"/>
            <w:shd w:val="clear" w:color="auto" w:fill="auto"/>
          </w:tcPr>
          <w:p w:rsidR="00577B9B" w:rsidRPr="00414921" w:rsidRDefault="00577B9B" w:rsidP="00414921">
            <w:pPr>
              <w:snapToGrid w:val="0"/>
              <w:spacing w:line="360" w:lineRule="auto"/>
              <w:ind w:firstLineChars="100" w:firstLine="240"/>
              <w:rPr>
                <w:rFonts w:ascii="Book Antiqua" w:eastAsia="SimSun" w:hAnsi="Book Antiqua" w:cs="Arial"/>
                <w:b/>
                <w:sz w:val="24"/>
                <w:szCs w:val="24"/>
                <w:lang w:eastAsia="zh-CN"/>
              </w:rPr>
            </w:pPr>
            <w:r w:rsidRPr="00414921">
              <w:rPr>
                <w:rFonts w:ascii="Book Antiqua" w:hAnsi="Book Antiqua" w:cs="Arial"/>
                <w:sz w:val="24"/>
                <w:szCs w:val="24"/>
              </w:rPr>
              <w:t>Hypertension</w:t>
            </w:r>
            <w:r w:rsidR="00BE1F85" w:rsidRPr="00414921">
              <w:rPr>
                <w:rFonts w:ascii="Book Antiqua" w:eastAsia="SimSun" w:hAnsi="Book Antiqua" w:cs="Arial" w:hint="eastAsia"/>
                <w:sz w:val="24"/>
                <w:szCs w:val="24"/>
                <w:lang w:eastAsia="zh-CN"/>
              </w:rPr>
              <w:t xml:space="preserve">, </w:t>
            </w:r>
            <w:r w:rsidR="00BE1F85" w:rsidRPr="00414921">
              <w:rPr>
                <w:rFonts w:ascii="Book Antiqua" w:hAnsi="Book Antiqua" w:cs="Arial"/>
                <w:i/>
                <w:sz w:val="24"/>
                <w:szCs w:val="24"/>
              </w:rPr>
              <w:t>n</w:t>
            </w:r>
            <w:r w:rsidR="00BE1F85" w:rsidRPr="00414921">
              <w:rPr>
                <w:rFonts w:ascii="Book Antiqua" w:eastAsia="SimSun" w:hAnsi="Book Antiqua" w:cs="Arial" w:hint="eastAsia"/>
                <w:sz w:val="24"/>
                <w:szCs w:val="24"/>
                <w:lang w:eastAsia="zh-CN"/>
              </w:rPr>
              <w:t xml:space="preserve"> (</w:t>
            </w:r>
            <w:r w:rsidR="00BE1F85" w:rsidRPr="00414921">
              <w:rPr>
                <w:rFonts w:ascii="Book Antiqua" w:hAnsi="Book Antiqua" w:cs="Arial"/>
                <w:sz w:val="24"/>
                <w:szCs w:val="24"/>
              </w:rPr>
              <w:t>%</w:t>
            </w:r>
            <w:r w:rsidR="00BE1F85" w:rsidRPr="00414921">
              <w:rPr>
                <w:rFonts w:ascii="Book Antiqua" w:eastAsia="SimSun" w:hAnsi="Book Antiqua" w:cs="Arial" w:hint="eastAsia"/>
                <w:sz w:val="24"/>
                <w:szCs w:val="24"/>
                <w:lang w:eastAsia="zh-CN"/>
              </w:rPr>
              <w:t>)</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49 (39)</w:t>
            </w: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8 (31)</w:t>
            </w:r>
          </w:p>
        </w:tc>
        <w:tc>
          <w:tcPr>
            <w:tcW w:w="2114"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41 (41)</w:t>
            </w:r>
          </w:p>
        </w:tc>
        <w:tc>
          <w:tcPr>
            <w:tcW w:w="1626"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0.34</w:t>
            </w:r>
          </w:p>
        </w:tc>
      </w:tr>
      <w:tr w:rsidR="00414921" w:rsidRPr="00414921" w:rsidTr="00414921">
        <w:trPr>
          <w:trHeight w:val="375"/>
        </w:trPr>
        <w:tc>
          <w:tcPr>
            <w:tcW w:w="3263" w:type="dxa"/>
            <w:shd w:val="clear" w:color="auto" w:fill="auto"/>
          </w:tcPr>
          <w:p w:rsidR="00577B9B" w:rsidRPr="00414921" w:rsidRDefault="00577B9B" w:rsidP="00414921">
            <w:pPr>
              <w:snapToGrid w:val="0"/>
              <w:spacing w:line="360" w:lineRule="auto"/>
              <w:ind w:firstLineChars="100" w:firstLine="240"/>
              <w:rPr>
                <w:rFonts w:ascii="Book Antiqua" w:eastAsia="SimSun" w:hAnsi="Book Antiqua" w:cs="Arial"/>
                <w:b/>
                <w:sz w:val="24"/>
                <w:szCs w:val="24"/>
                <w:lang w:eastAsia="zh-CN"/>
              </w:rPr>
            </w:pPr>
            <w:r w:rsidRPr="00414921">
              <w:rPr>
                <w:rFonts w:ascii="Book Antiqua" w:hAnsi="Book Antiqua" w:cs="Arial"/>
                <w:sz w:val="24"/>
                <w:szCs w:val="24"/>
              </w:rPr>
              <w:t>Hyperlipidemia</w:t>
            </w:r>
            <w:r w:rsidR="00BE1F85" w:rsidRPr="00414921">
              <w:rPr>
                <w:rFonts w:ascii="Book Antiqua" w:eastAsia="SimSun" w:hAnsi="Book Antiqua" w:cs="Arial" w:hint="eastAsia"/>
                <w:sz w:val="24"/>
                <w:szCs w:val="24"/>
                <w:lang w:eastAsia="zh-CN"/>
              </w:rPr>
              <w:t xml:space="preserve">, </w:t>
            </w:r>
            <w:r w:rsidR="00BE1F85" w:rsidRPr="00414921">
              <w:rPr>
                <w:rFonts w:ascii="Book Antiqua" w:hAnsi="Book Antiqua" w:cs="Arial"/>
                <w:i/>
                <w:sz w:val="24"/>
                <w:szCs w:val="24"/>
              </w:rPr>
              <w:t>n</w:t>
            </w:r>
            <w:r w:rsidR="00BE1F85" w:rsidRPr="00414921">
              <w:rPr>
                <w:rFonts w:ascii="Book Antiqua" w:eastAsia="SimSun" w:hAnsi="Book Antiqua" w:cs="Arial" w:hint="eastAsia"/>
                <w:sz w:val="24"/>
                <w:szCs w:val="24"/>
                <w:lang w:eastAsia="zh-CN"/>
              </w:rPr>
              <w:t xml:space="preserve"> (</w:t>
            </w:r>
            <w:r w:rsidR="00BE1F85" w:rsidRPr="00414921">
              <w:rPr>
                <w:rFonts w:ascii="Book Antiqua" w:hAnsi="Book Antiqua" w:cs="Arial"/>
                <w:sz w:val="24"/>
                <w:szCs w:val="24"/>
              </w:rPr>
              <w:t>%</w:t>
            </w:r>
            <w:r w:rsidR="00BE1F85" w:rsidRPr="00414921">
              <w:rPr>
                <w:rFonts w:ascii="Book Antiqua" w:eastAsia="SimSun" w:hAnsi="Book Antiqua" w:cs="Arial" w:hint="eastAsia"/>
                <w:sz w:val="24"/>
                <w:szCs w:val="24"/>
                <w:lang w:eastAsia="zh-CN"/>
              </w:rPr>
              <w:t>)</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82 (65)</w:t>
            </w: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19 (73)</w:t>
            </w:r>
          </w:p>
        </w:tc>
        <w:tc>
          <w:tcPr>
            <w:tcW w:w="2114"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63 (63)</w:t>
            </w:r>
          </w:p>
        </w:tc>
        <w:tc>
          <w:tcPr>
            <w:tcW w:w="1626" w:type="dxa"/>
            <w:shd w:val="clear" w:color="auto" w:fill="auto"/>
          </w:tcPr>
          <w:p w:rsidR="00577B9B" w:rsidRPr="00414921" w:rsidRDefault="00577B9B" w:rsidP="00414921">
            <w:pPr>
              <w:snapToGrid w:val="0"/>
              <w:spacing w:line="360" w:lineRule="auto"/>
              <w:jc w:val="center"/>
              <w:rPr>
                <w:rFonts w:ascii="Book Antiqua" w:eastAsia="SimSun" w:hAnsi="Book Antiqua" w:cs="Arial"/>
                <w:b/>
                <w:sz w:val="24"/>
                <w:szCs w:val="24"/>
                <w:lang w:eastAsia="zh-CN"/>
              </w:rPr>
            </w:pPr>
            <w:r w:rsidRPr="00414921">
              <w:rPr>
                <w:rFonts w:ascii="Book Antiqua" w:hAnsi="Book Antiqua" w:cs="Arial"/>
                <w:sz w:val="24"/>
                <w:szCs w:val="24"/>
              </w:rPr>
              <w:t>0.34</w:t>
            </w:r>
          </w:p>
        </w:tc>
      </w:tr>
      <w:tr w:rsidR="00414921" w:rsidRPr="00414921" w:rsidTr="00414921">
        <w:trPr>
          <w:trHeight w:val="195"/>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BMI (kg/m</w:t>
            </w:r>
            <w:r w:rsidRPr="00414921">
              <w:rPr>
                <w:rFonts w:ascii="Book Antiqua" w:hAnsi="Book Antiqua" w:cs="Arial"/>
                <w:sz w:val="24"/>
                <w:szCs w:val="24"/>
                <w:vertAlign w:val="superscript"/>
              </w:rPr>
              <w:t>2</w:t>
            </w:r>
            <w:r w:rsidRPr="00414921">
              <w:rPr>
                <w:rFonts w:ascii="Book Antiqua" w:hAnsi="Book Antiqua" w:cs="Arial"/>
                <w:sz w:val="24"/>
                <w:szCs w:val="24"/>
              </w:rPr>
              <w:t>)</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25.8 (23.6-29.4)</w:t>
            </w:r>
          </w:p>
        </w:tc>
        <w:tc>
          <w:tcPr>
            <w:tcW w:w="1877"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24.6 (22.6-28.5)</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26.4 (23.9-29.5)</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&lt;</w:t>
            </w:r>
            <w:r w:rsidRPr="00414921">
              <w:rPr>
                <w:rFonts w:ascii="Book Antiqua" w:eastAsia="SimSun" w:hAnsi="Book Antiqua" w:cs="Arial" w:hint="eastAsia"/>
                <w:sz w:val="24"/>
                <w:szCs w:val="24"/>
                <w:lang w:eastAsia="zh-CN"/>
              </w:rPr>
              <w:t xml:space="preserve"> </w:t>
            </w:r>
            <w:r w:rsidRPr="00414921">
              <w:rPr>
                <w:rFonts w:ascii="Book Antiqua" w:hAnsi="Book Antiqua" w:cs="Arial"/>
                <w:sz w:val="24"/>
                <w:szCs w:val="24"/>
              </w:rPr>
              <w:t>0.05</w:t>
            </w:r>
          </w:p>
        </w:tc>
      </w:tr>
      <w:tr w:rsidR="00414921" w:rsidRPr="00414921" w:rsidTr="00414921">
        <w:trPr>
          <w:trHeight w:val="245"/>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Ethanol (g/d)</w:t>
            </w:r>
          </w:p>
        </w:tc>
        <w:tc>
          <w:tcPr>
            <w:tcW w:w="1878"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 (0-5)</w:t>
            </w:r>
          </w:p>
        </w:tc>
        <w:tc>
          <w:tcPr>
            <w:tcW w:w="1877"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 (0-2.8)</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 (0-5)</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0.26</w:t>
            </w:r>
          </w:p>
        </w:tc>
      </w:tr>
      <w:tr w:rsidR="00414921" w:rsidRPr="00414921" w:rsidTr="00414921">
        <w:trPr>
          <w:trHeight w:val="348"/>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Leukocytes (</w:t>
            </w:r>
            <w:r w:rsidRPr="00414921">
              <w:rPr>
                <w:rFonts w:ascii="Book Antiqua" w:eastAsia="MS PGothic" w:hAnsi="Book Antiqua" w:cs="Arial"/>
                <w:kern w:val="0"/>
                <w:sz w:val="24"/>
                <w:szCs w:val="24"/>
              </w:rPr>
              <w:t>×</w:t>
            </w:r>
            <w:r w:rsidRPr="00414921">
              <w:rPr>
                <w:rFonts w:ascii="Book Antiqua" w:eastAsia="SimSun" w:hAnsi="Book Antiqua" w:cs="Arial" w:hint="eastAsia"/>
                <w:kern w:val="0"/>
                <w:sz w:val="24"/>
                <w:szCs w:val="24"/>
                <w:lang w:eastAsia="zh-CN"/>
              </w:rPr>
              <w:t xml:space="preserve"> </w:t>
            </w:r>
            <w:r w:rsidRPr="00414921">
              <w:rPr>
                <w:rFonts w:ascii="Book Antiqua" w:eastAsia="MS PGothic" w:hAnsi="Book Antiqua" w:cs="Arial"/>
                <w:kern w:val="0"/>
                <w:sz w:val="24"/>
                <w:szCs w:val="24"/>
              </w:rPr>
              <w:t>10</w:t>
            </w:r>
            <w:r w:rsidRPr="00414921">
              <w:rPr>
                <w:rFonts w:ascii="Book Antiqua" w:eastAsia="MS PGothic" w:hAnsi="Book Antiqua" w:cs="Arial"/>
                <w:kern w:val="0"/>
                <w:sz w:val="24"/>
                <w:szCs w:val="24"/>
                <w:vertAlign w:val="superscript"/>
              </w:rPr>
              <w:t>3</w:t>
            </w:r>
            <w:r w:rsidRPr="00414921">
              <w:rPr>
                <w:rFonts w:ascii="Book Antiqua" w:hAnsi="Book Antiqua" w:cs="Arial"/>
                <w:sz w:val="24"/>
                <w:szCs w:val="24"/>
              </w:rPr>
              <w:t>/μL)</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5.57 (4.73-6.82)</w:t>
            </w: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5.07 (4.76-5.75)</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5.72 (4.72-6.86)</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0.24</w:t>
            </w:r>
          </w:p>
        </w:tc>
      </w:tr>
      <w:tr w:rsidR="00414921" w:rsidRPr="00414921" w:rsidTr="00414921">
        <w:trPr>
          <w:trHeight w:val="245"/>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Erythrocytes (</w:t>
            </w:r>
            <w:r w:rsidRPr="00414921">
              <w:rPr>
                <w:rFonts w:ascii="Book Antiqua" w:eastAsia="MS PGothic" w:hAnsi="Book Antiqua" w:cs="Arial"/>
                <w:kern w:val="0"/>
                <w:sz w:val="24"/>
                <w:szCs w:val="24"/>
              </w:rPr>
              <w:t>×</w:t>
            </w:r>
            <w:r w:rsidRPr="00414921">
              <w:rPr>
                <w:rFonts w:ascii="Book Antiqua" w:eastAsia="SimSun" w:hAnsi="Book Antiqua" w:cs="Arial" w:hint="eastAsia"/>
                <w:kern w:val="0"/>
                <w:sz w:val="24"/>
                <w:szCs w:val="24"/>
                <w:lang w:eastAsia="zh-CN"/>
              </w:rPr>
              <w:t xml:space="preserve"> </w:t>
            </w:r>
            <w:r w:rsidRPr="00414921">
              <w:rPr>
                <w:rFonts w:ascii="Book Antiqua" w:eastAsia="MS PGothic" w:hAnsi="Book Antiqua" w:cs="Arial"/>
                <w:kern w:val="0"/>
                <w:sz w:val="24"/>
                <w:szCs w:val="24"/>
              </w:rPr>
              <w:t>10</w:t>
            </w:r>
            <w:r w:rsidRPr="00414921">
              <w:rPr>
                <w:rFonts w:ascii="Book Antiqua" w:eastAsia="MS PGothic" w:hAnsi="Book Antiqua" w:cs="Arial"/>
                <w:kern w:val="0"/>
                <w:sz w:val="24"/>
                <w:szCs w:val="24"/>
                <w:vertAlign w:val="superscript"/>
              </w:rPr>
              <w:t>4</w:t>
            </w:r>
            <w:r w:rsidRPr="00414921">
              <w:rPr>
                <w:rFonts w:ascii="Book Antiqua" w:hAnsi="Book Antiqua" w:cs="Arial"/>
                <w:sz w:val="24"/>
                <w:szCs w:val="24"/>
              </w:rPr>
              <w:t>/μL)</w:t>
            </w:r>
          </w:p>
        </w:tc>
        <w:tc>
          <w:tcPr>
            <w:tcW w:w="1878"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490 (453-515)</w:t>
            </w:r>
          </w:p>
        </w:tc>
        <w:tc>
          <w:tcPr>
            <w:tcW w:w="1877"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490 (474-512)</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489 (452-515)</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0.36</w:t>
            </w:r>
          </w:p>
        </w:tc>
      </w:tr>
      <w:tr w:rsidR="00414921" w:rsidRPr="00414921" w:rsidTr="00414921">
        <w:trPr>
          <w:trHeight w:val="271"/>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Hemoglobin (g/dL)</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14.9 (14.0-15.8)</w:t>
            </w: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15.1 (14.6-15.9)</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14.8 (13.9-15.8)</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0.14</w:t>
            </w:r>
          </w:p>
        </w:tc>
      </w:tr>
      <w:tr w:rsidR="00414921" w:rsidRPr="00414921" w:rsidTr="00414921">
        <w:trPr>
          <w:trHeight w:val="331"/>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Hematocrit (%)</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44.2 (41.6-46.6)</w:t>
            </w:r>
          </w:p>
        </w:tc>
        <w:tc>
          <w:tcPr>
            <w:tcW w:w="1877"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45.3 (43.3-46.9)</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43.9 (41.5-46.6)</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0.31</w:t>
            </w:r>
          </w:p>
        </w:tc>
      </w:tr>
      <w:tr w:rsidR="00414921" w:rsidRPr="00414921" w:rsidTr="00414921">
        <w:trPr>
          <w:trHeight w:val="90"/>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MCV (fl)</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91.2 (88.5-93.7)</w:t>
            </w: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91.5 (89.1-93.0)</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91.1 (88.4-94.1)</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0.81</w:t>
            </w:r>
          </w:p>
        </w:tc>
      </w:tr>
      <w:tr w:rsidR="00414921" w:rsidRPr="00414921" w:rsidTr="00414921">
        <w:trPr>
          <w:trHeight w:val="141"/>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MCH (pg)</w:t>
            </w:r>
          </w:p>
        </w:tc>
        <w:tc>
          <w:tcPr>
            <w:tcW w:w="1878"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30.7 (29.6-31.7)</w:t>
            </w:r>
          </w:p>
        </w:tc>
        <w:tc>
          <w:tcPr>
            <w:tcW w:w="1877"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31 (30.2-31.6)</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30.5 (29.6-31.7)</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0.42</w:t>
            </w:r>
          </w:p>
        </w:tc>
      </w:tr>
      <w:tr w:rsidR="00414921" w:rsidRPr="00414921" w:rsidTr="00414921">
        <w:trPr>
          <w:trHeight w:val="242"/>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MCHC (%)</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33.6 (33.0-34.3)</w:t>
            </w:r>
          </w:p>
        </w:tc>
        <w:tc>
          <w:tcPr>
            <w:tcW w:w="1877"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33.9 (33.5-34.4)</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33.4 (32.9-34.2)</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0.08</w:t>
            </w:r>
          </w:p>
        </w:tc>
      </w:tr>
      <w:tr w:rsidR="00414921" w:rsidRPr="00414921" w:rsidTr="00414921">
        <w:trPr>
          <w:trHeight w:val="192"/>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Platelets (</w:t>
            </w:r>
            <w:r w:rsidRPr="00414921">
              <w:rPr>
                <w:rFonts w:ascii="Book Antiqua" w:eastAsia="MS PGothic" w:hAnsi="Book Antiqua" w:cs="Arial"/>
                <w:kern w:val="0"/>
                <w:sz w:val="24"/>
                <w:szCs w:val="24"/>
              </w:rPr>
              <w:t>×</w:t>
            </w:r>
            <w:r w:rsidRPr="00414921">
              <w:rPr>
                <w:rFonts w:ascii="Book Antiqua" w:eastAsia="SimSun" w:hAnsi="Book Antiqua" w:cs="Arial" w:hint="eastAsia"/>
                <w:kern w:val="0"/>
                <w:sz w:val="24"/>
                <w:szCs w:val="24"/>
                <w:lang w:eastAsia="zh-CN"/>
              </w:rPr>
              <w:t xml:space="preserve"> </w:t>
            </w:r>
            <w:r w:rsidRPr="00414921">
              <w:rPr>
                <w:rFonts w:ascii="Book Antiqua" w:eastAsia="MS PGothic" w:hAnsi="Book Antiqua" w:cs="Arial"/>
                <w:kern w:val="0"/>
                <w:sz w:val="24"/>
                <w:szCs w:val="24"/>
              </w:rPr>
              <w:t>10</w:t>
            </w:r>
            <w:r w:rsidRPr="00414921">
              <w:rPr>
                <w:rFonts w:ascii="Book Antiqua" w:eastAsia="MS PGothic" w:hAnsi="Book Antiqua" w:cs="Arial"/>
                <w:kern w:val="0"/>
                <w:sz w:val="24"/>
                <w:szCs w:val="24"/>
                <w:vertAlign w:val="superscript"/>
              </w:rPr>
              <w:t>4</w:t>
            </w:r>
            <w:r w:rsidRPr="00414921">
              <w:rPr>
                <w:rFonts w:ascii="Book Antiqua" w:eastAsia="MS PGothic" w:hAnsi="Book Antiqua" w:cs="Arial"/>
                <w:kern w:val="0"/>
                <w:sz w:val="24"/>
                <w:szCs w:val="24"/>
              </w:rPr>
              <w:t>/μL</w:t>
            </w:r>
            <w:r w:rsidRPr="00414921">
              <w:rPr>
                <w:rFonts w:ascii="Book Antiqua" w:hAnsi="Book Antiqua" w:cs="Arial"/>
                <w:sz w:val="24"/>
                <w:szCs w:val="24"/>
              </w:rPr>
              <w:t>)</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23.8 (17.9-26.8)</w:t>
            </w:r>
          </w:p>
        </w:tc>
        <w:tc>
          <w:tcPr>
            <w:tcW w:w="1877"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23.3 (19.1-26.7)</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23.8 (17.8-26.9)</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0.88</w:t>
            </w:r>
          </w:p>
        </w:tc>
      </w:tr>
      <w:tr w:rsidR="00414921" w:rsidRPr="00414921" w:rsidTr="00414921">
        <w:trPr>
          <w:trHeight w:val="192"/>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PT-INR</w:t>
            </w:r>
          </w:p>
        </w:tc>
        <w:tc>
          <w:tcPr>
            <w:tcW w:w="1878"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1.00 (0.98-1.05)</w:t>
            </w:r>
          </w:p>
        </w:tc>
        <w:tc>
          <w:tcPr>
            <w:tcW w:w="1877"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1.00 (0.98-1.03)</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1.01 (0.97-1.05)</w:t>
            </w:r>
          </w:p>
        </w:tc>
        <w:tc>
          <w:tcPr>
            <w:tcW w:w="1626"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0.4</w:t>
            </w:r>
            <w:r w:rsidRPr="00414921">
              <w:rPr>
                <w:rFonts w:ascii="Book Antiqua" w:eastAsia="SimSun" w:hAnsi="Book Antiqua" w:cs="Arial" w:hint="eastAsia"/>
                <w:sz w:val="24"/>
                <w:szCs w:val="24"/>
                <w:lang w:eastAsia="zh-CN"/>
              </w:rPr>
              <w:t>0</w:t>
            </w:r>
          </w:p>
        </w:tc>
      </w:tr>
      <w:tr w:rsidR="00414921" w:rsidRPr="00414921" w:rsidTr="00414921">
        <w:trPr>
          <w:trHeight w:val="267"/>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APTT (s)</w:t>
            </w:r>
          </w:p>
        </w:tc>
        <w:tc>
          <w:tcPr>
            <w:tcW w:w="1878" w:type="dxa"/>
            <w:shd w:val="clear" w:color="auto" w:fill="auto"/>
          </w:tcPr>
          <w:p w:rsidR="00577B9B" w:rsidRPr="00414921" w:rsidRDefault="00577B9B"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28.6 (26.6-31.2)</w:t>
            </w:r>
          </w:p>
        </w:tc>
        <w:tc>
          <w:tcPr>
            <w:tcW w:w="1877"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28.6 (27.5-30.1)</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28.6 (26.3-31.3)</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0.84</w:t>
            </w:r>
          </w:p>
        </w:tc>
      </w:tr>
      <w:tr w:rsidR="00414921" w:rsidRPr="00414921" w:rsidTr="00414921">
        <w:trPr>
          <w:trHeight w:val="166"/>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eastAsia="MS PGothic" w:hAnsi="Book Antiqua" w:cs="Arial"/>
                <w:kern w:val="0"/>
                <w:sz w:val="24"/>
                <w:szCs w:val="24"/>
              </w:rPr>
              <w:t>FIBG (mg/dL)</w:t>
            </w:r>
          </w:p>
        </w:tc>
        <w:tc>
          <w:tcPr>
            <w:tcW w:w="1878"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287 (243-314)</w:t>
            </w:r>
          </w:p>
        </w:tc>
        <w:tc>
          <w:tcPr>
            <w:tcW w:w="1877"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284 (247-321)</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287 (242-313)</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0.73</w:t>
            </w:r>
          </w:p>
        </w:tc>
      </w:tr>
      <w:tr w:rsidR="00414921" w:rsidRPr="00414921" w:rsidTr="00414921">
        <w:trPr>
          <w:trHeight w:val="268"/>
        </w:trPr>
        <w:tc>
          <w:tcPr>
            <w:tcW w:w="3263" w:type="dxa"/>
            <w:shd w:val="clear" w:color="auto" w:fill="auto"/>
          </w:tcPr>
          <w:p w:rsidR="00577B9B" w:rsidRPr="00414921" w:rsidRDefault="00577B9B" w:rsidP="00414921">
            <w:pPr>
              <w:snapToGrid w:val="0"/>
              <w:spacing w:line="360" w:lineRule="auto"/>
              <w:ind w:firstLineChars="100" w:firstLine="240"/>
              <w:rPr>
                <w:rFonts w:ascii="Book Antiqua" w:hAnsi="Book Antiqua" w:cs="Arial"/>
                <w:sz w:val="24"/>
                <w:szCs w:val="24"/>
              </w:rPr>
            </w:pPr>
            <w:r w:rsidRPr="00414921">
              <w:rPr>
                <w:rFonts w:ascii="Book Antiqua" w:eastAsia="MS PGothic" w:hAnsi="Book Antiqua" w:cs="Arial"/>
                <w:kern w:val="0"/>
                <w:sz w:val="24"/>
                <w:szCs w:val="24"/>
              </w:rPr>
              <w:t>Total protein (g/dL)</w:t>
            </w:r>
          </w:p>
        </w:tc>
        <w:tc>
          <w:tcPr>
            <w:tcW w:w="1878"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7.6 (7.3-7.9)</w:t>
            </w:r>
          </w:p>
        </w:tc>
        <w:tc>
          <w:tcPr>
            <w:tcW w:w="1877"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7.6 (7.3-7.9)</w:t>
            </w:r>
          </w:p>
        </w:tc>
        <w:tc>
          <w:tcPr>
            <w:tcW w:w="2114"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7.6 (7.3-7.8)</w:t>
            </w:r>
          </w:p>
        </w:tc>
        <w:tc>
          <w:tcPr>
            <w:tcW w:w="1626" w:type="dxa"/>
            <w:shd w:val="clear" w:color="auto" w:fill="auto"/>
          </w:tcPr>
          <w:p w:rsidR="00577B9B" w:rsidRPr="00414921" w:rsidRDefault="00577B9B"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0.97</w:t>
            </w:r>
          </w:p>
        </w:tc>
      </w:tr>
      <w:tr w:rsidR="00414921" w:rsidRPr="00414921" w:rsidTr="00414921">
        <w:trPr>
          <w:trHeight w:val="167"/>
        </w:trPr>
        <w:tc>
          <w:tcPr>
            <w:tcW w:w="3263" w:type="dxa"/>
            <w:shd w:val="clear" w:color="auto" w:fill="auto"/>
          </w:tcPr>
          <w:p w:rsidR="00577B9B"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eastAsia="MS PGothic" w:hAnsi="Book Antiqua" w:cs="Arial"/>
                <w:kern w:val="0"/>
                <w:sz w:val="24"/>
                <w:szCs w:val="24"/>
              </w:rPr>
              <w:t>Albumin (g/dL)</w:t>
            </w:r>
          </w:p>
        </w:tc>
        <w:tc>
          <w:tcPr>
            <w:tcW w:w="1878" w:type="dxa"/>
            <w:shd w:val="clear" w:color="auto" w:fill="auto"/>
          </w:tcPr>
          <w:p w:rsidR="00577B9B"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4.5 (4.3-4.7)</w:t>
            </w:r>
          </w:p>
        </w:tc>
        <w:tc>
          <w:tcPr>
            <w:tcW w:w="1877" w:type="dxa"/>
            <w:shd w:val="clear" w:color="auto" w:fill="auto"/>
          </w:tcPr>
          <w:p w:rsidR="00577B9B"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4.6 (4.5-4.7)</w:t>
            </w:r>
          </w:p>
        </w:tc>
        <w:tc>
          <w:tcPr>
            <w:tcW w:w="2114" w:type="dxa"/>
            <w:shd w:val="clear" w:color="auto" w:fill="auto"/>
          </w:tcPr>
          <w:p w:rsidR="00577B9B"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4.5 (4.3-4.7)</w:t>
            </w:r>
          </w:p>
        </w:tc>
        <w:tc>
          <w:tcPr>
            <w:tcW w:w="1626" w:type="dxa"/>
            <w:shd w:val="clear" w:color="auto" w:fill="auto"/>
          </w:tcPr>
          <w:p w:rsidR="00577B9B"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0.14</w:t>
            </w:r>
          </w:p>
        </w:tc>
      </w:tr>
      <w:tr w:rsidR="00414921" w:rsidRPr="00414921" w:rsidTr="00414921">
        <w:trPr>
          <w:trHeight w:val="205"/>
        </w:trPr>
        <w:tc>
          <w:tcPr>
            <w:tcW w:w="3263" w:type="dxa"/>
            <w:shd w:val="clear" w:color="auto" w:fill="auto"/>
          </w:tcPr>
          <w:p w:rsidR="00577B9B"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eastAsia="MS PGothic" w:hAnsi="Book Antiqua" w:cs="Arial"/>
                <w:kern w:val="0"/>
                <w:sz w:val="24"/>
                <w:szCs w:val="24"/>
              </w:rPr>
              <w:t>Bilirubin (mg/dL)</w:t>
            </w:r>
          </w:p>
        </w:tc>
        <w:tc>
          <w:tcPr>
            <w:tcW w:w="1878" w:type="dxa"/>
            <w:shd w:val="clear" w:color="auto" w:fill="auto"/>
          </w:tcPr>
          <w:p w:rsidR="00577B9B"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0.9 (0.7-1.1)</w:t>
            </w:r>
          </w:p>
        </w:tc>
        <w:tc>
          <w:tcPr>
            <w:tcW w:w="1877" w:type="dxa"/>
            <w:shd w:val="clear" w:color="auto" w:fill="auto"/>
          </w:tcPr>
          <w:p w:rsidR="00577B9B"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0.8 (0.7-1.1)</w:t>
            </w:r>
          </w:p>
        </w:tc>
        <w:tc>
          <w:tcPr>
            <w:tcW w:w="2114" w:type="dxa"/>
            <w:shd w:val="clear" w:color="auto" w:fill="auto"/>
          </w:tcPr>
          <w:p w:rsidR="00577B9B"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0.9 (0.7-1.1)</w:t>
            </w:r>
          </w:p>
        </w:tc>
        <w:tc>
          <w:tcPr>
            <w:tcW w:w="1626" w:type="dxa"/>
            <w:shd w:val="clear" w:color="auto" w:fill="auto"/>
          </w:tcPr>
          <w:p w:rsidR="00577B9B" w:rsidRPr="00414921" w:rsidRDefault="001B5484" w:rsidP="00414921">
            <w:pPr>
              <w:snapToGrid w:val="0"/>
              <w:spacing w:line="360" w:lineRule="auto"/>
              <w:jc w:val="center"/>
              <w:rPr>
                <w:rFonts w:ascii="Book Antiqua" w:eastAsia="SimSun" w:hAnsi="Book Antiqua" w:cs="Arial"/>
                <w:sz w:val="24"/>
                <w:szCs w:val="24"/>
                <w:lang w:eastAsia="zh-CN"/>
              </w:rPr>
            </w:pPr>
            <w:r w:rsidRPr="00414921">
              <w:rPr>
                <w:rFonts w:ascii="Book Antiqua" w:eastAsia="MS PGothic" w:hAnsi="Book Antiqua" w:cs="Arial"/>
                <w:kern w:val="0"/>
                <w:sz w:val="24"/>
                <w:szCs w:val="24"/>
              </w:rPr>
              <w:t>0.3</w:t>
            </w:r>
            <w:r w:rsidRPr="00414921">
              <w:rPr>
                <w:rFonts w:ascii="Book Antiqua" w:eastAsia="SimSun" w:hAnsi="Book Antiqua" w:cs="Arial" w:hint="eastAsia"/>
                <w:kern w:val="0"/>
                <w:sz w:val="24"/>
                <w:szCs w:val="24"/>
                <w:lang w:eastAsia="zh-CN"/>
              </w:rPr>
              <w:t>0</w:t>
            </w:r>
          </w:p>
        </w:tc>
      </w:tr>
      <w:tr w:rsidR="00414921" w:rsidRPr="00414921" w:rsidTr="00414921">
        <w:trPr>
          <w:trHeight w:val="331"/>
        </w:trPr>
        <w:tc>
          <w:tcPr>
            <w:tcW w:w="3263" w:type="dxa"/>
            <w:shd w:val="clear" w:color="auto" w:fill="auto"/>
          </w:tcPr>
          <w:p w:rsidR="00577B9B"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AST (U/L)</w:t>
            </w:r>
          </w:p>
        </w:tc>
        <w:tc>
          <w:tcPr>
            <w:tcW w:w="1878" w:type="dxa"/>
            <w:shd w:val="clear" w:color="auto" w:fill="auto"/>
          </w:tcPr>
          <w:p w:rsidR="00577B9B"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40 (29-63)</w:t>
            </w:r>
          </w:p>
        </w:tc>
        <w:tc>
          <w:tcPr>
            <w:tcW w:w="1877" w:type="dxa"/>
            <w:shd w:val="clear" w:color="auto" w:fill="auto"/>
          </w:tcPr>
          <w:p w:rsidR="00577B9B"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27 (23-33)</w:t>
            </w:r>
          </w:p>
        </w:tc>
        <w:tc>
          <w:tcPr>
            <w:tcW w:w="2114" w:type="dxa"/>
            <w:shd w:val="clear" w:color="auto" w:fill="auto"/>
          </w:tcPr>
          <w:p w:rsidR="00577B9B"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47 (33-70)</w:t>
            </w:r>
          </w:p>
        </w:tc>
        <w:tc>
          <w:tcPr>
            <w:tcW w:w="1626" w:type="dxa"/>
            <w:shd w:val="clear" w:color="auto" w:fill="auto"/>
          </w:tcPr>
          <w:p w:rsidR="00577B9B"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&lt;</w:t>
            </w:r>
            <w:r w:rsidRPr="00414921">
              <w:rPr>
                <w:rFonts w:ascii="Book Antiqua" w:eastAsia="SimSun" w:hAnsi="Book Antiqua" w:cs="Arial" w:hint="eastAsia"/>
                <w:sz w:val="24"/>
                <w:szCs w:val="24"/>
                <w:lang w:eastAsia="zh-CN"/>
              </w:rPr>
              <w:t xml:space="preserve"> </w:t>
            </w:r>
            <w:r w:rsidRPr="00414921">
              <w:rPr>
                <w:rFonts w:ascii="Book Antiqua" w:hAnsi="Book Antiqua" w:cs="Arial"/>
                <w:sz w:val="24"/>
                <w:szCs w:val="24"/>
              </w:rPr>
              <w:t>0.00001</w:t>
            </w:r>
          </w:p>
        </w:tc>
      </w:tr>
      <w:tr w:rsidR="00414921" w:rsidRPr="00414921" w:rsidTr="00414921">
        <w:trPr>
          <w:trHeight w:val="141"/>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ALT (U/L)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61 (36-92)</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39 (30-56)</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69 (42-104)</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0.0002</w:t>
            </w:r>
          </w:p>
        </w:tc>
      </w:tr>
      <w:tr w:rsidR="00414921" w:rsidRPr="00414921" w:rsidTr="00414921">
        <w:trPr>
          <w:trHeight w:val="293"/>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lastRenderedPageBreak/>
              <w:t>LDH (U/L)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214 (186-240)</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189 (165-231)</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219 (191-249)</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0.02</w:t>
            </w:r>
          </w:p>
        </w:tc>
      </w:tr>
      <w:tr w:rsidR="00414921" w:rsidRPr="00414921" w:rsidTr="00414921">
        <w:trPr>
          <w:trHeight w:val="229"/>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ALP (U/L)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254 (214-323)</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246 (218-312)</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258 (214-323)</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0.86</w:t>
            </w:r>
          </w:p>
        </w:tc>
      </w:tr>
      <w:tr w:rsidR="00414921" w:rsidRPr="00414921" w:rsidTr="00414921">
        <w:trPr>
          <w:trHeight w:val="192"/>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γGT (U/L)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53 (35-82)</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44 (26-70)</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54 (37-87)</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0.21</w:t>
            </w:r>
          </w:p>
        </w:tc>
      </w:tr>
      <w:tr w:rsidR="00414921" w:rsidRPr="00414921" w:rsidTr="00414921">
        <w:trPr>
          <w:trHeight w:val="167"/>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ChE (U/L)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384 (342-429)</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399 (369-445)</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376 (340-427)</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0.12</w:t>
            </w:r>
          </w:p>
        </w:tc>
      </w:tr>
      <w:tr w:rsidR="00414921" w:rsidRPr="00414921" w:rsidTr="00414921">
        <w:trPr>
          <w:trHeight w:val="267"/>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Urea nitrogen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13 (11-15)</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13.2 (12-14.5)</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13 (11-15)</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0.65</w:t>
            </w:r>
          </w:p>
        </w:tc>
      </w:tr>
      <w:tr w:rsidR="00414921" w:rsidRPr="00414921" w:rsidTr="00414921">
        <w:trPr>
          <w:trHeight w:val="167"/>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Creatinine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0.7 (0.58-0.82)</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0.79 (0.62-0.84)</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0.66 (0.57-0.82)</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0.17</w:t>
            </w:r>
          </w:p>
        </w:tc>
      </w:tr>
      <w:tr w:rsidR="00414921" w:rsidRPr="00414921" w:rsidTr="00414921">
        <w:trPr>
          <w:trHeight w:val="218"/>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Uric acid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5.6 (4.8-6.8)</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6.0 (5.2-7.5)</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5.6 (4.8-6.6)</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0.26</w:t>
            </w:r>
          </w:p>
        </w:tc>
      </w:tr>
      <w:tr w:rsidR="00414921" w:rsidRPr="00414921" w:rsidTr="00414921">
        <w:trPr>
          <w:trHeight w:val="218"/>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eGFR (mL/min/1.73m</w:t>
            </w:r>
            <w:r w:rsidRPr="00414921">
              <w:rPr>
                <w:rFonts w:ascii="Book Antiqua" w:hAnsi="Book Antiqua" w:cs="Arial"/>
                <w:sz w:val="24"/>
                <w:szCs w:val="24"/>
                <w:vertAlign w:val="superscript"/>
              </w:rPr>
              <w:t>2</w:t>
            </w:r>
            <w:r w:rsidRPr="00414921">
              <w:rPr>
                <w:rFonts w:ascii="Book Antiqua" w:hAnsi="Book Antiqua" w:cs="Arial"/>
                <w:sz w:val="24"/>
                <w:szCs w:val="24"/>
              </w:rPr>
              <w:t>)</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79 (69-89)</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77 (59-88)</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79 (70-89)</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0.53</w:t>
            </w:r>
          </w:p>
        </w:tc>
      </w:tr>
      <w:tr w:rsidR="00414921" w:rsidRPr="00414921" w:rsidTr="00414921">
        <w:trPr>
          <w:trHeight w:val="179"/>
        </w:trPr>
        <w:tc>
          <w:tcPr>
            <w:tcW w:w="3263" w:type="dxa"/>
            <w:shd w:val="clear" w:color="auto" w:fill="auto"/>
          </w:tcPr>
          <w:p w:rsidR="001B5484" w:rsidRPr="00414921" w:rsidRDefault="001B5484" w:rsidP="00414921">
            <w:pPr>
              <w:snapToGrid w:val="0"/>
              <w:spacing w:line="360" w:lineRule="auto"/>
              <w:ind w:firstLineChars="100" w:firstLine="240"/>
              <w:rPr>
                <w:rFonts w:ascii="Book Antiqua" w:eastAsia="SimSun" w:hAnsi="Book Antiqua" w:cs="Arial"/>
                <w:sz w:val="24"/>
                <w:szCs w:val="24"/>
                <w:lang w:eastAsia="zh-CN"/>
              </w:rPr>
            </w:pPr>
            <w:r w:rsidRPr="00414921">
              <w:rPr>
                <w:rFonts w:ascii="Book Antiqua" w:hAnsi="Book Antiqua" w:cs="Arial"/>
                <w:sz w:val="24"/>
                <w:szCs w:val="24"/>
              </w:rPr>
              <w:t>Total cholesterol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209 (181-233)</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218 (175-247)</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206 (182-230)</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0.41</w:t>
            </w:r>
          </w:p>
        </w:tc>
      </w:tr>
      <w:tr w:rsidR="00414921" w:rsidRPr="00414921" w:rsidTr="00414921">
        <w:trPr>
          <w:trHeight w:val="255"/>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Triglycerides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119 (91-156)</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122 (88-165)</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119 (93-156)</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0.95</w:t>
            </w:r>
          </w:p>
        </w:tc>
      </w:tr>
      <w:tr w:rsidR="00414921" w:rsidRPr="00414921" w:rsidTr="00414921">
        <w:trPr>
          <w:trHeight w:val="331"/>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LDL-cholesterol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134 (109-152)</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136 (103-155)</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131 (113-147)</w:t>
            </w:r>
          </w:p>
        </w:tc>
        <w:tc>
          <w:tcPr>
            <w:tcW w:w="1626" w:type="dxa"/>
            <w:shd w:val="clear" w:color="auto" w:fill="auto"/>
          </w:tcPr>
          <w:p w:rsidR="001B5484" w:rsidRPr="00414921" w:rsidRDefault="001B5484" w:rsidP="00414921">
            <w:pPr>
              <w:snapToGrid w:val="0"/>
              <w:spacing w:line="360" w:lineRule="auto"/>
              <w:jc w:val="center"/>
              <w:rPr>
                <w:rFonts w:ascii="Book Antiqua" w:eastAsia="SimSun" w:hAnsi="Book Antiqua" w:cs="Arial"/>
                <w:sz w:val="24"/>
                <w:szCs w:val="24"/>
                <w:lang w:eastAsia="zh-CN"/>
              </w:rPr>
            </w:pPr>
            <w:r w:rsidRPr="00414921">
              <w:rPr>
                <w:rFonts w:ascii="Book Antiqua" w:hAnsi="Book Antiqua" w:cs="Arial"/>
                <w:sz w:val="24"/>
                <w:szCs w:val="24"/>
              </w:rPr>
              <w:t>0.8</w:t>
            </w:r>
            <w:r w:rsidRPr="00414921">
              <w:rPr>
                <w:rFonts w:ascii="Book Antiqua" w:eastAsia="SimSun" w:hAnsi="Book Antiqua" w:cs="Arial" w:hint="eastAsia"/>
                <w:sz w:val="24"/>
                <w:szCs w:val="24"/>
                <w:lang w:eastAsia="zh-CN"/>
              </w:rPr>
              <w:t>0</w:t>
            </w:r>
          </w:p>
        </w:tc>
      </w:tr>
      <w:tr w:rsidR="00414921" w:rsidRPr="00414921" w:rsidTr="00414921">
        <w:trPr>
          <w:trHeight w:val="318"/>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HDL-cholesterol</w:t>
            </w:r>
            <w:r w:rsidRPr="00414921">
              <w:rPr>
                <w:rFonts w:ascii="Book Antiqua" w:eastAsia="SimSun" w:hAnsi="Book Antiqua" w:cs="Arial" w:hint="eastAsia"/>
                <w:sz w:val="24"/>
                <w:szCs w:val="24"/>
                <w:lang w:eastAsia="zh-CN"/>
              </w:rPr>
              <w:t xml:space="preserve"> </w:t>
            </w:r>
            <w:r w:rsidRPr="00414921">
              <w:rPr>
                <w:rFonts w:ascii="Book Antiqua" w:hAnsi="Book Antiqua" w:cs="Arial"/>
                <w:sz w:val="24"/>
                <w:szCs w:val="24"/>
              </w:rPr>
              <w:t>(mg/dL)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52 (45-59)</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53 (45-61)</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52 (45-57)</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0.59</w:t>
            </w:r>
          </w:p>
        </w:tc>
      </w:tr>
      <w:tr w:rsidR="00414921" w:rsidRPr="00414921" w:rsidTr="00414921">
        <w:trPr>
          <w:trHeight w:val="116"/>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Glucose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106 (97-120)</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99 (92-112)</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107 (98-122)</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0.02</w:t>
            </w:r>
          </w:p>
        </w:tc>
      </w:tr>
      <w:tr w:rsidR="00414921" w:rsidRPr="00414921" w:rsidTr="00414921">
        <w:trPr>
          <w:trHeight w:val="167"/>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Insulin (</w:t>
            </w:r>
            <w:r w:rsidRPr="00414921">
              <w:rPr>
                <w:rFonts w:ascii="Book Antiqua" w:eastAsia="MS PGothic" w:hAnsi="Book Antiqua" w:cs="Arial"/>
                <w:kern w:val="0"/>
                <w:sz w:val="24"/>
                <w:szCs w:val="24"/>
              </w:rPr>
              <w:t>μU/mL)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 xml:space="preserve">12 </w:t>
            </w:r>
            <w:r w:rsidRPr="00414921">
              <w:rPr>
                <w:rFonts w:ascii="Book Antiqua" w:hAnsi="Book Antiqua" w:cs="Arial"/>
                <w:sz w:val="24"/>
                <w:szCs w:val="24"/>
              </w:rPr>
              <w:t>(7.3</w:t>
            </w:r>
            <w:r w:rsidRPr="00414921">
              <w:rPr>
                <w:rFonts w:ascii="Book Antiqua" w:eastAsia="MS PGothic" w:hAnsi="Book Antiqua" w:cs="Arial"/>
                <w:kern w:val="0"/>
                <w:sz w:val="24"/>
                <w:szCs w:val="24"/>
              </w:rPr>
              <w:t>-17.6)</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7.5 (5.1-11.5)</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13.1 (8.2-17.9)</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0.002</w:t>
            </w:r>
          </w:p>
        </w:tc>
      </w:tr>
      <w:tr w:rsidR="00414921" w:rsidRPr="00414921" w:rsidTr="00414921">
        <w:trPr>
          <w:trHeight w:val="179"/>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eastAsia="MS PGothic" w:hAnsi="Book Antiqua" w:cs="Arial"/>
                <w:kern w:val="0"/>
                <w:sz w:val="24"/>
                <w:szCs w:val="24"/>
              </w:rPr>
              <w:t>HbA1c (%)</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 xml:space="preserve">5.8 </w:t>
            </w:r>
            <w:r w:rsidRPr="00414921">
              <w:rPr>
                <w:rFonts w:ascii="Book Antiqua" w:hAnsi="Book Antiqua" w:cs="Arial"/>
                <w:sz w:val="24"/>
                <w:szCs w:val="24"/>
              </w:rPr>
              <w:t>(5.6</w:t>
            </w:r>
            <w:r w:rsidRPr="00414921">
              <w:rPr>
                <w:rFonts w:ascii="Book Antiqua" w:eastAsia="MS PGothic" w:hAnsi="Book Antiqua" w:cs="Arial"/>
                <w:kern w:val="0"/>
                <w:sz w:val="24"/>
                <w:szCs w:val="24"/>
              </w:rPr>
              <w:t>-6.4)</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5.8 (5.4-6.0)</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5.9 (5.6-6.6)</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0.02</w:t>
            </w:r>
          </w:p>
        </w:tc>
      </w:tr>
      <w:tr w:rsidR="00414921" w:rsidRPr="00414921" w:rsidTr="00414921">
        <w:trPr>
          <w:trHeight w:val="77"/>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eastAsia="MS PGothic" w:hAnsi="Book Antiqua" w:cs="Arial"/>
                <w:kern w:val="0"/>
                <w:sz w:val="24"/>
                <w:szCs w:val="24"/>
              </w:rPr>
              <w:t>HOMA-IR</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 xml:space="preserve">3.2 </w:t>
            </w:r>
            <w:r w:rsidRPr="00414921">
              <w:rPr>
                <w:rFonts w:ascii="Book Antiqua" w:hAnsi="Book Antiqua" w:cs="Arial"/>
                <w:sz w:val="24"/>
                <w:szCs w:val="24"/>
              </w:rPr>
              <w:t>(1.9</w:t>
            </w:r>
            <w:r w:rsidRPr="00414921">
              <w:rPr>
                <w:rFonts w:ascii="Book Antiqua" w:eastAsia="MS PGothic" w:hAnsi="Book Antiqua" w:cs="Arial"/>
                <w:kern w:val="0"/>
                <w:sz w:val="24"/>
                <w:szCs w:val="24"/>
              </w:rPr>
              <w:t>-4.8)</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2.0 (1.2-3.2)</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3.5 (2.2-4.9)</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0.001</w:t>
            </w:r>
          </w:p>
        </w:tc>
      </w:tr>
      <w:tr w:rsidR="00414921" w:rsidRPr="00414921" w:rsidTr="00414921">
        <w:trPr>
          <w:trHeight w:val="116"/>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eastAsia="MS PGothic" w:hAnsi="Book Antiqua" w:cs="Arial"/>
                <w:kern w:val="0"/>
                <w:sz w:val="24"/>
                <w:szCs w:val="24"/>
              </w:rPr>
              <w:t>IgG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1261 (1089-1535)</w:t>
            </w:r>
          </w:p>
        </w:tc>
        <w:tc>
          <w:tcPr>
            <w:tcW w:w="1877" w:type="dxa"/>
            <w:shd w:val="clear" w:color="auto" w:fill="auto"/>
          </w:tcPr>
          <w:p w:rsidR="001B5484" w:rsidRPr="00414921" w:rsidRDefault="001B5484" w:rsidP="00414921">
            <w:pPr>
              <w:snapToGrid w:val="0"/>
              <w:spacing w:line="360" w:lineRule="auto"/>
              <w:jc w:val="center"/>
              <w:rPr>
                <w:rFonts w:ascii="Book Antiqua" w:eastAsia="SimSun" w:hAnsi="Book Antiqua" w:cs="Arial"/>
                <w:sz w:val="24"/>
                <w:szCs w:val="24"/>
                <w:lang w:eastAsia="zh-CN"/>
              </w:rPr>
            </w:pPr>
            <w:r w:rsidRPr="00414921">
              <w:rPr>
                <w:rFonts w:ascii="Book Antiqua" w:eastAsia="MS PGothic" w:hAnsi="Book Antiqua" w:cs="Arial"/>
                <w:kern w:val="0"/>
                <w:sz w:val="24"/>
                <w:szCs w:val="24"/>
              </w:rPr>
              <w:t>1264 (1118-1524)</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1261 (1086-1541)</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0.77</w:t>
            </w:r>
          </w:p>
        </w:tc>
      </w:tr>
      <w:tr w:rsidR="00414921" w:rsidRPr="00414921" w:rsidTr="00414921">
        <w:trPr>
          <w:trHeight w:val="166"/>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eastAsia="MS PGothic" w:hAnsi="Book Antiqua" w:cs="Arial"/>
                <w:kern w:val="0"/>
                <w:sz w:val="24"/>
                <w:szCs w:val="24"/>
              </w:rPr>
              <w:t>IgM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94 (65-126)</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83 (54-113)</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97 (72-129)</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0.18</w:t>
            </w:r>
          </w:p>
        </w:tc>
      </w:tr>
      <w:tr w:rsidR="00414921" w:rsidRPr="00414921" w:rsidTr="00414921">
        <w:trPr>
          <w:trHeight w:val="268"/>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eastAsia="MS PGothic" w:hAnsi="Book Antiqua" w:cs="Arial"/>
                <w:kern w:val="0"/>
                <w:sz w:val="24"/>
                <w:szCs w:val="24"/>
              </w:rPr>
              <w:t>IgA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269 (180-333)</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252 (185-293)</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272 (180-349)</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eastAsia="MS PGothic" w:hAnsi="Book Antiqua" w:cs="Arial"/>
                <w:kern w:val="0"/>
                <w:sz w:val="24"/>
                <w:szCs w:val="24"/>
              </w:rPr>
              <w:t>0.56</w:t>
            </w:r>
          </w:p>
        </w:tc>
      </w:tr>
      <w:tr w:rsidR="00414921" w:rsidRPr="00414921" w:rsidTr="00414921">
        <w:trPr>
          <w:trHeight w:val="116"/>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hAnsi="Book Antiqua" w:cs="Arial"/>
                <w:sz w:val="24"/>
                <w:szCs w:val="24"/>
              </w:rPr>
              <w:t>CRP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0.1 (0.04-0.17)</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0.05 (0.03-0.16)</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0.08 (0.05-0.17)</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0.13</w:t>
            </w:r>
          </w:p>
        </w:tc>
      </w:tr>
      <w:tr w:rsidR="00414921" w:rsidRPr="00414921" w:rsidTr="00414921">
        <w:trPr>
          <w:trHeight w:val="242"/>
        </w:trPr>
        <w:tc>
          <w:tcPr>
            <w:tcW w:w="3263" w:type="dxa"/>
            <w:shd w:val="clear" w:color="auto" w:fill="auto"/>
          </w:tcPr>
          <w:p w:rsidR="001B5484" w:rsidRPr="00414921" w:rsidRDefault="001B5484" w:rsidP="00414921">
            <w:pPr>
              <w:snapToGrid w:val="0"/>
              <w:spacing w:line="360" w:lineRule="auto"/>
              <w:ind w:firstLineChars="100" w:firstLine="240"/>
              <w:rPr>
                <w:rFonts w:ascii="Book Antiqua" w:eastAsia="SimSun" w:hAnsi="Book Antiqua" w:cs="Arial"/>
                <w:sz w:val="24"/>
                <w:szCs w:val="24"/>
                <w:lang w:eastAsia="zh-CN"/>
              </w:rPr>
            </w:pPr>
            <w:r w:rsidRPr="00414921">
              <w:rPr>
                <w:rFonts w:ascii="Book Antiqua" w:hAnsi="Book Antiqua" w:cs="Arial"/>
                <w:sz w:val="24"/>
                <w:szCs w:val="24"/>
              </w:rPr>
              <w:t>Hyarulonic acid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40 (24-74)</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29 (23-52)</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47 (25-88)</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0.08</w:t>
            </w:r>
          </w:p>
        </w:tc>
      </w:tr>
      <w:tr w:rsidR="00414921" w:rsidRPr="00414921" w:rsidTr="00414921">
        <w:trPr>
          <w:trHeight w:val="255"/>
        </w:trPr>
        <w:tc>
          <w:tcPr>
            <w:tcW w:w="3263" w:type="dxa"/>
            <w:shd w:val="clear" w:color="auto" w:fill="auto"/>
          </w:tcPr>
          <w:p w:rsidR="001B5484" w:rsidRPr="00414921" w:rsidRDefault="001B5484" w:rsidP="00414921">
            <w:pPr>
              <w:snapToGrid w:val="0"/>
              <w:spacing w:line="360" w:lineRule="auto"/>
              <w:ind w:leftChars="110" w:left="242"/>
              <w:rPr>
                <w:rFonts w:ascii="Book Antiqua" w:eastAsia="SimSun" w:hAnsi="Book Antiqua" w:cs="Arial"/>
                <w:sz w:val="24"/>
                <w:szCs w:val="24"/>
                <w:lang w:eastAsia="zh-CN"/>
              </w:rPr>
            </w:pPr>
            <w:r w:rsidRPr="00414921">
              <w:rPr>
                <w:rFonts w:ascii="Book Antiqua" w:hAnsi="Book Antiqua" w:cs="Arial"/>
                <w:sz w:val="24"/>
                <w:szCs w:val="24"/>
              </w:rPr>
              <w:t>Type 4 collagen 7S (mg/dL)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4.5 (3.7-5.5)</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3.7 (3.6-4.5)</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4.5 (3.8-6.3)</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0.003</w:t>
            </w:r>
          </w:p>
        </w:tc>
      </w:tr>
      <w:tr w:rsidR="00414921" w:rsidRPr="00414921" w:rsidTr="00414921">
        <w:trPr>
          <w:trHeight w:val="306"/>
        </w:trPr>
        <w:tc>
          <w:tcPr>
            <w:tcW w:w="3263" w:type="dxa"/>
            <w:shd w:val="clear" w:color="auto" w:fill="auto"/>
          </w:tcPr>
          <w:p w:rsidR="001B5484" w:rsidRPr="00414921" w:rsidRDefault="001B5484" w:rsidP="00414921">
            <w:pPr>
              <w:snapToGrid w:val="0"/>
              <w:spacing w:line="360" w:lineRule="auto"/>
              <w:ind w:firstLineChars="100" w:firstLine="240"/>
              <w:rPr>
                <w:rFonts w:ascii="Book Antiqua" w:hAnsi="Book Antiqua" w:cs="Arial"/>
                <w:sz w:val="24"/>
                <w:szCs w:val="24"/>
              </w:rPr>
            </w:pPr>
            <w:r w:rsidRPr="00414921">
              <w:rPr>
                <w:rFonts w:ascii="Book Antiqua" w:eastAsia="MS PGothic" w:hAnsi="Book Antiqua" w:cs="Arial"/>
                <w:kern w:val="0"/>
                <w:sz w:val="24"/>
                <w:szCs w:val="24"/>
              </w:rPr>
              <w:t>CK18 fragment</w:t>
            </w:r>
            <w:r w:rsidRPr="00414921">
              <w:rPr>
                <w:rFonts w:ascii="Book Antiqua" w:hAnsi="Book Antiqua" w:cs="Arial"/>
                <w:sz w:val="24"/>
                <w:szCs w:val="24"/>
              </w:rPr>
              <w:t xml:space="preserve"> (U/L)</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298 (155-561)</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164(121-293)</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351(178-645)</w:t>
            </w:r>
            <w:r w:rsidR="00B54A57" w:rsidRPr="00414921">
              <w:rPr>
                <w:rFonts w:ascii="Book Antiqua" w:eastAsia="SimSun" w:hAnsi="Book Antiqua" w:cs="Arial" w:hint="eastAsia"/>
                <w:sz w:val="24"/>
                <w:szCs w:val="24"/>
                <w:vertAlign w:val="superscript"/>
                <w:lang w:eastAsia="zh-CN"/>
              </w:rPr>
              <w:t>1</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0.0003</w:t>
            </w:r>
          </w:p>
        </w:tc>
      </w:tr>
      <w:tr w:rsidR="00414921" w:rsidRPr="00414921" w:rsidTr="00414921">
        <w:trPr>
          <w:trHeight w:val="217"/>
        </w:trPr>
        <w:tc>
          <w:tcPr>
            <w:tcW w:w="3263" w:type="dxa"/>
            <w:shd w:val="clear" w:color="auto" w:fill="auto"/>
          </w:tcPr>
          <w:p w:rsidR="001B5484" w:rsidRPr="00414921" w:rsidRDefault="001B5484" w:rsidP="00414921">
            <w:pPr>
              <w:tabs>
                <w:tab w:val="left" w:pos="142"/>
              </w:tabs>
              <w:snapToGrid w:val="0"/>
              <w:spacing w:line="360" w:lineRule="auto"/>
              <w:rPr>
                <w:rFonts w:ascii="Book Antiqua" w:eastAsia="SimSun" w:hAnsi="Book Antiqua" w:cs="Arial"/>
                <w:sz w:val="24"/>
                <w:szCs w:val="24"/>
                <w:lang w:eastAsia="zh-CN"/>
              </w:rPr>
            </w:pPr>
            <w:r w:rsidRPr="00414921">
              <w:rPr>
                <w:rFonts w:ascii="Book Antiqua" w:hAnsi="Book Antiqua" w:cs="Arial"/>
                <w:sz w:val="24"/>
                <w:szCs w:val="24"/>
              </w:rPr>
              <w:t>Histological findings</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p>
        </w:tc>
      </w:tr>
      <w:tr w:rsidR="00414921" w:rsidRPr="00414921" w:rsidTr="00414921">
        <w:trPr>
          <w:trHeight w:val="229"/>
        </w:trPr>
        <w:tc>
          <w:tcPr>
            <w:tcW w:w="3263" w:type="dxa"/>
            <w:shd w:val="clear" w:color="auto" w:fill="auto"/>
          </w:tcPr>
          <w:p w:rsidR="001B5484" w:rsidRPr="00414921" w:rsidRDefault="001B5484" w:rsidP="00414921">
            <w:pPr>
              <w:snapToGrid w:val="0"/>
              <w:spacing w:line="360" w:lineRule="auto"/>
              <w:ind w:firstLineChars="100" w:firstLine="240"/>
              <w:rPr>
                <w:rFonts w:ascii="Book Antiqua" w:eastAsia="SimSun" w:hAnsi="Book Antiqua" w:cs="Arial"/>
                <w:kern w:val="0"/>
                <w:sz w:val="24"/>
                <w:szCs w:val="24"/>
                <w:lang w:eastAsia="zh-CN"/>
              </w:rPr>
            </w:pPr>
            <w:r w:rsidRPr="00414921">
              <w:rPr>
                <w:rFonts w:ascii="Book Antiqua" w:hAnsi="Book Antiqua" w:cs="Arial"/>
                <w:sz w:val="24"/>
                <w:szCs w:val="24"/>
              </w:rPr>
              <w:t>Steatosis 1/2/3</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43/57/26</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15/9/2</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28/48/24</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0.004</w:t>
            </w:r>
          </w:p>
        </w:tc>
      </w:tr>
      <w:tr w:rsidR="00414921" w:rsidRPr="00414921" w:rsidTr="00414921">
        <w:trPr>
          <w:trHeight w:val="205"/>
        </w:trPr>
        <w:tc>
          <w:tcPr>
            <w:tcW w:w="3263" w:type="dxa"/>
            <w:shd w:val="clear" w:color="auto" w:fill="auto"/>
          </w:tcPr>
          <w:p w:rsidR="001B5484" w:rsidRPr="00414921" w:rsidRDefault="001B5484" w:rsidP="00414921">
            <w:pPr>
              <w:snapToGrid w:val="0"/>
              <w:spacing w:line="360" w:lineRule="auto"/>
              <w:ind w:firstLineChars="100" w:firstLine="240"/>
              <w:rPr>
                <w:rFonts w:ascii="Book Antiqua" w:eastAsia="SimSun" w:hAnsi="Book Antiqua" w:cs="Arial"/>
                <w:kern w:val="0"/>
                <w:sz w:val="24"/>
                <w:szCs w:val="24"/>
                <w:lang w:eastAsia="zh-CN"/>
              </w:rPr>
            </w:pPr>
            <w:r w:rsidRPr="00414921">
              <w:rPr>
                <w:rFonts w:ascii="Book Antiqua" w:hAnsi="Book Antiqua" w:cs="Arial"/>
                <w:sz w:val="24"/>
                <w:szCs w:val="24"/>
              </w:rPr>
              <w:t>Ballooning 0/1/2</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26/68/32</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26/0/0</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0/68/32</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&lt;</w:t>
            </w:r>
            <w:r w:rsidRPr="00414921">
              <w:rPr>
                <w:rFonts w:ascii="Book Antiqua" w:eastAsia="SimSun" w:hAnsi="Book Antiqua" w:cs="Arial" w:hint="eastAsia"/>
                <w:sz w:val="24"/>
                <w:szCs w:val="24"/>
                <w:lang w:eastAsia="zh-CN"/>
              </w:rPr>
              <w:t xml:space="preserve"> </w:t>
            </w:r>
            <w:r w:rsidRPr="00414921">
              <w:rPr>
                <w:rFonts w:ascii="Book Antiqua" w:hAnsi="Book Antiqua" w:cs="Arial"/>
                <w:sz w:val="24"/>
                <w:szCs w:val="24"/>
              </w:rPr>
              <w:t>0.00001</w:t>
            </w:r>
          </w:p>
        </w:tc>
      </w:tr>
      <w:tr w:rsidR="00414921" w:rsidRPr="00414921" w:rsidTr="00414921">
        <w:trPr>
          <w:trHeight w:val="103"/>
        </w:trPr>
        <w:tc>
          <w:tcPr>
            <w:tcW w:w="3263" w:type="dxa"/>
            <w:shd w:val="clear" w:color="auto" w:fill="auto"/>
          </w:tcPr>
          <w:p w:rsidR="001B5484" w:rsidRPr="00414921" w:rsidRDefault="001B5484" w:rsidP="00414921">
            <w:pPr>
              <w:snapToGrid w:val="0"/>
              <w:spacing w:line="360" w:lineRule="auto"/>
              <w:ind w:firstLineChars="100" w:firstLine="240"/>
              <w:rPr>
                <w:rFonts w:ascii="Book Antiqua" w:eastAsia="SimSun" w:hAnsi="Book Antiqua" w:cs="Arial"/>
                <w:kern w:val="0"/>
                <w:sz w:val="24"/>
                <w:szCs w:val="24"/>
                <w:lang w:eastAsia="zh-CN"/>
              </w:rPr>
            </w:pPr>
            <w:r w:rsidRPr="00414921">
              <w:rPr>
                <w:rFonts w:ascii="Book Antiqua" w:hAnsi="Book Antiqua" w:cs="Arial"/>
                <w:sz w:val="24"/>
                <w:szCs w:val="24"/>
              </w:rPr>
              <w:lastRenderedPageBreak/>
              <w:t>Lobular inflammation</w:t>
            </w:r>
            <w:r w:rsidRPr="00414921">
              <w:rPr>
                <w:rFonts w:ascii="Book Antiqua" w:eastAsia="SimSun" w:hAnsi="Book Antiqua" w:cs="Arial" w:hint="eastAsia"/>
                <w:sz w:val="24"/>
                <w:szCs w:val="24"/>
                <w:lang w:eastAsia="zh-CN"/>
              </w:rPr>
              <w:t xml:space="preserve"> </w:t>
            </w:r>
            <w:r w:rsidRPr="00414921">
              <w:rPr>
                <w:rFonts w:ascii="Book Antiqua" w:hAnsi="Book Antiqua" w:cs="Arial"/>
                <w:sz w:val="24"/>
                <w:szCs w:val="24"/>
              </w:rPr>
              <w:t>0/1/2/3</w:t>
            </w:r>
          </w:p>
        </w:tc>
        <w:tc>
          <w:tcPr>
            <w:tcW w:w="1878"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7/61/53/5</w:t>
            </w:r>
          </w:p>
        </w:tc>
        <w:tc>
          <w:tcPr>
            <w:tcW w:w="1877"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3/19/4/0</w:t>
            </w:r>
          </w:p>
        </w:tc>
        <w:tc>
          <w:tcPr>
            <w:tcW w:w="2114"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4/42/49/5</w:t>
            </w:r>
          </w:p>
        </w:tc>
        <w:tc>
          <w:tcPr>
            <w:tcW w:w="1626" w:type="dxa"/>
            <w:shd w:val="clear" w:color="auto" w:fill="auto"/>
          </w:tcPr>
          <w:p w:rsidR="001B5484" w:rsidRPr="00414921" w:rsidRDefault="001B5484"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0.0003</w:t>
            </w:r>
          </w:p>
        </w:tc>
      </w:tr>
      <w:tr w:rsidR="00414921" w:rsidRPr="00414921" w:rsidTr="00414921">
        <w:trPr>
          <w:trHeight w:val="217"/>
        </w:trPr>
        <w:tc>
          <w:tcPr>
            <w:tcW w:w="3263" w:type="dxa"/>
            <w:shd w:val="clear" w:color="auto" w:fill="auto"/>
          </w:tcPr>
          <w:p w:rsidR="001B5484" w:rsidRPr="00414921" w:rsidRDefault="001B5484" w:rsidP="00414921">
            <w:pPr>
              <w:snapToGrid w:val="0"/>
              <w:spacing w:line="360" w:lineRule="auto"/>
              <w:ind w:firstLineChars="100" w:firstLine="240"/>
              <w:rPr>
                <w:rFonts w:ascii="Book Antiqua" w:eastAsia="SimSun" w:hAnsi="Book Antiqua" w:cs="Arial"/>
                <w:kern w:val="0"/>
                <w:sz w:val="24"/>
                <w:szCs w:val="24"/>
                <w:lang w:eastAsia="zh-CN"/>
              </w:rPr>
            </w:pPr>
            <w:r w:rsidRPr="00414921">
              <w:rPr>
                <w:rFonts w:ascii="Book Antiqua" w:hAnsi="Book Antiqua" w:cs="Arial"/>
                <w:sz w:val="24"/>
                <w:szCs w:val="24"/>
              </w:rPr>
              <w:t>Fibrosis 0/1/2/3/4</w:t>
            </w:r>
          </w:p>
        </w:tc>
        <w:tc>
          <w:tcPr>
            <w:tcW w:w="1878" w:type="dxa"/>
            <w:shd w:val="clear" w:color="auto" w:fill="auto"/>
          </w:tcPr>
          <w:p w:rsidR="001B5484" w:rsidRPr="00414921" w:rsidRDefault="00B54A57"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27/56/14/22/7</w:t>
            </w:r>
          </w:p>
        </w:tc>
        <w:tc>
          <w:tcPr>
            <w:tcW w:w="1877" w:type="dxa"/>
            <w:shd w:val="clear" w:color="auto" w:fill="auto"/>
          </w:tcPr>
          <w:p w:rsidR="001B5484" w:rsidRPr="00414921" w:rsidRDefault="00B54A57"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16/10/0/0/0</w:t>
            </w:r>
          </w:p>
        </w:tc>
        <w:tc>
          <w:tcPr>
            <w:tcW w:w="2114" w:type="dxa"/>
            <w:shd w:val="clear" w:color="auto" w:fill="auto"/>
          </w:tcPr>
          <w:p w:rsidR="001B5484" w:rsidRPr="00414921" w:rsidRDefault="00B54A57"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11/46/14/22/7</w:t>
            </w:r>
          </w:p>
        </w:tc>
        <w:tc>
          <w:tcPr>
            <w:tcW w:w="1626" w:type="dxa"/>
            <w:shd w:val="clear" w:color="auto" w:fill="auto"/>
          </w:tcPr>
          <w:p w:rsidR="001B5484" w:rsidRPr="00414921" w:rsidRDefault="00B54A57" w:rsidP="00414921">
            <w:pPr>
              <w:snapToGrid w:val="0"/>
              <w:spacing w:line="360" w:lineRule="auto"/>
              <w:jc w:val="center"/>
              <w:rPr>
                <w:rFonts w:ascii="Book Antiqua" w:hAnsi="Book Antiqua" w:cs="Arial"/>
                <w:sz w:val="24"/>
                <w:szCs w:val="24"/>
              </w:rPr>
            </w:pPr>
            <w:r w:rsidRPr="00414921">
              <w:rPr>
                <w:rFonts w:ascii="Book Antiqua" w:hAnsi="Book Antiqua" w:cs="Arial"/>
                <w:sz w:val="24"/>
                <w:szCs w:val="24"/>
              </w:rPr>
              <w:t>&lt;</w:t>
            </w:r>
            <w:r w:rsidRPr="00414921">
              <w:rPr>
                <w:rFonts w:ascii="Book Antiqua" w:eastAsia="SimSun" w:hAnsi="Book Antiqua" w:cs="Arial" w:hint="eastAsia"/>
                <w:sz w:val="24"/>
                <w:szCs w:val="24"/>
                <w:lang w:eastAsia="zh-CN"/>
              </w:rPr>
              <w:t xml:space="preserve"> </w:t>
            </w:r>
            <w:r w:rsidRPr="00414921">
              <w:rPr>
                <w:rFonts w:ascii="Book Antiqua" w:hAnsi="Book Antiqua" w:cs="Arial"/>
                <w:sz w:val="24"/>
                <w:szCs w:val="24"/>
              </w:rPr>
              <w:t>0.00001</w:t>
            </w:r>
          </w:p>
        </w:tc>
      </w:tr>
    </w:tbl>
    <w:p w:rsidR="00536276" w:rsidRPr="00B54A57" w:rsidRDefault="00B54A57" w:rsidP="00F4231A">
      <w:pPr>
        <w:snapToGrid w:val="0"/>
        <w:spacing w:line="360" w:lineRule="auto"/>
        <w:rPr>
          <w:rFonts w:ascii="Book Antiqua" w:eastAsia="SimSun" w:hAnsi="Book Antiqua" w:cs="Arial"/>
          <w:sz w:val="24"/>
          <w:szCs w:val="24"/>
          <w:lang w:eastAsia="zh-CN"/>
        </w:rPr>
      </w:pPr>
      <w:r w:rsidRPr="00B54A57">
        <w:rPr>
          <w:rFonts w:ascii="Book Antiqua" w:eastAsia="SimSun" w:hAnsi="Book Antiqua" w:cs="Arial" w:hint="eastAsia"/>
          <w:sz w:val="24"/>
          <w:szCs w:val="24"/>
          <w:vertAlign w:val="superscript"/>
          <w:lang w:eastAsia="zh-CN"/>
        </w:rPr>
        <w:t>1</w:t>
      </w:r>
      <w:r w:rsidRPr="00B54A57">
        <w:rPr>
          <w:rFonts w:ascii="Book Antiqua" w:eastAsia="MS UI Gothic" w:hAnsi="Book Antiqua" w:cs="Arial"/>
          <w:i/>
          <w:sz w:val="24"/>
          <w:szCs w:val="24"/>
        </w:rPr>
        <w:t>n</w:t>
      </w:r>
      <w:r w:rsidRPr="00F4231A">
        <w:rPr>
          <w:rFonts w:ascii="Book Antiqua" w:eastAsia="MS UI Gothic" w:hAnsi="Book Antiqua" w:cs="Arial"/>
          <w:sz w:val="24"/>
          <w:szCs w:val="24"/>
        </w:rPr>
        <w:t xml:space="preserve"> = 96</w:t>
      </w:r>
      <w:r w:rsidRPr="00F4231A">
        <w:rPr>
          <w:rFonts w:ascii="Book Antiqua" w:hAnsi="Book Antiqua" w:cs="Arial"/>
          <w:sz w:val="24"/>
          <w:szCs w:val="24"/>
        </w:rPr>
        <w:t>.</w:t>
      </w:r>
      <w:r>
        <w:rPr>
          <w:rFonts w:ascii="Book Antiqua" w:eastAsia="SimSun" w:hAnsi="Book Antiqua" w:cs="Arial" w:hint="eastAsia"/>
          <w:sz w:val="24"/>
          <w:szCs w:val="24"/>
          <w:lang w:eastAsia="zh-CN"/>
        </w:rPr>
        <w:t xml:space="preserve"> </w:t>
      </w:r>
      <w:r w:rsidR="00536276" w:rsidRPr="00F4231A">
        <w:rPr>
          <w:rFonts w:ascii="Book Antiqua" w:hAnsi="Book Antiqua" w:cs="Arial"/>
          <w:sz w:val="24"/>
          <w:szCs w:val="24"/>
        </w:rPr>
        <w:t>Data are expressed as number (percentage) or median (</w:t>
      </w:r>
      <w:r w:rsidR="00866A6B" w:rsidRPr="00F4231A">
        <w:rPr>
          <w:rFonts w:ascii="Book Antiqua" w:hAnsi="Book Antiqua" w:cs="Arial"/>
          <w:sz w:val="24"/>
          <w:szCs w:val="24"/>
        </w:rPr>
        <w:t>25</w:t>
      </w:r>
      <w:r w:rsidR="00866A6B" w:rsidRPr="00B54A57">
        <w:rPr>
          <w:rFonts w:ascii="Book Antiqua" w:hAnsi="Book Antiqua" w:cs="Arial"/>
          <w:sz w:val="24"/>
          <w:szCs w:val="24"/>
          <w:vertAlign w:val="superscript"/>
        </w:rPr>
        <w:t>th</w:t>
      </w:r>
      <w:r w:rsidR="00866A6B" w:rsidRPr="00F4231A">
        <w:rPr>
          <w:rFonts w:ascii="Book Antiqua" w:hAnsi="Book Antiqua" w:cs="Arial"/>
          <w:sz w:val="24"/>
          <w:szCs w:val="24"/>
        </w:rPr>
        <w:t>, 75</w:t>
      </w:r>
      <w:r w:rsidRPr="00B54A57">
        <w:rPr>
          <w:rFonts w:ascii="Book Antiqua" w:hAnsi="Book Antiqua" w:cs="Arial"/>
          <w:sz w:val="24"/>
          <w:szCs w:val="24"/>
          <w:vertAlign w:val="superscript"/>
        </w:rPr>
        <w:t>th</w:t>
      </w:r>
      <w:r w:rsidR="00866A6B" w:rsidRPr="00F4231A">
        <w:rPr>
          <w:rFonts w:ascii="Book Antiqua" w:hAnsi="Book Antiqua" w:cs="Arial"/>
          <w:sz w:val="24"/>
          <w:szCs w:val="24"/>
        </w:rPr>
        <w:t xml:space="preserve"> percentiles</w:t>
      </w:r>
      <w:r w:rsidR="00536276" w:rsidRPr="00F4231A">
        <w:rPr>
          <w:rFonts w:ascii="Book Antiqua" w:hAnsi="Book Antiqua" w:cs="Arial"/>
          <w:sz w:val="24"/>
          <w:szCs w:val="24"/>
        </w:rPr>
        <w:t xml:space="preserve">). Histological findings were scored according to the criteria proposed by Kleiner </w:t>
      </w:r>
      <w:r w:rsidR="00536276" w:rsidRPr="00B54A57">
        <w:rPr>
          <w:rFonts w:ascii="Book Antiqua" w:hAnsi="Book Antiqua" w:cs="Arial"/>
          <w:i/>
          <w:sz w:val="24"/>
          <w:szCs w:val="24"/>
        </w:rPr>
        <w:t>et al</w:t>
      </w:r>
      <w:r w:rsidR="00536276"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36276" w:rsidRPr="00F4231A">
        <w:rPr>
          <w:rFonts w:ascii="Book Antiqua" w:hAnsi="Book Antiqua" w:cs="Arial"/>
          <w:sz w:val="24"/>
          <w:szCs w:val="24"/>
        </w:rPr>
        <w:instrText xml:space="preserve"> ADDIN EN.CITE </w:instrText>
      </w:r>
      <w:r w:rsidR="00536276"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00536276" w:rsidRPr="00F4231A">
        <w:rPr>
          <w:rFonts w:ascii="Book Antiqua" w:hAnsi="Book Antiqua" w:cs="Arial"/>
          <w:sz w:val="24"/>
          <w:szCs w:val="24"/>
        </w:rPr>
        <w:instrText xml:space="preserve"> ADDIN EN.CITE.DATA </w:instrText>
      </w:r>
      <w:r w:rsidR="00536276" w:rsidRPr="00F4231A">
        <w:rPr>
          <w:rFonts w:ascii="Book Antiqua" w:hAnsi="Book Antiqua" w:cs="Arial"/>
          <w:sz w:val="24"/>
          <w:szCs w:val="24"/>
        </w:rPr>
      </w:r>
      <w:r w:rsidR="00536276" w:rsidRPr="00F4231A">
        <w:rPr>
          <w:rFonts w:ascii="Book Antiqua" w:hAnsi="Book Antiqua" w:cs="Arial"/>
          <w:sz w:val="24"/>
          <w:szCs w:val="24"/>
        </w:rPr>
        <w:fldChar w:fldCharType="end"/>
      </w:r>
      <w:r w:rsidR="00536276" w:rsidRPr="00F4231A">
        <w:rPr>
          <w:rFonts w:ascii="Book Antiqua" w:hAnsi="Book Antiqua" w:cs="Arial"/>
          <w:sz w:val="24"/>
          <w:szCs w:val="24"/>
        </w:rPr>
      </w:r>
      <w:r w:rsidR="00536276" w:rsidRPr="00F4231A">
        <w:rPr>
          <w:rFonts w:ascii="Book Antiqua" w:hAnsi="Book Antiqua" w:cs="Arial"/>
          <w:sz w:val="24"/>
          <w:szCs w:val="24"/>
        </w:rPr>
        <w:fldChar w:fldCharType="separate"/>
      </w:r>
      <w:r w:rsidR="00536276" w:rsidRPr="00F4231A">
        <w:rPr>
          <w:rFonts w:ascii="Book Antiqua" w:hAnsi="Book Antiqua" w:cs="Arial"/>
          <w:noProof/>
          <w:sz w:val="24"/>
          <w:szCs w:val="24"/>
          <w:vertAlign w:val="superscript"/>
        </w:rPr>
        <w:t>[22]</w:t>
      </w:r>
      <w:r w:rsidR="00536276" w:rsidRPr="00F4231A">
        <w:rPr>
          <w:rFonts w:ascii="Book Antiqua" w:hAnsi="Book Antiqua" w:cs="Arial"/>
          <w:sz w:val="24"/>
          <w:szCs w:val="24"/>
        </w:rPr>
        <w:fldChar w:fldCharType="end"/>
      </w:r>
      <w:r w:rsidR="00536276" w:rsidRPr="00F4231A">
        <w:rPr>
          <w:rFonts w:ascii="Book Antiqua" w:hAnsi="Book Antiqua" w:cs="Arial"/>
          <w:sz w:val="24"/>
          <w:szCs w:val="24"/>
        </w:rPr>
        <w:t xml:space="preserve"> </w:t>
      </w:r>
      <w:r w:rsidR="00B0280B" w:rsidRPr="00F4231A">
        <w:rPr>
          <w:rFonts w:ascii="Book Antiqua" w:hAnsi="Book Antiqua" w:cs="Arial"/>
          <w:sz w:val="24"/>
          <w:szCs w:val="24"/>
        </w:rPr>
        <w:t>Comparisons between NAFL and NASH groups were carried out using the</w:t>
      </w:r>
      <w:r w:rsidR="00ED3D93" w:rsidRPr="00F4231A">
        <w:rPr>
          <w:rFonts w:ascii="Book Antiqua" w:hAnsi="Book Antiqua" w:cs="Arial"/>
          <w:sz w:val="24"/>
          <w:szCs w:val="24"/>
        </w:rPr>
        <w:t xml:space="preserve"> </w:t>
      </w:r>
      <w:r w:rsidR="00ED3D93" w:rsidRPr="00B54A57">
        <w:rPr>
          <w:rFonts w:ascii="Book Antiqua" w:hAnsi="Book Antiqua" w:cs="Arial"/>
          <w:i/>
          <w:sz w:val="24"/>
          <w:szCs w:val="24"/>
        </w:rPr>
        <w:t>χ</w:t>
      </w:r>
      <w:r w:rsidR="00ED3D93" w:rsidRPr="00B54A57">
        <w:rPr>
          <w:rFonts w:ascii="Book Antiqua" w:hAnsi="Book Antiqua" w:cs="Arial"/>
          <w:i/>
          <w:sz w:val="24"/>
          <w:szCs w:val="24"/>
          <w:vertAlign w:val="superscript"/>
        </w:rPr>
        <w:t>2</w:t>
      </w:r>
      <w:r w:rsidR="00ED3D93" w:rsidRPr="00F4231A">
        <w:rPr>
          <w:rFonts w:ascii="Book Antiqua" w:hAnsi="Book Antiqua" w:cs="Arial"/>
          <w:sz w:val="24"/>
          <w:szCs w:val="24"/>
        </w:rPr>
        <w:t xml:space="preserve"> </w:t>
      </w:r>
      <w:r w:rsidR="0048176C" w:rsidRPr="00F4231A">
        <w:rPr>
          <w:rFonts w:ascii="Book Antiqua" w:hAnsi="Book Antiqua" w:cs="Arial"/>
          <w:sz w:val="24"/>
          <w:szCs w:val="24"/>
        </w:rPr>
        <w:t xml:space="preserve">test or </w:t>
      </w:r>
      <w:r w:rsidR="00B0280B" w:rsidRPr="00F4231A">
        <w:rPr>
          <w:rFonts w:ascii="Book Antiqua" w:hAnsi="Book Antiqua" w:cs="Arial"/>
          <w:sz w:val="24"/>
          <w:szCs w:val="24"/>
        </w:rPr>
        <w:t>Mann-W</w:t>
      </w:r>
      <w:r w:rsidR="0048176C" w:rsidRPr="00F4231A">
        <w:rPr>
          <w:rFonts w:ascii="Book Antiqua" w:hAnsi="Book Antiqua" w:cs="Arial"/>
          <w:sz w:val="24"/>
          <w:szCs w:val="24"/>
        </w:rPr>
        <w:t xml:space="preserve">hitney </w:t>
      </w:r>
      <w:r w:rsidR="0048176C" w:rsidRPr="00B54A57">
        <w:rPr>
          <w:rFonts w:ascii="Book Antiqua" w:hAnsi="Book Antiqua" w:cs="Arial"/>
          <w:i/>
          <w:sz w:val="24"/>
          <w:szCs w:val="24"/>
        </w:rPr>
        <w:t>U</w:t>
      </w:r>
      <w:r w:rsidR="0048176C" w:rsidRPr="00F4231A">
        <w:rPr>
          <w:rFonts w:ascii="Book Antiqua" w:hAnsi="Book Antiqua" w:cs="Arial"/>
          <w:sz w:val="24"/>
          <w:szCs w:val="24"/>
        </w:rPr>
        <w:t xml:space="preserve"> test. </w:t>
      </w:r>
      <w:r w:rsidR="00A55A9E" w:rsidRPr="00F4231A">
        <w:rPr>
          <w:rFonts w:ascii="Book Antiqua" w:hAnsi="Book Antiqua" w:cs="Arial"/>
          <w:sz w:val="24"/>
          <w:szCs w:val="24"/>
        </w:rPr>
        <w:t xml:space="preserve">An item with </w:t>
      </w:r>
      <w:r w:rsidR="00A55A9E" w:rsidRPr="00F4231A">
        <w:rPr>
          <w:rFonts w:ascii="Book Antiqua" w:hAnsi="Book Antiqua" w:cs="Arial"/>
          <w:i/>
          <w:sz w:val="24"/>
          <w:szCs w:val="24"/>
        </w:rPr>
        <w:t>P</w:t>
      </w:r>
      <w:r w:rsidR="006D5CEB" w:rsidRPr="00F4231A">
        <w:rPr>
          <w:rFonts w:ascii="Book Antiqua" w:hAnsi="Book Antiqua" w:cs="Arial"/>
          <w:sz w:val="24"/>
          <w:szCs w:val="24"/>
        </w:rPr>
        <w:t xml:space="preserve"> &lt;</w:t>
      </w:r>
      <w:r>
        <w:rPr>
          <w:rFonts w:ascii="Book Antiqua" w:eastAsia="SimSun" w:hAnsi="Book Antiqua" w:cs="Arial" w:hint="eastAsia"/>
          <w:sz w:val="24"/>
          <w:szCs w:val="24"/>
          <w:lang w:eastAsia="zh-CN"/>
        </w:rPr>
        <w:t xml:space="preserve"> </w:t>
      </w:r>
      <w:r w:rsidR="006D5CEB" w:rsidRPr="00F4231A">
        <w:rPr>
          <w:rFonts w:ascii="Book Antiqua" w:hAnsi="Book Antiqua" w:cs="Arial"/>
          <w:sz w:val="24"/>
          <w:szCs w:val="24"/>
        </w:rPr>
        <w:t xml:space="preserve">0.05 is expressed in bold. </w:t>
      </w:r>
      <w:r w:rsidR="00536276" w:rsidRPr="00F4231A">
        <w:rPr>
          <w:rFonts w:ascii="Book Antiqua" w:hAnsi="Book Antiqua" w:cs="Arial"/>
          <w:sz w:val="24"/>
          <w:szCs w:val="24"/>
        </w:rPr>
        <w:t>BMI</w:t>
      </w:r>
      <w:r>
        <w:rPr>
          <w:rFonts w:ascii="Book Antiqua" w:eastAsia="SimSun" w:hAnsi="Book Antiqua" w:cs="Arial" w:hint="eastAsia"/>
          <w:sz w:val="24"/>
          <w:szCs w:val="24"/>
          <w:lang w:eastAsia="zh-CN"/>
        </w:rPr>
        <w:t xml:space="preserve">: </w:t>
      </w:r>
      <w:r w:rsidR="00536276" w:rsidRPr="00B54A57">
        <w:rPr>
          <w:rFonts w:ascii="Book Antiqua" w:hAnsi="Book Antiqua" w:cs="Arial"/>
          <w:caps/>
          <w:sz w:val="24"/>
          <w:szCs w:val="24"/>
        </w:rPr>
        <w:t>b</w:t>
      </w:r>
      <w:r w:rsidR="00536276" w:rsidRPr="00F4231A">
        <w:rPr>
          <w:rFonts w:ascii="Book Antiqua" w:hAnsi="Book Antiqua" w:cs="Arial"/>
          <w:sz w:val="24"/>
          <w:szCs w:val="24"/>
        </w:rPr>
        <w:t>ody mass index;</w:t>
      </w:r>
      <w:r>
        <w:rPr>
          <w:rFonts w:ascii="Book Antiqua" w:eastAsia="SimSun" w:hAnsi="Book Antiqua" w:cs="Arial" w:hint="eastAsia"/>
          <w:sz w:val="24"/>
          <w:szCs w:val="24"/>
          <w:lang w:eastAsia="zh-CN"/>
        </w:rPr>
        <w:t xml:space="preserve"> </w:t>
      </w:r>
      <w:r w:rsidR="00536276" w:rsidRPr="00F4231A">
        <w:rPr>
          <w:rFonts w:ascii="Book Antiqua" w:hAnsi="Book Antiqua" w:cs="Arial"/>
          <w:sz w:val="24"/>
          <w:szCs w:val="24"/>
        </w:rPr>
        <w:t>MCV</w:t>
      </w:r>
      <w:r>
        <w:rPr>
          <w:rFonts w:ascii="Book Antiqua" w:eastAsia="SimSun" w:hAnsi="Book Antiqua" w:cs="Arial" w:hint="eastAsia"/>
          <w:sz w:val="24"/>
          <w:szCs w:val="24"/>
          <w:lang w:eastAsia="zh-CN"/>
        </w:rPr>
        <w:t>:</w:t>
      </w:r>
      <w:r w:rsidR="00536276" w:rsidRPr="00F4231A">
        <w:rPr>
          <w:rFonts w:ascii="Book Antiqua" w:hAnsi="Book Antiqua" w:cs="Arial"/>
          <w:sz w:val="24"/>
          <w:szCs w:val="24"/>
        </w:rPr>
        <w:t xml:space="preserve"> </w:t>
      </w:r>
      <w:r w:rsidR="00536276" w:rsidRPr="00B54A57">
        <w:rPr>
          <w:rFonts w:ascii="Book Antiqua" w:hAnsi="Book Antiqua" w:cs="Arial"/>
          <w:caps/>
          <w:sz w:val="24"/>
          <w:szCs w:val="24"/>
        </w:rPr>
        <w:t>m</w:t>
      </w:r>
      <w:r w:rsidR="00536276" w:rsidRPr="00F4231A">
        <w:rPr>
          <w:rFonts w:ascii="Book Antiqua" w:hAnsi="Book Antiqua" w:cs="Arial"/>
          <w:sz w:val="24"/>
          <w:szCs w:val="24"/>
        </w:rPr>
        <w:t>ean corpuscular volume; MCH</w:t>
      </w:r>
      <w:r>
        <w:rPr>
          <w:rFonts w:ascii="Book Antiqua" w:eastAsia="SimSun" w:hAnsi="Book Antiqua" w:cs="Arial" w:hint="eastAsia"/>
          <w:sz w:val="24"/>
          <w:szCs w:val="24"/>
          <w:lang w:eastAsia="zh-CN"/>
        </w:rPr>
        <w:t xml:space="preserve">: </w:t>
      </w:r>
      <w:r w:rsidR="00536276" w:rsidRPr="00B54A57">
        <w:rPr>
          <w:rFonts w:ascii="Book Antiqua" w:hAnsi="Book Antiqua" w:cs="Arial"/>
          <w:caps/>
          <w:sz w:val="24"/>
          <w:szCs w:val="24"/>
        </w:rPr>
        <w:t>m</w:t>
      </w:r>
      <w:r w:rsidR="00536276" w:rsidRPr="00F4231A">
        <w:rPr>
          <w:rFonts w:ascii="Book Antiqua" w:hAnsi="Book Antiqua" w:cs="Arial"/>
          <w:sz w:val="24"/>
          <w:szCs w:val="24"/>
        </w:rPr>
        <w:t>ean corpuscular hemoglobin; MCHC</w:t>
      </w:r>
      <w:r>
        <w:rPr>
          <w:rFonts w:ascii="Book Antiqua" w:eastAsia="SimSun" w:hAnsi="Book Antiqua" w:cs="Arial" w:hint="eastAsia"/>
          <w:sz w:val="24"/>
          <w:szCs w:val="24"/>
          <w:lang w:eastAsia="zh-CN"/>
        </w:rPr>
        <w:t xml:space="preserve">: </w:t>
      </w:r>
      <w:r w:rsidR="00536276" w:rsidRPr="00B54A57">
        <w:rPr>
          <w:rFonts w:ascii="Book Antiqua" w:hAnsi="Book Antiqua" w:cs="Arial"/>
          <w:caps/>
          <w:sz w:val="24"/>
          <w:szCs w:val="24"/>
        </w:rPr>
        <w:t>m</w:t>
      </w:r>
      <w:r w:rsidR="00536276" w:rsidRPr="00F4231A">
        <w:rPr>
          <w:rFonts w:ascii="Book Antiqua" w:hAnsi="Book Antiqua" w:cs="Arial"/>
          <w:sz w:val="24"/>
          <w:szCs w:val="24"/>
        </w:rPr>
        <w:t>ean corpuscular hemoglobin concentration; PT-INR</w:t>
      </w:r>
      <w:r>
        <w:rPr>
          <w:rFonts w:ascii="Book Antiqua" w:eastAsia="SimSun" w:hAnsi="Book Antiqua" w:cs="Arial" w:hint="eastAsia"/>
          <w:sz w:val="24"/>
          <w:szCs w:val="24"/>
          <w:lang w:eastAsia="zh-CN"/>
        </w:rPr>
        <w:t xml:space="preserve">: </w:t>
      </w:r>
      <w:r w:rsidR="00536276" w:rsidRPr="00B54A57">
        <w:rPr>
          <w:rFonts w:ascii="Book Antiqua" w:hAnsi="Book Antiqua" w:cs="Arial"/>
          <w:caps/>
          <w:sz w:val="24"/>
          <w:szCs w:val="24"/>
        </w:rPr>
        <w:t>i</w:t>
      </w:r>
      <w:r w:rsidR="00536276" w:rsidRPr="00F4231A">
        <w:rPr>
          <w:rFonts w:ascii="Book Antiqua" w:hAnsi="Book Antiqua" w:cs="Arial"/>
          <w:sz w:val="24"/>
          <w:szCs w:val="24"/>
        </w:rPr>
        <w:t>nternational ratio of prothrombin time; APTT</w:t>
      </w:r>
      <w:r>
        <w:rPr>
          <w:rFonts w:ascii="Book Antiqua" w:eastAsia="SimSun" w:hAnsi="Book Antiqua" w:cs="Arial" w:hint="eastAsia"/>
          <w:sz w:val="24"/>
          <w:szCs w:val="24"/>
          <w:lang w:eastAsia="zh-CN"/>
        </w:rPr>
        <w:t xml:space="preserve">: </w:t>
      </w:r>
      <w:r w:rsidR="00536276" w:rsidRPr="00B54A57">
        <w:rPr>
          <w:rFonts w:ascii="Book Antiqua" w:hAnsi="Book Antiqua" w:cs="Arial"/>
          <w:caps/>
          <w:sz w:val="24"/>
          <w:szCs w:val="24"/>
        </w:rPr>
        <w:t>a</w:t>
      </w:r>
      <w:r w:rsidR="00536276" w:rsidRPr="00F4231A">
        <w:rPr>
          <w:rFonts w:ascii="Book Antiqua" w:hAnsi="Book Antiqua" w:cs="Arial"/>
          <w:sz w:val="24"/>
          <w:szCs w:val="24"/>
        </w:rPr>
        <w:t>ctivated partial thromboplastin test; FIBG</w:t>
      </w:r>
      <w:r>
        <w:rPr>
          <w:rFonts w:ascii="Book Antiqua" w:eastAsia="SimSun" w:hAnsi="Book Antiqua" w:cs="Arial" w:hint="eastAsia"/>
          <w:sz w:val="24"/>
          <w:szCs w:val="24"/>
          <w:lang w:eastAsia="zh-CN"/>
        </w:rPr>
        <w:t>:</w:t>
      </w:r>
      <w:r w:rsidR="00536276" w:rsidRPr="00F4231A">
        <w:rPr>
          <w:rFonts w:ascii="Book Antiqua" w:hAnsi="Book Antiqua" w:cs="Arial"/>
          <w:sz w:val="24"/>
          <w:szCs w:val="24"/>
        </w:rPr>
        <w:t xml:space="preserve"> </w:t>
      </w:r>
      <w:r w:rsidR="00536276" w:rsidRPr="00B54A57">
        <w:rPr>
          <w:rFonts w:ascii="Book Antiqua" w:hAnsi="Book Antiqua" w:cs="Arial"/>
          <w:caps/>
          <w:sz w:val="24"/>
          <w:szCs w:val="24"/>
        </w:rPr>
        <w:t>f</w:t>
      </w:r>
      <w:r w:rsidR="00536276" w:rsidRPr="00F4231A">
        <w:rPr>
          <w:rFonts w:ascii="Book Antiqua" w:hAnsi="Book Antiqua" w:cs="Arial"/>
          <w:sz w:val="24"/>
          <w:szCs w:val="24"/>
        </w:rPr>
        <w:t>ibrinogen; AST</w:t>
      </w:r>
      <w:r>
        <w:rPr>
          <w:rFonts w:ascii="Book Antiqua" w:eastAsia="SimSun" w:hAnsi="Book Antiqua" w:cs="Arial" w:hint="eastAsia"/>
          <w:sz w:val="24"/>
          <w:szCs w:val="24"/>
          <w:lang w:eastAsia="zh-CN"/>
        </w:rPr>
        <w:t xml:space="preserve">: </w:t>
      </w:r>
      <w:r w:rsidR="00536276" w:rsidRPr="00B54A57">
        <w:rPr>
          <w:rFonts w:ascii="Book Antiqua" w:hAnsi="Book Antiqua" w:cs="Arial"/>
          <w:caps/>
          <w:sz w:val="24"/>
          <w:szCs w:val="24"/>
        </w:rPr>
        <w:t>a</w:t>
      </w:r>
      <w:r w:rsidR="00536276" w:rsidRPr="00F4231A">
        <w:rPr>
          <w:rFonts w:ascii="Book Antiqua" w:hAnsi="Book Antiqua" w:cs="Arial"/>
          <w:sz w:val="24"/>
          <w:szCs w:val="24"/>
        </w:rPr>
        <w:t xml:space="preserve">spartate aminotransferase; </w:t>
      </w:r>
      <w:r w:rsidR="004B6E3E" w:rsidRPr="004B6E3E">
        <w:rPr>
          <w:rFonts w:ascii="Book Antiqua" w:eastAsia="MS UI Gothic" w:hAnsi="Book Antiqua" w:cs="Arial"/>
          <w:sz w:val="24"/>
          <w:szCs w:val="24"/>
        </w:rPr>
        <w:t>NAFL</w:t>
      </w:r>
      <w:r w:rsidR="004B6E3E" w:rsidRPr="004B6E3E">
        <w:rPr>
          <w:rFonts w:ascii="Book Antiqua" w:eastAsia="SimSun" w:hAnsi="Book Antiqua" w:cs="Arial" w:hint="eastAsia"/>
          <w:sz w:val="24"/>
          <w:szCs w:val="24"/>
          <w:lang w:eastAsia="zh-CN"/>
        </w:rPr>
        <w:t>:</w:t>
      </w:r>
      <w:r w:rsidR="004B6E3E" w:rsidRPr="004B6E3E">
        <w:rPr>
          <w:rFonts w:ascii="Book Antiqua" w:hAnsi="Book Antiqua" w:cs="Arial"/>
          <w:sz w:val="24"/>
          <w:szCs w:val="24"/>
        </w:rPr>
        <w:t xml:space="preserve"> </w:t>
      </w:r>
      <w:r w:rsidR="004B6E3E" w:rsidRPr="004B6E3E">
        <w:rPr>
          <w:rFonts w:ascii="Book Antiqua" w:hAnsi="Book Antiqua" w:cs="Arial"/>
          <w:caps/>
          <w:sz w:val="24"/>
          <w:szCs w:val="24"/>
        </w:rPr>
        <w:t>n</w:t>
      </w:r>
      <w:r w:rsidR="004B6E3E" w:rsidRPr="00F4231A">
        <w:rPr>
          <w:rFonts w:ascii="Book Antiqua" w:hAnsi="Book Antiqua" w:cs="Arial"/>
          <w:sz w:val="24"/>
          <w:szCs w:val="24"/>
        </w:rPr>
        <w:t>onalcoholic fatty liver</w:t>
      </w:r>
      <w:r w:rsidR="004B6E3E">
        <w:rPr>
          <w:rFonts w:ascii="Book Antiqua" w:eastAsia="SimSun" w:hAnsi="Book Antiqua" w:cs="Arial" w:hint="eastAsia"/>
          <w:sz w:val="24"/>
          <w:szCs w:val="24"/>
          <w:lang w:eastAsia="zh-CN"/>
        </w:rPr>
        <w:t>;</w:t>
      </w:r>
      <w:r w:rsidR="004B6E3E" w:rsidRPr="00F4231A">
        <w:rPr>
          <w:rFonts w:ascii="Book Antiqua" w:hAnsi="Book Antiqua" w:cs="Arial"/>
          <w:sz w:val="24"/>
          <w:szCs w:val="24"/>
        </w:rPr>
        <w:t xml:space="preserve"> </w:t>
      </w:r>
      <w:r w:rsidR="004B6E3E" w:rsidRPr="004B6E3E">
        <w:rPr>
          <w:rFonts w:ascii="Book Antiqua" w:eastAsia="MS UI Gothic" w:hAnsi="Book Antiqua" w:cs="Arial"/>
          <w:sz w:val="24"/>
          <w:szCs w:val="24"/>
        </w:rPr>
        <w:t>NASH</w:t>
      </w:r>
      <w:r w:rsidR="004B6E3E" w:rsidRPr="004B6E3E">
        <w:rPr>
          <w:rFonts w:ascii="Book Antiqua" w:eastAsia="SimSun" w:hAnsi="Book Antiqua" w:cs="Arial" w:hint="eastAsia"/>
          <w:sz w:val="24"/>
          <w:szCs w:val="24"/>
          <w:lang w:eastAsia="zh-CN"/>
        </w:rPr>
        <w:t xml:space="preserve">: </w:t>
      </w:r>
      <w:r w:rsidR="004B6E3E" w:rsidRPr="004B6E3E">
        <w:rPr>
          <w:rFonts w:ascii="Book Antiqua" w:eastAsia="SimSun" w:hAnsi="Book Antiqua" w:cs="Arial"/>
          <w:sz w:val="24"/>
          <w:szCs w:val="24"/>
          <w:lang w:eastAsia="zh-CN"/>
        </w:rPr>
        <w:t>nonalcoholic steatohepatitis</w:t>
      </w:r>
      <w:r w:rsidR="004B6E3E" w:rsidRPr="004B6E3E">
        <w:rPr>
          <w:rFonts w:ascii="Book Antiqua" w:eastAsia="SimSun" w:hAnsi="Book Antiqua" w:cs="Arial" w:hint="eastAsia"/>
          <w:sz w:val="24"/>
          <w:szCs w:val="24"/>
          <w:lang w:eastAsia="zh-CN"/>
        </w:rPr>
        <w:t>;</w:t>
      </w:r>
      <w:r w:rsidR="004B6E3E" w:rsidRPr="004B6E3E">
        <w:rPr>
          <w:rFonts w:ascii="Book Antiqua" w:eastAsia="SimSun" w:hAnsi="Book Antiqua" w:cs="Arial"/>
          <w:sz w:val="24"/>
          <w:szCs w:val="24"/>
          <w:lang w:eastAsia="zh-CN"/>
        </w:rPr>
        <w:t xml:space="preserve"> </w:t>
      </w:r>
      <w:r w:rsidR="00536276" w:rsidRPr="00F4231A">
        <w:rPr>
          <w:rFonts w:ascii="Book Antiqua" w:hAnsi="Book Antiqua" w:cs="Arial"/>
          <w:sz w:val="24"/>
          <w:szCs w:val="24"/>
        </w:rPr>
        <w:t>ALT</w:t>
      </w:r>
      <w:r>
        <w:rPr>
          <w:rFonts w:ascii="Book Antiqua" w:eastAsia="SimSun" w:hAnsi="Book Antiqua" w:cs="Arial" w:hint="eastAsia"/>
          <w:sz w:val="24"/>
          <w:szCs w:val="24"/>
          <w:lang w:eastAsia="zh-CN"/>
        </w:rPr>
        <w:t xml:space="preserve">: </w:t>
      </w:r>
      <w:r w:rsidR="00536276" w:rsidRPr="00B54A57">
        <w:rPr>
          <w:rFonts w:ascii="Book Antiqua" w:hAnsi="Book Antiqua" w:cs="Arial"/>
          <w:caps/>
          <w:sz w:val="24"/>
          <w:szCs w:val="24"/>
        </w:rPr>
        <w:t>a</w:t>
      </w:r>
      <w:r w:rsidR="00536276" w:rsidRPr="00F4231A">
        <w:rPr>
          <w:rFonts w:ascii="Book Antiqua" w:hAnsi="Book Antiqua" w:cs="Arial"/>
          <w:sz w:val="24"/>
          <w:szCs w:val="24"/>
        </w:rPr>
        <w:t>lanine aminotransferase;</w:t>
      </w:r>
      <w:r w:rsidR="004B6E3E">
        <w:rPr>
          <w:rFonts w:ascii="Book Antiqua" w:eastAsia="SimSun" w:hAnsi="Book Antiqua" w:cs="Arial" w:hint="eastAsia"/>
          <w:sz w:val="24"/>
          <w:szCs w:val="24"/>
          <w:lang w:eastAsia="zh-CN"/>
        </w:rPr>
        <w:t xml:space="preserve"> </w:t>
      </w:r>
      <w:r w:rsidR="00536276" w:rsidRPr="00F4231A">
        <w:rPr>
          <w:rFonts w:ascii="Book Antiqua" w:hAnsi="Book Antiqua" w:cs="Arial"/>
          <w:sz w:val="24"/>
          <w:szCs w:val="24"/>
        </w:rPr>
        <w:t>LDH</w:t>
      </w:r>
      <w:r>
        <w:rPr>
          <w:rFonts w:ascii="Book Antiqua" w:eastAsia="SimSun" w:hAnsi="Book Antiqua" w:cs="Arial" w:hint="eastAsia"/>
          <w:sz w:val="24"/>
          <w:szCs w:val="24"/>
          <w:lang w:eastAsia="zh-CN"/>
        </w:rPr>
        <w:t>:</w:t>
      </w:r>
      <w:r w:rsidR="00536276" w:rsidRPr="00F4231A">
        <w:rPr>
          <w:rFonts w:ascii="Book Antiqua" w:hAnsi="Book Antiqua" w:cs="Arial"/>
          <w:sz w:val="24"/>
          <w:szCs w:val="24"/>
        </w:rPr>
        <w:t xml:space="preserve"> </w:t>
      </w:r>
      <w:r w:rsidR="00536276" w:rsidRPr="00B54A57">
        <w:rPr>
          <w:rFonts w:ascii="Book Antiqua" w:hAnsi="Book Antiqua" w:cs="Arial"/>
          <w:caps/>
          <w:sz w:val="24"/>
          <w:szCs w:val="24"/>
        </w:rPr>
        <w:t>l</w:t>
      </w:r>
      <w:r w:rsidR="00536276" w:rsidRPr="00F4231A">
        <w:rPr>
          <w:rFonts w:ascii="Book Antiqua" w:hAnsi="Book Antiqua" w:cs="Arial"/>
          <w:sz w:val="24"/>
          <w:szCs w:val="24"/>
        </w:rPr>
        <w:t>actate dehydrogenase; eGFR</w:t>
      </w:r>
      <w:r>
        <w:rPr>
          <w:rFonts w:ascii="Book Antiqua" w:eastAsia="SimSun" w:hAnsi="Book Antiqua" w:cs="Arial" w:hint="eastAsia"/>
          <w:sz w:val="24"/>
          <w:szCs w:val="24"/>
          <w:lang w:eastAsia="zh-CN"/>
        </w:rPr>
        <w:t>:</w:t>
      </w:r>
      <w:r w:rsidR="00536276" w:rsidRPr="00F4231A">
        <w:rPr>
          <w:rFonts w:ascii="Book Antiqua" w:hAnsi="Book Antiqua" w:cs="Arial"/>
          <w:sz w:val="24"/>
          <w:szCs w:val="24"/>
        </w:rPr>
        <w:t xml:space="preserve"> </w:t>
      </w:r>
      <w:r w:rsidR="00536276" w:rsidRPr="00B54A57">
        <w:rPr>
          <w:rFonts w:ascii="Book Antiqua" w:hAnsi="Book Antiqua" w:cs="Arial"/>
          <w:caps/>
          <w:sz w:val="24"/>
          <w:szCs w:val="24"/>
        </w:rPr>
        <w:t>e</w:t>
      </w:r>
      <w:r w:rsidR="00536276" w:rsidRPr="00F4231A">
        <w:rPr>
          <w:rFonts w:ascii="Book Antiqua" w:hAnsi="Book Antiqua" w:cs="Arial"/>
          <w:sz w:val="24"/>
          <w:szCs w:val="24"/>
        </w:rPr>
        <w:t>stimated glomerular filtration rate; ALP</w:t>
      </w:r>
      <w:r>
        <w:rPr>
          <w:rFonts w:ascii="Book Antiqua" w:eastAsia="SimSun" w:hAnsi="Book Antiqua" w:cs="Arial" w:hint="eastAsia"/>
          <w:sz w:val="24"/>
          <w:szCs w:val="24"/>
          <w:lang w:eastAsia="zh-CN"/>
        </w:rPr>
        <w:t>:</w:t>
      </w:r>
      <w:r w:rsidR="00536276" w:rsidRPr="00F4231A">
        <w:rPr>
          <w:rFonts w:ascii="Book Antiqua" w:hAnsi="Book Antiqua" w:cs="Arial"/>
          <w:sz w:val="24"/>
          <w:szCs w:val="24"/>
        </w:rPr>
        <w:t xml:space="preserve"> </w:t>
      </w:r>
      <w:r w:rsidR="00536276" w:rsidRPr="00B54A57">
        <w:rPr>
          <w:rFonts w:ascii="Book Antiqua" w:hAnsi="Book Antiqua" w:cs="Arial"/>
          <w:caps/>
          <w:sz w:val="24"/>
          <w:szCs w:val="24"/>
        </w:rPr>
        <w:t>a</w:t>
      </w:r>
      <w:r w:rsidR="00536276" w:rsidRPr="00F4231A">
        <w:rPr>
          <w:rFonts w:ascii="Book Antiqua" w:hAnsi="Book Antiqua" w:cs="Arial"/>
          <w:sz w:val="24"/>
          <w:szCs w:val="24"/>
        </w:rPr>
        <w:t>lkaline phosphatase; γGT</w:t>
      </w:r>
      <w:r>
        <w:rPr>
          <w:rFonts w:ascii="Book Antiqua" w:eastAsia="SimSun" w:hAnsi="Book Antiqua" w:cs="Arial" w:hint="eastAsia"/>
          <w:sz w:val="24"/>
          <w:szCs w:val="24"/>
          <w:lang w:eastAsia="zh-CN"/>
        </w:rPr>
        <w:t xml:space="preserve">: </w:t>
      </w:r>
      <w:r w:rsidR="00536276" w:rsidRPr="00F4231A">
        <w:rPr>
          <w:rFonts w:ascii="Book Antiqua" w:hAnsi="Book Antiqua" w:cs="Arial"/>
          <w:sz w:val="24"/>
          <w:szCs w:val="24"/>
        </w:rPr>
        <w:t>γ-glutamyltransferase; ChE</w:t>
      </w:r>
      <w:r>
        <w:rPr>
          <w:rFonts w:ascii="Book Antiqua" w:eastAsia="SimSun" w:hAnsi="Book Antiqua" w:cs="Arial" w:hint="eastAsia"/>
          <w:sz w:val="24"/>
          <w:szCs w:val="24"/>
          <w:lang w:eastAsia="zh-CN"/>
        </w:rPr>
        <w:t xml:space="preserve">: </w:t>
      </w:r>
      <w:r w:rsidR="00536276" w:rsidRPr="00B54A57">
        <w:rPr>
          <w:rFonts w:ascii="Book Antiqua" w:hAnsi="Book Antiqua" w:cs="Arial"/>
          <w:caps/>
          <w:sz w:val="24"/>
          <w:szCs w:val="24"/>
        </w:rPr>
        <w:t>c</w:t>
      </w:r>
      <w:r w:rsidR="00536276" w:rsidRPr="00F4231A">
        <w:rPr>
          <w:rFonts w:ascii="Book Antiqua" w:hAnsi="Book Antiqua" w:cs="Arial"/>
          <w:sz w:val="24"/>
          <w:szCs w:val="24"/>
        </w:rPr>
        <w:t>holinesterase; LDL</w:t>
      </w:r>
      <w:r>
        <w:rPr>
          <w:rFonts w:ascii="Book Antiqua" w:eastAsia="SimSun" w:hAnsi="Book Antiqua" w:cs="Arial" w:hint="eastAsia"/>
          <w:sz w:val="24"/>
          <w:szCs w:val="24"/>
          <w:lang w:eastAsia="zh-CN"/>
        </w:rPr>
        <w:t>:</w:t>
      </w:r>
      <w:r w:rsidRPr="00B54A57">
        <w:rPr>
          <w:rFonts w:ascii="Book Antiqua" w:eastAsia="SimSun" w:hAnsi="Book Antiqua" w:cs="Arial" w:hint="eastAsia"/>
          <w:caps/>
          <w:sz w:val="24"/>
          <w:szCs w:val="24"/>
          <w:lang w:eastAsia="zh-CN"/>
        </w:rPr>
        <w:t xml:space="preserve"> </w:t>
      </w:r>
      <w:r w:rsidR="00536276" w:rsidRPr="00B54A57">
        <w:rPr>
          <w:rFonts w:ascii="Book Antiqua" w:hAnsi="Book Antiqua" w:cs="Arial"/>
          <w:caps/>
          <w:sz w:val="24"/>
          <w:szCs w:val="24"/>
        </w:rPr>
        <w:t>l</w:t>
      </w:r>
      <w:r w:rsidR="00536276" w:rsidRPr="00F4231A">
        <w:rPr>
          <w:rFonts w:ascii="Book Antiqua" w:hAnsi="Book Antiqua" w:cs="Arial"/>
          <w:sz w:val="24"/>
          <w:szCs w:val="24"/>
        </w:rPr>
        <w:t>ow-density lipoprotein; HDL</w:t>
      </w:r>
      <w:r>
        <w:rPr>
          <w:rFonts w:ascii="Book Antiqua" w:eastAsia="SimSun" w:hAnsi="Book Antiqua" w:cs="Arial" w:hint="eastAsia"/>
          <w:sz w:val="24"/>
          <w:szCs w:val="24"/>
          <w:lang w:eastAsia="zh-CN"/>
        </w:rPr>
        <w:t>:</w:t>
      </w:r>
      <w:r w:rsidR="00536276" w:rsidRPr="00F4231A">
        <w:rPr>
          <w:rFonts w:ascii="Book Antiqua" w:hAnsi="Book Antiqua" w:cs="Arial"/>
          <w:sz w:val="24"/>
          <w:szCs w:val="24"/>
        </w:rPr>
        <w:t xml:space="preserve"> </w:t>
      </w:r>
      <w:r w:rsidR="00536276" w:rsidRPr="00B54A57">
        <w:rPr>
          <w:rFonts w:ascii="Book Antiqua" w:hAnsi="Book Antiqua" w:cs="Arial"/>
          <w:caps/>
          <w:sz w:val="24"/>
          <w:szCs w:val="24"/>
        </w:rPr>
        <w:t>h</w:t>
      </w:r>
      <w:r w:rsidRPr="00B54A57">
        <w:rPr>
          <w:rFonts w:ascii="Book Antiqua" w:hAnsi="Book Antiqua" w:cs="Arial"/>
          <w:sz w:val="24"/>
          <w:szCs w:val="24"/>
        </w:rPr>
        <w:t>i</w:t>
      </w:r>
      <w:r w:rsidR="00536276" w:rsidRPr="00F4231A">
        <w:rPr>
          <w:rFonts w:ascii="Book Antiqua" w:hAnsi="Book Antiqua" w:cs="Arial"/>
          <w:sz w:val="24"/>
          <w:szCs w:val="24"/>
        </w:rPr>
        <w:t>gh-density lipoprotein; HbA1c</w:t>
      </w:r>
      <w:r>
        <w:rPr>
          <w:rFonts w:ascii="Book Antiqua" w:eastAsia="SimSun" w:hAnsi="Book Antiqua" w:cs="Arial" w:hint="eastAsia"/>
          <w:sz w:val="24"/>
          <w:szCs w:val="24"/>
          <w:lang w:eastAsia="zh-CN"/>
        </w:rPr>
        <w:t>:</w:t>
      </w:r>
      <w:r w:rsidR="00536276" w:rsidRPr="00F4231A">
        <w:rPr>
          <w:rFonts w:ascii="Book Antiqua" w:hAnsi="Book Antiqua" w:cs="Arial"/>
          <w:sz w:val="24"/>
          <w:szCs w:val="24"/>
        </w:rPr>
        <w:t xml:space="preserve"> </w:t>
      </w:r>
      <w:r w:rsidR="00536276" w:rsidRPr="00B54A57">
        <w:rPr>
          <w:rFonts w:ascii="Book Antiqua" w:hAnsi="Book Antiqua" w:cs="Arial"/>
          <w:caps/>
          <w:sz w:val="24"/>
          <w:szCs w:val="24"/>
        </w:rPr>
        <w:t>h</w:t>
      </w:r>
      <w:r w:rsidR="00536276" w:rsidRPr="00F4231A">
        <w:rPr>
          <w:rFonts w:ascii="Book Antiqua" w:hAnsi="Book Antiqua" w:cs="Arial"/>
          <w:sz w:val="24"/>
          <w:szCs w:val="24"/>
        </w:rPr>
        <w:t>emoglobin A1c; HOMA-IR</w:t>
      </w:r>
      <w:r>
        <w:rPr>
          <w:rFonts w:ascii="Book Antiqua" w:eastAsia="SimSun" w:hAnsi="Book Antiqua" w:cs="Arial" w:hint="eastAsia"/>
          <w:sz w:val="24"/>
          <w:szCs w:val="24"/>
          <w:lang w:eastAsia="zh-CN"/>
        </w:rPr>
        <w:t xml:space="preserve">: </w:t>
      </w:r>
      <w:r w:rsidR="00536276" w:rsidRPr="00B54A57">
        <w:rPr>
          <w:rFonts w:ascii="Book Antiqua" w:hAnsi="Book Antiqua" w:cs="Arial"/>
          <w:caps/>
          <w:sz w:val="24"/>
          <w:szCs w:val="24"/>
        </w:rPr>
        <w:t>h</w:t>
      </w:r>
      <w:r w:rsidR="00536276" w:rsidRPr="00F4231A">
        <w:rPr>
          <w:rFonts w:ascii="Book Antiqua" w:hAnsi="Book Antiqua" w:cs="Arial"/>
          <w:sz w:val="24"/>
          <w:szCs w:val="24"/>
        </w:rPr>
        <w:t>omeostasis model assessment for insulin resistance;</w:t>
      </w:r>
      <w:r>
        <w:rPr>
          <w:rFonts w:ascii="Book Antiqua" w:eastAsia="SimSun" w:hAnsi="Book Antiqua" w:cs="Arial" w:hint="eastAsia"/>
          <w:sz w:val="24"/>
          <w:szCs w:val="24"/>
          <w:lang w:eastAsia="zh-CN"/>
        </w:rPr>
        <w:t xml:space="preserve"> </w:t>
      </w:r>
      <w:r w:rsidR="00CA2A10" w:rsidRPr="00F4231A">
        <w:rPr>
          <w:rFonts w:ascii="Book Antiqua" w:hAnsi="Book Antiqua" w:cs="Arial"/>
          <w:sz w:val="24"/>
          <w:szCs w:val="24"/>
        </w:rPr>
        <w:t>CRP</w:t>
      </w:r>
      <w:r>
        <w:rPr>
          <w:rFonts w:ascii="Book Antiqua" w:eastAsia="SimSun" w:hAnsi="Book Antiqua" w:cs="Arial" w:hint="eastAsia"/>
          <w:sz w:val="24"/>
          <w:szCs w:val="24"/>
          <w:lang w:eastAsia="zh-CN"/>
        </w:rPr>
        <w:t>:</w:t>
      </w:r>
      <w:r w:rsidR="00CA2A10" w:rsidRPr="00F4231A">
        <w:rPr>
          <w:rFonts w:ascii="Book Antiqua" w:hAnsi="Book Antiqua" w:cs="Arial"/>
          <w:sz w:val="24"/>
          <w:szCs w:val="24"/>
        </w:rPr>
        <w:t xml:space="preserve"> C-reactive protein; CK</w:t>
      </w:r>
      <w:r w:rsidR="00441436" w:rsidRPr="00F4231A">
        <w:rPr>
          <w:rFonts w:ascii="Book Antiqua" w:hAnsi="Book Antiqua" w:cs="Arial"/>
          <w:sz w:val="24"/>
          <w:szCs w:val="24"/>
        </w:rPr>
        <w:t>18</w:t>
      </w:r>
      <w:r>
        <w:rPr>
          <w:rFonts w:ascii="Book Antiqua" w:eastAsia="SimSun" w:hAnsi="Book Antiqua" w:cs="Arial" w:hint="eastAsia"/>
          <w:sz w:val="24"/>
          <w:szCs w:val="24"/>
          <w:lang w:eastAsia="zh-CN"/>
        </w:rPr>
        <w:t xml:space="preserve">: </w:t>
      </w:r>
      <w:r w:rsidR="00CA2A10" w:rsidRPr="00B54A57">
        <w:rPr>
          <w:rFonts w:ascii="Book Antiqua" w:hAnsi="Book Antiqua" w:cs="Arial"/>
          <w:caps/>
          <w:sz w:val="24"/>
          <w:szCs w:val="24"/>
        </w:rPr>
        <w:t>c</w:t>
      </w:r>
      <w:r w:rsidR="00CA2A10" w:rsidRPr="00F4231A">
        <w:rPr>
          <w:rFonts w:ascii="Book Antiqua" w:hAnsi="Book Antiqua" w:cs="Arial"/>
          <w:sz w:val="24"/>
          <w:szCs w:val="24"/>
        </w:rPr>
        <w:t>ytokeratin</w:t>
      </w:r>
      <w:r w:rsidR="00441436" w:rsidRPr="00F4231A">
        <w:rPr>
          <w:rFonts w:ascii="Book Antiqua" w:hAnsi="Book Antiqua" w:cs="Arial"/>
          <w:sz w:val="24"/>
          <w:szCs w:val="24"/>
        </w:rPr>
        <w:t xml:space="preserve"> 18</w:t>
      </w:r>
      <w:r>
        <w:rPr>
          <w:rFonts w:ascii="Book Antiqua" w:eastAsia="SimSun" w:hAnsi="Book Antiqua" w:cs="Arial" w:hint="eastAsia"/>
          <w:sz w:val="24"/>
          <w:szCs w:val="24"/>
          <w:lang w:eastAsia="zh-CN"/>
        </w:rPr>
        <w:t>.</w:t>
      </w:r>
    </w:p>
    <w:p w:rsidR="00536276" w:rsidRPr="00F4231A" w:rsidRDefault="00536276" w:rsidP="00F4231A">
      <w:pPr>
        <w:snapToGrid w:val="0"/>
        <w:spacing w:line="360" w:lineRule="auto"/>
        <w:rPr>
          <w:rFonts w:ascii="Book Antiqua" w:eastAsia="MS UI Gothic" w:hAnsi="Book Antiqua" w:cs="Arial"/>
          <w:b/>
          <w:sz w:val="24"/>
          <w:szCs w:val="24"/>
        </w:rPr>
      </w:pPr>
      <w:r w:rsidRPr="00F4231A">
        <w:rPr>
          <w:rFonts w:ascii="Book Antiqua" w:hAnsi="Book Antiqua" w:cs="Arial"/>
          <w:sz w:val="24"/>
          <w:szCs w:val="24"/>
        </w:rPr>
        <w:br w:type="page"/>
      </w:r>
      <w:r w:rsidRPr="00F4231A">
        <w:rPr>
          <w:rFonts w:ascii="Book Antiqua" w:eastAsia="MS UI Gothic" w:hAnsi="Book Antiqua" w:cs="Arial"/>
          <w:b/>
          <w:sz w:val="24"/>
          <w:szCs w:val="24"/>
        </w:rPr>
        <w:lastRenderedPageBreak/>
        <w:t>Table 2</w:t>
      </w:r>
      <w:r w:rsidR="00BB4569" w:rsidRPr="00F4231A">
        <w:rPr>
          <w:rFonts w:ascii="Book Antiqua" w:eastAsia="MS UI Gothic" w:hAnsi="Book Antiqua" w:cs="Arial"/>
          <w:b/>
          <w:sz w:val="24"/>
          <w:szCs w:val="24"/>
        </w:rPr>
        <w:t xml:space="preserve"> </w:t>
      </w:r>
      <w:r w:rsidRPr="00F4231A">
        <w:rPr>
          <w:rFonts w:ascii="Book Antiqua" w:eastAsia="MS UI Gothic" w:hAnsi="Book Antiqua" w:cs="Arial"/>
          <w:b/>
          <w:sz w:val="24"/>
          <w:szCs w:val="24"/>
        </w:rPr>
        <w:t xml:space="preserve">Correlations between </w:t>
      </w:r>
      <w:r w:rsidR="00BB4569" w:rsidRPr="00F4231A">
        <w:rPr>
          <w:rFonts w:ascii="Book Antiqua" w:eastAsia="MS UI Gothic" w:hAnsi="Book Antiqua" w:cs="Arial"/>
          <w:b/>
          <w:sz w:val="24"/>
          <w:szCs w:val="24"/>
        </w:rPr>
        <w:t>lipopolysaccharide-binding protein</w:t>
      </w:r>
      <w:r w:rsidRPr="00F4231A">
        <w:rPr>
          <w:rFonts w:ascii="Book Antiqua" w:eastAsia="MS UI Gothic" w:hAnsi="Book Antiqua" w:cs="Arial"/>
          <w:b/>
          <w:sz w:val="24"/>
          <w:szCs w:val="24"/>
        </w:rPr>
        <w:t>/EndoCab IgG and individual pathological features</w:t>
      </w:r>
    </w:p>
    <w:tbl>
      <w:tblPr>
        <w:tblW w:w="8843" w:type="dxa"/>
        <w:tblBorders>
          <w:top w:val="single" w:sz="4" w:space="0" w:color="auto"/>
          <w:bottom w:val="single" w:sz="4" w:space="0" w:color="auto"/>
        </w:tblBorders>
        <w:tblLook w:val="0000" w:firstRow="0" w:lastRow="0" w:firstColumn="0" w:lastColumn="0" w:noHBand="0" w:noVBand="0"/>
      </w:tblPr>
      <w:tblGrid>
        <w:gridCol w:w="2833"/>
        <w:gridCol w:w="1562"/>
        <w:gridCol w:w="1621"/>
        <w:gridCol w:w="1439"/>
        <w:gridCol w:w="1388"/>
      </w:tblGrid>
      <w:tr w:rsidR="00BB4569" w:rsidRPr="00F4231A" w:rsidTr="00BB4569">
        <w:trPr>
          <w:trHeight w:val="127"/>
        </w:trPr>
        <w:tc>
          <w:tcPr>
            <w:tcW w:w="2833" w:type="dxa"/>
            <w:vMerge w:val="restart"/>
            <w:tcBorders>
              <w:top w:val="single" w:sz="4" w:space="0" w:color="auto"/>
              <w:bottom w:val="single" w:sz="4" w:space="0" w:color="auto"/>
            </w:tcBorders>
          </w:tcPr>
          <w:p w:rsidR="00BB4569" w:rsidRPr="00F4231A" w:rsidRDefault="00BB4569" w:rsidP="00F4231A">
            <w:pPr>
              <w:tabs>
                <w:tab w:val="center" w:pos="3969"/>
                <w:tab w:val="center" w:pos="6663"/>
              </w:tabs>
              <w:snapToGrid w:val="0"/>
              <w:spacing w:line="360" w:lineRule="auto"/>
              <w:ind w:left="6"/>
              <w:rPr>
                <w:rFonts w:ascii="Book Antiqua" w:hAnsi="Book Antiqua" w:cs="Arial"/>
                <w:sz w:val="24"/>
                <w:szCs w:val="24"/>
              </w:rPr>
            </w:pPr>
          </w:p>
        </w:tc>
        <w:tc>
          <w:tcPr>
            <w:tcW w:w="3183" w:type="dxa"/>
            <w:gridSpan w:val="2"/>
            <w:tcBorders>
              <w:top w:val="single" w:sz="4" w:space="0" w:color="auto"/>
              <w:bottom w:val="single" w:sz="4" w:space="0" w:color="auto"/>
            </w:tcBorders>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sz w:val="24"/>
                <w:szCs w:val="24"/>
              </w:rPr>
              <w:t>LBP</w:t>
            </w:r>
          </w:p>
        </w:tc>
        <w:tc>
          <w:tcPr>
            <w:tcW w:w="2827" w:type="dxa"/>
            <w:gridSpan w:val="2"/>
            <w:tcBorders>
              <w:top w:val="single" w:sz="4" w:space="0" w:color="auto"/>
              <w:bottom w:val="single" w:sz="4" w:space="0" w:color="auto"/>
            </w:tcBorders>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sz w:val="24"/>
                <w:szCs w:val="24"/>
              </w:rPr>
              <w:t>EndoCab IgG</w:t>
            </w:r>
          </w:p>
        </w:tc>
      </w:tr>
      <w:tr w:rsidR="00BB4569" w:rsidRPr="00F4231A" w:rsidTr="00BB4569">
        <w:trPr>
          <w:trHeight w:val="191"/>
        </w:trPr>
        <w:tc>
          <w:tcPr>
            <w:tcW w:w="2833" w:type="dxa"/>
            <w:vMerge/>
            <w:tcBorders>
              <w:top w:val="single" w:sz="4" w:space="0" w:color="auto"/>
              <w:bottom w:val="single" w:sz="4" w:space="0" w:color="auto"/>
            </w:tcBorders>
          </w:tcPr>
          <w:p w:rsidR="00BB4569" w:rsidRPr="00F4231A" w:rsidRDefault="00BB4569" w:rsidP="00F4231A">
            <w:pPr>
              <w:tabs>
                <w:tab w:val="center" w:pos="3969"/>
                <w:tab w:val="center" w:pos="6663"/>
              </w:tabs>
              <w:snapToGrid w:val="0"/>
              <w:spacing w:line="360" w:lineRule="auto"/>
              <w:ind w:left="6"/>
              <w:rPr>
                <w:rFonts w:ascii="Book Antiqua" w:hAnsi="Book Antiqua" w:cs="Arial"/>
                <w:sz w:val="24"/>
                <w:szCs w:val="24"/>
              </w:rPr>
            </w:pPr>
          </w:p>
        </w:tc>
        <w:tc>
          <w:tcPr>
            <w:tcW w:w="1562" w:type="dxa"/>
            <w:tcBorders>
              <w:top w:val="single" w:sz="4" w:space="0" w:color="auto"/>
              <w:bottom w:val="single" w:sz="4" w:space="0" w:color="auto"/>
            </w:tcBorders>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i/>
                <w:sz w:val="24"/>
                <w:szCs w:val="24"/>
              </w:rPr>
              <w:t>r</w:t>
            </w:r>
          </w:p>
        </w:tc>
        <w:tc>
          <w:tcPr>
            <w:tcW w:w="1621" w:type="dxa"/>
            <w:tcBorders>
              <w:top w:val="single" w:sz="4" w:space="0" w:color="auto"/>
              <w:bottom w:val="single" w:sz="4" w:space="0" w:color="auto"/>
            </w:tcBorders>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i/>
                <w:sz w:val="24"/>
                <w:szCs w:val="24"/>
              </w:rPr>
              <w:t xml:space="preserve">P </w:t>
            </w:r>
            <w:r w:rsidRPr="00F4231A">
              <w:rPr>
                <w:rFonts w:ascii="Book Antiqua" w:eastAsia="MS UI Gothic" w:hAnsi="Book Antiqua" w:cs="Arial"/>
                <w:b/>
                <w:sz w:val="24"/>
                <w:szCs w:val="24"/>
              </w:rPr>
              <w:t>value</w:t>
            </w:r>
          </w:p>
        </w:tc>
        <w:tc>
          <w:tcPr>
            <w:tcW w:w="1439" w:type="dxa"/>
            <w:tcBorders>
              <w:top w:val="single" w:sz="4" w:space="0" w:color="auto"/>
              <w:bottom w:val="single" w:sz="4" w:space="0" w:color="auto"/>
            </w:tcBorders>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i/>
                <w:sz w:val="24"/>
                <w:szCs w:val="24"/>
              </w:rPr>
              <w:t>r</w:t>
            </w:r>
          </w:p>
        </w:tc>
        <w:tc>
          <w:tcPr>
            <w:tcW w:w="1388" w:type="dxa"/>
            <w:tcBorders>
              <w:top w:val="single" w:sz="4" w:space="0" w:color="auto"/>
              <w:bottom w:val="single" w:sz="4" w:space="0" w:color="auto"/>
            </w:tcBorders>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i/>
                <w:sz w:val="24"/>
                <w:szCs w:val="24"/>
              </w:rPr>
              <w:t xml:space="preserve">P </w:t>
            </w:r>
            <w:r w:rsidRPr="00F4231A">
              <w:rPr>
                <w:rFonts w:ascii="Book Antiqua" w:eastAsia="MS UI Gothic" w:hAnsi="Book Antiqua" w:cs="Arial"/>
                <w:b/>
                <w:sz w:val="24"/>
                <w:szCs w:val="24"/>
              </w:rPr>
              <w:t>value</w:t>
            </w:r>
          </w:p>
        </w:tc>
      </w:tr>
      <w:tr w:rsidR="00BB4569" w:rsidRPr="00F4231A" w:rsidTr="00BB4569">
        <w:trPr>
          <w:trHeight w:val="204"/>
        </w:trPr>
        <w:tc>
          <w:tcPr>
            <w:tcW w:w="2833" w:type="dxa"/>
            <w:tcBorders>
              <w:top w:val="single" w:sz="4" w:space="0" w:color="auto"/>
            </w:tcBorders>
          </w:tcPr>
          <w:p w:rsidR="00BB4569" w:rsidRPr="00F4231A" w:rsidRDefault="00BB4569" w:rsidP="00F4231A">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Steatosis</w:t>
            </w:r>
          </w:p>
        </w:tc>
        <w:tc>
          <w:tcPr>
            <w:tcW w:w="1562" w:type="dxa"/>
            <w:tcBorders>
              <w:top w:val="single" w:sz="4" w:space="0" w:color="auto"/>
            </w:tcBorders>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0.38</w:t>
            </w:r>
          </w:p>
        </w:tc>
        <w:tc>
          <w:tcPr>
            <w:tcW w:w="1621" w:type="dxa"/>
            <w:tcBorders>
              <w:top w:val="single" w:sz="4" w:space="0" w:color="auto"/>
            </w:tcBorders>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&lt; 0.0001</w:t>
            </w:r>
          </w:p>
        </w:tc>
        <w:tc>
          <w:tcPr>
            <w:tcW w:w="1439" w:type="dxa"/>
            <w:tcBorders>
              <w:top w:val="single" w:sz="4" w:space="0" w:color="auto"/>
            </w:tcBorders>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-0.10</w:t>
            </w:r>
          </w:p>
        </w:tc>
        <w:tc>
          <w:tcPr>
            <w:tcW w:w="1388" w:type="dxa"/>
            <w:tcBorders>
              <w:top w:val="single" w:sz="4" w:space="0" w:color="auto"/>
            </w:tcBorders>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0.25</w:t>
            </w:r>
          </w:p>
        </w:tc>
      </w:tr>
      <w:tr w:rsidR="00BB4569" w:rsidRPr="00F4231A" w:rsidTr="00BB4569">
        <w:trPr>
          <w:trHeight w:val="204"/>
        </w:trPr>
        <w:tc>
          <w:tcPr>
            <w:tcW w:w="2833" w:type="dxa"/>
          </w:tcPr>
          <w:p w:rsidR="00BB4569" w:rsidRPr="00F4231A" w:rsidRDefault="00BB4569" w:rsidP="00F4231A">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Ballooning</w:t>
            </w:r>
          </w:p>
        </w:tc>
        <w:tc>
          <w:tcPr>
            <w:tcW w:w="1562"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0.23</w:t>
            </w:r>
          </w:p>
        </w:tc>
        <w:tc>
          <w:tcPr>
            <w:tcW w:w="1621"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0.01</w:t>
            </w:r>
          </w:p>
        </w:tc>
        <w:tc>
          <w:tcPr>
            <w:tcW w:w="1439"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0.11</w:t>
            </w:r>
          </w:p>
        </w:tc>
        <w:tc>
          <w:tcPr>
            <w:tcW w:w="1388"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0.22</w:t>
            </w:r>
          </w:p>
        </w:tc>
      </w:tr>
      <w:tr w:rsidR="00BB4569" w:rsidRPr="00F4231A" w:rsidTr="00BB4569">
        <w:trPr>
          <w:trHeight w:val="241"/>
        </w:trPr>
        <w:tc>
          <w:tcPr>
            <w:tcW w:w="2833" w:type="dxa"/>
          </w:tcPr>
          <w:p w:rsidR="00BB4569" w:rsidRPr="00F4231A" w:rsidRDefault="00BB4569" w:rsidP="00F4231A">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Lobular inflammation</w:t>
            </w:r>
          </w:p>
        </w:tc>
        <w:tc>
          <w:tcPr>
            <w:tcW w:w="1562"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0.13</w:t>
            </w:r>
          </w:p>
        </w:tc>
        <w:tc>
          <w:tcPr>
            <w:tcW w:w="1621"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0.14</w:t>
            </w:r>
          </w:p>
        </w:tc>
        <w:tc>
          <w:tcPr>
            <w:tcW w:w="1439"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0.05</w:t>
            </w:r>
          </w:p>
        </w:tc>
        <w:tc>
          <w:tcPr>
            <w:tcW w:w="1388"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0.94</w:t>
            </w:r>
          </w:p>
        </w:tc>
      </w:tr>
      <w:tr w:rsidR="00BB4569" w:rsidRPr="00F4231A" w:rsidTr="00BB4569">
        <w:trPr>
          <w:trHeight w:val="191"/>
        </w:trPr>
        <w:tc>
          <w:tcPr>
            <w:tcW w:w="2833" w:type="dxa"/>
          </w:tcPr>
          <w:p w:rsidR="00BB4569" w:rsidRPr="00F4231A" w:rsidRDefault="00BB4569" w:rsidP="00F4231A">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Fibrosis</w:t>
            </w:r>
          </w:p>
        </w:tc>
        <w:tc>
          <w:tcPr>
            <w:tcW w:w="1562"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0.03</w:t>
            </w:r>
          </w:p>
        </w:tc>
        <w:tc>
          <w:tcPr>
            <w:tcW w:w="1621"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0.74</w:t>
            </w:r>
          </w:p>
        </w:tc>
        <w:tc>
          <w:tcPr>
            <w:tcW w:w="1439"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0.13</w:t>
            </w:r>
          </w:p>
        </w:tc>
        <w:tc>
          <w:tcPr>
            <w:tcW w:w="1388" w:type="dxa"/>
          </w:tcPr>
          <w:p w:rsidR="00BB4569" w:rsidRPr="00F4231A" w:rsidRDefault="00BB4569"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0.13</w:t>
            </w:r>
          </w:p>
        </w:tc>
      </w:tr>
    </w:tbl>
    <w:p w:rsidR="00536276" w:rsidRPr="00F4231A" w:rsidRDefault="00536276" w:rsidP="00F4231A">
      <w:pPr>
        <w:snapToGrid w:val="0"/>
        <w:spacing w:line="360" w:lineRule="auto"/>
        <w:rPr>
          <w:rFonts w:ascii="Book Antiqua" w:hAnsi="Book Antiqua" w:cs="Arial"/>
          <w:sz w:val="24"/>
          <w:szCs w:val="24"/>
        </w:rPr>
      </w:pPr>
      <w:r w:rsidRPr="00F4231A">
        <w:rPr>
          <w:rFonts w:ascii="Book Antiqua" w:hAnsi="Book Antiqua" w:cs="Arial"/>
          <w:sz w:val="24"/>
          <w:szCs w:val="24"/>
        </w:rPr>
        <w:t xml:space="preserve">Histological findings were scored according to the criteria proposed by Kleiner </w:t>
      </w:r>
      <w:r w:rsidRPr="00F4231A">
        <w:rPr>
          <w:rFonts w:ascii="Book Antiqua" w:hAnsi="Book Antiqua" w:cs="Arial"/>
          <w:i/>
          <w:sz w:val="24"/>
          <w:szCs w:val="24"/>
        </w:rPr>
        <w:t>et al</w:t>
      </w:r>
      <w:r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Pr="00F4231A">
        <w:rPr>
          <w:rFonts w:ascii="Book Antiqua" w:hAnsi="Book Antiqua" w:cs="Arial"/>
          <w:sz w:val="24"/>
          <w:szCs w:val="24"/>
        </w:rPr>
        <w:instrText xml:space="preserve"> ADDIN EN.CITE </w:instrText>
      </w:r>
      <w:r w:rsidRPr="00F4231A">
        <w:rPr>
          <w:rFonts w:ascii="Book Antiqua" w:hAnsi="Book Antiqua" w:cs="Arial"/>
          <w:sz w:val="24"/>
          <w:szCs w:val="24"/>
        </w:rPr>
        <w:fldChar w:fldCharType="begin">
          <w:fldData xml:space="preserve">PEVuZE5vdGU+PENpdGU+PEF1dGhvcj5DdWJpZWxsYSBGZXJuYW5kZXo8L0F1dGhvcj48WWVhcj4y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</w:fldData>
        </w:fldChar>
      </w:r>
      <w:r w:rsidRPr="00F4231A">
        <w:rPr>
          <w:rFonts w:ascii="Book Antiqua" w:hAnsi="Book Antiqua" w:cs="Arial"/>
          <w:sz w:val="24"/>
          <w:szCs w:val="24"/>
        </w:rPr>
        <w:instrText xml:space="preserve"> ADDIN EN.CITE.DATA </w:instrText>
      </w:r>
      <w:r w:rsidRPr="00F4231A">
        <w:rPr>
          <w:rFonts w:ascii="Book Antiqua" w:hAnsi="Book Antiqua" w:cs="Arial"/>
          <w:sz w:val="24"/>
          <w:szCs w:val="24"/>
        </w:rPr>
      </w:r>
      <w:r w:rsidRPr="00F4231A">
        <w:rPr>
          <w:rFonts w:ascii="Book Antiqua" w:hAnsi="Book Antiqua" w:cs="Arial"/>
          <w:sz w:val="24"/>
          <w:szCs w:val="24"/>
        </w:rPr>
        <w:fldChar w:fldCharType="end"/>
      </w:r>
      <w:r w:rsidRPr="00F4231A">
        <w:rPr>
          <w:rFonts w:ascii="Book Antiqua" w:hAnsi="Book Antiqua" w:cs="Arial"/>
          <w:sz w:val="24"/>
          <w:szCs w:val="24"/>
        </w:rPr>
      </w:r>
      <w:r w:rsidRPr="00F4231A">
        <w:rPr>
          <w:rFonts w:ascii="Book Antiqua" w:hAnsi="Book Antiqua" w:cs="Arial"/>
          <w:sz w:val="24"/>
          <w:szCs w:val="24"/>
        </w:rPr>
        <w:fldChar w:fldCharType="separate"/>
      </w:r>
      <w:r w:rsidRPr="00F4231A">
        <w:rPr>
          <w:rFonts w:ascii="Book Antiqua" w:hAnsi="Book Antiqua" w:cs="Arial"/>
          <w:noProof/>
          <w:sz w:val="24"/>
          <w:szCs w:val="24"/>
          <w:vertAlign w:val="superscript"/>
        </w:rPr>
        <w:t>[22]</w:t>
      </w:r>
      <w:r w:rsidRPr="00F4231A">
        <w:rPr>
          <w:rFonts w:ascii="Book Antiqua" w:hAnsi="Book Antiqua" w:cs="Arial"/>
          <w:sz w:val="24"/>
          <w:szCs w:val="24"/>
        </w:rPr>
        <w:fldChar w:fldCharType="end"/>
      </w:r>
      <w:r w:rsidRPr="00F4231A">
        <w:rPr>
          <w:rFonts w:ascii="Book Antiqua" w:hAnsi="Book Antiqua" w:cs="Arial"/>
          <w:sz w:val="24"/>
          <w:szCs w:val="24"/>
        </w:rPr>
        <w:t xml:space="preserve"> Correlation coefficients (</w:t>
      </w:r>
      <w:r w:rsidRPr="00F4231A">
        <w:rPr>
          <w:rFonts w:ascii="Book Antiqua" w:hAnsi="Book Antiqua" w:cs="Arial"/>
          <w:i/>
          <w:sz w:val="24"/>
          <w:szCs w:val="24"/>
        </w:rPr>
        <w:t>r</w:t>
      </w:r>
      <w:r w:rsidRPr="00F4231A">
        <w:rPr>
          <w:rFonts w:ascii="Book Antiqua" w:hAnsi="Book Antiqua" w:cs="Arial"/>
          <w:sz w:val="24"/>
          <w:szCs w:val="24"/>
        </w:rPr>
        <w:t xml:space="preserve">) and </w:t>
      </w:r>
      <w:r w:rsidRPr="00F4231A">
        <w:rPr>
          <w:rFonts w:ascii="Book Antiqua" w:hAnsi="Book Antiqua" w:cs="Arial"/>
          <w:i/>
          <w:sz w:val="24"/>
          <w:szCs w:val="24"/>
        </w:rPr>
        <w:t>P</w:t>
      </w:r>
      <w:r w:rsidRPr="00F4231A">
        <w:rPr>
          <w:rFonts w:ascii="Book Antiqua" w:hAnsi="Book Antiqua" w:cs="Arial"/>
          <w:sz w:val="24"/>
          <w:szCs w:val="24"/>
        </w:rPr>
        <w:t xml:space="preserve"> values were calculated by Spearman’s test. An item with </w:t>
      </w:r>
      <w:r w:rsidRPr="00F4231A">
        <w:rPr>
          <w:rFonts w:ascii="Book Antiqua" w:hAnsi="Book Antiqua" w:cs="Arial"/>
          <w:i/>
          <w:sz w:val="24"/>
          <w:szCs w:val="24"/>
        </w:rPr>
        <w:t xml:space="preserve">r </w:t>
      </w:r>
      <w:r w:rsidRPr="00F4231A">
        <w:rPr>
          <w:rFonts w:ascii="Book Antiqua" w:hAnsi="Book Antiqua" w:cs="Arial"/>
          <w:sz w:val="24"/>
          <w:szCs w:val="24"/>
        </w:rPr>
        <w:t>&gt;</w:t>
      </w:r>
      <w:r w:rsidR="00BB4569" w:rsidRPr="00F4231A">
        <w:rPr>
          <w:rFonts w:ascii="Book Antiqua" w:hAnsi="Book Antiqua" w:cs="Arial"/>
          <w:sz w:val="24"/>
          <w:szCs w:val="24"/>
        </w:rPr>
        <w:t xml:space="preserve"> </w:t>
      </w:r>
      <w:r w:rsidRPr="00F4231A">
        <w:rPr>
          <w:rFonts w:ascii="Book Antiqua" w:hAnsi="Book Antiqua" w:cs="Arial"/>
          <w:sz w:val="24"/>
          <w:szCs w:val="24"/>
        </w:rPr>
        <w:t xml:space="preserve">0.3 and </w:t>
      </w:r>
      <w:r w:rsidRPr="00F4231A">
        <w:rPr>
          <w:rFonts w:ascii="Book Antiqua" w:hAnsi="Book Antiqua" w:cs="Arial"/>
          <w:i/>
          <w:sz w:val="24"/>
          <w:szCs w:val="24"/>
        </w:rPr>
        <w:t>P</w:t>
      </w:r>
      <w:r w:rsidRPr="00F4231A">
        <w:rPr>
          <w:rFonts w:ascii="Book Antiqua" w:hAnsi="Book Antiqua" w:cs="Arial"/>
          <w:sz w:val="24"/>
          <w:szCs w:val="24"/>
        </w:rPr>
        <w:t xml:space="preserve"> &lt;</w:t>
      </w:r>
      <w:r w:rsidR="00BB4569" w:rsidRPr="00F4231A">
        <w:rPr>
          <w:rFonts w:ascii="Book Antiqua" w:hAnsi="Book Antiqua" w:cs="Arial"/>
          <w:sz w:val="24"/>
          <w:szCs w:val="24"/>
        </w:rPr>
        <w:t xml:space="preserve"> </w:t>
      </w:r>
      <w:r w:rsidRPr="00F4231A">
        <w:rPr>
          <w:rFonts w:ascii="Book Antiqua" w:hAnsi="Book Antiqua" w:cs="Arial"/>
          <w:sz w:val="24"/>
          <w:szCs w:val="24"/>
        </w:rPr>
        <w:t xml:space="preserve">0.05 is expressed in bold. </w:t>
      </w:r>
      <w:r w:rsidR="00BB4569" w:rsidRPr="00F4231A">
        <w:rPr>
          <w:rFonts w:ascii="Book Antiqua" w:hAnsi="Book Antiqua" w:cs="Arial"/>
          <w:sz w:val="24"/>
          <w:szCs w:val="24"/>
        </w:rPr>
        <w:t xml:space="preserve">LBP: </w:t>
      </w:r>
      <w:r w:rsidR="00BB4569" w:rsidRPr="00F4231A">
        <w:rPr>
          <w:rFonts w:ascii="Book Antiqua" w:hAnsi="Book Antiqua" w:cs="Arial"/>
          <w:caps/>
          <w:sz w:val="24"/>
          <w:szCs w:val="24"/>
        </w:rPr>
        <w:t>l</w:t>
      </w:r>
      <w:r w:rsidR="00BB4569" w:rsidRPr="00F4231A">
        <w:rPr>
          <w:rFonts w:ascii="Book Antiqua" w:hAnsi="Book Antiqua" w:cs="Arial"/>
          <w:sz w:val="24"/>
          <w:szCs w:val="24"/>
        </w:rPr>
        <w:t>ipopolysaccharide-binding protein.</w:t>
      </w:r>
    </w:p>
    <w:p w:rsidR="00536276" w:rsidRPr="00F4231A" w:rsidRDefault="00536276" w:rsidP="00F4231A">
      <w:pPr>
        <w:snapToGrid w:val="0"/>
        <w:spacing w:line="360" w:lineRule="auto"/>
        <w:rPr>
          <w:rFonts w:ascii="Book Antiqua" w:eastAsia="MS UI Gothic" w:hAnsi="Book Antiqua" w:cs="Arial"/>
          <w:b/>
          <w:sz w:val="24"/>
          <w:szCs w:val="24"/>
        </w:rPr>
      </w:pPr>
      <w:r w:rsidRPr="00F4231A">
        <w:rPr>
          <w:rFonts w:ascii="Book Antiqua" w:hAnsi="Book Antiqua" w:cs="Arial"/>
          <w:sz w:val="24"/>
          <w:szCs w:val="24"/>
        </w:rPr>
        <w:br w:type="page"/>
      </w:r>
      <w:r w:rsidRPr="00F4231A">
        <w:rPr>
          <w:rFonts w:ascii="Book Antiqua" w:eastAsia="MS UI Gothic" w:hAnsi="Book Antiqua" w:cs="Arial"/>
          <w:b/>
          <w:sz w:val="24"/>
          <w:szCs w:val="24"/>
        </w:rPr>
        <w:lastRenderedPageBreak/>
        <w:t>Table 3</w:t>
      </w:r>
      <w:r w:rsidR="00F4231A">
        <w:rPr>
          <w:rFonts w:ascii="Book Antiqua" w:eastAsia="SimSun" w:hAnsi="Book Antiqua" w:cs="Arial" w:hint="eastAsia"/>
          <w:b/>
          <w:sz w:val="24"/>
          <w:szCs w:val="24"/>
          <w:lang w:eastAsia="zh-CN"/>
        </w:rPr>
        <w:t xml:space="preserve"> </w:t>
      </w:r>
      <w:r w:rsidRPr="00F4231A">
        <w:rPr>
          <w:rFonts w:ascii="Book Antiqua" w:eastAsia="MS UI Gothic" w:hAnsi="Book Antiqua" w:cs="Arial"/>
          <w:b/>
          <w:sz w:val="24"/>
          <w:szCs w:val="24"/>
        </w:rPr>
        <w:t>Correlations between</w:t>
      </w:r>
      <w:r w:rsidR="00F4231A" w:rsidRPr="00F4231A">
        <w:rPr>
          <w:rFonts w:ascii="Book Antiqua" w:eastAsia="MS UI Gothic" w:hAnsi="Book Antiqua" w:cs="Arial"/>
          <w:b/>
          <w:sz w:val="24"/>
          <w:szCs w:val="24"/>
        </w:rPr>
        <w:t xml:space="preserve"> lipopolysaccharide-binding protein</w:t>
      </w:r>
      <w:r w:rsidRPr="00F4231A">
        <w:rPr>
          <w:rFonts w:ascii="Book Antiqua" w:eastAsia="MS UI Gothic" w:hAnsi="Book Antiqua" w:cs="Arial"/>
          <w:b/>
          <w:sz w:val="24"/>
          <w:szCs w:val="24"/>
        </w:rPr>
        <w:t>/EndoCab IgG and routine clinical data</w:t>
      </w:r>
    </w:p>
    <w:tbl>
      <w:tblPr>
        <w:tblW w:w="884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33"/>
        <w:gridCol w:w="1562"/>
        <w:gridCol w:w="1621"/>
        <w:gridCol w:w="1439"/>
        <w:gridCol w:w="1388"/>
      </w:tblGrid>
      <w:tr w:rsidR="00F4231A" w:rsidRPr="00F4231A" w:rsidTr="00F4231A">
        <w:trPr>
          <w:trHeight w:val="127"/>
        </w:trPr>
        <w:tc>
          <w:tcPr>
            <w:tcW w:w="2833" w:type="dxa"/>
            <w:vMerge w:val="restart"/>
          </w:tcPr>
          <w:p w:rsidR="00F4231A" w:rsidRPr="00F4231A" w:rsidRDefault="00F4231A" w:rsidP="0014227C">
            <w:pPr>
              <w:tabs>
                <w:tab w:val="center" w:pos="3969"/>
                <w:tab w:val="center" w:pos="6663"/>
              </w:tabs>
              <w:snapToGrid w:val="0"/>
              <w:spacing w:line="360" w:lineRule="auto"/>
              <w:ind w:left="6"/>
              <w:rPr>
                <w:rFonts w:ascii="Book Antiqua" w:hAnsi="Book Antiqua" w:cs="Arial"/>
                <w:sz w:val="24"/>
                <w:szCs w:val="24"/>
              </w:rPr>
            </w:pPr>
          </w:p>
        </w:tc>
        <w:tc>
          <w:tcPr>
            <w:tcW w:w="3183" w:type="dxa"/>
            <w:gridSpan w:val="2"/>
          </w:tcPr>
          <w:p w:rsidR="00F4231A" w:rsidRPr="00F4231A" w:rsidRDefault="00F4231A"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sz w:val="24"/>
                <w:szCs w:val="24"/>
              </w:rPr>
              <w:t>LBP</w:t>
            </w:r>
          </w:p>
        </w:tc>
        <w:tc>
          <w:tcPr>
            <w:tcW w:w="2827" w:type="dxa"/>
            <w:gridSpan w:val="2"/>
          </w:tcPr>
          <w:p w:rsidR="00F4231A" w:rsidRPr="00F4231A" w:rsidRDefault="00F4231A"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sz w:val="24"/>
                <w:szCs w:val="24"/>
              </w:rPr>
              <w:t>EndoCab IgG</w:t>
            </w:r>
          </w:p>
        </w:tc>
      </w:tr>
      <w:tr w:rsidR="00F4231A" w:rsidRPr="00F4231A" w:rsidTr="00F4231A">
        <w:trPr>
          <w:trHeight w:val="191"/>
        </w:trPr>
        <w:tc>
          <w:tcPr>
            <w:tcW w:w="2833" w:type="dxa"/>
            <w:vMerge/>
          </w:tcPr>
          <w:p w:rsidR="00F4231A" w:rsidRPr="00F4231A" w:rsidRDefault="00F4231A" w:rsidP="0014227C">
            <w:pPr>
              <w:tabs>
                <w:tab w:val="center" w:pos="3969"/>
                <w:tab w:val="center" w:pos="6663"/>
              </w:tabs>
              <w:snapToGrid w:val="0"/>
              <w:spacing w:line="360" w:lineRule="auto"/>
              <w:ind w:left="6"/>
              <w:rPr>
                <w:rFonts w:ascii="Book Antiqua" w:hAnsi="Book Antiqua" w:cs="Arial"/>
                <w:sz w:val="24"/>
                <w:szCs w:val="24"/>
              </w:rPr>
            </w:pPr>
          </w:p>
        </w:tc>
        <w:tc>
          <w:tcPr>
            <w:tcW w:w="1562" w:type="dxa"/>
          </w:tcPr>
          <w:p w:rsidR="00F4231A" w:rsidRPr="00F4231A" w:rsidRDefault="00F4231A"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i/>
                <w:sz w:val="24"/>
                <w:szCs w:val="24"/>
              </w:rPr>
              <w:t>r</w:t>
            </w:r>
          </w:p>
        </w:tc>
        <w:tc>
          <w:tcPr>
            <w:tcW w:w="1621" w:type="dxa"/>
          </w:tcPr>
          <w:p w:rsidR="00F4231A" w:rsidRPr="00F4231A" w:rsidRDefault="00F4231A"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i/>
                <w:sz w:val="24"/>
                <w:szCs w:val="24"/>
              </w:rPr>
              <w:t xml:space="preserve">P </w:t>
            </w:r>
            <w:r w:rsidRPr="00F4231A">
              <w:rPr>
                <w:rFonts w:ascii="Book Antiqua" w:eastAsia="MS UI Gothic" w:hAnsi="Book Antiqua" w:cs="Arial"/>
                <w:b/>
                <w:sz w:val="24"/>
                <w:szCs w:val="24"/>
              </w:rPr>
              <w:t>value</w:t>
            </w:r>
          </w:p>
        </w:tc>
        <w:tc>
          <w:tcPr>
            <w:tcW w:w="1439" w:type="dxa"/>
          </w:tcPr>
          <w:p w:rsidR="00F4231A" w:rsidRPr="00F4231A" w:rsidRDefault="00F4231A"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i/>
                <w:sz w:val="24"/>
                <w:szCs w:val="24"/>
              </w:rPr>
              <w:t>r</w:t>
            </w:r>
          </w:p>
        </w:tc>
        <w:tc>
          <w:tcPr>
            <w:tcW w:w="1388" w:type="dxa"/>
          </w:tcPr>
          <w:p w:rsidR="00F4231A" w:rsidRPr="00F4231A" w:rsidRDefault="00F4231A"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UI Gothic" w:hAnsi="Book Antiqua" w:cs="Arial"/>
                <w:b/>
                <w:i/>
                <w:sz w:val="24"/>
                <w:szCs w:val="24"/>
              </w:rPr>
              <w:t xml:space="preserve">P </w:t>
            </w:r>
            <w:r w:rsidRPr="00F4231A">
              <w:rPr>
                <w:rFonts w:ascii="Book Antiqua" w:eastAsia="MS UI Gothic" w:hAnsi="Book Antiqua" w:cs="Arial"/>
                <w:b/>
                <w:sz w:val="24"/>
                <w:szCs w:val="24"/>
              </w:rPr>
              <w:t>value</w:t>
            </w:r>
          </w:p>
        </w:tc>
      </w:tr>
      <w:tr w:rsidR="00F4231A" w:rsidRPr="00F4231A" w:rsidTr="00F4231A">
        <w:trPr>
          <w:trHeight w:val="204"/>
        </w:trPr>
        <w:tc>
          <w:tcPr>
            <w:tcW w:w="2833" w:type="dxa"/>
          </w:tcPr>
          <w:p w:rsidR="00F4231A" w:rsidRPr="00F4231A" w:rsidRDefault="00F4231A"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Age</w:t>
            </w:r>
          </w:p>
        </w:tc>
        <w:tc>
          <w:tcPr>
            <w:tcW w:w="1562" w:type="dxa"/>
          </w:tcPr>
          <w:p w:rsidR="00F4231A" w:rsidRPr="00F4231A" w:rsidRDefault="00F4231A" w:rsidP="00F4231A">
            <w:pPr>
              <w:tabs>
                <w:tab w:val="center" w:pos="3969"/>
                <w:tab w:val="center" w:pos="6663"/>
              </w:tabs>
              <w:snapToGrid w:val="0"/>
              <w:spacing w:line="360" w:lineRule="auto"/>
              <w:ind w:left="6"/>
              <w:jc w:val="center"/>
              <w:rPr>
                <w:rFonts w:ascii="Book Antiqua" w:eastAsia="SimSun" w:hAnsi="Book Antiqua" w:cs="Arial"/>
                <w:sz w:val="24"/>
                <w:szCs w:val="24"/>
                <w:lang w:eastAsia="zh-CN"/>
              </w:rPr>
            </w:pPr>
            <w:r w:rsidRPr="00F4231A">
              <w:rPr>
                <w:rFonts w:ascii="Book Antiqua" w:hAnsi="Book Antiqua" w:cs="Arial"/>
                <w:sz w:val="24"/>
                <w:szCs w:val="24"/>
              </w:rPr>
              <w:t>-0.10</w:t>
            </w:r>
          </w:p>
        </w:tc>
        <w:tc>
          <w:tcPr>
            <w:tcW w:w="1621" w:type="dxa"/>
          </w:tcPr>
          <w:p w:rsidR="00F4231A" w:rsidRPr="00F4231A" w:rsidRDefault="00F4231A"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0.25</w:t>
            </w:r>
          </w:p>
        </w:tc>
        <w:tc>
          <w:tcPr>
            <w:tcW w:w="1439" w:type="dxa"/>
          </w:tcPr>
          <w:p w:rsidR="00F4231A" w:rsidRPr="00F4231A" w:rsidRDefault="00F4231A"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0.34</w:t>
            </w:r>
          </w:p>
        </w:tc>
        <w:tc>
          <w:tcPr>
            <w:tcW w:w="1388" w:type="dxa"/>
          </w:tcPr>
          <w:p w:rsidR="00F4231A" w:rsidRPr="00F4231A" w:rsidRDefault="00F4231A"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0.0001</w:t>
            </w:r>
          </w:p>
        </w:tc>
      </w:tr>
      <w:tr w:rsidR="00F4231A" w:rsidRPr="00F4231A" w:rsidTr="00F4231A">
        <w:trPr>
          <w:trHeight w:val="204"/>
        </w:trPr>
        <w:tc>
          <w:tcPr>
            <w:tcW w:w="2833" w:type="dxa"/>
          </w:tcPr>
          <w:p w:rsidR="00F4231A" w:rsidRPr="00F4231A" w:rsidRDefault="00F4231A"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BMI</w:t>
            </w:r>
          </w:p>
        </w:tc>
        <w:tc>
          <w:tcPr>
            <w:tcW w:w="1562" w:type="dxa"/>
          </w:tcPr>
          <w:p w:rsidR="00F4231A" w:rsidRPr="00F4231A" w:rsidRDefault="00F4231A"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0.11</w:t>
            </w:r>
            <w:r>
              <w:rPr>
                <w:rFonts w:ascii="Book Antiqua" w:eastAsia="SimSun" w:hAnsi="Book Antiqua" w:cs="Arial" w:hint="eastAsia"/>
                <w:sz w:val="24"/>
                <w:szCs w:val="24"/>
                <w:lang w:eastAsia="zh-CN"/>
              </w:rPr>
              <w:t xml:space="preserve"> </w:t>
            </w:r>
          </w:p>
        </w:tc>
        <w:tc>
          <w:tcPr>
            <w:tcW w:w="1621" w:type="dxa"/>
          </w:tcPr>
          <w:p w:rsidR="00F4231A" w:rsidRPr="00F4231A" w:rsidRDefault="00F4231A"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0.23</w:t>
            </w:r>
          </w:p>
        </w:tc>
        <w:tc>
          <w:tcPr>
            <w:tcW w:w="1439" w:type="dxa"/>
          </w:tcPr>
          <w:p w:rsidR="00F4231A" w:rsidRPr="00F4231A" w:rsidRDefault="00F4231A" w:rsidP="00F4231A">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-0.02</w:t>
            </w:r>
            <w:r>
              <w:rPr>
                <w:rFonts w:ascii="Book Antiqua" w:eastAsia="SimSun" w:hAnsi="Book Antiqua" w:cs="Arial" w:hint="eastAsia"/>
                <w:sz w:val="24"/>
                <w:szCs w:val="24"/>
                <w:lang w:eastAsia="zh-CN"/>
              </w:rPr>
              <w:t xml:space="preserve"> </w:t>
            </w:r>
          </w:p>
        </w:tc>
        <w:tc>
          <w:tcPr>
            <w:tcW w:w="1388" w:type="dxa"/>
          </w:tcPr>
          <w:p w:rsidR="00F4231A" w:rsidRPr="00F4231A" w:rsidRDefault="00F4231A"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0.86</w:t>
            </w:r>
          </w:p>
        </w:tc>
      </w:tr>
      <w:tr w:rsidR="00F4231A" w:rsidRPr="00F4231A" w:rsidTr="00F4231A">
        <w:trPr>
          <w:trHeight w:val="241"/>
        </w:trPr>
        <w:tc>
          <w:tcPr>
            <w:tcW w:w="2833" w:type="dxa"/>
          </w:tcPr>
          <w:p w:rsidR="00F4231A" w:rsidRPr="00F4231A" w:rsidRDefault="0014227C"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Leukocyte</w:t>
            </w:r>
          </w:p>
        </w:tc>
        <w:tc>
          <w:tcPr>
            <w:tcW w:w="1562"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14227C">
              <w:rPr>
                <w:rFonts w:ascii="Book Antiqua" w:hAnsi="Book Antiqua" w:cs="Arial"/>
                <w:sz w:val="24"/>
                <w:szCs w:val="24"/>
              </w:rPr>
              <w:t xml:space="preserve">0.31 </w:t>
            </w:r>
          </w:p>
        </w:tc>
        <w:tc>
          <w:tcPr>
            <w:tcW w:w="1621"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14227C">
              <w:rPr>
                <w:rFonts w:ascii="Book Antiqua" w:hAnsi="Book Antiqua" w:cs="Arial"/>
                <w:sz w:val="24"/>
                <w:szCs w:val="24"/>
              </w:rPr>
              <w:t>0.0005</w:t>
            </w:r>
          </w:p>
        </w:tc>
        <w:tc>
          <w:tcPr>
            <w:tcW w:w="1439"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-0.07</w:t>
            </w:r>
            <w:r>
              <w:rPr>
                <w:rFonts w:ascii="Book Antiqua" w:eastAsia="SimSun" w:hAnsi="Book Antiqua" w:cs="Arial" w:hint="eastAsia"/>
                <w:sz w:val="24"/>
                <w:szCs w:val="24"/>
                <w:lang w:eastAsia="zh-CN"/>
              </w:rPr>
              <w:t xml:space="preserve"> </w:t>
            </w:r>
          </w:p>
        </w:tc>
        <w:tc>
          <w:tcPr>
            <w:tcW w:w="1388"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0.44</w:t>
            </w:r>
          </w:p>
        </w:tc>
      </w:tr>
      <w:tr w:rsidR="00F4231A" w:rsidRPr="00F4231A" w:rsidTr="00F4231A">
        <w:trPr>
          <w:trHeight w:val="344"/>
        </w:trPr>
        <w:tc>
          <w:tcPr>
            <w:tcW w:w="2833" w:type="dxa"/>
          </w:tcPr>
          <w:p w:rsidR="00F4231A" w:rsidRPr="00F4231A" w:rsidRDefault="0014227C"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Erythrocyte</w:t>
            </w:r>
          </w:p>
        </w:tc>
        <w:tc>
          <w:tcPr>
            <w:tcW w:w="1562"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0.11</w:t>
            </w:r>
            <w:r>
              <w:rPr>
                <w:rFonts w:ascii="Book Antiqua" w:eastAsia="SimSun" w:hAnsi="Book Antiqua" w:cs="Arial" w:hint="eastAsia"/>
                <w:sz w:val="24"/>
                <w:szCs w:val="24"/>
                <w:lang w:eastAsia="zh-CN"/>
              </w:rPr>
              <w:t xml:space="preserve"> </w:t>
            </w:r>
          </w:p>
        </w:tc>
        <w:tc>
          <w:tcPr>
            <w:tcW w:w="1621"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0.23</w:t>
            </w:r>
          </w:p>
        </w:tc>
        <w:tc>
          <w:tcPr>
            <w:tcW w:w="1439"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-0.23</w:t>
            </w:r>
            <w:r>
              <w:rPr>
                <w:rFonts w:ascii="Book Antiqua" w:eastAsia="SimSun" w:hAnsi="Book Antiqua" w:cs="Arial" w:hint="eastAsia"/>
                <w:sz w:val="24"/>
                <w:szCs w:val="24"/>
                <w:lang w:eastAsia="zh-CN"/>
              </w:rPr>
              <w:t xml:space="preserve"> </w:t>
            </w:r>
          </w:p>
        </w:tc>
        <w:tc>
          <w:tcPr>
            <w:tcW w:w="1388"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0.01</w:t>
            </w:r>
          </w:p>
        </w:tc>
      </w:tr>
      <w:tr w:rsidR="00F4231A" w:rsidRPr="00F4231A" w:rsidTr="00F4231A">
        <w:trPr>
          <w:trHeight w:val="90"/>
        </w:trPr>
        <w:tc>
          <w:tcPr>
            <w:tcW w:w="2833" w:type="dxa"/>
          </w:tcPr>
          <w:p w:rsidR="00F4231A" w:rsidRPr="00F4231A" w:rsidRDefault="0014227C"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Hemoglobin</w:t>
            </w:r>
          </w:p>
        </w:tc>
        <w:tc>
          <w:tcPr>
            <w:tcW w:w="1562"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0.02</w:t>
            </w:r>
          </w:p>
        </w:tc>
        <w:tc>
          <w:tcPr>
            <w:tcW w:w="1621"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0.87</w:t>
            </w:r>
          </w:p>
        </w:tc>
        <w:tc>
          <w:tcPr>
            <w:tcW w:w="1439"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w:t>
            </w:r>
            <w:r>
              <w:rPr>
                <w:rFonts w:ascii="Book Antiqua" w:eastAsia="SimSun" w:hAnsi="Book Antiqua" w:cs="Arial" w:hint="eastAsia"/>
                <w:sz w:val="24"/>
                <w:szCs w:val="24"/>
                <w:lang w:eastAsia="zh-CN"/>
              </w:rPr>
              <w:t xml:space="preserve"> </w:t>
            </w:r>
          </w:p>
        </w:tc>
        <w:tc>
          <w:tcPr>
            <w:tcW w:w="1388"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0.024</w:t>
            </w:r>
          </w:p>
        </w:tc>
      </w:tr>
      <w:tr w:rsidR="00F4231A" w:rsidRPr="00F4231A" w:rsidTr="00F4231A">
        <w:trPr>
          <w:trHeight w:val="154"/>
        </w:trPr>
        <w:tc>
          <w:tcPr>
            <w:tcW w:w="2833" w:type="dxa"/>
          </w:tcPr>
          <w:p w:rsidR="00F4231A" w:rsidRPr="00F4231A" w:rsidRDefault="0014227C"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Hematocrit</w:t>
            </w:r>
          </w:p>
        </w:tc>
        <w:tc>
          <w:tcPr>
            <w:tcW w:w="1562"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0.05</w:t>
            </w:r>
            <w:r>
              <w:rPr>
                <w:rFonts w:ascii="Book Antiqua" w:eastAsia="SimSun" w:hAnsi="Book Antiqua" w:cs="Arial" w:hint="eastAsia"/>
                <w:sz w:val="24"/>
                <w:szCs w:val="24"/>
                <w:lang w:eastAsia="zh-CN"/>
              </w:rPr>
              <w:t xml:space="preserve"> </w:t>
            </w:r>
          </w:p>
        </w:tc>
        <w:tc>
          <w:tcPr>
            <w:tcW w:w="1621"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0.55</w:t>
            </w:r>
          </w:p>
        </w:tc>
        <w:tc>
          <w:tcPr>
            <w:tcW w:w="1439"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-0.22</w:t>
            </w:r>
            <w:r>
              <w:rPr>
                <w:rFonts w:ascii="Book Antiqua" w:eastAsia="SimSun" w:hAnsi="Book Antiqua" w:cs="Arial" w:hint="eastAsia"/>
                <w:sz w:val="24"/>
                <w:szCs w:val="24"/>
                <w:lang w:eastAsia="zh-CN"/>
              </w:rPr>
              <w:t xml:space="preserve"> </w:t>
            </w:r>
          </w:p>
        </w:tc>
        <w:tc>
          <w:tcPr>
            <w:tcW w:w="1388"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0.013</w:t>
            </w:r>
          </w:p>
        </w:tc>
      </w:tr>
      <w:tr w:rsidR="00F4231A" w:rsidRPr="00F4231A" w:rsidTr="00F4231A">
        <w:trPr>
          <w:trHeight w:val="280"/>
        </w:trPr>
        <w:tc>
          <w:tcPr>
            <w:tcW w:w="2833" w:type="dxa"/>
          </w:tcPr>
          <w:p w:rsidR="00F4231A" w:rsidRPr="00F4231A" w:rsidRDefault="0014227C"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MCV</w:t>
            </w:r>
          </w:p>
        </w:tc>
        <w:tc>
          <w:tcPr>
            <w:tcW w:w="1562"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-0.15</w:t>
            </w:r>
            <w:r>
              <w:rPr>
                <w:rFonts w:ascii="Book Antiqua" w:eastAsia="SimSun" w:hAnsi="Book Antiqua" w:cs="Arial" w:hint="eastAsia"/>
                <w:sz w:val="24"/>
                <w:szCs w:val="24"/>
                <w:lang w:eastAsia="zh-CN"/>
              </w:rPr>
              <w:t xml:space="preserve"> </w:t>
            </w:r>
          </w:p>
        </w:tc>
        <w:tc>
          <w:tcPr>
            <w:tcW w:w="1621" w:type="dxa"/>
          </w:tcPr>
          <w:p w:rsidR="00F4231A" w:rsidRPr="0014227C" w:rsidRDefault="0014227C" w:rsidP="0014227C">
            <w:pPr>
              <w:tabs>
                <w:tab w:val="center" w:pos="3969"/>
                <w:tab w:val="center" w:pos="6663"/>
              </w:tabs>
              <w:snapToGrid w:val="0"/>
              <w:spacing w:line="360" w:lineRule="auto"/>
              <w:ind w:left="6"/>
              <w:jc w:val="center"/>
              <w:rPr>
                <w:rFonts w:ascii="Book Antiqua" w:eastAsia="SimSun" w:hAnsi="Book Antiqua" w:cs="Arial"/>
                <w:sz w:val="24"/>
                <w:szCs w:val="24"/>
                <w:lang w:eastAsia="zh-CN"/>
              </w:rPr>
            </w:pPr>
            <w:r w:rsidRPr="00F4231A">
              <w:rPr>
                <w:rFonts w:ascii="Book Antiqua" w:hAnsi="Book Antiqua" w:cs="Arial"/>
                <w:sz w:val="24"/>
                <w:szCs w:val="24"/>
              </w:rPr>
              <w:t>0.1</w:t>
            </w:r>
            <w:r>
              <w:rPr>
                <w:rFonts w:ascii="Book Antiqua" w:eastAsia="SimSun" w:hAnsi="Book Antiqua" w:cs="Arial" w:hint="eastAsia"/>
                <w:sz w:val="24"/>
                <w:szCs w:val="24"/>
                <w:lang w:eastAsia="zh-CN"/>
              </w:rPr>
              <w:t>0</w:t>
            </w:r>
          </w:p>
        </w:tc>
        <w:tc>
          <w:tcPr>
            <w:tcW w:w="1439"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0.08</w:t>
            </w:r>
            <w:r>
              <w:rPr>
                <w:rFonts w:ascii="Book Antiqua" w:eastAsia="SimSun" w:hAnsi="Book Antiqua" w:cs="Arial" w:hint="eastAsia"/>
                <w:sz w:val="24"/>
                <w:szCs w:val="24"/>
                <w:lang w:eastAsia="zh-CN"/>
              </w:rPr>
              <w:t xml:space="preserve"> </w:t>
            </w:r>
          </w:p>
        </w:tc>
        <w:tc>
          <w:tcPr>
            <w:tcW w:w="1388"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0.37</w:t>
            </w:r>
          </w:p>
        </w:tc>
      </w:tr>
      <w:tr w:rsidR="00F4231A" w:rsidRPr="00F4231A" w:rsidTr="00F4231A">
        <w:trPr>
          <w:trHeight w:val="179"/>
        </w:trPr>
        <w:tc>
          <w:tcPr>
            <w:tcW w:w="2833" w:type="dxa"/>
          </w:tcPr>
          <w:p w:rsidR="00F4231A" w:rsidRPr="00F4231A" w:rsidRDefault="0014227C"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MCH</w:t>
            </w:r>
          </w:p>
        </w:tc>
        <w:tc>
          <w:tcPr>
            <w:tcW w:w="1562"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-0.15</w:t>
            </w:r>
            <w:r>
              <w:rPr>
                <w:rFonts w:ascii="Book Antiqua" w:eastAsia="SimSun" w:hAnsi="Book Antiqua" w:cs="Arial" w:hint="eastAsia"/>
                <w:sz w:val="24"/>
                <w:szCs w:val="24"/>
                <w:lang w:eastAsia="zh-CN"/>
              </w:rPr>
              <w:t xml:space="preserve"> </w:t>
            </w:r>
          </w:p>
        </w:tc>
        <w:tc>
          <w:tcPr>
            <w:tcW w:w="1621"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0.92</w:t>
            </w:r>
          </w:p>
        </w:tc>
        <w:tc>
          <w:tcPr>
            <w:tcW w:w="1439"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0.10</w:t>
            </w:r>
            <w:r>
              <w:rPr>
                <w:rFonts w:ascii="Book Antiqua" w:eastAsia="SimSun" w:hAnsi="Book Antiqua" w:cs="Arial" w:hint="eastAsia"/>
                <w:sz w:val="24"/>
                <w:szCs w:val="24"/>
                <w:lang w:eastAsia="zh-CN"/>
              </w:rPr>
              <w:t xml:space="preserve"> </w:t>
            </w:r>
          </w:p>
        </w:tc>
        <w:tc>
          <w:tcPr>
            <w:tcW w:w="1388"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0.25</w:t>
            </w:r>
          </w:p>
        </w:tc>
      </w:tr>
      <w:tr w:rsidR="00F4231A" w:rsidRPr="00F4231A" w:rsidTr="00F4231A">
        <w:trPr>
          <w:trHeight w:val="205"/>
        </w:trPr>
        <w:tc>
          <w:tcPr>
            <w:tcW w:w="2833" w:type="dxa"/>
          </w:tcPr>
          <w:p w:rsidR="00F4231A" w:rsidRPr="00F4231A" w:rsidRDefault="0014227C"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MCHC</w:t>
            </w:r>
          </w:p>
        </w:tc>
        <w:tc>
          <w:tcPr>
            <w:tcW w:w="1562"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-0.15</w:t>
            </w:r>
            <w:r>
              <w:rPr>
                <w:rFonts w:ascii="Book Antiqua" w:eastAsia="SimSun" w:hAnsi="Book Antiqua" w:cs="Arial" w:hint="eastAsia"/>
                <w:sz w:val="24"/>
                <w:szCs w:val="24"/>
                <w:lang w:eastAsia="zh-CN"/>
              </w:rPr>
              <w:t xml:space="preserve"> </w:t>
            </w:r>
          </w:p>
        </w:tc>
        <w:tc>
          <w:tcPr>
            <w:tcW w:w="1621"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0.11</w:t>
            </w:r>
          </w:p>
        </w:tc>
        <w:tc>
          <w:tcPr>
            <w:tcW w:w="1439"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0.02</w:t>
            </w:r>
            <w:r>
              <w:rPr>
                <w:rFonts w:ascii="Book Antiqua" w:eastAsia="SimSun" w:hAnsi="Book Antiqua" w:cs="Arial" w:hint="eastAsia"/>
                <w:sz w:val="24"/>
                <w:szCs w:val="24"/>
                <w:lang w:eastAsia="zh-CN"/>
              </w:rPr>
              <w:t xml:space="preserve"> </w:t>
            </w:r>
          </w:p>
        </w:tc>
        <w:tc>
          <w:tcPr>
            <w:tcW w:w="1388"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0.81</w:t>
            </w:r>
          </w:p>
        </w:tc>
      </w:tr>
      <w:tr w:rsidR="00F4231A" w:rsidRPr="00F4231A" w:rsidTr="00F4231A">
        <w:trPr>
          <w:trHeight w:val="128"/>
        </w:trPr>
        <w:tc>
          <w:tcPr>
            <w:tcW w:w="2833" w:type="dxa"/>
          </w:tcPr>
          <w:p w:rsidR="00F4231A" w:rsidRPr="00F4231A" w:rsidRDefault="0014227C"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Platelet</w:t>
            </w:r>
          </w:p>
        </w:tc>
        <w:tc>
          <w:tcPr>
            <w:tcW w:w="1562"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0.22</w:t>
            </w:r>
            <w:r>
              <w:rPr>
                <w:rFonts w:ascii="Book Antiqua" w:eastAsia="SimSun" w:hAnsi="Book Antiqua" w:cs="Arial" w:hint="eastAsia"/>
                <w:sz w:val="24"/>
                <w:szCs w:val="24"/>
                <w:lang w:eastAsia="zh-CN"/>
              </w:rPr>
              <w:t xml:space="preserve"> </w:t>
            </w:r>
          </w:p>
        </w:tc>
        <w:tc>
          <w:tcPr>
            <w:tcW w:w="1621"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0.015</w:t>
            </w:r>
          </w:p>
        </w:tc>
        <w:tc>
          <w:tcPr>
            <w:tcW w:w="1439"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-0.29</w:t>
            </w:r>
            <w:r>
              <w:rPr>
                <w:rFonts w:ascii="Book Antiqua" w:eastAsia="SimSun" w:hAnsi="Book Antiqua" w:cs="Arial" w:hint="eastAsia"/>
                <w:sz w:val="24"/>
                <w:szCs w:val="24"/>
                <w:lang w:eastAsia="zh-CN"/>
              </w:rPr>
              <w:t xml:space="preserve"> </w:t>
            </w:r>
          </w:p>
        </w:tc>
        <w:tc>
          <w:tcPr>
            <w:tcW w:w="1388" w:type="dxa"/>
          </w:tcPr>
          <w:p w:rsidR="00F4231A" w:rsidRPr="00F4231A" w:rsidRDefault="0014227C"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0.001</w:t>
            </w:r>
          </w:p>
        </w:tc>
      </w:tr>
      <w:tr w:rsidR="00F4231A" w:rsidRPr="00F4231A" w:rsidTr="00F4231A">
        <w:trPr>
          <w:trHeight w:val="205"/>
        </w:trPr>
        <w:tc>
          <w:tcPr>
            <w:tcW w:w="2833" w:type="dxa"/>
          </w:tcPr>
          <w:p w:rsidR="00F4231A" w:rsidRPr="00F4231A" w:rsidRDefault="0014227C"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PT-INR</w:t>
            </w:r>
          </w:p>
        </w:tc>
        <w:tc>
          <w:tcPr>
            <w:tcW w:w="1562"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-0.13</w:t>
            </w:r>
          </w:p>
        </w:tc>
        <w:tc>
          <w:tcPr>
            <w:tcW w:w="1621"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0.15</w:t>
            </w:r>
          </w:p>
        </w:tc>
        <w:tc>
          <w:tcPr>
            <w:tcW w:w="1439"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0.12</w:t>
            </w:r>
            <w:r>
              <w:rPr>
                <w:rFonts w:ascii="Book Antiqua" w:eastAsia="SimSun" w:hAnsi="Book Antiqua" w:cs="Arial" w:hint="eastAsia"/>
                <w:sz w:val="24"/>
                <w:szCs w:val="24"/>
                <w:lang w:eastAsia="zh-CN"/>
              </w:rPr>
              <w:t xml:space="preserve"> </w:t>
            </w:r>
          </w:p>
        </w:tc>
        <w:tc>
          <w:tcPr>
            <w:tcW w:w="1388"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0.18</w:t>
            </w:r>
          </w:p>
        </w:tc>
      </w:tr>
      <w:tr w:rsidR="00F4231A" w:rsidRPr="00F4231A" w:rsidTr="00F4231A">
        <w:trPr>
          <w:trHeight w:val="242"/>
        </w:trPr>
        <w:tc>
          <w:tcPr>
            <w:tcW w:w="2833" w:type="dxa"/>
          </w:tcPr>
          <w:p w:rsidR="00F4231A"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APTT</w:t>
            </w:r>
          </w:p>
        </w:tc>
        <w:tc>
          <w:tcPr>
            <w:tcW w:w="1562"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0.06</w:t>
            </w:r>
            <w:r>
              <w:rPr>
                <w:rFonts w:ascii="Book Antiqua" w:eastAsia="SimSun" w:hAnsi="Book Antiqua" w:cs="Arial" w:hint="eastAsia"/>
                <w:sz w:val="24"/>
                <w:szCs w:val="24"/>
                <w:lang w:eastAsia="zh-CN"/>
              </w:rPr>
              <w:t xml:space="preserve"> </w:t>
            </w:r>
          </w:p>
        </w:tc>
        <w:tc>
          <w:tcPr>
            <w:tcW w:w="1621"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0.51</w:t>
            </w:r>
          </w:p>
        </w:tc>
        <w:tc>
          <w:tcPr>
            <w:tcW w:w="1439"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0.08</w:t>
            </w:r>
            <w:r>
              <w:rPr>
                <w:rFonts w:ascii="Book Antiqua" w:eastAsia="SimSun" w:hAnsi="Book Antiqua" w:cs="Arial" w:hint="eastAsia"/>
                <w:sz w:val="24"/>
                <w:szCs w:val="24"/>
                <w:lang w:eastAsia="zh-CN"/>
              </w:rPr>
              <w:t xml:space="preserve"> </w:t>
            </w:r>
          </w:p>
        </w:tc>
        <w:tc>
          <w:tcPr>
            <w:tcW w:w="1388"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0.37</w:t>
            </w:r>
          </w:p>
        </w:tc>
      </w:tr>
      <w:tr w:rsidR="00F4231A" w:rsidRPr="00F4231A" w:rsidTr="00F4231A">
        <w:trPr>
          <w:trHeight w:val="179"/>
        </w:trPr>
        <w:tc>
          <w:tcPr>
            <w:tcW w:w="2833" w:type="dxa"/>
          </w:tcPr>
          <w:p w:rsidR="00F4231A"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FIBG</w:t>
            </w:r>
          </w:p>
        </w:tc>
        <w:tc>
          <w:tcPr>
            <w:tcW w:w="1562"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 xml:space="preserve">0.30 </w:t>
            </w:r>
          </w:p>
        </w:tc>
        <w:tc>
          <w:tcPr>
            <w:tcW w:w="1621"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0.0009</w:t>
            </w:r>
          </w:p>
        </w:tc>
        <w:tc>
          <w:tcPr>
            <w:tcW w:w="1439"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-0.05</w:t>
            </w:r>
            <w:r>
              <w:rPr>
                <w:rFonts w:ascii="Book Antiqua" w:eastAsia="SimSun" w:hAnsi="Book Antiqua" w:cs="Arial" w:hint="eastAsia"/>
                <w:sz w:val="24"/>
                <w:szCs w:val="24"/>
                <w:lang w:eastAsia="zh-CN"/>
              </w:rPr>
              <w:t xml:space="preserve"> </w:t>
            </w:r>
          </w:p>
        </w:tc>
        <w:tc>
          <w:tcPr>
            <w:tcW w:w="1388"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0.59</w:t>
            </w:r>
          </w:p>
        </w:tc>
      </w:tr>
      <w:tr w:rsidR="00F4231A" w:rsidRPr="00F4231A" w:rsidTr="00F4231A">
        <w:trPr>
          <w:trHeight w:val="90"/>
        </w:trPr>
        <w:tc>
          <w:tcPr>
            <w:tcW w:w="2833" w:type="dxa"/>
          </w:tcPr>
          <w:p w:rsidR="00F4231A"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eastAsia="MS PGothic" w:hAnsi="Book Antiqua" w:cs="Arial"/>
                <w:kern w:val="0"/>
                <w:sz w:val="24"/>
                <w:szCs w:val="24"/>
              </w:rPr>
              <w:t>Total protein</w:t>
            </w:r>
          </w:p>
        </w:tc>
        <w:tc>
          <w:tcPr>
            <w:tcW w:w="1562"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w:t>
            </w:r>
            <w:r w:rsidRPr="00F4231A">
              <w:rPr>
                <w:rFonts w:ascii="Book Antiqua" w:hAnsi="Book Antiqua" w:cs="Arial"/>
                <w:sz w:val="24"/>
                <w:szCs w:val="24"/>
              </w:rPr>
              <w:t>0.01</w:t>
            </w:r>
            <w:r>
              <w:rPr>
                <w:rFonts w:ascii="Book Antiqua" w:eastAsia="SimSun" w:hAnsi="Book Antiqua" w:cs="Arial" w:hint="eastAsia"/>
                <w:sz w:val="24"/>
                <w:szCs w:val="24"/>
                <w:lang w:eastAsia="zh-CN"/>
              </w:rPr>
              <w:t xml:space="preserve"> </w:t>
            </w:r>
          </w:p>
        </w:tc>
        <w:tc>
          <w:tcPr>
            <w:tcW w:w="1621"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0.91</w:t>
            </w:r>
          </w:p>
        </w:tc>
        <w:tc>
          <w:tcPr>
            <w:tcW w:w="1439"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0.12</w:t>
            </w:r>
            <w:r>
              <w:rPr>
                <w:rFonts w:ascii="Book Antiqua" w:eastAsia="SimSun" w:hAnsi="Book Antiqua" w:cs="Arial" w:hint="eastAsia"/>
                <w:sz w:val="24"/>
                <w:szCs w:val="24"/>
                <w:lang w:eastAsia="zh-CN"/>
              </w:rPr>
              <w:t xml:space="preserve"> </w:t>
            </w:r>
          </w:p>
        </w:tc>
        <w:tc>
          <w:tcPr>
            <w:tcW w:w="1388"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0.18</w:t>
            </w:r>
          </w:p>
        </w:tc>
      </w:tr>
      <w:tr w:rsidR="00F4231A" w:rsidRPr="00F4231A" w:rsidTr="00F4231A">
        <w:trPr>
          <w:trHeight w:val="344"/>
        </w:trPr>
        <w:tc>
          <w:tcPr>
            <w:tcW w:w="2833" w:type="dxa"/>
          </w:tcPr>
          <w:p w:rsidR="00F4231A"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eastAsia="MS PGothic" w:hAnsi="Book Antiqua" w:cs="Arial"/>
                <w:kern w:val="0"/>
                <w:sz w:val="24"/>
                <w:szCs w:val="24"/>
              </w:rPr>
              <w:t>Albumin</w:t>
            </w:r>
          </w:p>
        </w:tc>
        <w:tc>
          <w:tcPr>
            <w:tcW w:w="1562"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w:t>
            </w:r>
            <w:r w:rsidRPr="00F4231A">
              <w:rPr>
                <w:rFonts w:ascii="Book Antiqua" w:hAnsi="Book Antiqua" w:cs="Arial"/>
                <w:sz w:val="24"/>
                <w:szCs w:val="24"/>
              </w:rPr>
              <w:t>0.02</w:t>
            </w:r>
            <w:r>
              <w:rPr>
                <w:rFonts w:ascii="Book Antiqua" w:eastAsia="SimSun" w:hAnsi="Book Antiqua" w:cs="Arial" w:hint="eastAsia"/>
                <w:sz w:val="24"/>
                <w:szCs w:val="24"/>
                <w:lang w:eastAsia="zh-CN"/>
              </w:rPr>
              <w:t xml:space="preserve"> </w:t>
            </w:r>
          </w:p>
        </w:tc>
        <w:tc>
          <w:tcPr>
            <w:tcW w:w="1621"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0.84</w:t>
            </w:r>
          </w:p>
        </w:tc>
        <w:tc>
          <w:tcPr>
            <w:tcW w:w="1439"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-0.17</w:t>
            </w:r>
            <w:r>
              <w:rPr>
                <w:rFonts w:ascii="Book Antiqua" w:eastAsia="SimSun" w:hAnsi="Book Antiqua" w:cs="Arial" w:hint="eastAsia"/>
                <w:sz w:val="24"/>
                <w:szCs w:val="24"/>
                <w:lang w:eastAsia="zh-CN"/>
              </w:rPr>
              <w:t xml:space="preserve"> </w:t>
            </w:r>
          </w:p>
        </w:tc>
        <w:tc>
          <w:tcPr>
            <w:tcW w:w="1388"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0.06</w:t>
            </w:r>
          </w:p>
        </w:tc>
      </w:tr>
      <w:tr w:rsidR="00F4231A" w:rsidRPr="00F4231A" w:rsidTr="00F4231A">
        <w:trPr>
          <w:trHeight w:val="115"/>
        </w:trPr>
        <w:tc>
          <w:tcPr>
            <w:tcW w:w="2833" w:type="dxa"/>
          </w:tcPr>
          <w:p w:rsidR="00F4231A"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eastAsia="MS PGothic" w:hAnsi="Book Antiqua" w:cs="Arial"/>
                <w:kern w:val="0"/>
                <w:sz w:val="24"/>
                <w:szCs w:val="24"/>
              </w:rPr>
              <w:t>Bilirubin</w:t>
            </w:r>
          </w:p>
        </w:tc>
        <w:tc>
          <w:tcPr>
            <w:tcW w:w="1562"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w:t>
            </w:r>
            <w:r w:rsidRPr="00F4231A">
              <w:rPr>
                <w:rFonts w:ascii="Book Antiqua" w:hAnsi="Book Antiqua" w:cs="Arial"/>
                <w:sz w:val="24"/>
                <w:szCs w:val="24"/>
              </w:rPr>
              <w:t>0.23</w:t>
            </w:r>
            <w:r>
              <w:rPr>
                <w:rFonts w:ascii="Book Antiqua" w:eastAsia="SimSun" w:hAnsi="Book Antiqua" w:cs="Arial" w:hint="eastAsia"/>
                <w:sz w:val="24"/>
                <w:szCs w:val="24"/>
                <w:lang w:eastAsia="zh-CN"/>
              </w:rPr>
              <w:t xml:space="preserve"> </w:t>
            </w:r>
          </w:p>
        </w:tc>
        <w:tc>
          <w:tcPr>
            <w:tcW w:w="1621"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0.01</w:t>
            </w:r>
          </w:p>
        </w:tc>
        <w:tc>
          <w:tcPr>
            <w:tcW w:w="1439"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-0.03</w:t>
            </w:r>
            <w:r>
              <w:rPr>
                <w:rFonts w:ascii="Book Antiqua" w:eastAsia="SimSun" w:hAnsi="Book Antiqua" w:cs="Arial" w:hint="eastAsia"/>
                <w:sz w:val="24"/>
                <w:szCs w:val="24"/>
                <w:lang w:eastAsia="zh-CN"/>
              </w:rPr>
              <w:t xml:space="preserve"> </w:t>
            </w:r>
          </w:p>
        </w:tc>
        <w:tc>
          <w:tcPr>
            <w:tcW w:w="1388"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0.73</w:t>
            </w:r>
          </w:p>
        </w:tc>
      </w:tr>
      <w:tr w:rsidR="00F4231A" w:rsidRPr="00F4231A" w:rsidTr="00F4231A">
        <w:trPr>
          <w:trHeight w:val="319"/>
        </w:trPr>
        <w:tc>
          <w:tcPr>
            <w:tcW w:w="2833" w:type="dxa"/>
          </w:tcPr>
          <w:p w:rsidR="00F4231A"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AST</w:t>
            </w:r>
          </w:p>
        </w:tc>
        <w:tc>
          <w:tcPr>
            <w:tcW w:w="1562"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 xml:space="preserve">0.38 </w:t>
            </w:r>
          </w:p>
        </w:tc>
        <w:tc>
          <w:tcPr>
            <w:tcW w:w="1621"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&lt;</w:t>
            </w:r>
            <w:r>
              <w:rPr>
                <w:rFonts w:ascii="Book Antiqua" w:eastAsia="SimSun" w:hAnsi="Book Antiqua" w:cs="Arial" w:hint="eastAsia"/>
                <w:sz w:val="24"/>
                <w:szCs w:val="24"/>
                <w:lang w:eastAsia="zh-CN"/>
              </w:rPr>
              <w:t xml:space="preserve"> </w:t>
            </w:r>
            <w:r w:rsidRPr="001F1FDB">
              <w:rPr>
                <w:rFonts w:ascii="Book Antiqua" w:hAnsi="Book Antiqua" w:cs="Arial"/>
                <w:sz w:val="24"/>
                <w:szCs w:val="24"/>
              </w:rPr>
              <w:t>0.0001</w:t>
            </w:r>
          </w:p>
        </w:tc>
        <w:tc>
          <w:tcPr>
            <w:tcW w:w="1439"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0.07</w:t>
            </w:r>
            <w:r>
              <w:rPr>
                <w:rFonts w:ascii="Book Antiqua" w:eastAsia="SimSun" w:hAnsi="Book Antiqua" w:cs="Arial" w:hint="eastAsia"/>
                <w:sz w:val="24"/>
                <w:szCs w:val="24"/>
                <w:lang w:eastAsia="zh-CN"/>
              </w:rPr>
              <w:t xml:space="preserve"> </w:t>
            </w:r>
          </w:p>
        </w:tc>
        <w:tc>
          <w:tcPr>
            <w:tcW w:w="1388"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0.44</w:t>
            </w:r>
          </w:p>
        </w:tc>
      </w:tr>
      <w:tr w:rsidR="00F4231A" w:rsidRPr="00F4231A" w:rsidTr="00F4231A">
        <w:trPr>
          <w:trHeight w:val="218"/>
        </w:trPr>
        <w:tc>
          <w:tcPr>
            <w:tcW w:w="2833" w:type="dxa"/>
          </w:tcPr>
          <w:p w:rsidR="00F4231A"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ALT</w:t>
            </w:r>
          </w:p>
        </w:tc>
        <w:tc>
          <w:tcPr>
            <w:tcW w:w="1562"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 xml:space="preserve">0.35 </w:t>
            </w:r>
          </w:p>
        </w:tc>
        <w:tc>
          <w:tcPr>
            <w:tcW w:w="1621"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&lt;</w:t>
            </w:r>
            <w:r>
              <w:rPr>
                <w:rFonts w:ascii="Book Antiqua" w:eastAsia="SimSun" w:hAnsi="Book Antiqua" w:cs="Arial" w:hint="eastAsia"/>
                <w:sz w:val="24"/>
                <w:szCs w:val="24"/>
                <w:lang w:eastAsia="zh-CN"/>
              </w:rPr>
              <w:t xml:space="preserve"> </w:t>
            </w:r>
            <w:r w:rsidRPr="001F1FDB">
              <w:rPr>
                <w:rFonts w:ascii="Book Antiqua" w:hAnsi="Book Antiqua" w:cs="Arial"/>
                <w:sz w:val="24"/>
                <w:szCs w:val="24"/>
              </w:rPr>
              <w:t>0.0001</w:t>
            </w:r>
          </w:p>
        </w:tc>
        <w:tc>
          <w:tcPr>
            <w:tcW w:w="1439"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-0.09</w:t>
            </w:r>
            <w:r>
              <w:rPr>
                <w:rFonts w:ascii="Book Antiqua" w:eastAsia="SimSun" w:hAnsi="Book Antiqua" w:cs="Arial" w:hint="eastAsia"/>
                <w:sz w:val="24"/>
                <w:szCs w:val="24"/>
                <w:lang w:eastAsia="zh-CN"/>
              </w:rPr>
              <w:t xml:space="preserve"> </w:t>
            </w:r>
          </w:p>
        </w:tc>
        <w:tc>
          <w:tcPr>
            <w:tcW w:w="1388"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0.31</w:t>
            </w:r>
          </w:p>
        </w:tc>
      </w:tr>
      <w:tr w:rsidR="00F4231A" w:rsidRPr="00F4231A" w:rsidTr="001F1FDB">
        <w:trPr>
          <w:trHeight w:val="192"/>
        </w:trPr>
        <w:tc>
          <w:tcPr>
            <w:tcW w:w="2833" w:type="dxa"/>
          </w:tcPr>
          <w:p w:rsidR="00F4231A"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LDH</w:t>
            </w:r>
          </w:p>
        </w:tc>
        <w:tc>
          <w:tcPr>
            <w:tcW w:w="1562"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0.24</w:t>
            </w:r>
            <w:r>
              <w:rPr>
                <w:rFonts w:ascii="Book Antiqua" w:eastAsia="SimSun" w:hAnsi="Book Antiqua" w:cs="Arial" w:hint="eastAsia"/>
                <w:sz w:val="24"/>
                <w:szCs w:val="24"/>
                <w:lang w:eastAsia="zh-CN"/>
              </w:rPr>
              <w:t xml:space="preserve"> </w:t>
            </w:r>
          </w:p>
        </w:tc>
        <w:tc>
          <w:tcPr>
            <w:tcW w:w="1621"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0.006</w:t>
            </w:r>
          </w:p>
        </w:tc>
        <w:tc>
          <w:tcPr>
            <w:tcW w:w="1439" w:type="dxa"/>
          </w:tcPr>
          <w:p w:rsidR="00F4231A"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0.13</w:t>
            </w:r>
            <w:r>
              <w:rPr>
                <w:rFonts w:ascii="Book Antiqua" w:eastAsia="SimSun" w:hAnsi="Book Antiqua" w:cs="Arial" w:hint="eastAsia"/>
                <w:sz w:val="24"/>
                <w:szCs w:val="24"/>
                <w:lang w:eastAsia="zh-CN"/>
              </w:rPr>
              <w:t xml:space="preserve"> </w:t>
            </w:r>
          </w:p>
        </w:tc>
        <w:tc>
          <w:tcPr>
            <w:tcW w:w="1388" w:type="dxa"/>
          </w:tcPr>
          <w:p w:rsidR="00F4231A"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0.16</w:t>
            </w:r>
          </w:p>
        </w:tc>
      </w:tr>
      <w:tr w:rsidR="001F1FDB" w:rsidRPr="00F4231A" w:rsidTr="001F1FDB">
        <w:trPr>
          <w:trHeight w:val="216"/>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ALP</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0.16</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0.07</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0.08</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0.39</w:t>
            </w:r>
          </w:p>
        </w:tc>
      </w:tr>
      <w:tr w:rsidR="001F1FDB" w:rsidRPr="00F4231A" w:rsidTr="001F1FDB">
        <w:trPr>
          <w:trHeight w:val="229"/>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γGT</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0.21</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0.02</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-0.06</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0.53</w:t>
            </w:r>
          </w:p>
        </w:tc>
      </w:tr>
      <w:tr w:rsidR="001F1FDB" w:rsidRPr="00F4231A" w:rsidTr="001F1FDB">
        <w:trPr>
          <w:trHeight w:val="217"/>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ChE</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-0.04</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0.69</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-0.21</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0.02</w:t>
            </w:r>
          </w:p>
        </w:tc>
      </w:tr>
      <w:tr w:rsidR="001F1FDB" w:rsidRPr="00F4231A" w:rsidTr="001F1FDB">
        <w:trPr>
          <w:trHeight w:val="217"/>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Urea nitrogen</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-0.24</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0.007</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-0.08</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0.35</w:t>
            </w:r>
          </w:p>
        </w:tc>
      </w:tr>
      <w:tr w:rsidR="001F1FDB" w:rsidRPr="00F4231A" w:rsidTr="001F1FDB">
        <w:trPr>
          <w:trHeight w:val="357"/>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Creatinine</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-0.05</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0.60</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-0.26</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0.004</w:t>
            </w:r>
          </w:p>
        </w:tc>
      </w:tr>
      <w:tr w:rsidR="001F1FDB" w:rsidRPr="00F4231A" w:rsidTr="001F1FDB">
        <w:trPr>
          <w:trHeight w:val="293"/>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lastRenderedPageBreak/>
              <w:t>Uric acid</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0.07</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0.47</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-0.21</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0.02</w:t>
            </w:r>
          </w:p>
        </w:tc>
      </w:tr>
      <w:tr w:rsidR="001F1FDB" w:rsidRPr="00F4231A" w:rsidTr="001F1FDB">
        <w:trPr>
          <w:trHeight w:val="229"/>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eGFR</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0.15</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0.12</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-0.02</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0.85</w:t>
            </w:r>
          </w:p>
        </w:tc>
      </w:tr>
      <w:tr w:rsidR="001F1FDB" w:rsidRPr="00F4231A" w:rsidTr="001F1FDB">
        <w:trPr>
          <w:trHeight w:val="205"/>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Total cholesterol</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0.09</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0.31</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0.02</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0.86</w:t>
            </w:r>
          </w:p>
        </w:tc>
      </w:tr>
      <w:tr w:rsidR="001F1FDB" w:rsidRPr="00F4231A" w:rsidTr="001F1FDB">
        <w:trPr>
          <w:trHeight w:val="229"/>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Triglycerides</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0.07</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0.46</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0.11</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0.22</w:t>
            </w:r>
          </w:p>
        </w:tc>
      </w:tr>
      <w:tr w:rsidR="001F1FDB" w:rsidRPr="00F4231A" w:rsidTr="001F1FDB">
        <w:trPr>
          <w:trHeight w:val="306"/>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LDL-cholesterol</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0.08</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0.37</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0.001</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0.99</w:t>
            </w:r>
          </w:p>
        </w:tc>
      </w:tr>
      <w:tr w:rsidR="001F1FDB" w:rsidRPr="00F4231A" w:rsidTr="001F1FDB">
        <w:trPr>
          <w:trHeight w:val="115"/>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HDL-cholesterol</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-0.06</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0.54</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-0.001</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0.99</w:t>
            </w:r>
          </w:p>
        </w:tc>
      </w:tr>
      <w:tr w:rsidR="001F1FDB" w:rsidRPr="00F4231A" w:rsidTr="001F1FDB">
        <w:trPr>
          <w:trHeight w:val="319"/>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Glucose</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-0.08</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0.35</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0.19</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0.04</w:t>
            </w:r>
          </w:p>
        </w:tc>
      </w:tr>
      <w:tr w:rsidR="001F1FDB" w:rsidRPr="00F4231A" w:rsidTr="001F1FDB">
        <w:trPr>
          <w:trHeight w:val="218"/>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Insulin</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0.17</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0.07</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0.01</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0.96</w:t>
            </w:r>
          </w:p>
        </w:tc>
      </w:tr>
      <w:tr w:rsidR="001F1FDB" w:rsidRPr="00F4231A" w:rsidTr="001F1FDB">
        <w:trPr>
          <w:trHeight w:val="280"/>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HbA1c</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0.05</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0.59</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0.27</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0.002</w:t>
            </w:r>
          </w:p>
        </w:tc>
      </w:tr>
      <w:tr w:rsidR="001F1FDB" w:rsidRPr="00F4231A" w:rsidTr="001F1FDB">
        <w:trPr>
          <w:trHeight w:val="268"/>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HOMA-IR</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0.14</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0.14</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0.04</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0.65</w:t>
            </w:r>
          </w:p>
        </w:tc>
      </w:tr>
      <w:tr w:rsidR="001F1FDB" w:rsidRPr="00F4231A" w:rsidTr="001F1FDB">
        <w:trPr>
          <w:trHeight w:val="319"/>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eastAsia="MS PGothic" w:hAnsi="Book Antiqua" w:cs="Arial"/>
                <w:kern w:val="0"/>
                <w:sz w:val="24"/>
                <w:szCs w:val="24"/>
              </w:rPr>
              <w:t>IgG</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w:t>
            </w:r>
            <w:r w:rsidRPr="00F4231A">
              <w:rPr>
                <w:rFonts w:ascii="Book Antiqua" w:hAnsi="Book Antiqua" w:cs="Arial"/>
                <w:sz w:val="24"/>
                <w:szCs w:val="24"/>
              </w:rPr>
              <w:t>0.09</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0.33</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 xml:space="preserve">0.30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0.0009</w:t>
            </w:r>
          </w:p>
        </w:tc>
      </w:tr>
      <w:tr w:rsidR="001F1FDB" w:rsidRPr="00F4231A" w:rsidTr="001F1FDB">
        <w:trPr>
          <w:trHeight w:val="229"/>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eastAsia="MS PGothic" w:hAnsi="Book Antiqua" w:cs="Arial"/>
                <w:kern w:val="0"/>
                <w:sz w:val="24"/>
                <w:szCs w:val="24"/>
              </w:rPr>
              <w:t>IgM</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0.12</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0.19</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-0.02</w:t>
            </w:r>
            <w:r>
              <w:rPr>
                <w:rFonts w:ascii="Book Antiqua" w:eastAsia="SimSun" w:hAnsi="Book Antiqua" w:cs="Arial" w:hint="eastAsia"/>
                <w:sz w:val="24"/>
                <w:szCs w:val="24"/>
                <w:lang w:eastAsia="zh-CN"/>
              </w:rPr>
              <w:t xml:space="preserve"> </w:t>
            </w:r>
          </w:p>
        </w:tc>
        <w:tc>
          <w:tcPr>
            <w:tcW w:w="1388" w:type="dxa"/>
          </w:tcPr>
          <w:p w:rsidR="001F1FDB" w:rsidRPr="001F1FDB" w:rsidRDefault="001F1FDB" w:rsidP="0014227C">
            <w:pPr>
              <w:tabs>
                <w:tab w:val="center" w:pos="3969"/>
                <w:tab w:val="center" w:pos="6663"/>
              </w:tabs>
              <w:snapToGrid w:val="0"/>
              <w:spacing w:line="360" w:lineRule="auto"/>
              <w:ind w:left="6"/>
              <w:jc w:val="center"/>
              <w:rPr>
                <w:rFonts w:ascii="Book Antiqua" w:eastAsia="SimSun" w:hAnsi="Book Antiqua" w:cs="Arial"/>
                <w:sz w:val="24"/>
                <w:szCs w:val="24"/>
                <w:lang w:eastAsia="zh-CN"/>
              </w:rPr>
            </w:pPr>
            <w:r w:rsidRPr="00F4231A">
              <w:rPr>
                <w:rFonts w:ascii="Book Antiqua" w:hAnsi="Book Antiqua" w:cs="Arial"/>
                <w:sz w:val="24"/>
                <w:szCs w:val="24"/>
              </w:rPr>
              <w:t>0.8</w:t>
            </w:r>
            <w:r>
              <w:rPr>
                <w:rFonts w:ascii="Book Antiqua" w:eastAsia="SimSun" w:hAnsi="Book Antiqua" w:cs="Arial" w:hint="eastAsia"/>
                <w:sz w:val="24"/>
                <w:szCs w:val="24"/>
                <w:lang w:eastAsia="zh-CN"/>
              </w:rPr>
              <w:t>0</w:t>
            </w:r>
          </w:p>
        </w:tc>
      </w:tr>
      <w:tr w:rsidR="001F1FDB" w:rsidRPr="00F4231A" w:rsidTr="001F1FDB">
        <w:trPr>
          <w:trHeight w:val="344"/>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eastAsia="MS PGothic" w:hAnsi="Book Antiqua" w:cs="Arial"/>
                <w:kern w:val="0"/>
                <w:sz w:val="24"/>
                <w:szCs w:val="24"/>
              </w:rPr>
              <w:t>IgA</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-0.10</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0.28</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0.25</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0.006</w:t>
            </w:r>
          </w:p>
        </w:tc>
      </w:tr>
      <w:tr w:rsidR="001F1FDB" w:rsidRPr="00F4231A" w:rsidTr="001F1FDB">
        <w:trPr>
          <w:trHeight w:val="229"/>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CRP</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0.47</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&lt;</w:t>
            </w:r>
            <w:r>
              <w:rPr>
                <w:rFonts w:ascii="Book Antiqua" w:eastAsia="SimSun" w:hAnsi="Book Antiqua" w:cs="Arial" w:hint="eastAsia"/>
                <w:sz w:val="24"/>
                <w:szCs w:val="24"/>
                <w:lang w:eastAsia="zh-CN"/>
              </w:rPr>
              <w:t xml:space="preserve"> </w:t>
            </w:r>
            <w:r w:rsidRPr="001F1FDB">
              <w:rPr>
                <w:rFonts w:ascii="Book Antiqua" w:hAnsi="Book Antiqua" w:cs="Arial"/>
                <w:sz w:val="24"/>
                <w:szCs w:val="24"/>
              </w:rPr>
              <w:t>0.0001</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0.05</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0.61</w:t>
            </w:r>
          </w:p>
        </w:tc>
      </w:tr>
      <w:tr w:rsidR="001F1FDB" w:rsidRPr="00F4231A" w:rsidTr="001F1FDB">
        <w:trPr>
          <w:trHeight w:val="205"/>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Hyaluronic acid</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-0.08</w:t>
            </w:r>
            <w:r>
              <w:rPr>
                <w:rFonts w:ascii="Book Antiqua" w:eastAsia="SimSun" w:hAnsi="Book Antiqua" w:cs="Arial" w:hint="eastAsia"/>
                <w:sz w:val="24"/>
                <w:szCs w:val="24"/>
                <w:lang w:eastAsia="zh-CN"/>
              </w:rPr>
              <w:t xml:space="preserve"> </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0.42</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 xml:space="preserve">0.36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1F1FDB">
              <w:rPr>
                <w:rFonts w:ascii="Book Antiqua" w:hAnsi="Book Antiqua" w:cs="Arial"/>
                <w:sz w:val="24"/>
                <w:szCs w:val="24"/>
              </w:rPr>
              <w:t>0.0002</w:t>
            </w:r>
          </w:p>
        </w:tc>
      </w:tr>
      <w:tr w:rsidR="001F1FDB" w:rsidRPr="00F4231A" w:rsidTr="001F1FDB">
        <w:trPr>
          <w:trHeight w:val="267"/>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hAnsi="Book Antiqua" w:cs="Arial"/>
                <w:sz w:val="24"/>
                <w:szCs w:val="24"/>
              </w:rPr>
              <w:t>Type 4 collagen 7S</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-0.04</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0.65</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0.17</w:t>
            </w:r>
            <w:r>
              <w:rPr>
                <w:rFonts w:ascii="Book Antiqua" w:eastAsia="SimSun" w:hAnsi="Book Antiqua" w:cs="Arial" w:hint="eastAsia"/>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hAnsi="Book Antiqua" w:cs="Arial"/>
                <w:sz w:val="24"/>
                <w:szCs w:val="24"/>
              </w:rPr>
              <w:t>0.08</w:t>
            </w:r>
          </w:p>
        </w:tc>
      </w:tr>
      <w:tr w:rsidR="001F1FDB" w:rsidRPr="00F4231A" w:rsidTr="00F4231A">
        <w:trPr>
          <w:trHeight w:val="167"/>
        </w:trPr>
        <w:tc>
          <w:tcPr>
            <w:tcW w:w="2833" w:type="dxa"/>
          </w:tcPr>
          <w:p w:rsidR="001F1FDB" w:rsidRPr="00F4231A" w:rsidRDefault="001F1FDB" w:rsidP="0014227C">
            <w:pPr>
              <w:tabs>
                <w:tab w:val="center" w:pos="3969"/>
                <w:tab w:val="center" w:pos="6663"/>
              </w:tabs>
              <w:snapToGrid w:val="0"/>
              <w:spacing w:line="360" w:lineRule="auto"/>
              <w:ind w:left="6"/>
              <w:rPr>
                <w:rFonts w:ascii="Book Antiqua" w:hAnsi="Book Antiqua" w:cs="Arial"/>
                <w:sz w:val="24"/>
                <w:szCs w:val="24"/>
              </w:rPr>
            </w:pPr>
            <w:r w:rsidRPr="00F4231A">
              <w:rPr>
                <w:rFonts w:ascii="Book Antiqua" w:eastAsia="MS PGothic" w:hAnsi="Book Antiqua" w:cs="Arial"/>
                <w:kern w:val="0"/>
                <w:sz w:val="24"/>
                <w:szCs w:val="24"/>
              </w:rPr>
              <w:t>CK18 fragment</w:t>
            </w:r>
          </w:p>
        </w:tc>
        <w:tc>
          <w:tcPr>
            <w:tcW w:w="1562"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0.28</w:t>
            </w:r>
          </w:p>
        </w:tc>
        <w:tc>
          <w:tcPr>
            <w:tcW w:w="1621"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0.002</w:t>
            </w:r>
          </w:p>
        </w:tc>
        <w:tc>
          <w:tcPr>
            <w:tcW w:w="1439" w:type="dxa"/>
          </w:tcPr>
          <w:p w:rsidR="001F1FDB" w:rsidRPr="00F4231A" w:rsidRDefault="001F1FDB" w:rsidP="001F1FDB">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0.002</w:t>
            </w:r>
            <w:r>
              <w:rPr>
                <w:rFonts w:ascii="Book Antiqua" w:eastAsia="SimSun" w:hAnsi="Book Antiqua" w:cs="Arial" w:hint="eastAsia"/>
                <w:kern w:val="0"/>
                <w:sz w:val="24"/>
                <w:szCs w:val="24"/>
                <w:lang w:eastAsia="zh-CN"/>
              </w:rPr>
              <w:t xml:space="preserve"> </w:t>
            </w:r>
          </w:p>
        </w:tc>
        <w:tc>
          <w:tcPr>
            <w:tcW w:w="1388" w:type="dxa"/>
          </w:tcPr>
          <w:p w:rsidR="001F1FDB" w:rsidRPr="00F4231A" w:rsidRDefault="001F1FDB" w:rsidP="0014227C">
            <w:pPr>
              <w:tabs>
                <w:tab w:val="center" w:pos="3969"/>
                <w:tab w:val="center" w:pos="6663"/>
              </w:tabs>
              <w:snapToGrid w:val="0"/>
              <w:spacing w:line="360" w:lineRule="auto"/>
              <w:ind w:left="6"/>
              <w:jc w:val="center"/>
              <w:rPr>
                <w:rFonts w:ascii="Book Antiqua" w:hAnsi="Book Antiqua" w:cs="Arial"/>
                <w:sz w:val="24"/>
                <w:szCs w:val="24"/>
              </w:rPr>
            </w:pPr>
            <w:r w:rsidRPr="00F4231A">
              <w:rPr>
                <w:rFonts w:ascii="Book Antiqua" w:eastAsia="MS PGothic" w:hAnsi="Book Antiqua" w:cs="Arial"/>
                <w:kern w:val="0"/>
                <w:sz w:val="24"/>
                <w:szCs w:val="24"/>
              </w:rPr>
              <w:t>0.98</w:t>
            </w:r>
          </w:p>
        </w:tc>
      </w:tr>
    </w:tbl>
    <w:p w:rsidR="00CD1AEB" w:rsidRPr="006809E9" w:rsidRDefault="00536276" w:rsidP="00F4231A">
      <w:pPr>
        <w:snapToGrid w:val="0"/>
        <w:spacing w:line="360" w:lineRule="auto"/>
        <w:rPr>
          <w:rFonts w:ascii="Book Antiqua" w:eastAsia="SimSun" w:hAnsi="Book Antiqua" w:cs="Arial"/>
          <w:sz w:val="24"/>
          <w:szCs w:val="24"/>
          <w:lang w:eastAsia="zh-CN"/>
        </w:rPr>
      </w:pPr>
      <w:r w:rsidRPr="00F4231A">
        <w:rPr>
          <w:rFonts w:ascii="Book Antiqua" w:hAnsi="Book Antiqua" w:cs="Arial"/>
          <w:sz w:val="24"/>
          <w:szCs w:val="24"/>
        </w:rPr>
        <w:t>Correlation coefficients (</w:t>
      </w:r>
      <w:r w:rsidRPr="00F4231A">
        <w:rPr>
          <w:rFonts w:ascii="Book Antiqua" w:hAnsi="Book Antiqua" w:cs="Arial"/>
          <w:i/>
          <w:sz w:val="24"/>
          <w:szCs w:val="24"/>
        </w:rPr>
        <w:t>r</w:t>
      </w:r>
      <w:r w:rsidRPr="00F4231A">
        <w:rPr>
          <w:rFonts w:ascii="Book Antiqua" w:hAnsi="Book Antiqua" w:cs="Arial"/>
          <w:sz w:val="24"/>
          <w:szCs w:val="24"/>
        </w:rPr>
        <w:t xml:space="preserve">) and </w:t>
      </w:r>
      <w:r w:rsidRPr="00F4231A">
        <w:rPr>
          <w:rFonts w:ascii="Book Antiqua" w:hAnsi="Book Antiqua" w:cs="Arial"/>
          <w:i/>
          <w:sz w:val="24"/>
          <w:szCs w:val="24"/>
        </w:rPr>
        <w:t>P</w:t>
      </w:r>
      <w:r w:rsidRPr="00F4231A">
        <w:rPr>
          <w:rFonts w:ascii="Book Antiqua" w:hAnsi="Book Antiqua" w:cs="Arial"/>
          <w:sz w:val="24"/>
          <w:szCs w:val="24"/>
        </w:rPr>
        <w:t xml:space="preserve"> values were calculated by Spearman’s test. Items with </w:t>
      </w:r>
      <w:r w:rsidRPr="00F4231A">
        <w:rPr>
          <w:rFonts w:ascii="Book Antiqua" w:hAnsi="Book Antiqua" w:cs="Arial"/>
          <w:i/>
          <w:sz w:val="24"/>
          <w:szCs w:val="24"/>
        </w:rPr>
        <w:t xml:space="preserve">r </w:t>
      </w:r>
      <w:r w:rsidRPr="00F4231A">
        <w:rPr>
          <w:rFonts w:ascii="Book Antiqua" w:hAnsi="Book Antiqua" w:cs="Arial"/>
          <w:sz w:val="24"/>
          <w:szCs w:val="24"/>
        </w:rPr>
        <w:t>&gt;</w:t>
      </w:r>
      <w:r w:rsidR="001F1FDB">
        <w:rPr>
          <w:rFonts w:ascii="Book Antiqua" w:eastAsia="SimSun" w:hAnsi="Book Antiqua" w:cs="Arial" w:hint="eastAsia"/>
          <w:sz w:val="24"/>
          <w:szCs w:val="24"/>
          <w:lang w:eastAsia="zh-CN"/>
        </w:rPr>
        <w:t xml:space="preserve"> </w:t>
      </w:r>
      <w:r w:rsidRPr="00F4231A">
        <w:rPr>
          <w:rFonts w:ascii="Book Antiqua" w:hAnsi="Book Antiqua" w:cs="Arial"/>
          <w:sz w:val="24"/>
          <w:szCs w:val="24"/>
        </w:rPr>
        <w:t xml:space="preserve">0.3 and </w:t>
      </w:r>
      <w:r w:rsidRPr="00F4231A">
        <w:rPr>
          <w:rFonts w:ascii="Book Antiqua" w:hAnsi="Book Antiqua" w:cs="Arial"/>
          <w:i/>
          <w:sz w:val="24"/>
          <w:szCs w:val="24"/>
        </w:rPr>
        <w:t>P</w:t>
      </w:r>
      <w:r w:rsidRPr="00F4231A">
        <w:rPr>
          <w:rFonts w:ascii="Book Antiqua" w:hAnsi="Book Antiqua" w:cs="Arial"/>
          <w:sz w:val="24"/>
          <w:szCs w:val="24"/>
        </w:rPr>
        <w:t xml:space="preserve"> &lt;</w:t>
      </w:r>
      <w:r w:rsidR="001F1FDB">
        <w:rPr>
          <w:rFonts w:ascii="Book Antiqua" w:eastAsia="SimSun" w:hAnsi="Book Antiqua" w:cs="Arial" w:hint="eastAsia"/>
          <w:sz w:val="24"/>
          <w:szCs w:val="24"/>
          <w:lang w:eastAsia="zh-CN"/>
        </w:rPr>
        <w:t xml:space="preserve"> </w:t>
      </w:r>
      <w:r w:rsidRPr="00F4231A">
        <w:rPr>
          <w:rFonts w:ascii="Book Antiqua" w:hAnsi="Book Antiqua" w:cs="Arial"/>
          <w:sz w:val="24"/>
          <w:szCs w:val="24"/>
        </w:rPr>
        <w:t>0.05 are expressed in bold.</w:t>
      </w:r>
      <w:r w:rsidR="007F48BF">
        <w:rPr>
          <w:rFonts w:ascii="Book Antiqua" w:eastAsia="SimSun" w:hAnsi="Book Antiqua" w:cs="Arial" w:hint="eastAsia"/>
          <w:sz w:val="24"/>
          <w:szCs w:val="24"/>
          <w:lang w:eastAsia="zh-CN"/>
        </w:rPr>
        <w:t xml:space="preserve"> </w:t>
      </w:r>
      <w:r w:rsidR="007F48BF" w:rsidRPr="00F4231A">
        <w:rPr>
          <w:rFonts w:ascii="Book Antiqua" w:hAnsi="Book Antiqua" w:cs="Arial"/>
          <w:sz w:val="24"/>
          <w:szCs w:val="24"/>
        </w:rPr>
        <w:t>BMI</w:t>
      </w:r>
      <w:r w:rsidR="007F48BF">
        <w:rPr>
          <w:rFonts w:ascii="Book Antiqua" w:eastAsia="SimSun" w:hAnsi="Book Antiqua" w:cs="Arial" w:hint="eastAsia"/>
          <w:sz w:val="24"/>
          <w:szCs w:val="24"/>
          <w:lang w:eastAsia="zh-CN"/>
        </w:rPr>
        <w:t xml:space="preserve">: </w:t>
      </w:r>
      <w:r w:rsidR="007F48BF" w:rsidRPr="00B54A57">
        <w:rPr>
          <w:rFonts w:ascii="Book Antiqua" w:hAnsi="Book Antiqua" w:cs="Arial"/>
          <w:caps/>
          <w:sz w:val="24"/>
          <w:szCs w:val="24"/>
        </w:rPr>
        <w:t>b</w:t>
      </w:r>
      <w:r w:rsidR="007F48BF" w:rsidRPr="00F4231A">
        <w:rPr>
          <w:rFonts w:ascii="Book Antiqua" w:hAnsi="Book Antiqua" w:cs="Arial"/>
          <w:sz w:val="24"/>
          <w:szCs w:val="24"/>
        </w:rPr>
        <w:t>ody mass index;</w:t>
      </w:r>
      <w:r w:rsidR="007F48BF">
        <w:rPr>
          <w:rFonts w:ascii="Book Antiqua" w:eastAsia="SimSun" w:hAnsi="Book Antiqua" w:cs="Arial" w:hint="eastAsia"/>
          <w:sz w:val="24"/>
          <w:szCs w:val="24"/>
          <w:lang w:eastAsia="zh-CN"/>
        </w:rPr>
        <w:t xml:space="preserve"> </w:t>
      </w:r>
      <w:r w:rsidR="007F48BF" w:rsidRPr="00F4231A">
        <w:rPr>
          <w:rFonts w:ascii="Book Antiqua" w:hAnsi="Book Antiqua" w:cs="Arial"/>
          <w:sz w:val="24"/>
          <w:szCs w:val="24"/>
        </w:rPr>
        <w:t>MCV</w:t>
      </w:r>
      <w:r w:rsidR="007F48BF">
        <w:rPr>
          <w:rFonts w:ascii="Book Antiqua" w:eastAsia="SimSun" w:hAnsi="Book Antiqua" w:cs="Arial" w:hint="eastAsia"/>
          <w:sz w:val="24"/>
          <w:szCs w:val="24"/>
          <w:lang w:eastAsia="zh-CN"/>
        </w:rPr>
        <w:t>:</w:t>
      </w:r>
      <w:r w:rsidR="007F48BF" w:rsidRPr="00F4231A">
        <w:rPr>
          <w:rFonts w:ascii="Book Antiqua" w:hAnsi="Book Antiqua" w:cs="Arial"/>
          <w:sz w:val="24"/>
          <w:szCs w:val="24"/>
        </w:rPr>
        <w:t xml:space="preserve"> </w:t>
      </w:r>
      <w:r w:rsidR="007F48BF" w:rsidRPr="00B54A57">
        <w:rPr>
          <w:rFonts w:ascii="Book Antiqua" w:hAnsi="Book Antiqua" w:cs="Arial"/>
          <w:caps/>
          <w:sz w:val="24"/>
          <w:szCs w:val="24"/>
        </w:rPr>
        <w:t>m</w:t>
      </w:r>
      <w:r w:rsidR="007F48BF" w:rsidRPr="00F4231A">
        <w:rPr>
          <w:rFonts w:ascii="Book Antiqua" w:hAnsi="Book Antiqua" w:cs="Arial"/>
          <w:sz w:val="24"/>
          <w:szCs w:val="24"/>
        </w:rPr>
        <w:t>ean corpuscular volume; MCH</w:t>
      </w:r>
      <w:r w:rsidR="007F48BF">
        <w:rPr>
          <w:rFonts w:ascii="Book Antiqua" w:eastAsia="SimSun" w:hAnsi="Book Antiqua" w:cs="Arial" w:hint="eastAsia"/>
          <w:sz w:val="24"/>
          <w:szCs w:val="24"/>
          <w:lang w:eastAsia="zh-CN"/>
        </w:rPr>
        <w:t xml:space="preserve">: </w:t>
      </w:r>
      <w:r w:rsidR="007F48BF" w:rsidRPr="00B54A57">
        <w:rPr>
          <w:rFonts w:ascii="Book Antiqua" w:hAnsi="Book Antiqua" w:cs="Arial"/>
          <w:caps/>
          <w:sz w:val="24"/>
          <w:szCs w:val="24"/>
        </w:rPr>
        <w:t>m</w:t>
      </w:r>
      <w:r w:rsidR="007F48BF" w:rsidRPr="00F4231A">
        <w:rPr>
          <w:rFonts w:ascii="Book Antiqua" w:hAnsi="Book Antiqua" w:cs="Arial"/>
          <w:sz w:val="24"/>
          <w:szCs w:val="24"/>
        </w:rPr>
        <w:t>ean corpuscular hemoglobin; MCHC</w:t>
      </w:r>
      <w:r w:rsidR="007F48BF">
        <w:rPr>
          <w:rFonts w:ascii="Book Antiqua" w:eastAsia="SimSun" w:hAnsi="Book Antiqua" w:cs="Arial" w:hint="eastAsia"/>
          <w:sz w:val="24"/>
          <w:szCs w:val="24"/>
          <w:lang w:eastAsia="zh-CN"/>
        </w:rPr>
        <w:t xml:space="preserve">: </w:t>
      </w:r>
      <w:r w:rsidR="007F48BF" w:rsidRPr="00B54A57">
        <w:rPr>
          <w:rFonts w:ascii="Book Antiqua" w:hAnsi="Book Antiqua" w:cs="Arial"/>
          <w:caps/>
          <w:sz w:val="24"/>
          <w:szCs w:val="24"/>
        </w:rPr>
        <w:t>m</w:t>
      </w:r>
      <w:r w:rsidR="007F48BF" w:rsidRPr="00F4231A">
        <w:rPr>
          <w:rFonts w:ascii="Book Antiqua" w:hAnsi="Book Antiqua" w:cs="Arial"/>
          <w:sz w:val="24"/>
          <w:szCs w:val="24"/>
        </w:rPr>
        <w:t>ean corpuscular hemoglobin concentration; PT-INR</w:t>
      </w:r>
      <w:r w:rsidR="007F48BF">
        <w:rPr>
          <w:rFonts w:ascii="Book Antiqua" w:eastAsia="SimSun" w:hAnsi="Book Antiqua" w:cs="Arial" w:hint="eastAsia"/>
          <w:sz w:val="24"/>
          <w:szCs w:val="24"/>
          <w:lang w:eastAsia="zh-CN"/>
        </w:rPr>
        <w:t xml:space="preserve">: </w:t>
      </w:r>
      <w:r w:rsidR="007F48BF" w:rsidRPr="00B54A57">
        <w:rPr>
          <w:rFonts w:ascii="Book Antiqua" w:hAnsi="Book Antiqua" w:cs="Arial"/>
          <w:caps/>
          <w:sz w:val="24"/>
          <w:szCs w:val="24"/>
        </w:rPr>
        <w:t>i</w:t>
      </w:r>
      <w:r w:rsidR="007F48BF" w:rsidRPr="00F4231A">
        <w:rPr>
          <w:rFonts w:ascii="Book Antiqua" w:hAnsi="Book Antiqua" w:cs="Arial"/>
          <w:sz w:val="24"/>
          <w:szCs w:val="24"/>
        </w:rPr>
        <w:t>nternational ratio of prothrombin time; APTT</w:t>
      </w:r>
      <w:r w:rsidR="007F48BF">
        <w:rPr>
          <w:rFonts w:ascii="Book Antiqua" w:eastAsia="SimSun" w:hAnsi="Book Antiqua" w:cs="Arial" w:hint="eastAsia"/>
          <w:sz w:val="24"/>
          <w:szCs w:val="24"/>
          <w:lang w:eastAsia="zh-CN"/>
        </w:rPr>
        <w:t xml:space="preserve">: </w:t>
      </w:r>
      <w:r w:rsidR="007F48BF" w:rsidRPr="00B54A57">
        <w:rPr>
          <w:rFonts w:ascii="Book Antiqua" w:hAnsi="Book Antiqua" w:cs="Arial"/>
          <w:caps/>
          <w:sz w:val="24"/>
          <w:szCs w:val="24"/>
        </w:rPr>
        <w:t>a</w:t>
      </w:r>
      <w:r w:rsidR="007F48BF" w:rsidRPr="00F4231A">
        <w:rPr>
          <w:rFonts w:ascii="Book Antiqua" w:hAnsi="Book Antiqua" w:cs="Arial"/>
          <w:sz w:val="24"/>
          <w:szCs w:val="24"/>
        </w:rPr>
        <w:t>ctivated partial thromboplastin test; FIBG</w:t>
      </w:r>
      <w:r w:rsidR="007F48BF">
        <w:rPr>
          <w:rFonts w:ascii="Book Antiqua" w:eastAsia="SimSun" w:hAnsi="Book Antiqua" w:cs="Arial" w:hint="eastAsia"/>
          <w:sz w:val="24"/>
          <w:szCs w:val="24"/>
          <w:lang w:eastAsia="zh-CN"/>
        </w:rPr>
        <w:t>:</w:t>
      </w:r>
      <w:r w:rsidR="007F48BF" w:rsidRPr="00F4231A">
        <w:rPr>
          <w:rFonts w:ascii="Book Antiqua" w:hAnsi="Book Antiqua" w:cs="Arial"/>
          <w:sz w:val="24"/>
          <w:szCs w:val="24"/>
        </w:rPr>
        <w:t xml:space="preserve"> </w:t>
      </w:r>
      <w:r w:rsidR="007F48BF" w:rsidRPr="00B54A57">
        <w:rPr>
          <w:rFonts w:ascii="Book Antiqua" w:hAnsi="Book Antiqua" w:cs="Arial"/>
          <w:caps/>
          <w:sz w:val="24"/>
          <w:szCs w:val="24"/>
        </w:rPr>
        <w:t>f</w:t>
      </w:r>
      <w:r w:rsidR="007F48BF" w:rsidRPr="00F4231A">
        <w:rPr>
          <w:rFonts w:ascii="Book Antiqua" w:hAnsi="Book Antiqua" w:cs="Arial"/>
          <w:sz w:val="24"/>
          <w:szCs w:val="24"/>
        </w:rPr>
        <w:t>ibrinogen; AST</w:t>
      </w:r>
      <w:r w:rsidR="007F48BF">
        <w:rPr>
          <w:rFonts w:ascii="Book Antiqua" w:eastAsia="SimSun" w:hAnsi="Book Antiqua" w:cs="Arial" w:hint="eastAsia"/>
          <w:sz w:val="24"/>
          <w:szCs w:val="24"/>
          <w:lang w:eastAsia="zh-CN"/>
        </w:rPr>
        <w:t xml:space="preserve">: </w:t>
      </w:r>
      <w:r w:rsidR="007F48BF" w:rsidRPr="00B54A57">
        <w:rPr>
          <w:rFonts w:ascii="Book Antiqua" w:hAnsi="Book Antiqua" w:cs="Arial"/>
          <w:caps/>
          <w:sz w:val="24"/>
          <w:szCs w:val="24"/>
        </w:rPr>
        <w:t>a</w:t>
      </w:r>
      <w:r w:rsidR="007F48BF" w:rsidRPr="00F4231A">
        <w:rPr>
          <w:rFonts w:ascii="Book Antiqua" w:hAnsi="Book Antiqua" w:cs="Arial"/>
          <w:sz w:val="24"/>
          <w:szCs w:val="24"/>
        </w:rPr>
        <w:t>spartate aminotransferase; ALT</w:t>
      </w:r>
      <w:r w:rsidR="007F48BF">
        <w:rPr>
          <w:rFonts w:ascii="Book Antiqua" w:eastAsia="SimSun" w:hAnsi="Book Antiqua" w:cs="Arial" w:hint="eastAsia"/>
          <w:sz w:val="24"/>
          <w:szCs w:val="24"/>
          <w:lang w:eastAsia="zh-CN"/>
        </w:rPr>
        <w:t xml:space="preserve">: </w:t>
      </w:r>
      <w:r w:rsidR="007F48BF" w:rsidRPr="00B54A57">
        <w:rPr>
          <w:rFonts w:ascii="Book Antiqua" w:hAnsi="Book Antiqua" w:cs="Arial"/>
          <w:caps/>
          <w:sz w:val="24"/>
          <w:szCs w:val="24"/>
        </w:rPr>
        <w:t>a</w:t>
      </w:r>
      <w:r w:rsidR="007F48BF" w:rsidRPr="00F4231A">
        <w:rPr>
          <w:rFonts w:ascii="Book Antiqua" w:hAnsi="Book Antiqua" w:cs="Arial"/>
          <w:sz w:val="24"/>
          <w:szCs w:val="24"/>
        </w:rPr>
        <w:t>lanine aminotransferase; LDH</w:t>
      </w:r>
      <w:r w:rsidR="007F48BF">
        <w:rPr>
          <w:rFonts w:ascii="Book Antiqua" w:eastAsia="SimSun" w:hAnsi="Book Antiqua" w:cs="Arial" w:hint="eastAsia"/>
          <w:sz w:val="24"/>
          <w:szCs w:val="24"/>
          <w:lang w:eastAsia="zh-CN"/>
        </w:rPr>
        <w:t>:</w:t>
      </w:r>
      <w:r w:rsidR="007F48BF" w:rsidRPr="00F4231A">
        <w:rPr>
          <w:rFonts w:ascii="Book Antiqua" w:hAnsi="Book Antiqua" w:cs="Arial"/>
          <w:sz w:val="24"/>
          <w:szCs w:val="24"/>
        </w:rPr>
        <w:t xml:space="preserve"> </w:t>
      </w:r>
      <w:r w:rsidR="007F48BF" w:rsidRPr="00B54A57">
        <w:rPr>
          <w:rFonts w:ascii="Book Antiqua" w:hAnsi="Book Antiqua" w:cs="Arial"/>
          <w:caps/>
          <w:sz w:val="24"/>
          <w:szCs w:val="24"/>
        </w:rPr>
        <w:t>l</w:t>
      </w:r>
      <w:r w:rsidR="007F48BF" w:rsidRPr="00F4231A">
        <w:rPr>
          <w:rFonts w:ascii="Book Antiqua" w:hAnsi="Book Antiqua" w:cs="Arial"/>
          <w:sz w:val="24"/>
          <w:szCs w:val="24"/>
        </w:rPr>
        <w:t>actate dehydrogenase; eGFR</w:t>
      </w:r>
      <w:r w:rsidR="007F48BF">
        <w:rPr>
          <w:rFonts w:ascii="Book Antiqua" w:eastAsia="SimSun" w:hAnsi="Book Antiqua" w:cs="Arial" w:hint="eastAsia"/>
          <w:sz w:val="24"/>
          <w:szCs w:val="24"/>
          <w:lang w:eastAsia="zh-CN"/>
        </w:rPr>
        <w:t>:</w:t>
      </w:r>
      <w:r w:rsidR="007F48BF" w:rsidRPr="00F4231A">
        <w:rPr>
          <w:rFonts w:ascii="Book Antiqua" w:hAnsi="Book Antiqua" w:cs="Arial"/>
          <w:sz w:val="24"/>
          <w:szCs w:val="24"/>
        </w:rPr>
        <w:t xml:space="preserve"> </w:t>
      </w:r>
      <w:r w:rsidR="007F48BF" w:rsidRPr="00B54A57">
        <w:rPr>
          <w:rFonts w:ascii="Book Antiqua" w:hAnsi="Book Antiqua" w:cs="Arial"/>
          <w:caps/>
          <w:sz w:val="24"/>
          <w:szCs w:val="24"/>
        </w:rPr>
        <w:t>e</w:t>
      </w:r>
      <w:r w:rsidR="007F48BF" w:rsidRPr="00F4231A">
        <w:rPr>
          <w:rFonts w:ascii="Book Antiqua" w:hAnsi="Book Antiqua" w:cs="Arial"/>
          <w:sz w:val="24"/>
          <w:szCs w:val="24"/>
        </w:rPr>
        <w:t>stimated glomerular filtration rate; ALP</w:t>
      </w:r>
      <w:r w:rsidR="007F48BF">
        <w:rPr>
          <w:rFonts w:ascii="Book Antiqua" w:eastAsia="SimSun" w:hAnsi="Book Antiqua" w:cs="Arial" w:hint="eastAsia"/>
          <w:sz w:val="24"/>
          <w:szCs w:val="24"/>
          <w:lang w:eastAsia="zh-CN"/>
        </w:rPr>
        <w:t>:</w:t>
      </w:r>
      <w:r w:rsidR="007F48BF" w:rsidRPr="00F4231A">
        <w:rPr>
          <w:rFonts w:ascii="Book Antiqua" w:hAnsi="Book Antiqua" w:cs="Arial"/>
          <w:sz w:val="24"/>
          <w:szCs w:val="24"/>
        </w:rPr>
        <w:t xml:space="preserve"> </w:t>
      </w:r>
      <w:r w:rsidR="007F48BF" w:rsidRPr="00B54A57">
        <w:rPr>
          <w:rFonts w:ascii="Book Antiqua" w:hAnsi="Book Antiqua" w:cs="Arial"/>
          <w:caps/>
          <w:sz w:val="24"/>
          <w:szCs w:val="24"/>
        </w:rPr>
        <w:t>a</w:t>
      </w:r>
      <w:r w:rsidR="007F48BF" w:rsidRPr="00F4231A">
        <w:rPr>
          <w:rFonts w:ascii="Book Antiqua" w:hAnsi="Book Antiqua" w:cs="Arial"/>
          <w:sz w:val="24"/>
          <w:szCs w:val="24"/>
        </w:rPr>
        <w:t>lkaline phosphatase; γGT</w:t>
      </w:r>
      <w:r w:rsidR="007F48BF">
        <w:rPr>
          <w:rFonts w:ascii="Book Antiqua" w:eastAsia="SimSun" w:hAnsi="Book Antiqua" w:cs="Arial" w:hint="eastAsia"/>
          <w:sz w:val="24"/>
          <w:szCs w:val="24"/>
          <w:lang w:eastAsia="zh-CN"/>
        </w:rPr>
        <w:t xml:space="preserve">: </w:t>
      </w:r>
      <w:r w:rsidR="007F48BF" w:rsidRPr="00F4231A">
        <w:rPr>
          <w:rFonts w:ascii="Book Antiqua" w:hAnsi="Book Antiqua" w:cs="Arial"/>
          <w:sz w:val="24"/>
          <w:szCs w:val="24"/>
        </w:rPr>
        <w:t>γ-glutamyltransferase; ChE</w:t>
      </w:r>
      <w:r w:rsidR="007F48BF">
        <w:rPr>
          <w:rFonts w:ascii="Book Antiqua" w:eastAsia="SimSun" w:hAnsi="Book Antiqua" w:cs="Arial" w:hint="eastAsia"/>
          <w:sz w:val="24"/>
          <w:szCs w:val="24"/>
          <w:lang w:eastAsia="zh-CN"/>
        </w:rPr>
        <w:t xml:space="preserve">: </w:t>
      </w:r>
      <w:r w:rsidR="007F48BF" w:rsidRPr="00B54A57">
        <w:rPr>
          <w:rFonts w:ascii="Book Antiqua" w:hAnsi="Book Antiqua" w:cs="Arial"/>
          <w:caps/>
          <w:sz w:val="24"/>
          <w:szCs w:val="24"/>
        </w:rPr>
        <w:t>c</w:t>
      </w:r>
      <w:r w:rsidR="007F48BF" w:rsidRPr="00F4231A">
        <w:rPr>
          <w:rFonts w:ascii="Book Antiqua" w:hAnsi="Book Antiqua" w:cs="Arial"/>
          <w:sz w:val="24"/>
          <w:szCs w:val="24"/>
        </w:rPr>
        <w:t>holinesterase; LDL</w:t>
      </w:r>
      <w:r w:rsidR="007F48BF">
        <w:rPr>
          <w:rFonts w:ascii="Book Antiqua" w:eastAsia="SimSun" w:hAnsi="Book Antiqua" w:cs="Arial" w:hint="eastAsia"/>
          <w:sz w:val="24"/>
          <w:szCs w:val="24"/>
          <w:lang w:eastAsia="zh-CN"/>
        </w:rPr>
        <w:t>:</w:t>
      </w:r>
      <w:r w:rsidR="007F48BF" w:rsidRPr="00B54A57">
        <w:rPr>
          <w:rFonts w:ascii="Book Antiqua" w:eastAsia="SimSun" w:hAnsi="Book Antiqua" w:cs="Arial" w:hint="eastAsia"/>
          <w:caps/>
          <w:sz w:val="24"/>
          <w:szCs w:val="24"/>
          <w:lang w:eastAsia="zh-CN"/>
        </w:rPr>
        <w:t xml:space="preserve"> </w:t>
      </w:r>
      <w:r w:rsidR="007F48BF" w:rsidRPr="00B54A57">
        <w:rPr>
          <w:rFonts w:ascii="Book Antiqua" w:hAnsi="Book Antiqua" w:cs="Arial"/>
          <w:caps/>
          <w:sz w:val="24"/>
          <w:szCs w:val="24"/>
        </w:rPr>
        <w:t>l</w:t>
      </w:r>
      <w:r w:rsidR="007F48BF" w:rsidRPr="00F4231A">
        <w:rPr>
          <w:rFonts w:ascii="Book Antiqua" w:hAnsi="Book Antiqua" w:cs="Arial"/>
          <w:sz w:val="24"/>
          <w:szCs w:val="24"/>
        </w:rPr>
        <w:t>ow-density lipoprotein; HDL</w:t>
      </w:r>
      <w:r w:rsidR="007F48BF">
        <w:rPr>
          <w:rFonts w:ascii="Book Antiqua" w:eastAsia="SimSun" w:hAnsi="Book Antiqua" w:cs="Arial" w:hint="eastAsia"/>
          <w:sz w:val="24"/>
          <w:szCs w:val="24"/>
          <w:lang w:eastAsia="zh-CN"/>
        </w:rPr>
        <w:t>:</w:t>
      </w:r>
      <w:r w:rsidR="007F48BF" w:rsidRPr="00F4231A">
        <w:rPr>
          <w:rFonts w:ascii="Book Antiqua" w:hAnsi="Book Antiqua" w:cs="Arial"/>
          <w:sz w:val="24"/>
          <w:szCs w:val="24"/>
        </w:rPr>
        <w:t xml:space="preserve"> </w:t>
      </w:r>
      <w:r w:rsidR="007F48BF" w:rsidRPr="00B54A57">
        <w:rPr>
          <w:rFonts w:ascii="Book Antiqua" w:hAnsi="Book Antiqua" w:cs="Arial"/>
          <w:caps/>
          <w:sz w:val="24"/>
          <w:szCs w:val="24"/>
        </w:rPr>
        <w:t>h</w:t>
      </w:r>
      <w:r w:rsidR="007F48BF" w:rsidRPr="00B54A57">
        <w:rPr>
          <w:rFonts w:ascii="Book Antiqua" w:hAnsi="Book Antiqua" w:cs="Arial"/>
          <w:sz w:val="24"/>
          <w:szCs w:val="24"/>
        </w:rPr>
        <w:t>i</w:t>
      </w:r>
      <w:r w:rsidR="007F48BF" w:rsidRPr="00F4231A">
        <w:rPr>
          <w:rFonts w:ascii="Book Antiqua" w:hAnsi="Book Antiqua" w:cs="Arial"/>
          <w:sz w:val="24"/>
          <w:szCs w:val="24"/>
        </w:rPr>
        <w:t>gh-density lipoprotein; HbA1c</w:t>
      </w:r>
      <w:r w:rsidR="007F48BF">
        <w:rPr>
          <w:rFonts w:ascii="Book Antiqua" w:eastAsia="SimSun" w:hAnsi="Book Antiqua" w:cs="Arial" w:hint="eastAsia"/>
          <w:sz w:val="24"/>
          <w:szCs w:val="24"/>
          <w:lang w:eastAsia="zh-CN"/>
        </w:rPr>
        <w:t>:</w:t>
      </w:r>
      <w:r w:rsidR="007F48BF" w:rsidRPr="00F4231A">
        <w:rPr>
          <w:rFonts w:ascii="Book Antiqua" w:hAnsi="Book Antiqua" w:cs="Arial"/>
          <w:sz w:val="24"/>
          <w:szCs w:val="24"/>
        </w:rPr>
        <w:t xml:space="preserve"> </w:t>
      </w:r>
      <w:r w:rsidR="007F48BF" w:rsidRPr="00B54A57">
        <w:rPr>
          <w:rFonts w:ascii="Book Antiqua" w:hAnsi="Book Antiqua" w:cs="Arial"/>
          <w:caps/>
          <w:sz w:val="24"/>
          <w:szCs w:val="24"/>
        </w:rPr>
        <w:t>h</w:t>
      </w:r>
      <w:r w:rsidR="007F48BF" w:rsidRPr="00F4231A">
        <w:rPr>
          <w:rFonts w:ascii="Book Antiqua" w:hAnsi="Book Antiqua" w:cs="Arial"/>
          <w:sz w:val="24"/>
          <w:szCs w:val="24"/>
        </w:rPr>
        <w:t>emoglobin A1c; HOMA-IR</w:t>
      </w:r>
      <w:r w:rsidR="007F48BF">
        <w:rPr>
          <w:rFonts w:ascii="Book Antiqua" w:eastAsia="SimSun" w:hAnsi="Book Antiqua" w:cs="Arial" w:hint="eastAsia"/>
          <w:sz w:val="24"/>
          <w:szCs w:val="24"/>
          <w:lang w:eastAsia="zh-CN"/>
        </w:rPr>
        <w:t xml:space="preserve">: </w:t>
      </w:r>
      <w:r w:rsidR="007F48BF" w:rsidRPr="00B54A57">
        <w:rPr>
          <w:rFonts w:ascii="Book Antiqua" w:hAnsi="Book Antiqua" w:cs="Arial"/>
          <w:caps/>
          <w:sz w:val="24"/>
          <w:szCs w:val="24"/>
        </w:rPr>
        <w:t>h</w:t>
      </w:r>
      <w:r w:rsidR="007F48BF" w:rsidRPr="00F4231A">
        <w:rPr>
          <w:rFonts w:ascii="Book Antiqua" w:hAnsi="Book Antiqua" w:cs="Arial"/>
          <w:sz w:val="24"/>
          <w:szCs w:val="24"/>
        </w:rPr>
        <w:t>omeostasis model assessment for insulin resistance;</w:t>
      </w:r>
      <w:r w:rsidR="007F48BF">
        <w:rPr>
          <w:rFonts w:ascii="Book Antiqua" w:eastAsia="SimSun" w:hAnsi="Book Antiqua" w:cs="Arial" w:hint="eastAsia"/>
          <w:sz w:val="24"/>
          <w:szCs w:val="24"/>
          <w:lang w:eastAsia="zh-CN"/>
        </w:rPr>
        <w:t xml:space="preserve"> </w:t>
      </w:r>
      <w:r w:rsidR="007F48BF" w:rsidRPr="00F4231A">
        <w:rPr>
          <w:rFonts w:ascii="Book Antiqua" w:hAnsi="Book Antiqua" w:cs="Arial"/>
          <w:sz w:val="24"/>
          <w:szCs w:val="24"/>
        </w:rPr>
        <w:t>CRP</w:t>
      </w:r>
      <w:r w:rsidR="007F48BF">
        <w:rPr>
          <w:rFonts w:ascii="Book Antiqua" w:eastAsia="SimSun" w:hAnsi="Book Antiqua" w:cs="Arial" w:hint="eastAsia"/>
          <w:sz w:val="24"/>
          <w:szCs w:val="24"/>
          <w:lang w:eastAsia="zh-CN"/>
        </w:rPr>
        <w:t>:</w:t>
      </w:r>
      <w:r w:rsidR="007F48BF" w:rsidRPr="00F4231A">
        <w:rPr>
          <w:rFonts w:ascii="Book Antiqua" w:hAnsi="Book Antiqua" w:cs="Arial"/>
          <w:sz w:val="24"/>
          <w:szCs w:val="24"/>
        </w:rPr>
        <w:t xml:space="preserve"> C-reactive protein; CK18</w:t>
      </w:r>
      <w:r w:rsidR="007F48BF">
        <w:rPr>
          <w:rFonts w:ascii="Book Antiqua" w:eastAsia="SimSun" w:hAnsi="Book Antiqua" w:cs="Arial" w:hint="eastAsia"/>
          <w:sz w:val="24"/>
          <w:szCs w:val="24"/>
          <w:lang w:eastAsia="zh-CN"/>
        </w:rPr>
        <w:t xml:space="preserve">: </w:t>
      </w:r>
      <w:r w:rsidR="007F48BF" w:rsidRPr="00B54A57">
        <w:rPr>
          <w:rFonts w:ascii="Book Antiqua" w:hAnsi="Book Antiqua" w:cs="Arial"/>
          <w:caps/>
          <w:sz w:val="24"/>
          <w:szCs w:val="24"/>
        </w:rPr>
        <w:t>c</w:t>
      </w:r>
      <w:r w:rsidR="007F48BF" w:rsidRPr="00F4231A">
        <w:rPr>
          <w:rFonts w:ascii="Book Antiqua" w:hAnsi="Book Antiqua" w:cs="Arial"/>
          <w:sz w:val="24"/>
          <w:szCs w:val="24"/>
        </w:rPr>
        <w:t>ytokeratin 18</w:t>
      </w:r>
      <w:r w:rsidR="007F48BF">
        <w:rPr>
          <w:rFonts w:ascii="Book Antiqua" w:eastAsia="SimSun" w:hAnsi="Book Antiqua" w:cs="Arial" w:hint="eastAsia"/>
          <w:sz w:val="24"/>
          <w:szCs w:val="24"/>
          <w:lang w:eastAsia="zh-CN"/>
        </w:rPr>
        <w:t>.</w:t>
      </w:r>
    </w:p>
    <w:p w:rsidR="00CB7E0B" w:rsidRPr="00F4231A" w:rsidRDefault="00CD1AEB" w:rsidP="00F4231A">
      <w:pPr>
        <w:snapToGrid w:val="0"/>
        <w:spacing w:line="360" w:lineRule="auto"/>
        <w:rPr>
          <w:rFonts w:ascii="Book Antiqua" w:hAnsi="Book Antiqua" w:cs="Arial"/>
          <w:b/>
          <w:sz w:val="24"/>
          <w:szCs w:val="24"/>
        </w:rPr>
      </w:pPr>
      <w:r w:rsidRPr="00F4231A">
        <w:rPr>
          <w:rFonts w:ascii="Book Antiqua" w:hAnsi="Book Antiqua" w:cs="Arial"/>
          <w:b/>
          <w:sz w:val="24"/>
          <w:szCs w:val="24"/>
        </w:rPr>
        <w:br w:type="page"/>
      </w:r>
      <w:r w:rsidR="001D6A8A">
        <w:rPr>
          <w:rFonts w:ascii="Book Antiqua" w:hAnsi="Book Antiqua" w:cs="Arial"/>
          <w:b/>
          <w:noProof/>
          <w:sz w:val="24"/>
          <w:szCs w:val="24"/>
          <w:lang w:eastAsia="zh-CN"/>
        </w:rPr>
        <w:lastRenderedPageBreak/>
        <w:drawing>
          <wp:inline distT="0" distB="0" distL="0" distR="0">
            <wp:extent cx="4391025" cy="3190875"/>
            <wp:effectExtent l="0" t="0" r="9525" b="9525"/>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025" cy="3190875"/>
                    </a:xfrm>
                    <a:prstGeom prst="rect">
                      <a:avLst/>
                    </a:prstGeom>
                    <a:noFill/>
                    <a:ln>
                      <a:noFill/>
                    </a:ln>
                  </pic:spPr>
                </pic:pic>
              </a:graphicData>
            </a:graphic>
          </wp:inline>
        </w:drawing>
      </w:r>
    </w:p>
    <w:p w:rsidR="00EC69AB" w:rsidRPr="006809E9" w:rsidRDefault="00CB7E0B" w:rsidP="00F4231A">
      <w:pPr>
        <w:snapToGrid w:val="0"/>
        <w:spacing w:line="360" w:lineRule="auto"/>
        <w:rPr>
          <w:rFonts w:ascii="Book Antiqua" w:eastAsia="SimSun" w:hAnsi="Book Antiqua" w:cs="Arial"/>
          <w:b/>
          <w:sz w:val="24"/>
          <w:szCs w:val="24"/>
          <w:lang w:eastAsia="zh-CN"/>
        </w:rPr>
      </w:pPr>
      <w:r w:rsidRPr="00F4231A">
        <w:rPr>
          <w:rFonts w:ascii="Book Antiqua" w:hAnsi="Book Antiqua" w:cs="Arial"/>
          <w:b/>
          <w:sz w:val="24"/>
          <w:szCs w:val="24"/>
        </w:rPr>
        <w:t>Fig</w:t>
      </w:r>
      <w:r w:rsidR="006809E9">
        <w:rPr>
          <w:rFonts w:ascii="Book Antiqua" w:eastAsia="SimSun" w:hAnsi="Book Antiqua" w:cs="Arial" w:hint="eastAsia"/>
          <w:b/>
          <w:sz w:val="24"/>
          <w:szCs w:val="24"/>
          <w:lang w:eastAsia="zh-CN"/>
        </w:rPr>
        <w:t>ure</w:t>
      </w:r>
      <w:r w:rsidR="00EC69AB" w:rsidRPr="00F4231A">
        <w:rPr>
          <w:rFonts w:ascii="Book Antiqua" w:hAnsi="Book Antiqua" w:cs="Arial"/>
          <w:b/>
          <w:sz w:val="24"/>
          <w:szCs w:val="24"/>
        </w:rPr>
        <w:t xml:space="preserve"> 1</w:t>
      </w:r>
      <w:r w:rsidR="006809E9">
        <w:rPr>
          <w:rFonts w:ascii="Book Antiqua" w:eastAsia="SimSun" w:hAnsi="Book Antiqua" w:cs="Arial" w:hint="eastAsia"/>
          <w:b/>
          <w:sz w:val="24"/>
          <w:szCs w:val="24"/>
          <w:lang w:eastAsia="zh-CN"/>
        </w:rPr>
        <w:t xml:space="preserve"> </w:t>
      </w:r>
      <w:r w:rsidR="00EC69AB" w:rsidRPr="00F4231A">
        <w:rPr>
          <w:rFonts w:ascii="Book Antiqua" w:hAnsi="Book Antiqua" w:cs="Arial"/>
          <w:b/>
          <w:sz w:val="24"/>
          <w:szCs w:val="24"/>
        </w:rPr>
        <w:t>Comparison</w:t>
      </w:r>
      <w:r w:rsidR="00026908" w:rsidRPr="00F4231A">
        <w:rPr>
          <w:rFonts w:ascii="Book Antiqua" w:hAnsi="Book Antiqua" w:cs="Arial"/>
          <w:b/>
          <w:sz w:val="24"/>
          <w:szCs w:val="24"/>
        </w:rPr>
        <w:t>s</w:t>
      </w:r>
      <w:r w:rsidR="00EC69AB" w:rsidRPr="00F4231A">
        <w:rPr>
          <w:rFonts w:ascii="Book Antiqua" w:hAnsi="Book Antiqua" w:cs="Arial"/>
          <w:b/>
          <w:sz w:val="24"/>
          <w:szCs w:val="24"/>
        </w:rPr>
        <w:t xml:space="preserve"> of serum </w:t>
      </w:r>
      <w:r w:rsidR="006809E9" w:rsidRPr="004B6E3E">
        <w:rPr>
          <w:rFonts w:ascii="Book Antiqua" w:hAnsi="Book Antiqua" w:cs="Arial"/>
          <w:b/>
          <w:bCs/>
          <w:sz w:val="24"/>
          <w:szCs w:val="24"/>
        </w:rPr>
        <w:t>lipopolysaccharide-binding protein</w:t>
      </w:r>
      <w:r w:rsidR="00EC69AB" w:rsidRPr="00F4231A">
        <w:rPr>
          <w:rFonts w:ascii="Book Antiqua" w:hAnsi="Book Antiqua" w:cs="Arial"/>
          <w:b/>
          <w:sz w:val="24"/>
          <w:szCs w:val="24"/>
        </w:rPr>
        <w:t xml:space="preserve"> (A) a</w:t>
      </w:r>
      <w:r w:rsidR="008D6BAB" w:rsidRPr="00F4231A">
        <w:rPr>
          <w:rFonts w:ascii="Book Antiqua" w:hAnsi="Book Antiqua" w:cs="Arial"/>
          <w:b/>
          <w:sz w:val="24"/>
          <w:szCs w:val="24"/>
        </w:rPr>
        <w:t xml:space="preserve">nd EndoCab IgG (B) between </w:t>
      </w:r>
      <w:r w:rsidR="00026908" w:rsidRPr="00F4231A">
        <w:rPr>
          <w:rFonts w:ascii="Book Antiqua" w:hAnsi="Book Antiqua" w:cs="Arial"/>
          <w:b/>
          <w:sz w:val="24"/>
          <w:szCs w:val="24"/>
        </w:rPr>
        <w:t xml:space="preserve">26 </w:t>
      </w:r>
      <w:r w:rsidR="004B6E3E" w:rsidRPr="004B6E3E">
        <w:rPr>
          <w:rFonts w:ascii="Book Antiqua" w:hAnsi="Book Antiqua" w:cs="Arial"/>
          <w:b/>
          <w:sz w:val="24"/>
          <w:szCs w:val="24"/>
        </w:rPr>
        <w:t>nonalcoholic fatty liver</w:t>
      </w:r>
      <w:r w:rsidR="00026908" w:rsidRPr="00F4231A">
        <w:rPr>
          <w:rFonts w:ascii="Book Antiqua" w:hAnsi="Book Antiqua" w:cs="Arial"/>
          <w:b/>
          <w:sz w:val="24"/>
          <w:szCs w:val="24"/>
        </w:rPr>
        <w:t xml:space="preserve"> </w:t>
      </w:r>
      <w:r w:rsidR="00EC69AB" w:rsidRPr="00F4231A">
        <w:rPr>
          <w:rFonts w:ascii="Book Antiqua" w:hAnsi="Book Antiqua" w:cs="Arial"/>
          <w:b/>
          <w:sz w:val="24"/>
          <w:szCs w:val="24"/>
        </w:rPr>
        <w:t xml:space="preserve">and </w:t>
      </w:r>
      <w:r w:rsidR="00026908" w:rsidRPr="00F4231A">
        <w:rPr>
          <w:rFonts w:ascii="Book Antiqua" w:hAnsi="Book Antiqua" w:cs="Arial"/>
          <w:b/>
          <w:sz w:val="24"/>
          <w:szCs w:val="24"/>
        </w:rPr>
        <w:t xml:space="preserve">100 </w:t>
      </w:r>
      <w:r w:rsidR="004B6E3E" w:rsidRPr="004B6E3E">
        <w:rPr>
          <w:rFonts w:ascii="Book Antiqua" w:hAnsi="Book Antiqua" w:cs="Arial"/>
          <w:b/>
          <w:sz w:val="24"/>
          <w:szCs w:val="24"/>
        </w:rPr>
        <w:t>nonalcoholic steatohepatitis</w:t>
      </w:r>
      <w:r w:rsidR="006809E9">
        <w:rPr>
          <w:rFonts w:ascii="Book Antiqua" w:hAnsi="Book Antiqua" w:cs="Arial"/>
          <w:b/>
          <w:sz w:val="24"/>
          <w:szCs w:val="24"/>
        </w:rPr>
        <w:t xml:space="preserve"> patients</w:t>
      </w:r>
      <w:r w:rsidR="006809E9">
        <w:rPr>
          <w:rFonts w:ascii="Book Antiqua" w:eastAsia="SimSun" w:hAnsi="Book Antiqua" w:cs="Arial" w:hint="eastAsia"/>
          <w:b/>
          <w:sz w:val="24"/>
          <w:szCs w:val="24"/>
          <w:lang w:eastAsia="zh-CN"/>
        </w:rPr>
        <w:t xml:space="preserve">. </w:t>
      </w:r>
      <w:r w:rsidR="00026908" w:rsidRPr="00F4231A">
        <w:rPr>
          <w:rFonts w:ascii="Book Antiqua" w:hAnsi="Book Antiqua" w:cs="Arial"/>
          <w:sz w:val="24"/>
          <w:szCs w:val="24"/>
        </w:rPr>
        <w:t>The c</w:t>
      </w:r>
      <w:r w:rsidR="00EC69AB" w:rsidRPr="00F4231A">
        <w:rPr>
          <w:rFonts w:ascii="Book Antiqua" w:hAnsi="Book Antiqua" w:cs="Arial"/>
          <w:sz w:val="24"/>
          <w:szCs w:val="24"/>
        </w:rPr>
        <w:t>linicopathological features of the patients are shown in Table 1</w:t>
      </w:r>
      <w:r w:rsidR="00026908" w:rsidRPr="00F4231A">
        <w:rPr>
          <w:rFonts w:ascii="Book Antiqua" w:hAnsi="Book Antiqua" w:cs="Arial"/>
          <w:sz w:val="24"/>
          <w:szCs w:val="24"/>
        </w:rPr>
        <w:t xml:space="preserve">. </w:t>
      </w:r>
      <w:r w:rsidR="00EC69AB" w:rsidRPr="00F4231A">
        <w:rPr>
          <w:rFonts w:ascii="Book Antiqua" w:hAnsi="Book Antiqua" w:cs="Arial"/>
          <w:sz w:val="24"/>
          <w:szCs w:val="24"/>
        </w:rPr>
        <w:t>Bars represent median</w:t>
      </w:r>
      <w:r w:rsidR="00026908" w:rsidRPr="00F4231A">
        <w:rPr>
          <w:rFonts w:ascii="Book Antiqua" w:hAnsi="Book Antiqua" w:cs="Arial"/>
          <w:sz w:val="24"/>
          <w:szCs w:val="24"/>
        </w:rPr>
        <w:t xml:space="preserve"> values. </w:t>
      </w:r>
      <w:r w:rsidR="00EC69AB" w:rsidRPr="00F4231A">
        <w:rPr>
          <w:rFonts w:ascii="Book Antiqua" w:hAnsi="Book Antiqua" w:cs="Arial"/>
          <w:i/>
          <w:sz w:val="24"/>
          <w:szCs w:val="24"/>
        </w:rPr>
        <w:t>P</w:t>
      </w:r>
      <w:r w:rsidR="00EC69AB" w:rsidRPr="00F4231A">
        <w:rPr>
          <w:rFonts w:ascii="Book Antiqua" w:hAnsi="Book Antiqua" w:cs="Arial"/>
          <w:sz w:val="24"/>
          <w:szCs w:val="24"/>
        </w:rPr>
        <w:t xml:space="preserve"> value</w:t>
      </w:r>
      <w:r w:rsidR="008D6BAB" w:rsidRPr="00F4231A">
        <w:rPr>
          <w:rFonts w:ascii="Book Antiqua" w:hAnsi="Book Antiqua" w:cs="Arial"/>
          <w:sz w:val="24"/>
          <w:szCs w:val="24"/>
        </w:rPr>
        <w:t>s</w:t>
      </w:r>
      <w:r w:rsidR="00EC69AB" w:rsidRPr="00F4231A">
        <w:rPr>
          <w:rFonts w:ascii="Book Antiqua" w:hAnsi="Book Antiqua" w:cs="Arial"/>
          <w:sz w:val="24"/>
          <w:szCs w:val="24"/>
        </w:rPr>
        <w:t xml:space="preserve"> w</w:t>
      </w:r>
      <w:r w:rsidR="008D6BAB" w:rsidRPr="00F4231A">
        <w:rPr>
          <w:rFonts w:ascii="Book Antiqua" w:hAnsi="Book Antiqua" w:cs="Arial"/>
          <w:sz w:val="24"/>
          <w:szCs w:val="24"/>
        </w:rPr>
        <w:t>ere</w:t>
      </w:r>
      <w:r w:rsidR="00EC69AB" w:rsidRPr="00F4231A">
        <w:rPr>
          <w:rFonts w:ascii="Book Antiqua" w:hAnsi="Book Antiqua" w:cs="Arial"/>
          <w:sz w:val="24"/>
          <w:szCs w:val="24"/>
        </w:rPr>
        <w:t xml:space="preserve"> calculated using </w:t>
      </w:r>
      <w:r w:rsidR="00026908" w:rsidRPr="00F4231A">
        <w:rPr>
          <w:rFonts w:ascii="Book Antiqua" w:hAnsi="Book Antiqua" w:cs="Arial"/>
          <w:sz w:val="24"/>
          <w:szCs w:val="24"/>
        </w:rPr>
        <w:t xml:space="preserve">the </w:t>
      </w:r>
      <w:r w:rsidR="00EC69AB" w:rsidRPr="00F4231A">
        <w:rPr>
          <w:rFonts w:ascii="Book Antiqua" w:hAnsi="Book Antiqua" w:cs="Arial"/>
          <w:sz w:val="24"/>
          <w:szCs w:val="24"/>
        </w:rPr>
        <w:t xml:space="preserve">Mann-Whitney </w:t>
      </w:r>
      <w:r w:rsidR="00EC69AB" w:rsidRPr="00F4231A">
        <w:rPr>
          <w:rFonts w:ascii="Book Antiqua" w:hAnsi="Book Antiqua" w:cs="Arial"/>
          <w:i/>
          <w:sz w:val="24"/>
          <w:szCs w:val="24"/>
        </w:rPr>
        <w:t>U</w:t>
      </w:r>
      <w:r w:rsidR="00EC69AB" w:rsidRPr="00F4231A">
        <w:rPr>
          <w:rFonts w:ascii="Book Antiqua" w:hAnsi="Book Antiqua" w:cs="Arial"/>
          <w:sz w:val="24"/>
          <w:szCs w:val="24"/>
        </w:rPr>
        <w:t xml:space="preserve"> test</w:t>
      </w:r>
      <w:r w:rsidR="008D6BAB" w:rsidRPr="00F4231A">
        <w:rPr>
          <w:rFonts w:ascii="Book Antiqua" w:hAnsi="Book Antiqua" w:cs="Arial"/>
          <w:sz w:val="24"/>
          <w:szCs w:val="24"/>
        </w:rPr>
        <w:t xml:space="preserve">. </w:t>
      </w:r>
      <w:r w:rsidR="006809E9" w:rsidRPr="004B6E3E">
        <w:rPr>
          <w:rFonts w:ascii="Book Antiqua" w:eastAsia="MS UI Gothic" w:hAnsi="Book Antiqua" w:cs="Arial"/>
          <w:sz w:val="24"/>
          <w:szCs w:val="24"/>
        </w:rPr>
        <w:t>NAFL</w:t>
      </w:r>
      <w:r w:rsidR="006809E9" w:rsidRPr="004B6E3E">
        <w:rPr>
          <w:rFonts w:ascii="Book Antiqua" w:eastAsia="SimSun" w:hAnsi="Book Antiqua" w:cs="Arial" w:hint="eastAsia"/>
          <w:sz w:val="24"/>
          <w:szCs w:val="24"/>
          <w:lang w:eastAsia="zh-CN"/>
        </w:rPr>
        <w:t>:</w:t>
      </w:r>
      <w:r w:rsidR="006809E9" w:rsidRPr="004B6E3E">
        <w:rPr>
          <w:rFonts w:ascii="Book Antiqua" w:hAnsi="Book Antiqua" w:cs="Arial"/>
          <w:sz w:val="24"/>
          <w:szCs w:val="24"/>
        </w:rPr>
        <w:t xml:space="preserve"> </w:t>
      </w:r>
      <w:r w:rsidR="006809E9" w:rsidRPr="004B6E3E">
        <w:rPr>
          <w:rFonts w:ascii="Book Antiqua" w:hAnsi="Book Antiqua" w:cs="Arial"/>
          <w:caps/>
          <w:sz w:val="24"/>
          <w:szCs w:val="24"/>
        </w:rPr>
        <w:t>n</w:t>
      </w:r>
      <w:r w:rsidR="006809E9" w:rsidRPr="00F4231A">
        <w:rPr>
          <w:rFonts w:ascii="Book Antiqua" w:hAnsi="Book Antiqua" w:cs="Arial"/>
          <w:sz w:val="24"/>
          <w:szCs w:val="24"/>
        </w:rPr>
        <w:t>onalcoholic fatty liver</w:t>
      </w:r>
      <w:r w:rsidR="006809E9">
        <w:rPr>
          <w:rFonts w:ascii="Book Antiqua" w:eastAsia="SimSun" w:hAnsi="Book Antiqua" w:cs="Arial" w:hint="eastAsia"/>
          <w:sz w:val="24"/>
          <w:szCs w:val="24"/>
          <w:lang w:eastAsia="zh-CN"/>
        </w:rPr>
        <w:t>;</w:t>
      </w:r>
      <w:r w:rsidR="006809E9" w:rsidRPr="00F4231A">
        <w:rPr>
          <w:rFonts w:ascii="Book Antiqua" w:hAnsi="Book Antiqua" w:cs="Arial"/>
          <w:sz w:val="24"/>
          <w:szCs w:val="24"/>
        </w:rPr>
        <w:t xml:space="preserve"> </w:t>
      </w:r>
      <w:r w:rsidR="006809E9" w:rsidRPr="004B6E3E">
        <w:rPr>
          <w:rFonts w:ascii="Book Antiqua" w:eastAsia="MS UI Gothic" w:hAnsi="Book Antiqua" w:cs="Arial"/>
          <w:sz w:val="24"/>
          <w:szCs w:val="24"/>
        </w:rPr>
        <w:t>NASH</w:t>
      </w:r>
      <w:r w:rsidR="006809E9" w:rsidRPr="004B6E3E">
        <w:rPr>
          <w:rFonts w:ascii="Book Antiqua" w:eastAsia="SimSun" w:hAnsi="Book Antiqua" w:cs="Arial" w:hint="eastAsia"/>
          <w:sz w:val="24"/>
          <w:szCs w:val="24"/>
          <w:lang w:eastAsia="zh-CN"/>
        </w:rPr>
        <w:t xml:space="preserve">: </w:t>
      </w:r>
      <w:r w:rsidR="006809E9" w:rsidRPr="004B6E3E">
        <w:rPr>
          <w:rFonts w:ascii="Book Antiqua" w:eastAsia="SimSun" w:hAnsi="Book Antiqua" w:cs="Arial"/>
          <w:sz w:val="24"/>
          <w:szCs w:val="24"/>
          <w:lang w:eastAsia="zh-CN"/>
        </w:rPr>
        <w:t>nonalcoholic steatohepatitis</w:t>
      </w:r>
      <w:r w:rsidR="006809E9">
        <w:rPr>
          <w:rFonts w:ascii="Book Antiqua" w:eastAsia="SimSun" w:hAnsi="Book Antiqua" w:cs="Arial"/>
          <w:sz w:val="24"/>
          <w:szCs w:val="24"/>
          <w:lang w:eastAsia="zh-CN"/>
        </w:rPr>
        <w:t>.</w:t>
      </w:r>
    </w:p>
    <w:p w:rsidR="00C46156" w:rsidRPr="00F4231A" w:rsidRDefault="006809E9" w:rsidP="00F4231A">
      <w:pPr>
        <w:snapToGrid w:val="0"/>
        <w:spacing w:line="360" w:lineRule="auto"/>
        <w:rPr>
          <w:rFonts w:ascii="Book Antiqua" w:hAnsi="Book Antiqua" w:cs="Arial"/>
          <w:b/>
          <w:sz w:val="24"/>
          <w:szCs w:val="24"/>
        </w:rPr>
      </w:pPr>
      <w:r>
        <w:rPr>
          <w:rFonts w:ascii="Book Antiqua" w:hAnsi="Book Antiqua" w:cs="Arial"/>
          <w:b/>
          <w:sz w:val="24"/>
          <w:szCs w:val="24"/>
        </w:rPr>
        <w:br w:type="page"/>
      </w:r>
      <w:r w:rsidR="001D6A8A">
        <w:rPr>
          <w:rFonts w:ascii="Book Antiqua" w:hAnsi="Book Antiqua" w:cs="Arial"/>
          <w:b/>
          <w:noProof/>
          <w:sz w:val="24"/>
          <w:szCs w:val="24"/>
          <w:lang w:eastAsia="zh-CN"/>
        </w:rPr>
        <w:lastRenderedPageBreak/>
        <w:drawing>
          <wp:inline distT="0" distB="0" distL="0" distR="0">
            <wp:extent cx="4238625" cy="4476750"/>
            <wp:effectExtent l="0" t="0" r="9525" b="0"/>
            <wp:docPr id="2"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8625" cy="4476750"/>
                    </a:xfrm>
                    <a:prstGeom prst="rect">
                      <a:avLst/>
                    </a:prstGeom>
                    <a:noFill/>
                    <a:ln>
                      <a:noFill/>
                    </a:ln>
                  </pic:spPr>
                </pic:pic>
              </a:graphicData>
            </a:graphic>
          </wp:inline>
        </w:drawing>
      </w:r>
    </w:p>
    <w:p w:rsidR="005C0B9E" w:rsidRPr="006809E9" w:rsidRDefault="00EC69AB" w:rsidP="00F4231A">
      <w:pPr>
        <w:snapToGrid w:val="0"/>
        <w:spacing w:line="360" w:lineRule="auto"/>
        <w:rPr>
          <w:rFonts w:ascii="Book Antiqua" w:hAnsi="Book Antiqua" w:cs="Arial"/>
          <w:sz w:val="24"/>
          <w:szCs w:val="24"/>
        </w:rPr>
      </w:pPr>
      <w:r w:rsidRPr="00F4231A">
        <w:rPr>
          <w:rFonts w:ascii="Book Antiqua" w:hAnsi="Book Antiqua" w:cs="Arial"/>
          <w:b/>
          <w:sz w:val="24"/>
          <w:szCs w:val="24"/>
        </w:rPr>
        <w:t>Fig</w:t>
      </w:r>
      <w:r w:rsidR="006809E9">
        <w:rPr>
          <w:rFonts w:ascii="Book Antiqua" w:eastAsia="SimSun" w:hAnsi="Book Antiqua" w:cs="Arial" w:hint="eastAsia"/>
          <w:b/>
          <w:sz w:val="24"/>
          <w:szCs w:val="24"/>
          <w:lang w:eastAsia="zh-CN"/>
        </w:rPr>
        <w:t>ure</w:t>
      </w:r>
      <w:r w:rsidRPr="00F4231A">
        <w:rPr>
          <w:rFonts w:ascii="Book Antiqua" w:hAnsi="Book Antiqua" w:cs="Arial"/>
          <w:b/>
          <w:sz w:val="24"/>
          <w:szCs w:val="24"/>
        </w:rPr>
        <w:t xml:space="preserve"> 2</w:t>
      </w:r>
      <w:r w:rsidR="006809E9">
        <w:rPr>
          <w:rFonts w:ascii="Book Antiqua" w:eastAsia="SimSun" w:hAnsi="Book Antiqua" w:cs="Arial" w:hint="eastAsia"/>
          <w:b/>
          <w:sz w:val="24"/>
          <w:szCs w:val="24"/>
          <w:lang w:eastAsia="zh-CN"/>
        </w:rPr>
        <w:t xml:space="preserve"> </w:t>
      </w:r>
      <w:r w:rsidRPr="00F4231A">
        <w:rPr>
          <w:rFonts w:ascii="Book Antiqua" w:hAnsi="Book Antiqua" w:cs="Arial"/>
          <w:b/>
          <w:bCs/>
          <w:sz w:val="24"/>
          <w:szCs w:val="24"/>
        </w:rPr>
        <w:t>Relationship</w:t>
      </w:r>
      <w:r w:rsidR="00026908" w:rsidRPr="00F4231A">
        <w:rPr>
          <w:rFonts w:ascii="Book Antiqua" w:hAnsi="Book Antiqua" w:cs="Arial"/>
          <w:b/>
          <w:bCs/>
          <w:sz w:val="24"/>
          <w:szCs w:val="24"/>
        </w:rPr>
        <w:t>s</w:t>
      </w:r>
      <w:r w:rsidRPr="00F4231A">
        <w:rPr>
          <w:rFonts w:ascii="Book Antiqua" w:hAnsi="Book Antiqua" w:cs="Arial"/>
          <w:b/>
          <w:bCs/>
          <w:sz w:val="24"/>
          <w:szCs w:val="24"/>
        </w:rPr>
        <w:t xml:space="preserve"> between serum </w:t>
      </w:r>
      <w:r w:rsidR="006809E9" w:rsidRPr="004B6E3E">
        <w:rPr>
          <w:rFonts w:ascii="Book Antiqua" w:hAnsi="Book Antiqua" w:cs="Arial"/>
          <w:b/>
          <w:bCs/>
          <w:sz w:val="24"/>
          <w:szCs w:val="24"/>
        </w:rPr>
        <w:t>lipopolysaccharide-binding protein</w:t>
      </w:r>
      <w:r w:rsidRPr="00F4231A">
        <w:rPr>
          <w:rFonts w:ascii="Book Antiqua" w:hAnsi="Book Antiqua" w:cs="Arial"/>
          <w:b/>
          <w:bCs/>
          <w:sz w:val="24"/>
          <w:szCs w:val="24"/>
        </w:rPr>
        <w:t xml:space="preserve"> and histological findings in </w:t>
      </w:r>
      <w:r w:rsidR="00026908" w:rsidRPr="00F4231A">
        <w:rPr>
          <w:rFonts w:ascii="Book Antiqua" w:hAnsi="Book Antiqua" w:cs="Arial"/>
          <w:b/>
          <w:bCs/>
          <w:sz w:val="24"/>
          <w:szCs w:val="24"/>
        </w:rPr>
        <w:t xml:space="preserve">126 </w:t>
      </w:r>
      <w:r w:rsidRPr="00F4231A">
        <w:rPr>
          <w:rFonts w:ascii="Book Antiqua" w:hAnsi="Book Antiqua" w:cs="Arial"/>
          <w:b/>
          <w:bCs/>
          <w:sz w:val="24"/>
          <w:szCs w:val="24"/>
        </w:rPr>
        <w:t xml:space="preserve">biopsy-proven </w:t>
      </w:r>
      <w:r w:rsidR="004B6E3E" w:rsidRPr="004B6E3E">
        <w:rPr>
          <w:rFonts w:ascii="Book Antiqua" w:hAnsi="Book Antiqua" w:cs="Arial"/>
          <w:b/>
          <w:bCs/>
          <w:sz w:val="24"/>
          <w:szCs w:val="24"/>
        </w:rPr>
        <w:t>nonalcoholic fatty liver disease</w:t>
      </w:r>
      <w:r w:rsidRPr="00F4231A">
        <w:rPr>
          <w:rFonts w:ascii="Book Antiqua" w:hAnsi="Book Antiqua" w:cs="Arial"/>
          <w:b/>
          <w:bCs/>
          <w:sz w:val="24"/>
          <w:szCs w:val="24"/>
        </w:rPr>
        <w:t xml:space="preserve"> patients</w:t>
      </w:r>
      <w:r w:rsidR="006809E9">
        <w:rPr>
          <w:rFonts w:ascii="Book Antiqua" w:hAnsi="Book Antiqua" w:cs="Arial"/>
          <w:b/>
          <w:sz w:val="24"/>
          <w:szCs w:val="24"/>
        </w:rPr>
        <w:t>.</w:t>
      </w:r>
      <w:r w:rsidR="006809E9">
        <w:rPr>
          <w:rFonts w:ascii="Book Antiqua" w:hAnsi="Book Antiqua" w:cs="Arial"/>
          <w:bCs/>
          <w:sz w:val="24"/>
          <w:szCs w:val="24"/>
        </w:rPr>
        <w:t xml:space="preserve"> </w:t>
      </w:r>
      <w:r w:rsidRPr="006809E9">
        <w:rPr>
          <w:rFonts w:ascii="Book Antiqua" w:hAnsi="Book Antiqua" w:cs="Arial"/>
          <w:bCs/>
          <w:sz w:val="24"/>
          <w:szCs w:val="24"/>
        </w:rPr>
        <w:t>A</w:t>
      </w:r>
      <w:r w:rsidR="006809E9" w:rsidRPr="006809E9">
        <w:rPr>
          <w:rFonts w:ascii="Book Antiqua" w:hAnsi="Book Antiqua" w:cs="Arial"/>
          <w:bCs/>
          <w:sz w:val="24"/>
          <w:szCs w:val="24"/>
        </w:rPr>
        <w:t xml:space="preserve">: </w:t>
      </w:r>
      <w:r w:rsidR="00026908" w:rsidRPr="006809E9">
        <w:rPr>
          <w:rFonts w:ascii="Book Antiqua" w:hAnsi="Book Antiqua" w:cs="Arial"/>
          <w:bCs/>
          <w:sz w:val="24"/>
          <w:szCs w:val="24"/>
        </w:rPr>
        <w:t>Steatosis (1-3),</w:t>
      </w:r>
      <w:r w:rsidR="006809E9" w:rsidRPr="006809E9">
        <w:rPr>
          <w:rFonts w:ascii="Book Antiqua" w:hAnsi="Book Antiqua" w:cs="Arial"/>
          <w:bCs/>
          <w:sz w:val="24"/>
          <w:szCs w:val="24"/>
        </w:rPr>
        <w:t xml:space="preserve"> </w:t>
      </w:r>
      <w:r w:rsidRPr="006809E9">
        <w:rPr>
          <w:rFonts w:ascii="Book Antiqua" w:hAnsi="Book Antiqua" w:cs="Arial"/>
          <w:bCs/>
          <w:sz w:val="24"/>
          <w:szCs w:val="24"/>
        </w:rPr>
        <w:t>B</w:t>
      </w:r>
      <w:r w:rsidR="006809E9" w:rsidRPr="006809E9">
        <w:rPr>
          <w:rFonts w:ascii="Book Antiqua" w:hAnsi="Book Antiqua" w:cs="Arial"/>
          <w:bCs/>
          <w:sz w:val="24"/>
          <w:szCs w:val="24"/>
        </w:rPr>
        <w:t xml:space="preserve">: </w:t>
      </w:r>
      <w:r w:rsidR="00026908" w:rsidRPr="006809E9">
        <w:rPr>
          <w:rFonts w:ascii="Book Antiqua" w:hAnsi="Book Antiqua" w:cs="Arial"/>
          <w:bCs/>
          <w:sz w:val="24"/>
          <w:szCs w:val="24"/>
        </w:rPr>
        <w:t>Ballooning (0-2),</w:t>
      </w:r>
      <w:r w:rsidR="006809E9" w:rsidRPr="006809E9">
        <w:rPr>
          <w:rFonts w:ascii="Book Antiqua" w:hAnsi="Book Antiqua" w:cs="Arial"/>
          <w:bCs/>
          <w:sz w:val="24"/>
          <w:szCs w:val="24"/>
        </w:rPr>
        <w:t xml:space="preserve"> </w:t>
      </w:r>
      <w:r w:rsidRPr="006809E9">
        <w:rPr>
          <w:rFonts w:ascii="Book Antiqua" w:hAnsi="Book Antiqua" w:cs="Arial"/>
          <w:bCs/>
          <w:sz w:val="24"/>
          <w:szCs w:val="24"/>
        </w:rPr>
        <w:t>C</w:t>
      </w:r>
      <w:r w:rsidR="006809E9" w:rsidRPr="006809E9">
        <w:rPr>
          <w:rFonts w:ascii="Book Antiqua" w:hAnsi="Book Antiqua" w:cs="Arial"/>
          <w:bCs/>
          <w:sz w:val="24"/>
          <w:szCs w:val="24"/>
        </w:rPr>
        <w:t xml:space="preserve">: </w:t>
      </w:r>
      <w:r w:rsidR="00026908" w:rsidRPr="006809E9">
        <w:rPr>
          <w:rFonts w:ascii="Book Antiqua" w:hAnsi="Book Antiqua" w:cs="Arial"/>
          <w:bCs/>
          <w:sz w:val="24"/>
          <w:szCs w:val="24"/>
        </w:rPr>
        <w:t xml:space="preserve">Lobular inflammation (0-3), </w:t>
      </w:r>
      <w:r w:rsidR="008D6BAB" w:rsidRPr="006809E9">
        <w:rPr>
          <w:rFonts w:ascii="Book Antiqua" w:hAnsi="Book Antiqua" w:cs="Arial"/>
          <w:bCs/>
          <w:sz w:val="24"/>
          <w:szCs w:val="24"/>
        </w:rPr>
        <w:t>and</w:t>
      </w:r>
      <w:r w:rsidR="006809E9" w:rsidRPr="006809E9">
        <w:rPr>
          <w:rFonts w:ascii="Book Antiqua" w:hAnsi="Book Antiqua" w:cs="Arial"/>
          <w:bCs/>
          <w:sz w:val="24"/>
          <w:szCs w:val="24"/>
        </w:rPr>
        <w:t xml:space="preserve"> </w:t>
      </w:r>
      <w:r w:rsidRPr="006809E9">
        <w:rPr>
          <w:rFonts w:ascii="Book Antiqua" w:hAnsi="Book Antiqua" w:cs="Arial"/>
          <w:bCs/>
          <w:sz w:val="24"/>
          <w:szCs w:val="24"/>
        </w:rPr>
        <w:t>D</w:t>
      </w:r>
      <w:r w:rsidR="006809E9" w:rsidRPr="006809E9">
        <w:rPr>
          <w:rFonts w:ascii="Book Antiqua" w:hAnsi="Book Antiqua" w:cs="Arial"/>
          <w:bCs/>
          <w:sz w:val="24"/>
          <w:szCs w:val="24"/>
        </w:rPr>
        <w:t xml:space="preserve">: </w:t>
      </w:r>
      <w:r w:rsidRPr="00F4231A">
        <w:rPr>
          <w:rFonts w:ascii="Book Antiqua" w:hAnsi="Book Antiqua" w:cs="Arial"/>
          <w:bCs/>
          <w:sz w:val="24"/>
          <w:szCs w:val="24"/>
        </w:rPr>
        <w:t>Fibrosis (0-4)</w:t>
      </w:r>
      <w:r w:rsidR="00026908" w:rsidRPr="00F4231A">
        <w:rPr>
          <w:rFonts w:ascii="Book Antiqua" w:hAnsi="Book Antiqua" w:cs="Arial"/>
          <w:bCs/>
          <w:sz w:val="24"/>
          <w:szCs w:val="24"/>
        </w:rPr>
        <w:t xml:space="preserve"> scores</w:t>
      </w:r>
      <w:r w:rsidR="008D6BAB" w:rsidRPr="00F4231A">
        <w:rPr>
          <w:rFonts w:ascii="Book Antiqua" w:hAnsi="Book Antiqua" w:cs="Arial"/>
          <w:bCs/>
          <w:sz w:val="24"/>
          <w:szCs w:val="24"/>
        </w:rPr>
        <w:t xml:space="preserve">. </w:t>
      </w:r>
      <w:r w:rsidRPr="00F4231A">
        <w:rPr>
          <w:rFonts w:ascii="Book Antiqua" w:hAnsi="Book Antiqua" w:cs="Arial"/>
          <w:bCs/>
          <w:sz w:val="24"/>
          <w:szCs w:val="24"/>
        </w:rPr>
        <w:t xml:space="preserve">Comparisons </w:t>
      </w:r>
      <w:r w:rsidR="00026908" w:rsidRPr="00F4231A">
        <w:rPr>
          <w:rFonts w:ascii="Book Antiqua" w:hAnsi="Book Antiqua" w:cs="Arial"/>
          <w:bCs/>
          <w:sz w:val="24"/>
          <w:szCs w:val="24"/>
        </w:rPr>
        <w:t>a</w:t>
      </w:r>
      <w:r w:rsidR="00236128" w:rsidRPr="00F4231A">
        <w:rPr>
          <w:rFonts w:ascii="Book Antiqua" w:hAnsi="Book Antiqua" w:cs="Arial"/>
          <w:bCs/>
          <w:sz w:val="24"/>
          <w:szCs w:val="24"/>
        </w:rPr>
        <w:t xml:space="preserve">mong </w:t>
      </w:r>
      <w:r w:rsidR="00026908" w:rsidRPr="00F4231A">
        <w:rPr>
          <w:rFonts w:ascii="Book Antiqua" w:hAnsi="Book Antiqua" w:cs="Arial"/>
          <w:bCs/>
          <w:sz w:val="24"/>
          <w:szCs w:val="24"/>
        </w:rPr>
        <w:t>sub</w:t>
      </w:r>
      <w:r w:rsidRPr="00F4231A">
        <w:rPr>
          <w:rFonts w:ascii="Book Antiqua" w:hAnsi="Book Antiqua" w:cs="Arial"/>
          <w:bCs/>
          <w:sz w:val="24"/>
          <w:szCs w:val="24"/>
        </w:rPr>
        <w:t>groups were conducted using one-way ANOVA with Bonferroni’s correction</w:t>
      </w:r>
      <w:r w:rsidR="005C0B9E" w:rsidRPr="00F4231A">
        <w:rPr>
          <w:rFonts w:ascii="Book Antiqua" w:hAnsi="Book Antiqua" w:cs="Arial"/>
          <w:bCs/>
          <w:sz w:val="24"/>
          <w:szCs w:val="24"/>
        </w:rPr>
        <w:t>.</w:t>
      </w:r>
      <w:r w:rsidR="006809E9">
        <w:rPr>
          <w:rFonts w:ascii="Book Antiqua" w:hAnsi="Book Antiqua" w:cs="Arial"/>
          <w:bCs/>
          <w:sz w:val="24"/>
          <w:szCs w:val="24"/>
        </w:rPr>
        <w:t xml:space="preserve"> </w:t>
      </w:r>
      <w:r w:rsidR="006809E9" w:rsidRPr="006809E9">
        <w:rPr>
          <w:rFonts w:ascii="Book Antiqua" w:hAnsi="Book Antiqua" w:cs="Arial"/>
          <w:bCs/>
          <w:sz w:val="24"/>
          <w:szCs w:val="24"/>
        </w:rPr>
        <w:t>LBP: lipopolysaccharide-binding protein.</w:t>
      </w:r>
    </w:p>
    <w:p w:rsidR="005C0B9E" w:rsidRPr="00F4231A" w:rsidRDefault="006809E9" w:rsidP="00F4231A">
      <w:pPr>
        <w:snapToGrid w:val="0"/>
        <w:spacing w:line="360" w:lineRule="auto"/>
        <w:rPr>
          <w:rFonts w:ascii="Book Antiqua" w:hAnsi="Book Antiqua" w:cs="Arial"/>
          <w:bCs/>
          <w:sz w:val="24"/>
          <w:szCs w:val="24"/>
        </w:rPr>
      </w:pPr>
      <w:r>
        <w:rPr>
          <w:rFonts w:ascii="Book Antiqua" w:hAnsi="Book Antiqua" w:cs="Arial"/>
          <w:bCs/>
          <w:sz w:val="24"/>
          <w:szCs w:val="24"/>
        </w:rPr>
        <w:br w:type="page"/>
      </w:r>
      <w:r w:rsidR="001D6A8A">
        <w:rPr>
          <w:rFonts w:ascii="Book Antiqua" w:hAnsi="Book Antiqua" w:cs="Arial"/>
          <w:bCs/>
          <w:noProof/>
          <w:sz w:val="24"/>
          <w:szCs w:val="24"/>
          <w:lang w:eastAsia="zh-CN"/>
        </w:rPr>
        <w:lastRenderedPageBreak/>
        <w:drawing>
          <wp:inline distT="0" distB="0" distL="0" distR="0">
            <wp:extent cx="4114800" cy="4419600"/>
            <wp:effectExtent l="0" t="0" r="0" b="0"/>
            <wp:docPr id="3" name="Picture 3"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4419600"/>
                    </a:xfrm>
                    <a:prstGeom prst="rect">
                      <a:avLst/>
                    </a:prstGeom>
                    <a:noFill/>
                    <a:ln>
                      <a:noFill/>
                    </a:ln>
                  </pic:spPr>
                </pic:pic>
              </a:graphicData>
            </a:graphic>
          </wp:inline>
        </w:drawing>
      </w:r>
    </w:p>
    <w:p w:rsidR="005C0B9E" w:rsidRPr="00F4231A" w:rsidRDefault="00EC69AB" w:rsidP="00F4231A">
      <w:pPr>
        <w:snapToGrid w:val="0"/>
        <w:spacing w:line="360" w:lineRule="auto"/>
        <w:rPr>
          <w:rFonts w:ascii="Book Antiqua" w:hAnsi="Book Antiqua" w:cs="Arial"/>
          <w:bCs/>
          <w:sz w:val="24"/>
          <w:szCs w:val="24"/>
        </w:rPr>
      </w:pPr>
      <w:r w:rsidRPr="00F4231A">
        <w:rPr>
          <w:rFonts w:ascii="Book Antiqua" w:hAnsi="Book Antiqua" w:cs="Arial"/>
          <w:b/>
          <w:sz w:val="24"/>
          <w:szCs w:val="24"/>
        </w:rPr>
        <w:t>Fig</w:t>
      </w:r>
      <w:r w:rsidR="006809E9">
        <w:rPr>
          <w:rFonts w:ascii="Book Antiqua" w:eastAsia="SimSun" w:hAnsi="Book Antiqua" w:cs="Arial" w:hint="eastAsia"/>
          <w:b/>
          <w:sz w:val="24"/>
          <w:szCs w:val="24"/>
          <w:lang w:eastAsia="zh-CN"/>
        </w:rPr>
        <w:t>ure</w:t>
      </w:r>
      <w:r w:rsidRPr="00F4231A">
        <w:rPr>
          <w:rFonts w:ascii="Book Antiqua" w:hAnsi="Book Antiqua" w:cs="Arial"/>
          <w:b/>
          <w:sz w:val="24"/>
          <w:szCs w:val="24"/>
        </w:rPr>
        <w:t xml:space="preserve"> 3</w:t>
      </w:r>
      <w:r w:rsidR="006809E9">
        <w:rPr>
          <w:rFonts w:ascii="Book Antiqua" w:eastAsia="SimSun" w:hAnsi="Book Antiqua" w:cs="Arial" w:hint="eastAsia"/>
          <w:b/>
          <w:sz w:val="24"/>
          <w:szCs w:val="24"/>
          <w:lang w:eastAsia="zh-CN"/>
        </w:rPr>
        <w:t xml:space="preserve"> </w:t>
      </w:r>
      <w:r w:rsidRPr="00F4231A">
        <w:rPr>
          <w:rFonts w:ascii="Book Antiqua" w:hAnsi="Book Antiqua" w:cs="Arial"/>
          <w:b/>
          <w:bCs/>
          <w:sz w:val="24"/>
          <w:szCs w:val="24"/>
        </w:rPr>
        <w:t>Relationship</w:t>
      </w:r>
      <w:r w:rsidR="00236128" w:rsidRPr="00F4231A">
        <w:rPr>
          <w:rFonts w:ascii="Book Antiqua" w:hAnsi="Book Antiqua" w:cs="Arial"/>
          <w:b/>
          <w:bCs/>
          <w:sz w:val="24"/>
          <w:szCs w:val="24"/>
        </w:rPr>
        <w:t>s</w:t>
      </w:r>
      <w:r w:rsidRPr="00F4231A">
        <w:rPr>
          <w:rFonts w:ascii="Book Antiqua" w:hAnsi="Book Antiqua" w:cs="Arial"/>
          <w:b/>
          <w:bCs/>
          <w:sz w:val="24"/>
          <w:szCs w:val="24"/>
        </w:rPr>
        <w:t xml:space="preserve"> between serum EndoCab IgG and histological findings in </w:t>
      </w:r>
      <w:r w:rsidR="00236128" w:rsidRPr="00F4231A">
        <w:rPr>
          <w:rFonts w:ascii="Book Antiqua" w:hAnsi="Book Antiqua" w:cs="Arial"/>
          <w:b/>
          <w:bCs/>
          <w:sz w:val="24"/>
          <w:szCs w:val="24"/>
        </w:rPr>
        <w:t xml:space="preserve">126 </w:t>
      </w:r>
      <w:r w:rsidRPr="00F4231A">
        <w:rPr>
          <w:rFonts w:ascii="Book Antiqua" w:hAnsi="Book Antiqua" w:cs="Arial"/>
          <w:b/>
          <w:bCs/>
          <w:sz w:val="24"/>
          <w:szCs w:val="24"/>
        </w:rPr>
        <w:t xml:space="preserve">biopsy-proven </w:t>
      </w:r>
      <w:r w:rsidR="004B6E3E" w:rsidRPr="004B6E3E">
        <w:rPr>
          <w:rFonts w:ascii="Book Antiqua" w:hAnsi="Book Antiqua" w:cs="Arial"/>
          <w:b/>
          <w:bCs/>
          <w:sz w:val="24"/>
          <w:szCs w:val="24"/>
        </w:rPr>
        <w:t>nonalcoholic fatty liver disease</w:t>
      </w:r>
      <w:r w:rsidRPr="00F4231A">
        <w:rPr>
          <w:rFonts w:ascii="Book Antiqua" w:hAnsi="Book Antiqua" w:cs="Arial"/>
          <w:b/>
          <w:bCs/>
          <w:sz w:val="24"/>
          <w:szCs w:val="24"/>
        </w:rPr>
        <w:t xml:space="preserve"> patients</w:t>
      </w:r>
      <w:r w:rsidR="006809E9">
        <w:rPr>
          <w:rFonts w:ascii="Book Antiqua" w:hAnsi="Book Antiqua" w:cs="Arial"/>
          <w:bCs/>
          <w:sz w:val="24"/>
          <w:szCs w:val="24"/>
        </w:rPr>
        <w:t xml:space="preserve">. </w:t>
      </w:r>
      <w:r w:rsidR="00236128" w:rsidRPr="006809E9">
        <w:rPr>
          <w:rFonts w:ascii="Book Antiqua" w:hAnsi="Book Antiqua" w:cs="Arial"/>
          <w:bCs/>
          <w:sz w:val="24"/>
          <w:szCs w:val="24"/>
        </w:rPr>
        <w:t>A</w:t>
      </w:r>
      <w:r w:rsidR="006809E9" w:rsidRPr="006809E9">
        <w:rPr>
          <w:rFonts w:ascii="Book Antiqua" w:hAnsi="Book Antiqua" w:cs="Arial"/>
          <w:bCs/>
          <w:sz w:val="24"/>
          <w:szCs w:val="24"/>
        </w:rPr>
        <w:t xml:space="preserve">: </w:t>
      </w:r>
      <w:r w:rsidR="00236128" w:rsidRPr="006809E9">
        <w:rPr>
          <w:rFonts w:ascii="Book Antiqua" w:hAnsi="Book Antiqua" w:cs="Arial"/>
          <w:bCs/>
          <w:sz w:val="24"/>
          <w:szCs w:val="24"/>
        </w:rPr>
        <w:t>Steatosis (1-3),</w:t>
      </w:r>
      <w:r w:rsidR="006809E9" w:rsidRPr="006809E9">
        <w:rPr>
          <w:rFonts w:ascii="Book Antiqua" w:hAnsi="Book Antiqua" w:cs="Arial"/>
          <w:bCs/>
          <w:sz w:val="24"/>
          <w:szCs w:val="24"/>
        </w:rPr>
        <w:t xml:space="preserve"> </w:t>
      </w:r>
      <w:r w:rsidR="00236128" w:rsidRPr="006809E9">
        <w:rPr>
          <w:rFonts w:ascii="Book Antiqua" w:hAnsi="Book Antiqua" w:cs="Arial"/>
          <w:bCs/>
          <w:sz w:val="24"/>
          <w:szCs w:val="24"/>
        </w:rPr>
        <w:t>B</w:t>
      </w:r>
      <w:r w:rsidR="006809E9" w:rsidRPr="006809E9">
        <w:rPr>
          <w:rFonts w:ascii="Book Antiqua" w:hAnsi="Book Antiqua" w:cs="Arial"/>
          <w:bCs/>
          <w:sz w:val="24"/>
          <w:szCs w:val="24"/>
        </w:rPr>
        <w:t>:</w:t>
      </w:r>
      <w:r w:rsidR="00236128" w:rsidRPr="006809E9">
        <w:rPr>
          <w:rFonts w:ascii="Book Antiqua" w:hAnsi="Book Antiqua" w:cs="Arial"/>
          <w:bCs/>
          <w:sz w:val="24"/>
          <w:szCs w:val="24"/>
        </w:rPr>
        <w:t xml:space="preserve"> Ballooning (0-2),</w:t>
      </w:r>
      <w:r w:rsidR="006809E9" w:rsidRPr="006809E9">
        <w:rPr>
          <w:rFonts w:ascii="Book Antiqua" w:hAnsi="Book Antiqua" w:cs="Arial"/>
          <w:bCs/>
          <w:sz w:val="24"/>
          <w:szCs w:val="24"/>
        </w:rPr>
        <w:t xml:space="preserve"> </w:t>
      </w:r>
      <w:r w:rsidR="00236128" w:rsidRPr="006809E9">
        <w:rPr>
          <w:rFonts w:ascii="Book Antiqua" w:hAnsi="Book Antiqua" w:cs="Arial"/>
          <w:bCs/>
          <w:sz w:val="24"/>
          <w:szCs w:val="24"/>
        </w:rPr>
        <w:t>C</w:t>
      </w:r>
      <w:r w:rsidR="006809E9" w:rsidRPr="006809E9">
        <w:rPr>
          <w:rFonts w:ascii="Book Antiqua" w:hAnsi="Book Antiqua" w:cs="Arial"/>
          <w:bCs/>
          <w:sz w:val="24"/>
          <w:szCs w:val="24"/>
        </w:rPr>
        <w:t>:</w:t>
      </w:r>
      <w:r w:rsidR="00236128" w:rsidRPr="006809E9">
        <w:rPr>
          <w:rFonts w:ascii="Book Antiqua" w:hAnsi="Book Antiqua" w:cs="Arial"/>
          <w:bCs/>
          <w:sz w:val="24"/>
          <w:szCs w:val="24"/>
        </w:rPr>
        <w:t xml:space="preserve"> Lobular inflammation (0-3), and</w:t>
      </w:r>
      <w:r w:rsidR="006809E9" w:rsidRPr="006809E9">
        <w:rPr>
          <w:rFonts w:ascii="Book Antiqua" w:hAnsi="Book Antiqua" w:cs="Arial"/>
          <w:bCs/>
          <w:sz w:val="24"/>
          <w:szCs w:val="24"/>
        </w:rPr>
        <w:t xml:space="preserve"> </w:t>
      </w:r>
      <w:r w:rsidR="00236128" w:rsidRPr="006809E9">
        <w:rPr>
          <w:rFonts w:ascii="Book Antiqua" w:hAnsi="Book Antiqua" w:cs="Arial"/>
          <w:bCs/>
          <w:sz w:val="24"/>
          <w:szCs w:val="24"/>
        </w:rPr>
        <w:t>D</w:t>
      </w:r>
      <w:r w:rsidR="006809E9" w:rsidRPr="006809E9">
        <w:rPr>
          <w:rFonts w:ascii="Book Antiqua" w:hAnsi="Book Antiqua" w:cs="Arial"/>
          <w:bCs/>
          <w:sz w:val="24"/>
          <w:szCs w:val="24"/>
        </w:rPr>
        <w:t xml:space="preserve">: </w:t>
      </w:r>
      <w:r w:rsidR="00236128" w:rsidRPr="006809E9">
        <w:rPr>
          <w:rFonts w:ascii="Book Antiqua" w:hAnsi="Book Antiqua" w:cs="Arial"/>
          <w:bCs/>
          <w:sz w:val="24"/>
          <w:szCs w:val="24"/>
        </w:rPr>
        <w:t xml:space="preserve">Fibrosis (0-4) scores. </w:t>
      </w:r>
      <w:r w:rsidR="00236128" w:rsidRPr="00F4231A">
        <w:rPr>
          <w:rFonts w:ascii="Book Antiqua" w:hAnsi="Book Antiqua" w:cs="Arial"/>
          <w:bCs/>
          <w:sz w:val="24"/>
          <w:szCs w:val="24"/>
        </w:rPr>
        <w:t>Comparisons among subgroups were conducted using one-way ANO</w:t>
      </w:r>
      <w:r w:rsidR="005C0B9E" w:rsidRPr="00F4231A">
        <w:rPr>
          <w:rFonts w:ascii="Book Antiqua" w:hAnsi="Book Antiqua" w:cs="Arial"/>
          <w:bCs/>
          <w:sz w:val="24"/>
          <w:szCs w:val="24"/>
        </w:rPr>
        <w:t xml:space="preserve">VA with Bonferroni’s correction. </w:t>
      </w:r>
    </w:p>
    <w:p w:rsidR="005C0B9E" w:rsidRPr="00F4231A" w:rsidRDefault="006809E9" w:rsidP="00F4231A">
      <w:pPr>
        <w:snapToGrid w:val="0"/>
        <w:spacing w:line="360" w:lineRule="auto"/>
        <w:rPr>
          <w:rFonts w:ascii="Book Antiqua" w:hAnsi="Book Antiqua" w:cs="Arial"/>
          <w:bCs/>
          <w:sz w:val="24"/>
          <w:szCs w:val="24"/>
        </w:rPr>
      </w:pPr>
      <w:r>
        <w:rPr>
          <w:rFonts w:ascii="Book Antiqua" w:hAnsi="Book Antiqua" w:cs="Arial"/>
          <w:bCs/>
          <w:sz w:val="24"/>
          <w:szCs w:val="24"/>
        </w:rPr>
        <w:br w:type="page"/>
      </w:r>
      <w:r w:rsidR="001D6A8A">
        <w:rPr>
          <w:rFonts w:ascii="Book Antiqua" w:hAnsi="Book Antiqua" w:cs="Arial"/>
          <w:bCs/>
          <w:noProof/>
          <w:sz w:val="24"/>
          <w:szCs w:val="24"/>
          <w:lang w:eastAsia="zh-CN"/>
        </w:rPr>
        <w:lastRenderedPageBreak/>
        <w:drawing>
          <wp:inline distT="0" distB="0" distL="0" distR="0">
            <wp:extent cx="4076700" cy="3657600"/>
            <wp:effectExtent l="0" t="0" r="0" b="0"/>
            <wp:docPr id="4" name="Picture 4" desc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6700" cy="3657600"/>
                    </a:xfrm>
                    <a:prstGeom prst="rect">
                      <a:avLst/>
                    </a:prstGeom>
                    <a:noFill/>
                    <a:ln>
                      <a:noFill/>
                    </a:ln>
                  </pic:spPr>
                </pic:pic>
              </a:graphicData>
            </a:graphic>
          </wp:inline>
        </w:drawing>
      </w:r>
    </w:p>
    <w:p w:rsidR="005C0B9E" w:rsidRPr="006809E9" w:rsidRDefault="00EC69AB" w:rsidP="00F4231A">
      <w:pPr>
        <w:snapToGrid w:val="0"/>
        <w:spacing w:line="360" w:lineRule="auto"/>
        <w:rPr>
          <w:rFonts w:ascii="Book Antiqua" w:hAnsi="Book Antiqua" w:cs="Arial"/>
          <w:sz w:val="24"/>
          <w:szCs w:val="24"/>
        </w:rPr>
      </w:pPr>
      <w:r w:rsidRPr="00F4231A">
        <w:rPr>
          <w:rFonts w:ascii="Book Antiqua" w:hAnsi="Book Antiqua" w:cs="Arial"/>
          <w:b/>
          <w:sz w:val="24"/>
          <w:szCs w:val="24"/>
        </w:rPr>
        <w:t>Fig</w:t>
      </w:r>
      <w:r w:rsidR="006809E9">
        <w:rPr>
          <w:rFonts w:ascii="Book Antiqua" w:hAnsi="Book Antiqua" w:cs="Arial"/>
          <w:b/>
          <w:sz w:val="24"/>
          <w:szCs w:val="24"/>
        </w:rPr>
        <w:t>ure</w:t>
      </w:r>
      <w:r w:rsidRPr="00F4231A">
        <w:rPr>
          <w:rFonts w:ascii="Book Antiqua" w:hAnsi="Book Antiqua" w:cs="Arial"/>
          <w:b/>
          <w:sz w:val="24"/>
          <w:szCs w:val="24"/>
        </w:rPr>
        <w:t xml:space="preserve"> 4</w:t>
      </w:r>
      <w:r w:rsidR="006809E9">
        <w:rPr>
          <w:rFonts w:ascii="Book Antiqua" w:hAnsi="Book Antiqua" w:cs="Arial"/>
          <w:b/>
          <w:sz w:val="24"/>
          <w:szCs w:val="24"/>
        </w:rPr>
        <w:t xml:space="preserve"> </w:t>
      </w:r>
      <w:r w:rsidR="008D6BAB" w:rsidRPr="00F4231A">
        <w:rPr>
          <w:rFonts w:ascii="Book Antiqua" w:hAnsi="Book Antiqua" w:cs="Arial"/>
          <w:b/>
          <w:bCs/>
          <w:sz w:val="24"/>
          <w:szCs w:val="24"/>
        </w:rPr>
        <w:t>Correlation</w:t>
      </w:r>
      <w:r w:rsidRPr="00F4231A">
        <w:rPr>
          <w:rFonts w:ascii="Book Antiqua" w:hAnsi="Book Antiqua" w:cs="Arial"/>
          <w:b/>
          <w:bCs/>
          <w:sz w:val="24"/>
          <w:szCs w:val="24"/>
        </w:rPr>
        <w:t xml:space="preserve"> between serum </w:t>
      </w:r>
      <w:r w:rsidR="004B6E3E" w:rsidRPr="004B6E3E">
        <w:rPr>
          <w:rFonts w:ascii="Book Antiqua" w:hAnsi="Book Antiqua" w:cs="Arial"/>
          <w:b/>
          <w:bCs/>
          <w:sz w:val="24"/>
          <w:szCs w:val="24"/>
        </w:rPr>
        <w:t>lipopolysaccharide-binding protein</w:t>
      </w:r>
      <w:r w:rsidRPr="00F4231A">
        <w:rPr>
          <w:rFonts w:ascii="Book Antiqua" w:hAnsi="Book Antiqua" w:cs="Arial"/>
          <w:b/>
          <w:bCs/>
          <w:sz w:val="24"/>
          <w:szCs w:val="24"/>
        </w:rPr>
        <w:t xml:space="preserve"> and EndoCab IgG in </w:t>
      </w:r>
      <w:r w:rsidR="00236128" w:rsidRPr="00F4231A">
        <w:rPr>
          <w:rFonts w:ascii="Book Antiqua" w:hAnsi="Book Antiqua" w:cs="Arial"/>
          <w:b/>
          <w:bCs/>
          <w:sz w:val="24"/>
          <w:szCs w:val="24"/>
        </w:rPr>
        <w:t xml:space="preserve">126 biopsy-proven </w:t>
      </w:r>
      <w:r w:rsidR="004B6E3E" w:rsidRPr="004B6E3E">
        <w:rPr>
          <w:rFonts w:ascii="Book Antiqua" w:hAnsi="Book Antiqua" w:cs="Arial"/>
          <w:b/>
          <w:bCs/>
          <w:sz w:val="24"/>
          <w:szCs w:val="24"/>
        </w:rPr>
        <w:t>nonalcoholic fatty liver disease</w:t>
      </w:r>
      <w:r w:rsidR="00236128" w:rsidRPr="00F4231A">
        <w:rPr>
          <w:rFonts w:ascii="Book Antiqua" w:hAnsi="Book Antiqua" w:cs="Arial"/>
          <w:b/>
          <w:bCs/>
          <w:sz w:val="24"/>
          <w:szCs w:val="24"/>
        </w:rPr>
        <w:t xml:space="preserve"> patients</w:t>
      </w:r>
      <w:r w:rsidR="006809E9">
        <w:rPr>
          <w:rFonts w:ascii="Book Antiqua" w:hAnsi="Book Antiqua" w:cs="Arial"/>
          <w:b/>
          <w:bCs/>
          <w:sz w:val="24"/>
          <w:szCs w:val="24"/>
        </w:rPr>
        <w:t xml:space="preserve">. </w:t>
      </w:r>
      <w:r w:rsidRPr="00F4231A">
        <w:rPr>
          <w:rFonts w:ascii="Book Antiqua" w:hAnsi="Book Antiqua" w:cs="Arial"/>
          <w:bCs/>
          <w:sz w:val="24"/>
          <w:szCs w:val="24"/>
        </w:rPr>
        <w:t>A correlation efficient (</w:t>
      </w:r>
      <w:r w:rsidR="008D6BAB" w:rsidRPr="00F4231A">
        <w:rPr>
          <w:rFonts w:ascii="Book Antiqua" w:hAnsi="Book Antiqua" w:cs="Arial"/>
          <w:bCs/>
          <w:i/>
          <w:sz w:val="24"/>
          <w:szCs w:val="24"/>
        </w:rPr>
        <w:t>r</w:t>
      </w:r>
      <w:r w:rsidRPr="00F4231A">
        <w:rPr>
          <w:rFonts w:ascii="Book Antiqua" w:hAnsi="Book Antiqua" w:cs="Arial"/>
          <w:bCs/>
          <w:sz w:val="24"/>
          <w:szCs w:val="24"/>
        </w:rPr>
        <w:t xml:space="preserve">) and </w:t>
      </w:r>
      <w:r w:rsidRPr="00F4231A">
        <w:rPr>
          <w:rFonts w:ascii="Book Antiqua" w:hAnsi="Book Antiqua" w:cs="Arial"/>
          <w:bCs/>
          <w:i/>
          <w:sz w:val="24"/>
          <w:szCs w:val="24"/>
        </w:rPr>
        <w:t>P</w:t>
      </w:r>
      <w:r w:rsidRPr="00F4231A">
        <w:rPr>
          <w:rFonts w:ascii="Book Antiqua" w:hAnsi="Book Antiqua" w:cs="Arial"/>
          <w:bCs/>
          <w:sz w:val="24"/>
          <w:szCs w:val="24"/>
        </w:rPr>
        <w:t xml:space="preserve"> value were calculated using Spearman’s test</w:t>
      </w:r>
      <w:r w:rsidR="005C0B9E" w:rsidRPr="00F4231A">
        <w:rPr>
          <w:rFonts w:ascii="Book Antiqua" w:hAnsi="Book Antiqua" w:cs="Arial"/>
          <w:bCs/>
          <w:sz w:val="24"/>
          <w:szCs w:val="24"/>
        </w:rPr>
        <w:t xml:space="preserve">. </w:t>
      </w:r>
      <w:r w:rsidR="006809E9" w:rsidRPr="006809E9">
        <w:rPr>
          <w:rFonts w:ascii="Book Antiqua" w:hAnsi="Book Antiqua" w:cs="Arial"/>
          <w:bCs/>
          <w:sz w:val="24"/>
          <w:szCs w:val="24"/>
        </w:rPr>
        <w:t>LBP: lipopolysaccharide-binding protein.</w:t>
      </w:r>
    </w:p>
    <w:p w:rsidR="005C0B9E" w:rsidRPr="00F4231A" w:rsidRDefault="006809E9" w:rsidP="00F4231A">
      <w:pPr>
        <w:snapToGrid w:val="0"/>
        <w:spacing w:line="360" w:lineRule="auto"/>
        <w:rPr>
          <w:rFonts w:ascii="Book Antiqua" w:hAnsi="Book Antiqua" w:cs="Arial"/>
          <w:bCs/>
          <w:sz w:val="24"/>
          <w:szCs w:val="24"/>
        </w:rPr>
      </w:pPr>
      <w:r>
        <w:rPr>
          <w:rFonts w:ascii="Book Antiqua" w:hAnsi="Book Antiqua" w:cs="Arial"/>
          <w:bCs/>
          <w:sz w:val="24"/>
          <w:szCs w:val="24"/>
        </w:rPr>
        <w:br w:type="page"/>
      </w:r>
      <w:r w:rsidR="001D6A8A">
        <w:rPr>
          <w:rFonts w:ascii="Book Antiqua" w:hAnsi="Book Antiqua" w:cs="Arial"/>
          <w:bCs/>
          <w:noProof/>
          <w:sz w:val="24"/>
          <w:szCs w:val="24"/>
          <w:lang w:eastAsia="zh-CN"/>
        </w:rPr>
        <w:lastRenderedPageBreak/>
        <w:drawing>
          <wp:inline distT="0" distB="0" distL="0" distR="0">
            <wp:extent cx="4191000" cy="3190875"/>
            <wp:effectExtent l="0" t="0" r="0" b="9525"/>
            <wp:docPr id="5" name="Picture 5" descr="Fig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0" cy="3190875"/>
                    </a:xfrm>
                    <a:prstGeom prst="rect">
                      <a:avLst/>
                    </a:prstGeom>
                    <a:noFill/>
                    <a:ln>
                      <a:noFill/>
                    </a:ln>
                  </pic:spPr>
                </pic:pic>
              </a:graphicData>
            </a:graphic>
          </wp:inline>
        </w:drawing>
      </w:r>
    </w:p>
    <w:p w:rsidR="00F67D4D" w:rsidRPr="00A05899" w:rsidRDefault="00FB44A5" w:rsidP="00F4231A">
      <w:pPr>
        <w:snapToGrid w:val="0"/>
        <w:spacing w:line="360" w:lineRule="auto"/>
        <w:rPr>
          <w:rFonts w:ascii="Book Antiqua" w:hAnsi="Book Antiqua" w:cs="Arial"/>
          <w:bCs/>
          <w:sz w:val="24"/>
          <w:szCs w:val="24"/>
        </w:rPr>
      </w:pPr>
      <w:r w:rsidRPr="00F4231A">
        <w:rPr>
          <w:rFonts w:ascii="Book Antiqua" w:hAnsi="Book Antiqua" w:cs="Arial"/>
          <w:b/>
          <w:sz w:val="24"/>
          <w:szCs w:val="24"/>
        </w:rPr>
        <w:t>Fig</w:t>
      </w:r>
      <w:r w:rsidR="006809E9">
        <w:rPr>
          <w:rFonts w:ascii="Book Antiqua" w:hAnsi="Book Antiqua" w:cs="Arial"/>
          <w:b/>
          <w:sz w:val="24"/>
          <w:szCs w:val="24"/>
        </w:rPr>
        <w:t>ure</w:t>
      </w:r>
      <w:r w:rsidRPr="00F4231A">
        <w:rPr>
          <w:rFonts w:ascii="Book Antiqua" w:hAnsi="Book Antiqua" w:cs="Arial"/>
          <w:b/>
          <w:sz w:val="24"/>
          <w:szCs w:val="24"/>
        </w:rPr>
        <w:t xml:space="preserve"> 5</w:t>
      </w:r>
      <w:r w:rsidR="006809E9">
        <w:rPr>
          <w:rFonts w:ascii="Book Antiqua" w:hAnsi="Book Antiqua" w:cs="Arial"/>
          <w:b/>
          <w:sz w:val="24"/>
          <w:szCs w:val="24"/>
        </w:rPr>
        <w:t xml:space="preserve"> </w:t>
      </w:r>
      <w:r w:rsidRPr="00F4231A">
        <w:rPr>
          <w:rFonts w:ascii="Book Antiqua" w:hAnsi="Book Antiqua" w:cs="Arial"/>
          <w:b/>
          <w:bCs/>
          <w:sz w:val="24"/>
          <w:szCs w:val="24"/>
        </w:rPr>
        <w:t xml:space="preserve">Correlation </w:t>
      </w:r>
      <w:r w:rsidR="00844BD2" w:rsidRPr="00F4231A">
        <w:rPr>
          <w:rFonts w:ascii="Book Antiqua" w:hAnsi="Book Antiqua" w:cs="Arial"/>
          <w:b/>
          <w:bCs/>
          <w:sz w:val="24"/>
          <w:szCs w:val="24"/>
        </w:rPr>
        <w:t>of</w:t>
      </w:r>
      <w:r w:rsidRPr="00F4231A">
        <w:rPr>
          <w:rFonts w:ascii="Book Antiqua" w:hAnsi="Book Antiqua" w:cs="Arial"/>
          <w:b/>
          <w:bCs/>
          <w:sz w:val="24"/>
          <w:szCs w:val="24"/>
        </w:rPr>
        <w:t xml:space="preserve"> </w:t>
      </w:r>
      <w:r w:rsidR="006809E9" w:rsidRPr="004B6E3E">
        <w:rPr>
          <w:rFonts w:ascii="Book Antiqua" w:hAnsi="Book Antiqua" w:cs="Arial"/>
          <w:b/>
          <w:bCs/>
          <w:sz w:val="24"/>
          <w:szCs w:val="24"/>
        </w:rPr>
        <w:t>nonalcoholic fatty liver disease</w:t>
      </w:r>
      <w:r w:rsidR="006809E9" w:rsidRPr="006809E9">
        <w:rPr>
          <w:rFonts w:ascii="Book Antiqua" w:hAnsi="Book Antiqua" w:cs="Arial"/>
          <w:b/>
          <w:bCs/>
          <w:sz w:val="24"/>
          <w:szCs w:val="24"/>
        </w:rPr>
        <w:t xml:space="preserve"> activity score</w:t>
      </w:r>
      <w:r w:rsidR="00236128" w:rsidRPr="00F4231A">
        <w:rPr>
          <w:rFonts w:ascii="Book Antiqua" w:hAnsi="Book Antiqua" w:cs="Arial"/>
          <w:b/>
          <w:bCs/>
          <w:sz w:val="24"/>
          <w:szCs w:val="24"/>
        </w:rPr>
        <w:t xml:space="preserve"> </w:t>
      </w:r>
      <w:r w:rsidR="00844BD2" w:rsidRPr="00F4231A">
        <w:rPr>
          <w:rFonts w:ascii="Book Antiqua" w:hAnsi="Book Antiqua" w:cs="Arial"/>
          <w:b/>
          <w:bCs/>
          <w:sz w:val="24"/>
          <w:szCs w:val="24"/>
        </w:rPr>
        <w:t>with s</w:t>
      </w:r>
      <w:r w:rsidRPr="00F4231A">
        <w:rPr>
          <w:rFonts w:ascii="Book Antiqua" w:hAnsi="Book Antiqua" w:cs="Arial"/>
          <w:b/>
          <w:bCs/>
          <w:sz w:val="24"/>
          <w:szCs w:val="24"/>
        </w:rPr>
        <w:t xml:space="preserve">erum </w:t>
      </w:r>
      <w:r w:rsidR="004B6E3E" w:rsidRPr="004B6E3E">
        <w:rPr>
          <w:rFonts w:ascii="Book Antiqua" w:hAnsi="Book Antiqua" w:cs="Arial"/>
          <w:b/>
          <w:bCs/>
          <w:sz w:val="24"/>
          <w:szCs w:val="24"/>
        </w:rPr>
        <w:t>lipopolysaccharide-binding protein</w:t>
      </w:r>
      <w:r w:rsidR="006B4A05" w:rsidRPr="00F4231A">
        <w:rPr>
          <w:rFonts w:ascii="Book Antiqua" w:hAnsi="Book Antiqua" w:cs="Arial"/>
          <w:b/>
          <w:bCs/>
          <w:sz w:val="24"/>
          <w:szCs w:val="24"/>
        </w:rPr>
        <w:t xml:space="preserve"> (A) </w:t>
      </w:r>
      <w:r w:rsidR="00844BD2" w:rsidRPr="00F4231A">
        <w:rPr>
          <w:rFonts w:ascii="Book Antiqua" w:hAnsi="Book Antiqua" w:cs="Arial"/>
          <w:b/>
          <w:bCs/>
          <w:sz w:val="24"/>
          <w:szCs w:val="24"/>
        </w:rPr>
        <w:t xml:space="preserve">and </w:t>
      </w:r>
      <w:r w:rsidRPr="00F4231A">
        <w:rPr>
          <w:rFonts w:ascii="Book Antiqua" w:hAnsi="Book Antiqua" w:cs="Arial"/>
          <w:b/>
          <w:bCs/>
          <w:sz w:val="24"/>
          <w:szCs w:val="24"/>
        </w:rPr>
        <w:t xml:space="preserve">EndoCab IgG </w:t>
      </w:r>
      <w:r w:rsidR="006B4A05" w:rsidRPr="00F4231A">
        <w:rPr>
          <w:rFonts w:ascii="Book Antiqua" w:hAnsi="Book Antiqua" w:cs="Arial"/>
          <w:b/>
          <w:bCs/>
          <w:sz w:val="24"/>
          <w:szCs w:val="24"/>
        </w:rPr>
        <w:t xml:space="preserve">(B) </w:t>
      </w:r>
      <w:r w:rsidR="00236128" w:rsidRPr="00F4231A">
        <w:rPr>
          <w:rFonts w:ascii="Book Antiqua" w:hAnsi="Book Antiqua" w:cs="Arial"/>
          <w:b/>
          <w:bCs/>
          <w:sz w:val="24"/>
          <w:szCs w:val="24"/>
        </w:rPr>
        <w:t xml:space="preserve">in 126 biopsy-proven </w:t>
      </w:r>
      <w:r w:rsidR="004B6E3E" w:rsidRPr="004B6E3E">
        <w:rPr>
          <w:rFonts w:ascii="Book Antiqua" w:hAnsi="Book Antiqua" w:cs="Arial"/>
          <w:b/>
          <w:bCs/>
          <w:sz w:val="24"/>
          <w:szCs w:val="24"/>
        </w:rPr>
        <w:t>nonalcoholic fatty liver disease</w:t>
      </w:r>
      <w:r w:rsidR="00236128" w:rsidRPr="00F4231A">
        <w:rPr>
          <w:rFonts w:ascii="Book Antiqua" w:hAnsi="Book Antiqua" w:cs="Arial"/>
          <w:b/>
          <w:bCs/>
          <w:sz w:val="24"/>
          <w:szCs w:val="24"/>
        </w:rPr>
        <w:t xml:space="preserve"> patients</w:t>
      </w:r>
      <w:r w:rsidR="006809E9">
        <w:rPr>
          <w:rFonts w:ascii="Book Antiqua" w:hAnsi="Book Antiqua" w:cs="Arial"/>
          <w:b/>
          <w:bCs/>
          <w:sz w:val="24"/>
          <w:szCs w:val="24"/>
        </w:rPr>
        <w:t xml:space="preserve">. </w:t>
      </w:r>
      <w:r w:rsidR="00236128" w:rsidRPr="00F4231A">
        <w:rPr>
          <w:rFonts w:ascii="Book Antiqua" w:hAnsi="Book Antiqua" w:cs="Arial"/>
          <w:bCs/>
          <w:sz w:val="24"/>
          <w:szCs w:val="24"/>
        </w:rPr>
        <w:t>C</w:t>
      </w:r>
      <w:r w:rsidRPr="00F4231A">
        <w:rPr>
          <w:rFonts w:ascii="Book Antiqua" w:hAnsi="Book Antiqua" w:cs="Arial"/>
          <w:bCs/>
          <w:sz w:val="24"/>
          <w:szCs w:val="24"/>
        </w:rPr>
        <w:t>orrelation efficient</w:t>
      </w:r>
      <w:r w:rsidR="00236128" w:rsidRPr="00F4231A">
        <w:rPr>
          <w:rFonts w:ascii="Book Antiqua" w:hAnsi="Book Antiqua" w:cs="Arial"/>
          <w:bCs/>
          <w:sz w:val="24"/>
          <w:szCs w:val="24"/>
        </w:rPr>
        <w:t>s</w:t>
      </w:r>
      <w:r w:rsidRPr="00F4231A">
        <w:rPr>
          <w:rFonts w:ascii="Book Antiqua" w:hAnsi="Book Antiqua" w:cs="Arial"/>
          <w:bCs/>
          <w:sz w:val="24"/>
          <w:szCs w:val="24"/>
        </w:rPr>
        <w:t xml:space="preserve"> (</w:t>
      </w:r>
      <w:r w:rsidRPr="00F4231A">
        <w:rPr>
          <w:rFonts w:ascii="Book Antiqua" w:hAnsi="Book Antiqua" w:cs="Arial"/>
          <w:bCs/>
          <w:i/>
          <w:sz w:val="24"/>
          <w:szCs w:val="24"/>
        </w:rPr>
        <w:t>r</w:t>
      </w:r>
      <w:r w:rsidRPr="00F4231A">
        <w:rPr>
          <w:rFonts w:ascii="Book Antiqua" w:hAnsi="Book Antiqua" w:cs="Arial"/>
          <w:bCs/>
          <w:sz w:val="24"/>
          <w:szCs w:val="24"/>
        </w:rPr>
        <w:t xml:space="preserve">) and </w:t>
      </w:r>
      <w:r w:rsidRPr="00F4231A">
        <w:rPr>
          <w:rFonts w:ascii="Book Antiqua" w:hAnsi="Book Antiqua" w:cs="Arial"/>
          <w:bCs/>
          <w:i/>
          <w:sz w:val="24"/>
          <w:szCs w:val="24"/>
        </w:rPr>
        <w:t>P</w:t>
      </w:r>
      <w:r w:rsidRPr="00F4231A">
        <w:rPr>
          <w:rFonts w:ascii="Book Antiqua" w:hAnsi="Book Antiqua" w:cs="Arial"/>
          <w:bCs/>
          <w:sz w:val="24"/>
          <w:szCs w:val="24"/>
        </w:rPr>
        <w:t xml:space="preserve"> value</w:t>
      </w:r>
      <w:r w:rsidR="00236128" w:rsidRPr="00F4231A">
        <w:rPr>
          <w:rFonts w:ascii="Book Antiqua" w:hAnsi="Book Antiqua" w:cs="Arial"/>
          <w:bCs/>
          <w:sz w:val="24"/>
          <w:szCs w:val="24"/>
        </w:rPr>
        <w:t>s</w:t>
      </w:r>
      <w:r w:rsidRPr="00F4231A">
        <w:rPr>
          <w:rFonts w:ascii="Book Antiqua" w:hAnsi="Book Antiqua" w:cs="Arial"/>
          <w:bCs/>
          <w:sz w:val="24"/>
          <w:szCs w:val="24"/>
        </w:rPr>
        <w:t xml:space="preserve"> were calculated using Spearman’s test</w:t>
      </w:r>
      <w:r w:rsidR="005C0B9E" w:rsidRPr="00F4231A">
        <w:rPr>
          <w:rFonts w:ascii="Book Antiqua" w:hAnsi="Book Antiqua" w:cs="Arial"/>
          <w:bCs/>
          <w:sz w:val="24"/>
          <w:szCs w:val="24"/>
        </w:rPr>
        <w:t xml:space="preserve">. </w:t>
      </w:r>
      <w:r w:rsidR="00A05899" w:rsidRPr="006809E9">
        <w:rPr>
          <w:rFonts w:ascii="Book Antiqua" w:hAnsi="Book Antiqua" w:cs="Arial"/>
          <w:bCs/>
          <w:sz w:val="24"/>
          <w:szCs w:val="24"/>
        </w:rPr>
        <w:t>LBP: lipopolysaccharide-binding protein</w:t>
      </w:r>
      <w:r w:rsidR="00A05899">
        <w:rPr>
          <w:rFonts w:ascii="Book Antiqua" w:hAnsi="Book Antiqua" w:cs="Arial"/>
          <w:bCs/>
          <w:sz w:val="24"/>
          <w:szCs w:val="24"/>
        </w:rPr>
        <w:t xml:space="preserve">; NSA: </w:t>
      </w:r>
      <w:r w:rsidR="00A05899" w:rsidRPr="00A05899">
        <w:rPr>
          <w:rFonts w:ascii="Book Antiqua" w:hAnsi="Book Antiqua" w:cs="Arial"/>
          <w:bCs/>
          <w:caps/>
          <w:sz w:val="24"/>
          <w:szCs w:val="24"/>
        </w:rPr>
        <w:t>n</w:t>
      </w:r>
      <w:r w:rsidR="00A05899" w:rsidRPr="00A05899">
        <w:rPr>
          <w:rFonts w:ascii="Book Antiqua" w:hAnsi="Book Antiqua" w:cs="Arial"/>
          <w:bCs/>
          <w:sz w:val="24"/>
          <w:szCs w:val="24"/>
        </w:rPr>
        <w:t>onalcoholic fatty liver disease activity score</w:t>
      </w:r>
      <w:r w:rsidR="00A05899">
        <w:rPr>
          <w:rFonts w:ascii="Book Antiqua" w:hAnsi="Book Antiqua" w:cs="Arial"/>
          <w:bCs/>
          <w:sz w:val="24"/>
          <w:szCs w:val="24"/>
        </w:rPr>
        <w:t>.</w:t>
      </w:r>
    </w:p>
    <w:sectPr w:rsidR="00F67D4D" w:rsidRPr="00A05899" w:rsidSect="00293DD0">
      <w:headerReference w:type="default" r:id="rId1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22" w:rsidRDefault="002F0722" w:rsidP="00F53909">
      <w:r>
        <w:separator/>
      </w:r>
    </w:p>
  </w:endnote>
  <w:endnote w:type="continuationSeparator" w:id="0">
    <w:p w:rsidR="002F0722" w:rsidRDefault="002F0722" w:rsidP="00F5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22" w:rsidRDefault="002F0722" w:rsidP="00F53909">
      <w:r>
        <w:separator/>
      </w:r>
    </w:p>
  </w:footnote>
  <w:footnote w:type="continuationSeparator" w:id="0">
    <w:p w:rsidR="002F0722" w:rsidRDefault="002F0722" w:rsidP="00F53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84" w:rsidRPr="00293DD0" w:rsidRDefault="001B5484">
    <w:pPr>
      <w:pStyle w:val="Header"/>
      <w:jc w:val="right"/>
      <w:rPr>
        <w:rFonts w:ascii="Arial" w:hAnsi="Arial" w:cs="Arial"/>
      </w:rPr>
    </w:pPr>
    <w:r w:rsidRPr="00293DD0">
      <w:rPr>
        <w:rFonts w:ascii="Arial" w:hAnsi="Arial" w:cs="Arial"/>
        <w:sz w:val="24"/>
      </w:rPr>
      <w:fldChar w:fldCharType="begin"/>
    </w:r>
    <w:r w:rsidRPr="00293DD0">
      <w:rPr>
        <w:rFonts w:ascii="Arial" w:hAnsi="Arial" w:cs="Arial"/>
        <w:sz w:val="24"/>
      </w:rPr>
      <w:instrText>PAGE   \* MERGEFORMAT</w:instrText>
    </w:r>
    <w:r w:rsidRPr="00293DD0">
      <w:rPr>
        <w:rFonts w:ascii="Arial" w:hAnsi="Arial" w:cs="Arial"/>
        <w:sz w:val="24"/>
      </w:rPr>
      <w:fldChar w:fldCharType="separate"/>
    </w:r>
    <w:r w:rsidR="001D6A8A" w:rsidRPr="001D6A8A">
      <w:rPr>
        <w:rFonts w:ascii="Arial" w:hAnsi="Arial" w:cs="Arial"/>
        <w:noProof/>
        <w:sz w:val="24"/>
        <w:lang w:val="ja-JP"/>
      </w:rPr>
      <w:t>34</w:t>
    </w:r>
    <w:r w:rsidRPr="00293DD0">
      <w:rPr>
        <w:rFonts w:ascii="Arial" w:hAnsi="Arial" w:cs="Arial"/>
        <w:sz w:val="24"/>
      </w:rPr>
      <w:fldChar w:fldCharType="end"/>
    </w:r>
  </w:p>
  <w:p w:rsidR="001B5484" w:rsidRDefault="001B5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F29"/>
    <w:multiLevelType w:val="hybridMultilevel"/>
    <w:tmpl w:val="617A0F76"/>
    <w:lvl w:ilvl="0" w:tplc="AB80B8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47015C"/>
    <w:multiLevelType w:val="hybridMultilevel"/>
    <w:tmpl w:val="0CC8CEE8"/>
    <w:lvl w:ilvl="0" w:tplc="4B4E7F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180EBF"/>
    <w:multiLevelType w:val="hybridMultilevel"/>
    <w:tmpl w:val="C1603C0C"/>
    <w:lvl w:ilvl="0" w:tplc="0409000F">
      <w:start w:val="1"/>
      <w:numFmt w:val="decimal"/>
      <w:lvlText w:val="%1."/>
      <w:lvlJc w:val="left"/>
      <w:pPr>
        <w:ind w:left="704" w:hanging="420"/>
      </w:p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10E3EC9"/>
    <w:multiLevelType w:val="hybridMultilevel"/>
    <w:tmpl w:val="E55EDF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A0"/>
    <w:rsid w:val="000007FA"/>
    <w:rsid w:val="0000124D"/>
    <w:rsid w:val="00001B71"/>
    <w:rsid w:val="000020B5"/>
    <w:rsid w:val="00003D3E"/>
    <w:rsid w:val="000049B4"/>
    <w:rsid w:val="00005708"/>
    <w:rsid w:val="00005934"/>
    <w:rsid w:val="00006094"/>
    <w:rsid w:val="00006621"/>
    <w:rsid w:val="00006AD7"/>
    <w:rsid w:val="0000729C"/>
    <w:rsid w:val="000106DB"/>
    <w:rsid w:val="00010926"/>
    <w:rsid w:val="00010B09"/>
    <w:rsid w:val="00011AF3"/>
    <w:rsid w:val="00011D5D"/>
    <w:rsid w:val="00012EED"/>
    <w:rsid w:val="00014FBF"/>
    <w:rsid w:val="0001564D"/>
    <w:rsid w:val="000167F3"/>
    <w:rsid w:val="0001771B"/>
    <w:rsid w:val="00017BB1"/>
    <w:rsid w:val="00017F60"/>
    <w:rsid w:val="0002081B"/>
    <w:rsid w:val="00020AD9"/>
    <w:rsid w:val="00021379"/>
    <w:rsid w:val="00022EC2"/>
    <w:rsid w:val="00023BE9"/>
    <w:rsid w:val="000246D6"/>
    <w:rsid w:val="00024B13"/>
    <w:rsid w:val="00025DB0"/>
    <w:rsid w:val="00025EAD"/>
    <w:rsid w:val="00026843"/>
    <w:rsid w:val="00026908"/>
    <w:rsid w:val="0003059B"/>
    <w:rsid w:val="00031E3E"/>
    <w:rsid w:val="00032C14"/>
    <w:rsid w:val="00033021"/>
    <w:rsid w:val="00035147"/>
    <w:rsid w:val="00040033"/>
    <w:rsid w:val="00040B3A"/>
    <w:rsid w:val="000418D2"/>
    <w:rsid w:val="00041AB7"/>
    <w:rsid w:val="00041F4F"/>
    <w:rsid w:val="000427EE"/>
    <w:rsid w:val="00042F3B"/>
    <w:rsid w:val="00043574"/>
    <w:rsid w:val="00043791"/>
    <w:rsid w:val="00043D92"/>
    <w:rsid w:val="00045014"/>
    <w:rsid w:val="000461BF"/>
    <w:rsid w:val="0004739B"/>
    <w:rsid w:val="00047CE1"/>
    <w:rsid w:val="00047F07"/>
    <w:rsid w:val="000503DF"/>
    <w:rsid w:val="000512C5"/>
    <w:rsid w:val="000521E5"/>
    <w:rsid w:val="00052440"/>
    <w:rsid w:val="0005267E"/>
    <w:rsid w:val="00052C30"/>
    <w:rsid w:val="0005386F"/>
    <w:rsid w:val="00054C36"/>
    <w:rsid w:val="00054F8C"/>
    <w:rsid w:val="000557F2"/>
    <w:rsid w:val="00056365"/>
    <w:rsid w:val="00057714"/>
    <w:rsid w:val="0006160F"/>
    <w:rsid w:val="00061A29"/>
    <w:rsid w:val="00062101"/>
    <w:rsid w:val="000633FA"/>
    <w:rsid w:val="000636F8"/>
    <w:rsid w:val="00063E2F"/>
    <w:rsid w:val="00063E30"/>
    <w:rsid w:val="00063FA2"/>
    <w:rsid w:val="00065E83"/>
    <w:rsid w:val="00065ED8"/>
    <w:rsid w:val="00065FD7"/>
    <w:rsid w:val="000662F9"/>
    <w:rsid w:val="00067183"/>
    <w:rsid w:val="000675A4"/>
    <w:rsid w:val="000704CA"/>
    <w:rsid w:val="00070CB5"/>
    <w:rsid w:val="00071004"/>
    <w:rsid w:val="00073FFA"/>
    <w:rsid w:val="00074A63"/>
    <w:rsid w:val="00074BCF"/>
    <w:rsid w:val="00074C4D"/>
    <w:rsid w:val="0007671D"/>
    <w:rsid w:val="00077A32"/>
    <w:rsid w:val="00077ED2"/>
    <w:rsid w:val="00080FA7"/>
    <w:rsid w:val="00082ED0"/>
    <w:rsid w:val="00083602"/>
    <w:rsid w:val="00085C0B"/>
    <w:rsid w:val="00085FBF"/>
    <w:rsid w:val="00086848"/>
    <w:rsid w:val="000877C9"/>
    <w:rsid w:val="00090CB4"/>
    <w:rsid w:val="00091175"/>
    <w:rsid w:val="00091BB1"/>
    <w:rsid w:val="000920AC"/>
    <w:rsid w:val="00092131"/>
    <w:rsid w:val="0009270C"/>
    <w:rsid w:val="00092D2B"/>
    <w:rsid w:val="000933A7"/>
    <w:rsid w:val="00094534"/>
    <w:rsid w:val="00094D58"/>
    <w:rsid w:val="000950FD"/>
    <w:rsid w:val="000956AC"/>
    <w:rsid w:val="00095EB1"/>
    <w:rsid w:val="0009645D"/>
    <w:rsid w:val="00097220"/>
    <w:rsid w:val="00097338"/>
    <w:rsid w:val="000976F1"/>
    <w:rsid w:val="00097CB4"/>
    <w:rsid w:val="000A0608"/>
    <w:rsid w:val="000A1169"/>
    <w:rsid w:val="000A1770"/>
    <w:rsid w:val="000A25EE"/>
    <w:rsid w:val="000A39AE"/>
    <w:rsid w:val="000A4319"/>
    <w:rsid w:val="000A4952"/>
    <w:rsid w:val="000A5822"/>
    <w:rsid w:val="000A6284"/>
    <w:rsid w:val="000A6BA5"/>
    <w:rsid w:val="000A713F"/>
    <w:rsid w:val="000B031F"/>
    <w:rsid w:val="000B1AF2"/>
    <w:rsid w:val="000B3C0A"/>
    <w:rsid w:val="000B5DDF"/>
    <w:rsid w:val="000C114B"/>
    <w:rsid w:val="000C22F3"/>
    <w:rsid w:val="000C2A57"/>
    <w:rsid w:val="000C2E4F"/>
    <w:rsid w:val="000C4203"/>
    <w:rsid w:val="000C6BB3"/>
    <w:rsid w:val="000C6FAD"/>
    <w:rsid w:val="000C761B"/>
    <w:rsid w:val="000D1144"/>
    <w:rsid w:val="000D5CD3"/>
    <w:rsid w:val="000D6377"/>
    <w:rsid w:val="000D6BF7"/>
    <w:rsid w:val="000D7507"/>
    <w:rsid w:val="000D78B3"/>
    <w:rsid w:val="000D7EF6"/>
    <w:rsid w:val="000E001F"/>
    <w:rsid w:val="000E0105"/>
    <w:rsid w:val="000E156F"/>
    <w:rsid w:val="000E1D98"/>
    <w:rsid w:val="000E3D28"/>
    <w:rsid w:val="000E3E31"/>
    <w:rsid w:val="000E3E8F"/>
    <w:rsid w:val="000E408B"/>
    <w:rsid w:val="000E42D4"/>
    <w:rsid w:val="000E5AB9"/>
    <w:rsid w:val="000F08CC"/>
    <w:rsid w:val="000F0F3A"/>
    <w:rsid w:val="000F11C5"/>
    <w:rsid w:val="000F1ABE"/>
    <w:rsid w:val="000F25A1"/>
    <w:rsid w:val="000F270B"/>
    <w:rsid w:val="000F2DF6"/>
    <w:rsid w:val="000F40EB"/>
    <w:rsid w:val="000F466E"/>
    <w:rsid w:val="000F4C05"/>
    <w:rsid w:val="000F4C7A"/>
    <w:rsid w:val="000F51CB"/>
    <w:rsid w:val="000F6BD5"/>
    <w:rsid w:val="00100121"/>
    <w:rsid w:val="00100824"/>
    <w:rsid w:val="00100EE2"/>
    <w:rsid w:val="00104A84"/>
    <w:rsid w:val="00106F38"/>
    <w:rsid w:val="001103D3"/>
    <w:rsid w:val="00110410"/>
    <w:rsid w:val="00110B1F"/>
    <w:rsid w:val="001111F1"/>
    <w:rsid w:val="00111262"/>
    <w:rsid w:val="00111D48"/>
    <w:rsid w:val="001133A7"/>
    <w:rsid w:val="001136DA"/>
    <w:rsid w:val="00113B5E"/>
    <w:rsid w:val="00114757"/>
    <w:rsid w:val="00115473"/>
    <w:rsid w:val="00117320"/>
    <w:rsid w:val="00117DB5"/>
    <w:rsid w:val="00120327"/>
    <w:rsid w:val="00120AA1"/>
    <w:rsid w:val="001212AA"/>
    <w:rsid w:val="001212D6"/>
    <w:rsid w:val="00121921"/>
    <w:rsid w:val="00121FED"/>
    <w:rsid w:val="0012311F"/>
    <w:rsid w:val="00123522"/>
    <w:rsid w:val="0012527B"/>
    <w:rsid w:val="001254AA"/>
    <w:rsid w:val="0012569F"/>
    <w:rsid w:val="00125819"/>
    <w:rsid w:val="00125C00"/>
    <w:rsid w:val="00125D5B"/>
    <w:rsid w:val="00126106"/>
    <w:rsid w:val="00127FC6"/>
    <w:rsid w:val="001302C0"/>
    <w:rsid w:val="001303A0"/>
    <w:rsid w:val="00130634"/>
    <w:rsid w:val="00131195"/>
    <w:rsid w:val="00131ECC"/>
    <w:rsid w:val="00134708"/>
    <w:rsid w:val="001362EF"/>
    <w:rsid w:val="001365BD"/>
    <w:rsid w:val="0014123F"/>
    <w:rsid w:val="00141C33"/>
    <w:rsid w:val="0014227C"/>
    <w:rsid w:val="001442BC"/>
    <w:rsid w:val="00144586"/>
    <w:rsid w:val="00144A97"/>
    <w:rsid w:val="00144D86"/>
    <w:rsid w:val="001456FC"/>
    <w:rsid w:val="00145B29"/>
    <w:rsid w:val="00145CDA"/>
    <w:rsid w:val="00145D44"/>
    <w:rsid w:val="00145E84"/>
    <w:rsid w:val="001469FC"/>
    <w:rsid w:val="00146E28"/>
    <w:rsid w:val="00150ADA"/>
    <w:rsid w:val="00151D48"/>
    <w:rsid w:val="001533EB"/>
    <w:rsid w:val="00153EEE"/>
    <w:rsid w:val="00155628"/>
    <w:rsid w:val="001569AF"/>
    <w:rsid w:val="00156E66"/>
    <w:rsid w:val="001571E4"/>
    <w:rsid w:val="00157B12"/>
    <w:rsid w:val="001603B7"/>
    <w:rsid w:val="001614EE"/>
    <w:rsid w:val="00161C21"/>
    <w:rsid w:val="00161D96"/>
    <w:rsid w:val="0016262F"/>
    <w:rsid w:val="00163039"/>
    <w:rsid w:val="001631B3"/>
    <w:rsid w:val="00163559"/>
    <w:rsid w:val="00163CB0"/>
    <w:rsid w:val="00164296"/>
    <w:rsid w:val="0016486F"/>
    <w:rsid w:val="00164EB3"/>
    <w:rsid w:val="001656BD"/>
    <w:rsid w:val="001657E7"/>
    <w:rsid w:val="00166486"/>
    <w:rsid w:val="001668CC"/>
    <w:rsid w:val="0016728F"/>
    <w:rsid w:val="00167855"/>
    <w:rsid w:val="00167BC6"/>
    <w:rsid w:val="00170C91"/>
    <w:rsid w:val="00170F50"/>
    <w:rsid w:val="00171AA4"/>
    <w:rsid w:val="00171DD0"/>
    <w:rsid w:val="00172249"/>
    <w:rsid w:val="0017293C"/>
    <w:rsid w:val="001734CE"/>
    <w:rsid w:val="00174D82"/>
    <w:rsid w:val="00174F7A"/>
    <w:rsid w:val="0017567A"/>
    <w:rsid w:val="00175917"/>
    <w:rsid w:val="00175A75"/>
    <w:rsid w:val="001766ED"/>
    <w:rsid w:val="00176E3E"/>
    <w:rsid w:val="00177C0E"/>
    <w:rsid w:val="00180BB7"/>
    <w:rsid w:val="00180E61"/>
    <w:rsid w:val="00181682"/>
    <w:rsid w:val="001849BA"/>
    <w:rsid w:val="00184C78"/>
    <w:rsid w:val="0018512F"/>
    <w:rsid w:val="0018568B"/>
    <w:rsid w:val="00186DC4"/>
    <w:rsid w:val="001872BE"/>
    <w:rsid w:val="00187760"/>
    <w:rsid w:val="00187A0E"/>
    <w:rsid w:val="00187B5E"/>
    <w:rsid w:val="00190381"/>
    <w:rsid w:val="00190752"/>
    <w:rsid w:val="001908FC"/>
    <w:rsid w:val="00191CB5"/>
    <w:rsid w:val="00191E27"/>
    <w:rsid w:val="00191E41"/>
    <w:rsid w:val="00193BB6"/>
    <w:rsid w:val="001945A7"/>
    <w:rsid w:val="001946A1"/>
    <w:rsid w:val="00194AF4"/>
    <w:rsid w:val="00196259"/>
    <w:rsid w:val="00197EED"/>
    <w:rsid w:val="001A0292"/>
    <w:rsid w:val="001A0A7B"/>
    <w:rsid w:val="001A20D2"/>
    <w:rsid w:val="001A2F4D"/>
    <w:rsid w:val="001A35BD"/>
    <w:rsid w:val="001A3D8E"/>
    <w:rsid w:val="001A42F1"/>
    <w:rsid w:val="001A4BFB"/>
    <w:rsid w:val="001A5214"/>
    <w:rsid w:val="001A5656"/>
    <w:rsid w:val="001A5DC5"/>
    <w:rsid w:val="001A7D3B"/>
    <w:rsid w:val="001B1241"/>
    <w:rsid w:val="001B15FE"/>
    <w:rsid w:val="001B196C"/>
    <w:rsid w:val="001B3D86"/>
    <w:rsid w:val="001B432A"/>
    <w:rsid w:val="001B5484"/>
    <w:rsid w:val="001B54FB"/>
    <w:rsid w:val="001B5862"/>
    <w:rsid w:val="001B5CE4"/>
    <w:rsid w:val="001B70FC"/>
    <w:rsid w:val="001B75D8"/>
    <w:rsid w:val="001B762F"/>
    <w:rsid w:val="001B7899"/>
    <w:rsid w:val="001C021E"/>
    <w:rsid w:val="001C11F4"/>
    <w:rsid w:val="001C22B7"/>
    <w:rsid w:val="001C4BA2"/>
    <w:rsid w:val="001C56D5"/>
    <w:rsid w:val="001C6053"/>
    <w:rsid w:val="001C6271"/>
    <w:rsid w:val="001C6449"/>
    <w:rsid w:val="001C64D5"/>
    <w:rsid w:val="001C6C37"/>
    <w:rsid w:val="001C7095"/>
    <w:rsid w:val="001C76BC"/>
    <w:rsid w:val="001D125F"/>
    <w:rsid w:val="001D1BA2"/>
    <w:rsid w:val="001D200B"/>
    <w:rsid w:val="001D2E15"/>
    <w:rsid w:val="001D40A1"/>
    <w:rsid w:val="001D48D9"/>
    <w:rsid w:val="001D5296"/>
    <w:rsid w:val="001D5C83"/>
    <w:rsid w:val="001D5F52"/>
    <w:rsid w:val="001D606A"/>
    <w:rsid w:val="001D652D"/>
    <w:rsid w:val="001D6A8A"/>
    <w:rsid w:val="001E0D00"/>
    <w:rsid w:val="001E18EB"/>
    <w:rsid w:val="001E19A6"/>
    <w:rsid w:val="001E1B1D"/>
    <w:rsid w:val="001E2B89"/>
    <w:rsid w:val="001E3153"/>
    <w:rsid w:val="001E5649"/>
    <w:rsid w:val="001E680A"/>
    <w:rsid w:val="001E7758"/>
    <w:rsid w:val="001F0412"/>
    <w:rsid w:val="001F1D29"/>
    <w:rsid w:val="001F1FB1"/>
    <w:rsid w:val="001F1FDB"/>
    <w:rsid w:val="001F25D1"/>
    <w:rsid w:val="001F2651"/>
    <w:rsid w:val="001F273D"/>
    <w:rsid w:val="001F2D52"/>
    <w:rsid w:val="001F361C"/>
    <w:rsid w:val="001F3F00"/>
    <w:rsid w:val="001F3FF6"/>
    <w:rsid w:val="001F5905"/>
    <w:rsid w:val="001F6A55"/>
    <w:rsid w:val="001F6B7D"/>
    <w:rsid w:val="001F6C3D"/>
    <w:rsid w:val="001F7A01"/>
    <w:rsid w:val="002008A7"/>
    <w:rsid w:val="0020098B"/>
    <w:rsid w:val="00201958"/>
    <w:rsid w:val="00201B53"/>
    <w:rsid w:val="00202038"/>
    <w:rsid w:val="002022D1"/>
    <w:rsid w:val="00202F2D"/>
    <w:rsid w:val="002062CD"/>
    <w:rsid w:val="002067C3"/>
    <w:rsid w:val="00207C81"/>
    <w:rsid w:val="00211235"/>
    <w:rsid w:val="00211E0C"/>
    <w:rsid w:val="0021381E"/>
    <w:rsid w:val="0021383F"/>
    <w:rsid w:val="002143EC"/>
    <w:rsid w:val="00215387"/>
    <w:rsid w:val="002158EC"/>
    <w:rsid w:val="00215BD7"/>
    <w:rsid w:val="00215C42"/>
    <w:rsid w:val="00215DD7"/>
    <w:rsid w:val="00217E4C"/>
    <w:rsid w:val="00221E09"/>
    <w:rsid w:val="002226AA"/>
    <w:rsid w:val="002227E9"/>
    <w:rsid w:val="00222996"/>
    <w:rsid w:val="00223FCB"/>
    <w:rsid w:val="00224CA2"/>
    <w:rsid w:val="00224FEB"/>
    <w:rsid w:val="0022534B"/>
    <w:rsid w:val="0022726D"/>
    <w:rsid w:val="00227689"/>
    <w:rsid w:val="00231522"/>
    <w:rsid w:val="00231BC2"/>
    <w:rsid w:val="0023323F"/>
    <w:rsid w:val="00234DB5"/>
    <w:rsid w:val="00235AA6"/>
    <w:rsid w:val="00236128"/>
    <w:rsid w:val="002364EC"/>
    <w:rsid w:val="002366BF"/>
    <w:rsid w:val="0023760E"/>
    <w:rsid w:val="00237E87"/>
    <w:rsid w:val="002406EB"/>
    <w:rsid w:val="00240C3B"/>
    <w:rsid w:val="00240D72"/>
    <w:rsid w:val="002418E5"/>
    <w:rsid w:val="00241E8B"/>
    <w:rsid w:val="00242135"/>
    <w:rsid w:val="00242380"/>
    <w:rsid w:val="002424AC"/>
    <w:rsid w:val="00242809"/>
    <w:rsid w:val="00242AAC"/>
    <w:rsid w:val="002433A3"/>
    <w:rsid w:val="00243DBB"/>
    <w:rsid w:val="00245763"/>
    <w:rsid w:val="00246302"/>
    <w:rsid w:val="00246A98"/>
    <w:rsid w:val="002471A2"/>
    <w:rsid w:val="00247CFC"/>
    <w:rsid w:val="002505F6"/>
    <w:rsid w:val="0025064B"/>
    <w:rsid w:val="0025077E"/>
    <w:rsid w:val="00251143"/>
    <w:rsid w:val="00251294"/>
    <w:rsid w:val="00251339"/>
    <w:rsid w:val="0025135B"/>
    <w:rsid w:val="0025182C"/>
    <w:rsid w:val="00251AD2"/>
    <w:rsid w:val="00252FF6"/>
    <w:rsid w:val="00253A68"/>
    <w:rsid w:val="0025404D"/>
    <w:rsid w:val="00254B02"/>
    <w:rsid w:val="002567FD"/>
    <w:rsid w:val="00256A6A"/>
    <w:rsid w:val="00256BD3"/>
    <w:rsid w:val="00260A9E"/>
    <w:rsid w:val="00260CB3"/>
    <w:rsid w:val="0026192D"/>
    <w:rsid w:val="00261AD4"/>
    <w:rsid w:val="00261E27"/>
    <w:rsid w:val="00262CD4"/>
    <w:rsid w:val="0026300B"/>
    <w:rsid w:val="002639EB"/>
    <w:rsid w:val="00264910"/>
    <w:rsid w:val="002651FB"/>
    <w:rsid w:val="002658E2"/>
    <w:rsid w:val="002664FA"/>
    <w:rsid w:val="00266CDA"/>
    <w:rsid w:val="00267237"/>
    <w:rsid w:val="0027023B"/>
    <w:rsid w:val="0027030D"/>
    <w:rsid w:val="00270317"/>
    <w:rsid w:val="002715C2"/>
    <w:rsid w:val="00271BAD"/>
    <w:rsid w:val="00271EDE"/>
    <w:rsid w:val="002726EA"/>
    <w:rsid w:val="00272AB9"/>
    <w:rsid w:val="00274541"/>
    <w:rsid w:val="00275264"/>
    <w:rsid w:val="002752C6"/>
    <w:rsid w:val="00275D60"/>
    <w:rsid w:val="00277111"/>
    <w:rsid w:val="002819BB"/>
    <w:rsid w:val="00281D43"/>
    <w:rsid w:val="00282429"/>
    <w:rsid w:val="002845E0"/>
    <w:rsid w:val="00285162"/>
    <w:rsid w:val="002853E4"/>
    <w:rsid w:val="002859DE"/>
    <w:rsid w:val="00285CE6"/>
    <w:rsid w:val="00286395"/>
    <w:rsid w:val="00287497"/>
    <w:rsid w:val="0029028C"/>
    <w:rsid w:val="00291452"/>
    <w:rsid w:val="00291F63"/>
    <w:rsid w:val="0029266B"/>
    <w:rsid w:val="00292C82"/>
    <w:rsid w:val="0029315C"/>
    <w:rsid w:val="00293DD0"/>
    <w:rsid w:val="00294242"/>
    <w:rsid w:val="002945BA"/>
    <w:rsid w:val="002954F0"/>
    <w:rsid w:val="002975D5"/>
    <w:rsid w:val="00297717"/>
    <w:rsid w:val="002A04F5"/>
    <w:rsid w:val="002A0793"/>
    <w:rsid w:val="002A2C17"/>
    <w:rsid w:val="002A379B"/>
    <w:rsid w:val="002A4F2F"/>
    <w:rsid w:val="002A5F60"/>
    <w:rsid w:val="002A609B"/>
    <w:rsid w:val="002A67CB"/>
    <w:rsid w:val="002A7F3B"/>
    <w:rsid w:val="002B2E71"/>
    <w:rsid w:val="002B35A9"/>
    <w:rsid w:val="002B374C"/>
    <w:rsid w:val="002B3D6E"/>
    <w:rsid w:val="002B4323"/>
    <w:rsid w:val="002B476A"/>
    <w:rsid w:val="002B55B7"/>
    <w:rsid w:val="002B6D1A"/>
    <w:rsid w:val="002C04F6"/>
    <w:rsid w:val="002C36FB"/>
    <w:rsid w:val="002C3ECB"/>
    <w:rsid w:val="002C4D4C"/>
    <w:rsid w:val="002C5672"/>
    <w:rsid w:val="002C591E"/>
    <w:rsid w:val="002C61E3"/>
    <w:rsid w:val="002C71D3"/>
    <w:rsid w:val="002C74CC"/>
    <w:rsid w:val="002D00FB"/>
    <w:rsid w:val="002D0155"/>
    <w:rsid w:val="002D0265"/>
    <w:rsid w:val="002D05A5"/>
    <w:rsid w:val="002D183F"/>
    <w:rsid w:val="002D2676"/>
    <w:rsid w:val="002D26CC"/>
    <w:rsid w:val="002D28E8"/>
    <w:rsid w:val="002D3DBB"/>
    <w:rsid w:val="002D5AB8"/>
    <w:rsid w:val="002D5B2F"/>
    <w:rsid w:val="002D69E3"/>
    <w:rsid w:val="002D6A0B"/>
    <w:rsid w:val="002D6B3C"/>
    <w:rsid w:val="002D70E2"/>
    <w:rsid w:val="002D71EA"/>
    <w:rsid w:val="002E0419"/>
    <w:rsid w:val="002E0F8C"/>
    <w:rsid w:val="002E2B97"/>
    <w:rsid w:val="002E2D42"/>
    <w:rsid w:val="002E3D4F"/>
    <w:rsid w:val="002E3DC8"/>
    <w:rsid w:val="002E40BA"/>
    <w:rsid w:val="002E6026"/>
    <w:rsid w:val="002E6BAE"/>
    <w:rsid w:val="002E6E3B"/>
    <w:rsid w:val="002E7FC5"/>
    <w:rsid w:val="002F0711"/>
    <w:rsid w:val="002F0722"/>
    <w:rsid w:val="002F13F2"/>
    <w:rsid w:val="002F16BE"/>
    <w:rsid w:val="002F18AD"/>
    <w:rsid w:val="002F1C28"/>
    <w:rsid w:val="002F1EFC"/>
    <w:rsid w:val="002F3C7F"/>
    <w:rsid w:val="002F4058"/>
    <w:rsid w:val="002F5E10"/>
    <w:rsid w:val="002F7ED5"/>
    <w:rsid w:val="003001B3"/>
    <w:rsid w:val="00300497"/>
    <w:rsid w:val="00301F82"/>
    <w:rsid w:val="00302F69"/>
    <w:rsid w:val="00303D37"/>
    <w:rsid w:val="00304A71"/>
    <w:rsid w:val="003066A8"/>
    <w:rsid w:val="003070C1"/>
    <w:rsid w:val="003075F1"/>
    <w:rsid w:val="00310051"/>
    <w:rsid w:val="00310F1E"/>
    <w:rsid w:val="00311A80"/>
    <w:rsid w:val="00311BBE"/>
    <w:rsid w:val="003128B7"/>
    <w:rsid w:val="00312924"/>
    <w:rsid w:val="00315036"/>
    <w:rsid w:val="00315ECE"/>
    <w:rsid w:val="00315EEB"/>
    <w:rsid w:val="00316029"/>
    <w:rsid w:val="0031629A"/>
    <w:rsid w:val="00316803"/>
    <w:rsid w:val="003169DA"/>
    <w:rsid w:val="003176F0"/>
    <w:rsid w:val="0032089E"/>
    <w:rsid w:val="0032265A"/>
    <w:rsid w:val="00323ABE"/>
    <w:rsid w:val="00323DA1"/>
    <w:rsid w:val="00324343"/>
    <w:rsid w:val="0032478B"/>
    <w:rsid w:val="0032773B"/>
    <w:rsid w:val="00327975"/>
    <w:rsid w:val="00330AAE"/>
    <w:rsid w:val="00330AE5"/>
    <w:rsid w:val="00331378"/>
    <w:rsid w:val="0033333E"/>
    <w:rsid w:val="003343F6"/>
    <w:rsid w:val="00335865"/>
    <w:rsid w:val="00335FCE"/>
    <w:rsid w:val="003363AA"/>
    <w:rsid w:val="00336511"/>
    <w:rsid w:val="003377F7"/>
    <w:rsid w:val="003405D3"/>
    <w:rsid w:val="00340886"/>
    <w:rsid w:val="00340BCC"/>
    <w:rsid w:val="00341CC3"/>
    <w:rsid w:val="00342F57"/>
    <w:rsid w:val="003452B4"/>
    <w:rsid w:val="003459AC"/>
    <w:rsid w:val="0034706E"/>
    <w:rsid w:val="003476D2"/>
    <w:rsid w:val="00347752"/>
    <w:rsid w:val="00347E24"/>
    <w:rsid w:val="00347F0C"/>
    <w:rsid w:val="0035076D"/>
    <w:rsid w:val="0035151B"/>
    <w:rsid w:val="003515E2"/>
    <w:rsid w:val="003520DC"/>
    <w:rsid w:val="0035260C"/>
    <w:rsid w:val="003529B8"/>
    <w:rsid w:val="00353340"/>
    <w:rsid w:val="003534CE"/>
    <w:rsid w:val="00353747"/>
    <w:rsid w:val="0035395A"/>
    <w:rsid w:val="00353DE3"/>
    <w:rsid w:val="00353F79"/>
    <w:rsid w:val="003568FA"/>
    <w:rsid w:val="00357853"/>
    <w:rsid w:val="003614D2"/>
    <w:rsid w:val="00361EB1"/>
    <w:rsid w:val="0036220A"/>
    <w:rsid w:val="00362264"/>
    <w:rsid w:val="00365740"/>
    <w:rsid w:val="003664D7"/>
    <w:rsid w:val="003677D5"/>
    <w:rsid w:val="00367D0D"/>
    <w:rsid w:val="00367EEC"/>
    <w:rsid w:val="00370998"/>
    <w:rsid w:val="0037224C"/>
    <w:rsid w:val="003727AA"/>
    <w:rsid w:val="003736C9"/>
    <w:rsid w:val="003740F7"/>
    <w:rsid w:val="00374188"/>
    <w:rsid w:val="00375990"/>
    <w:rsid w:val="00375DD0"/>
    <w:rsid w:val="0037690F"/>
    <w:rsid w:val="00376FA0"/>
    <w:rsid w:val="003778E4"/>
    <w:rsid w:val="003779CF"/>
    <w:rsid w:val="00380041"/>
    <w:rsid w:val="00380A19"/>
    <w:rsid w:val="00381EB0"/>
    <w:rsid w:val="0038235F"/>
    <w:rsid w:val="00382379"/>
    <w:rsid w:val="00384BB6"/>
    <w:rsid w:val="00385FEA"/>
    <w:rsid w:val="00386DB4"/>
    <w:rsid w:val="003905D3"/>
    <w:rsid w:val="00390B68"/>
    <w:rsid w:val="00391375"/>
    <w:rsid w:val="00392052"/>
    <w:rsid w:val="00392685"/>
    <w:rsid w:val="00392CBF"/>
    <w:rsid w:val="00392DC1"/>
    <w:rsid w:val="003932C1"/>
    <w:rsid w:val="00395AE3"/>
    <w:rsid w:val="00395B0E"/>
    <w:rsid w:val="0039709B"/>
    <w:rsid w:val="003A0873"/>
    <w:rsid w:val="003A212B"/>
    <w:rsid w:val="003A227F"/>
    <w:rsid w:val="003A6799"/>
    <w:rsid w:val="003A736C"/>
    <w:rsid w:val="003A742C"/>
    <w:rsid w:val="003A7EB9"/>
    <w:rsid w:val="003B0549"/>
    <w:rsid w:val="003B0957"/>
    <w:rsid w:val="003B0BB9"/>
    <w:rsid w:val="003B16D4"/>
    <w:rsid w:val="003B18EC"/>
    <w:rsid w:val="003B208C"/>
    <w:rsid w:val="003B2B39"/>
    <w:rsid w:val="003B2F8D"/>
    <w:rsid w:val="003B3AEC"/>
    <w:rsid w:val="003B3F7D"/>
    <w:rsid w:val="003B49DB"/>
    <w:rsid w:val="003B4BF5"/>
    <w:rsid w:val="003B4FB8"/>
    <w:rsid w:val="003B50E1"/>
    <w:rsid w:val="003B548F"/>
    <w:rsid w:val="003B61E7"/>
    <w:rsid w:val="003B653D"/>
    <w:rsid w:val="003B6A91"/>
    <w:rsid w:val="003B6EC0"/>
    <w:rsid w:val="003B7DBC"/>
    <w:rsid w:val="003C08E5"/>
    <w:rsid w:val="003C0E10"/>
    <w:rsid w:val="003C0F37"/>
    <w:rsid w:val="003C12EB"/>
    <w:rsid w:val="003C2506"/>
    <w:rsid w:val="003C38AA"/>
    <w:rsid w:val="003C3C62"/>
    <w:rsid w:val="003C49AE"/>
    <w:rsid w:val="003C603B"/>
    <w:rsid w:val="003C6D63"/>
    <w:rsid w:val="003C7094"/>
    <w:rsid w:val="003D0B74"/>
    <w:rsid w:val="003D215D"/>
    <w:rsid w:val="003D246B"/>
    <w:rsid w:val="003D2A8A"/>
    <w:rsid w:val="003D3959"/>
    <w:rsid w:val="003D3B50"/>
    <w:rsid w:val="003D4A64"/>
    <w:rsid w:val="003D5FA9"/>
    <w:rsid w:val="003D68DB"/>
    <w:rsid w:val="003D71EE"/>
    <w:rsid w:val="003E0182"/>
    <w:rsid w:val="003E0187"/>
    <w:rsid w:val="003E0D80"/>
    <w:rsid w:val="003E1370"/>
    <w:rsid w:val="003E1D67"/>
    <w:rsid w:val="003E3706"/>
    <w:rsid w:val="003E381D"/>
    <w:rsid w:val="003E4098"/>
    <w:rsid w:val="003E40FD"/>
    <w:rsid w:val="003E415D"/>
    <w:rsid w:val="003E4847"/>
    <w:rsid w:val="003E4C2A"/>
    <w:rsid w:val="003E4D76"/>
    <w:rsid w:val="003E4F36"/>
    <w:rsid w:val="003E54D8"/>
    <w:rsid w:val="003E59A1"/>
    <w:rsid w:val="003E5B4B"/>
    <w:rsid w:val="003E6127"/>
    <w:rsid w:val="003E6289"/>
    <w:rsid w:val="003E6F50"/>
    <w:rsid w:val="003E72A0"/>
    <w:rsid w:val="003F0253"/>
    <w:rsid w:val="003F033E"/>
    <w:rsid w:val="003F0520"/>
    <w:rsid w:val="003F0DA4"/>
    <w:rsid w:val="003F283B"/>
    <w:rsid w:val="003F2930"/>
    <w:rsid w:val="003F4386"/>
    <w:rsid w:val="003F4DF7"/>
    <w:rsid w:val="003F654B"/>
    <w:rsid w:val="00400998"/>
    <w:rsid w:val="00401C01"/>
    <w:rsid w:val="00401C78"/>
    <w:rsid w:val="00401F7F"/>
    <w:rsid w:val="00402373"/>
    <w:rsid w:val="0040375A"/>
    <w:rsid w:val="00403AE8"/>
    <w:rsid w:val="00404422"/>
    <w:rsid w:val="00405A68"/>
    <w:rsid w:val="00405E3D"/>
    <w:rsid w:val="00405E7E"/>
    <w:rsid w:val="00406168"/>
    <w:rsid w:val="00406A0A"/>
    <w:rsid w:val="00406A26"/>
    <w:rsid w:val="00406C90"/>
    <w:rsid w:val="00407863"/>
    <w:rsid w:val="004107B5"/>
    <w:rsid w:val="004111D1"/>
    <w:rsid w:val="00414921"/>
    <w:rsid w:val="004149D8"/>
    <w:rsid w:val="00415AAA"/>
    <w:rsid w:val="00416E01"/>
    <w:rsid w:val="00417323"/>
    <w:rsid w:val="0042078A"/>
    <w:rsid w:val="00420F74"/>
    <w:rsid w:val="0042122B"/>
    <w:rsid w:val="00421971"/>
    <w:rsid w:val="00422310"/>
    <w:rsid w:val="00422A1E"/>
    <w:rsid w:val="00422E05"/>
    <w:rsid w:val="00423BBE"/>
    <w:rsid w:val="00423CB7"/>
    <w:rsid w:val="0042461D"/>
    <w:rsid w:val="004247D6"/>
    <w:rsid w:val="00424C21"/>
    <w:rsid w:val="00425063"/>
    <w:rsid w:val="004254BA"/>
    <w:rsid w:val="004254E0"/>
    <w:rsid w:val="00425901"/>
    <w:rsid w:val="00425D6F"/>
    <w:rsid w:val="00427BD4"/>
    <w:rsid w:val="004300F0"/>
    <w:rsid w:val="00430EF7"/>
    <w:rsid w:val="0043377E"/>
    <w:rsid w:val="004337A9"/>
    <w:rsid w:val="0043473E"/>
    <w:rsid w:val="00434C78"/>
    <w:rsid w:val="00435D18"/>
    <w:rsid w:val="00435E4E"/>
    <w:rsid w:val="00436410"/>
    <w:rsid w:val="00436B04"/>
    <w:rsid w:val="00436EB2"/>
    <w:rsid w:val="00440362"/>
    <w:rsid w:val="00441436"/>
    <w:rsid w:val="004441D5"/>
    <w:rsid w:val="00444774"/>
    <w:rsid w:val="00444FEF"/>
    <w:rsid w:val="00445968"/>
    <w:rsid w:val="00445998"/>
    <w:rsid w:val="004469B5"/>
    <w:rsid w:val="00450402"/>
    <w:rsid w:val="00450837"/>
    <w:rsid w:val="00450B36"/>
    <w:rsid w:val="00451900"/>
    <w:rsid w:val="00451B17"/>
    <w:rsid w:val="00451D74"/>
    <w:rsid w:val="004522BC"/>
    <w:rsid w:val="004529FB"/>
    <w:rsid w:val="004538EB"/>
    <w:rsid w:val="004539B5"/>
    <w:rsid w:val="00453A5C"/>
    <w:rsid w:val="00455274"/>
    <w:rsid w:val="00455419"/>
    <w:rsid w:val="00456192"/>
    <w:rsid w:val="0045772A"/>
    <w:rsid w:val="00460711"/>
    <w:rsid w:val="004609F1"/>
    <w:rsid w:val="004612C8"/>
    <w:rsid w:val="00461714"/>
    <w:rsid w:val="0046195D"/>
    <w:rsid w:val="004625DE"/>
    <w:rsid w:val="00465E5B"/>
    <w:rsid w:val="0046634A"/>
    <w:rsid w:val="00466560"/>
    <w:rsid w:val="00466B5E"/>
    <w:rsid w:val="00466D69"/>
    <w:rsid w:val="0047045B"/>
    <w:rsid w:val="00471FF0"/>
    <w:rsid w:val="004723EC"/>
    <w:rsid w:val="004724FC"/>
    <w:rsid w:val="00472F4D"/>
    <w:rsid w:val="00473A45"/>
    <w:rsid w:val="00474616"/>
    <w:rsid w:val="00474A27"/>
    <w:rsid w:val="00474C41"/>
    <w:rsid w:val="00474EB2"/>
    <w:rsid w:val="00474FF5"/>
    <w:rsid w:val="004760DA"/>
    <w:rsid w:val="00476797"/>
    <w:rsid w:val="00476D46"/>
    <w:rsid w:val="0047742E"/>
    <w:rsid w:val="004779E7"/>
    <w:rsid w:val="00480447"/>
    <w:rsid w:val="004816AB"/>
    <w:rsid w:val="0048176C"/>
    <w:rsid w:val="0048514F"/>
    <w:rsid w:val="004856FC"/>
    <w:rsid w:val="00485779"/>
    <w:rsid w:val="0048749B"/>
    <w:rsid w:val="0048776E"/>
    <w:rsid w:val="00490029"/>
    <w:rsid w:val="00490E8A"/>
    <w:rsid w:val="00490EE8"/>
    <w:rsid w:val="004919F8"/>
    <w:rsid w:val="00492952"/>
    <w:rsid w:val="00492987"/>
    <w:rsid w:val="00492D7B"/>
    <w:rsid w:val="00492E12"/>
    <w:rsid w:val="00492EDD"/>
    <w:rsid w:val="004931CA"/>
    <w:rsid w:val="00494BBA"/>
    <w:rsid w:val="00495205"/>
    <w:rsid w:val="004952DF"/>
    <w:rsid w:val="00495FF0"/>
    <w:rsid w:val="00496168"/>
    <w:rsid w:val="004966DF"/>
    <w:rsid w:val="00497AE6"/>
    <w:rsid w:val="004A18C1"/>
    <w:rsid w:val="004A18C6"/>
    <w:rsid w:val="004A224A"/>
    <w:rsid w:val="004A359D"/>
    <w:rsid w:val="004A3BF2"/>
    <w:rsid w:val="004A3CD7"/>
    <w:rsid w:val="004A4325"/>
    <w:rsid w:val="004A4DC6"/>
    <w:rsid w:val="004A4E3F"/>
    <w:rsid w:val="004A5BF9"/>
    <w:rsid w:val="004A6C07"/>
    <w:rsid w:val="004A72B4"/>
    <w:rsid w:val="004A79C1"/>
    <w:rsid w:val="004A79FD"/>
    <w:rsid w:val="004A7AE2"/>
    <w:rsid w:val="004A7F1C"/>
    <w:rsid w:val="004A7FB4"/>
    <w:rsid w:val="004B007C"/>
    <w:rsid w:val="004B023C"/>
    <w:rsid w:val="004B1882"/>
    <w:rsid w:val="004B43ED"/>
    <w:rsid w:val="004B4D7E"/>
    <w:rsid w:val="004B61CA"/>
    <w:rsid w:val="004B68D9"/>
    <w:rsid w:val="004B6C87"/>
    <w:rsid w:val="004B6E3E"/>
    <w:rsid w:val="004B7496"/>
    <w:rsid w:val="004C0151"/>
    <w:rsid w:val="004C1DB5"/>
    <w:rsid w:val="004C23BB"/>
    <w:rsid w:val="004C309C"/>
    <w:rsid w:val="004C40AD"/>
    <w:rsid w:val="004C507A"/>
    <w:rsid w:val="004C5EB4"/>
    <w:rsid w:val="004C6196"/>
    <w:rsid w:val="004C667F"/>
    <w:rsid w:val="004C69C9"/>
    <w:rsid w:val="004C6CAD"/>
    <w:rsid w:val="004D2A58"/>
    <w:rsid w:val="004D3F18"/>
    <w:rsid w:val="004D42D6"/>
    <w:rsid w:val="004D42F7"/>
    <w:rsid w:val="004D499E"/>
    <w:rsid w:val="004D65DB"/>
    <w:rsid w:val="004D68A5"/>
    <w:rsid w:val="004D6BBE"/>
    <w:rsid w:val="004D6D21"/>
    <w:rsid w:val="004D73B8"/>
    <w:rsid w:val="004D77BA"/>
    <w:rsid w:val="004E105E"/>
    <w:rsid w:val="004E1983"/>
    <w:rsid w:val="004E20DF"/>
    <w:rsid w:val="004E241E"/>
    <w:rsid w:val="004E2A7D"/>
    <w:rsid w:val="004E38B1"/>
    <w:rsid w:val="004E40F5"/>
    <w:rsid w:val="004E41D8"/>
    <w:rsid w:val="004E4914"/>
    <w:rsid w:val="004E4DB6"/>
    <w:rsid w:val="004E69B7"/>
    <w:rsid w:val="004E7E69"/>
    <w:rsid w:val="004F0EE4"/>
    <w:rsid w:val="004F11EF"/>
    <w:rsid w:val="004F2637"/>
    <w:rsid w:val="004F29C8"/>
    <w:rsid w:val="004F2A96"/>
    <w:rsid w:val="004F2C4F"/>
    <w:rsid w:val="004F46A1"/>
    <w:rsid w:val="004F49EB"/>
    <w:rsid w:val="004F5D69"/>
    <w:rsid w:val="004F6655"/>
    <w:rsid w:val="004F6B31"/>
    <w:rsid w:val="004F6F16"/>
    <w:rsid w:val="004F7A48"/>
    <w:rsid w:val="004F7A7F"/>
    <w:rsid w:val="00500CF8"/>
    <w:rsid w:val="0050100A"/>
    <w:rsid w:val="00501A45"/>
    <w:rsid w:val="00502AB9"/>
    <w:rsid w:val="00502C62"/>
    <w:rsid w:val="00504190"/>
    <w:rsid w:val="0050522A"/>
    <w:rsid w:val="0050570F"/>
    <w:rsid w:val="00505D09"/>
    <w:rsid w:val="005073BE"/>
    <w:rsid w:val="00507D04"/>
    <w:rsid w:val="00507D42"/>
    <w:rsid w:val="00510180"/>
    <w:rsid w:val="00510770"/>
    <w:rsid w:val="00511266"/>
    <w:rsid w:val="00511C05"/>
    <w:rsid w:val="0051349D"/>
    <w:rsid w:val="005136F0"/>
    <w:rsid w:val="005140D3"/>
    <w:rsid w:val="00514595"/>
    <w:rsid w:val="00514C40"/>
    <w:rsid w:val="00516AF9"/>
    <w:rsid w:val="0051723C"/>
    <w:rsid w:val="00517BBF"/>
    <w:rsid w:val="00521AF7"/>
    <w:rsid w:val="00522C6C"/>
    <w:rsid w:val="00523141"/>
    <w:rsid w:val="005235EF"/>
    <w:rsid w:val="0052376D"/>
    <w:rsid w:val="00523D81"/>
    <w:rsid w:val="00524AB1"/>
    <w:rsid w:val="00524DDD"/>
    <w:rsid w:val="00524E35"/>
    <w:rsid w:val="00525890"/>
    <w:rsid w:val="00526A60"/>
    <w:rsid w:val="00526FA7"/>
    <w:rsid w:val="005272FA"/>
    <w:rsid w:val="005276C1"/>
    <w:rsid w:val="00527DC1"/>
    <w:rsid w:val="005301D3"/>
    <w:rsid w:val="005305F7"/>
    <w:rsid w:val="00530B46"/>
    <w:rsid w:val="00531412"/>
    <w:rsid w:val="00531A58"/>
    <w:rsid w:val="005321CD"/>
    <w:rsid w:val="00532384"/>
    <w:rsid w:val="00533C61"/>
    <w:rsid w:val="00534559"/>
    <w:rsid w:val="00535D1A"/>
    <w:rsid w:val="00536276"/>
    <w:rsid w:val="005362B7"/>
    <w:rsid w:val="005362CB"/>
    <w:rsid w:val="00537715"/>
    <w:rsid w:val="005403FB"/>
    <w:rsid w:val="00540CC5"/>
    <w:rsid w:val="00540ED0"/>
    <w:rsid w:val="00542A10"/>
    <w:rsid w:val="00542B0F"/>
    <w:rsid w:val="00543720"/>
    <w:rsid w:val="0054395E"/>
    <w:rsid w:val="00544A7B"/>
    <w:rsid w:val="00544CB5"/>
    <w:rsid w:val="0054795A"/>
    <w:rsid w:val="0055017B"/>
    <w:rsid w:val="00551A1E"/>
    <w:rsid w:val="00553A15"/>
    <w:rsid w:val="00553C93"/>
    <w:rsid w:val="00554869"/>
    <w:rsid w:val="00554FB3"/>
    <w:rsid w:val="0055554D"/>
    <w:rsid w:val="005576B5"/>
    <w:rsid w:val="005578C4"/>
    <w:rsid w:val="00557F89"/>
    <w:rsid w:val="005606FF"/>
    <w:rsid w:val="00560DC6"/>
    <w:rsid w:val="00561493"/>
    <w:rsid w:val="00561C61"/>
    <w:rsid w:val="00562D5F"/>
    <w:rsid w:val="005638A7"/>
    <w:rsid w:val="00563F71"/>
    <w:rsid w:val="0056464D"/>
    <w:rsid w:val="00564ADF"/>
    <w:rsid w:val="00564E44"/>
    <w:rsid w:val="00564EA9"/>
    <w:rsid w:val="00566E47"/>
    <w:rsid w:val="00567B3A"/>
    <w:rsid w:val="005703DE"/>
    <w:rsid w:val="00573935"/>
    <w:rsid w:val="00573FA9"/>
    <w:rsid w:val="005762B5"/>
    <w:rsid w:val="00576A44"/>
    <w:rsid w:val="00576B51"/>
    <w:rsid w:val="005775CF"/>
    <w:rsid w:val="005779DC"/>
    <w:rsid w:val="00577B9B"/>
    <w:rsid w:val="00577F2C"/>
    <w:rsid w:val="00580505"/>
    <w:rsid w:val="005807C0"/>
    <w:rsid w:val="00580A55"/>
    <w:rsid w:val="005812A0"/>
    <w:rsid w:val="00582B97"/>
    <w:rsid w:val="0058502A"/>
    <w:rsid w:val="00585873"/>
    <w:rsid w:val="00585A6C"/>
    <w:rsid w:val="00585D3B"/>
    <w:rsid w:val="0058626A"/>
    <w:rsid w:val="00586EF5"/>
    <w:rsid w:val="00587BFA"/>
    <w:rsid w:val="00591174"/>
    <w:rsid w:val="005913B5"/>
    <w:rsid w:val="00591908"/>
    <w:rsid w:val="00592F42"/>
    <w:rsid w:val="005932DA"/>
    <w:rsid w:val="00593CBF"/>
    <w:rsid w:val="00594D9B"/>
    <w:rsid w:val="00595C1D"/>
    <w:rsid w:val="005961BC"/>
    <w:rsid w:val="005979D2"/>
    <w:rsid w:val="00597BFB"/>
    <w:rsid w:val="00597FFC"/>
    <w:rsid w:val="005A1D51"/>
    <w:rsid w:val="005A22A1"/>
    <w:rsid w:val="005A2FF7"/>
    <w:rsid w:val="005A3798"/>
    <w:rsid w:val="005A3F2B"/>
    <w:rsid w:val="005A3FF9"/>
    <w:rsid w:val="005A5B10"/>
    <w:rsid w:val="005A60E0"/>
    <w:rsid w:val="005A64CD"/>
    <w:rsid w:val="005A71EB"/>
    <w:rsid w:val="005A75B2"/>
    <w:rsid w:val="005A7816"/>
    <w:rsid w:val="005B04F4"/>
    <w:rsid w:val="005B0D14"/>
    <w:rsid w:val="005B3478"/>
    <w:rsid w:val="005B3779"/>
    <w:rsid w:val="005B46D3"/>
    <w:rsid w:val="005B4AA8"/>
    <w:rsid w:val="005B4C01"/>
    <w:rsid w:val="005B54B7"/>
    <w:rsid w:val="005B7D66"/>
    <w:rsid w:val="005C02AC"/>
    <w:rsid w:val="005C0B9E"/>
    <w:rsid w:val="005C135A"/>
    <w:rsid w:val="005C1478"/>
    <w:rsid w:val="005C2A83"/>
    <w:rsid w:val="005C2FBB"/>
    <w:rsid w:val="005C3F0C"/>
    <w:rsid w:val="005C4511"/>
    <w:rsid w:val="005C4FF0"/>
    <w:rsid w:val="005C66E7"/>
    <w:rsid w:val="005C76E2"/>
    <w:rsid w:val="005C79DF"/>
    <w:rsid w:val="005C7CF1"/>
    <w:rsid w:val="005D0A0D"/>
    <w:rsid w:val="005D0C4C"/>
    <w:rsid w:val="005D0CB3"/>
    <w:rsid w:val="005D1579"/>
    <w:rsid w:val="005D176A"/>
    <w:rsid w:val="005D1D03"/>
    <w:rsid w:val="005D1EBD"/>
    <w:rsid w:val="005D230C"/>
    <w:rsid w:val="005D4E10"/>
    <w:rsid w:val="005D5C6E"/>
    <w:rsid w:val="005D721B"/>
    <w:rsid w:val="005D727C"/>
    <w:rsid w:val="005D7CBA"/>
    <w:rsid w:val="005E0790"/>
    <w:rsid w:val="005E0B21"/>
    <w:rsid w:val="005E0DE5"/>
    <w:rsid w:val="005E1F3A"/>
    <w:rsid w:val="005E20F3"/>
    <w:rsid w:val="005E2575"/>
    <w:rsid w:val="005E2809"/>
    <w:rsid w:val="005E28C9"/>
    <w:rsid w:val="005E439D"/>
    <w:rsid w:val="005E44DD"/>
    <w:rsid w:val="005E464E"/>
    <w:rsid w:val="005E4780"/>
    <w:rsid w:val="005E4DB7"/>
    <w:rsid w:val="005E5114"/>
    <w:rsid w:val="005E5460"/>
    <w:rsid w:val="005E5BF4"/>
    <w:rsid w:val="005E5EBE"/>
    <w:rsid w:val="005E664B"/>
    <w:rsid w:val="005E7D19"/>
    <w:rsid w:val="005F032A"/>
    <w:rsid w:val="005F1364"/>
    <w:rsid w:val="005F158E"/>
    <w:rsid w:val="005F29DD"/>
    <w:rsid w:val="005F412E"/>
    <w:rsid w:val="005F4C62"/>
    <w:rsid w:val="005F77DB"/>
    <w:rsid w:val="0060031F"/>
    <w:rsid w:val="00601348"/>
    <w:rsid w:val="00602569"/>
    <w:rsid w:val="00602AFB"/>
    <w:rsid w:val="00604FB8"/>
    <w:rsid w:val="006054B3"/>
    <w:rsid w:val="0060579F"/>
    <w:rsid w:val="006061A6"/>
    <w:rsid w:val="0060620C"/>
    <w:rsid w:val="006070A2"/>
    <w:rsid w:val="006074A3"/>
    <w:rsid w:val="006077E5"/>
    <w:rsid w:val="006078CA"/>
    <w:rsid w:val="00607B3C"/>
    <w:rsid w:val="00607BCF"/>
    <w:rsid w:val="006110C5"/>
    <w:rsid w:val="006116DF"/>
    <w:rsid w:val="006117EF"/>
    <w:rsid w:val="0061207B"/>
    <w:rsid w:val="0061216B"/>
    <w:rsid w:val="00612AAA"/>
    <w:rsid w:val="00613695"/>
    <w:rsid w:val="00613E20"/>
    <w:rsid w:val="0061611B"/>
    <w:rsid w:val="00617571"/>
    <w:rsid w:val="006178C8"/>
    <w:rsid w:val="00622151"/>
    <w:rsid w:val="0062432E"/>
    <w:rsid w:val="00624A93"/>
    <w:rsid w:val="00624D57"/>
    <w:rsid w:val="00624EE6"/>
    <w:rsid w:val="006255A2"/>
    <w:rsid w:val="006264F7"/>
    <w:rsid w:val="00627A2D"/>
    <w:rsid w:val="00627F69"/>
    <w:rsid w:val="00627FE1"/>
    <w:rsid w:val="00630A51"/>
    <w:rsid w:val="006319E2"/>
    <w:rsid w:val="00632435"/>
    <w:rsid w:val="006326CA"/>
    <w:rsid w:val="00632715"/>
    <w:rsid w:val="00632835"/>
    <w:rsid w:val="00632AE8"/>
    <w:rsid w:val="00632BC0"/>
    <w:rsid w:val="00632C1E"/>
    <w:rsid w:val="00633015"/>
    <w:rsid w:val="00633C24"/>
    <w:rsid w:val="00634197"/>
    <w:rsid w:val="00634CC8"/>
    <w:rsid w:val="00634D99"/>
    <w:rsid w:val="00636CA2"/>
    <w:rsid w:val="006377F7"/>
    <w:rsid w:val="00640D19"/>
    <w:rsid w:val="00640D48"/>
    <w:rsid w:val="00641654"/>
    <w:rsid w:val="00641902"/>
    <w:rsid w:val="00643FC9"/>
    <w:rsid w:val="0064410F"/>
    <w:rsid w:val="00644C8E"/>
    <w:rsid w:val="00644C94"/>
    <w:rsid w:val="00644F2F"/>
    <w:rsid w:val="0065118F"/>
    <w:rsid w:val="006511B3"/>
    <w:rsid w:val="0065131D"/>
    <w:rsid w:val="006525F3"/>
    <w:rsid w:val="0065269C"/>
    <w:rsid w:val="006529B2"/>
    <w:rsid w:val="0065541E"/>
    <w:rsid w:val="00655B05"/>
    <w:rsid w:val="00656877"/>
    <w:rsid w:val="006604BF"/>
    <w:rsid w:val="006605F7"/>
    <w:rsid w:val="0066065C"/>
    <w:rsid w:val="00660B41"/>
    <w:rsid w:val="00660BDF"/>
    <w:rsid w:val="0066174E"/>
    <w:rsid w:val="006623C0"/>
    <w:rsid w:val="00662763"/>
    <w:rsid w:val="0066353D"/>
    <w:rsid w:val="00665A5E"/>
    <w:rsid w:val="00666736"/>
    <w:rsid w:val="006668C9"/>
    <w:rsid w:val="00666C2B"/>
    <w:rsid w:val="006676C5"/>
    <w:rsid w:val="00667925"/>
    <w:rsid w:val="00667929"/>
    <w:rsid w:val="00667BC6"/>
    <w:rsid w:val="00667D5C"/>
    <w:rsid w:val="006701CB"/>
    <w:rsid w:val="0067072B"/>
    <w:rsid w:val="00671794"/>
    <w:rsid w:val="00671C87"/>
    <w:rsid w:val="00672EF5"/>
    <w:rsid w:val="0067339F"/>
    <w:rsid w:val="0067344D"/>
    <w:rsid w:val="00675351"/>
    <w:rsid w:val="006776EB"/>
    <w:rsid w:val="006804F6"/>
    <w:rsid w:val="006809E9"/>
    <w:rsid w:val="00682BE5"/>
    <w:rsid w:val="00683039"/>
    <w:rsid w:val="006830F4"/>
    <w:rsid w:val="006842B5"/>
    <w:rsid w:val="00685301"/>
    <w:rsid w:val="00685308"/>
    <w:rsid w:val="0068671C"/>
    <w:rsid w:val="00686A9B"/>
    <w:rsid w:val="00687655"/>
    <w:rsid w:val="00690260"/>
    <w:rsid w:val="006915DF"/>
    <w:rsid w:val="00692711"/>
    <w:rsid w:val="0069283A"/>
    <w:rsid w:val="00692AE8"/>
    <w:rsid w:val="00692BA7"/>
    <w:rsid w:val="00692F4D"/>
    <w:rsid w:val="0069329C"/>
    <w:rsid w:val="0069378B"/>
    <w:rsid w:val="006940AB"/>
    <w:rsid w:val="00694F9D"/>
    <w:rsid w:val="006953EB"/>
    <w:rsid w:val="00696098"/>
    <w:rsid w:val="00696653"/>
    <w:rsid w:val="006A003F"/>
    <w:rsid w:val="006A08C5"/>
    <w:rsid w:val="006A13AD"/>
    <w:rsid w:val="006A1DE1"/>
    <w:rsid w:val="006A3008"/>
    <w:rsid w:val="006A385C"/>
    <w:rsid w:val="006A3FA1"/>
    <w:rsid w:val="006A4DFA"/>
    <w:rsid w:val="006A50F2"/>
    <w:rsid w:val="006A6095"/>
    <w:rsid w:val="006A6930"/>
    <w:rsid w:val="006A7E16"/>
    <w:rsid w:val="006B0CAA"/>
    <w:rsid w:val="006B1D32"/>
    <w:rsid w:val="006B25BA"/>
    <w:rsid w:val="006B4733"/>
    <w:rsid w:val="006B4A05"/>
    <w:rsid w:val="006B5DB7"/>
    <w:rsid w:val="006B5F09"/>
    <w:rsid w:val="006B6202"/>
    <w:rsid w:val="006B73DA"/>
    <w:rsid w:val="006B7D9E"/>
    <w:rsid w:val="006C0DC4"/>
    <w:rsid w:val="006C0FA0"/>
    <w:rsid w:val="006C1C4B"/>
    <w:rsid w:val="006C359A"/>
    <w:rsid w:val="006C3879"/>
    <w:rsid w:val="006C38EB"/>
    <w:rsid w:val="006C3DC0"/>
    <w:rsid w:val="006C4744"/>
    <w:rsid w:val="006C4FF1"/>
    <w:rsid w:val="006C52C1"/>
    <w:rsid w:val="006C53E4"/>
    <w:rsid w:val="006C7BEF"/>
    <w:rsid w:val="006D07C2"/>
    <w:rsid w:val="006D08E9"/>
    <w:rsid w:val="006D08F4"/>
    <w:rsid w:val="006D2FF5"/>
    <w:rsid w:val="006D304A"/>
    <w:rsid w:val="006D3C3C"/>
    <w:rsid w:val="006D3CEC"/>
    <w:rsid w:val="006D4774"/>
    <w:rsid w:val="006D4908"/>
    <w:rsid w:val="006D5705"/>
    <w:rsid w:val="006D5805"/>
    <w:rsid w:val="006D58EF"/>
    <w:rsid w:val="006D5956"/>
    <w:rsid w:val="006D5CEB"/>
    <w:rsid w:val="006D629F"/>
    <w:rsid w:val="006D70D9"/>
    <w:rsid w:val="006D7473"/>
    <w:rsid w:val="006D7CFE"/>
    <w:rsid w:val="006E0200"/>
    <w:rsid w:val="006E1310"/>
    <w:rsid w:val="006E18B2"/>
    <w:rsid w:val="006E1ABF"/>
    <w:rsid w:val="006E20EF"/>
    <w:rsid w:val="006E2FD3"/>
    <w:rsid w:val="006E3111"/>
    <w:rsid w:val="006E36A7"/>
    <w:rsid w:val="006E3B1D"/>
    <w:rsid w:val="006E59C4"/>
    <w:rsid w:val="006E6185"/>
    <w:rsid w:val="006E6545"/>
    <w:rsid w:val="006E69FE"/>
    <w:rsid w:val="006E6B96"/>
    <w:rsid w:val="006E792D"/>
    <w:rsid w:val="006F0A9F"/>
    <w:rsid w:val="006F3DED"/>
    <w:rsid w:val="006F66EF"/>
    <w:rsid w:val="006F6B6C"/>
    <w:rsid w:val="006F75C8"/>
    <w:rsid w:val="006F7735"/>
    <w:rsid w:val="006F7DD6"/>
    <w:rsid w:val="0070023B"/>
    <w:rsid w:val="00700BA2"/>
    <w:rsid w:val="00701B3F"/>
    <w:rsid w:val="0070295E"/>
    <w:rsid w:val="00703719"/>
    <w:rsid w:val="00704F4D"/>
    <w:rsid w:val="00705794"/>
    <w:rsid w:val="00705EE7"/>
    <w:rsid w:val="00706C1E"/>
    <w:rsid w:val="0070702A"/>
    <w:rsid w:val="007070DF"/>
    <w:rsid w:val="0070751D"/>
    <w:rsid w:val="00707995"/>
    <w:rsid w:val="00707F1E"/>
    <w:rsid w:val="00710D6D"/>
    <w:rsid w:val="0071272A"/>
    <w:rsid w:val="00712AF3"/>
    <w:rsid w:val="0071305C"/>
    <w:rsid w:val="00713556"/>
    <w:rsid w:val="007139DD"/>
    <w:rsid w:val="00714136"/>
    <w:rsid w:val="00714AAA"/>
    <w:rsid w:val="00714BD4"/>
    <w:rsid w:val="00714C75"/>
    <w:rsid w:val="007161BA"/>
    <w:rsid w:val="00716C58"/>
    <w:rsid w:val="007212BA"/>
    <w:rsid w:val="0072290B"/>
    <w:rsid w:val="00722FE0"/>
    <w:rsid w:val="0072364A"/>
    <w:rsid w:val="00723B73"/>
    <w:rsid w:val="00725C83"/>
    <w:rsid w:val="007265DC"/>
    <w:rsid w:val="0072732A"/>
    <w:rsid w:val="00727902"/>
    <w:rsid w:val="007279AB"/>
    <w:rsid w:val="00727D71"/>
    <w:rsid w:val="007308E1"/>
    <w:rsid w:val="0073197E"/>
    <w:rsid w:val="0073199F"/>
    <w:rsid w:val="00731E25"/>
    <w:rsid w:val="007323DD"/>
    <w:rsid w:val="0073434F"/>
    <w:rsid w:val="00734665"/>
    <w:rsid w:val="007349F1"/>
    <w:rsid w:val="00736190"/>
    <w:rsid w:val="00736347"/>
    <w:rsid w:val="0073781E"/>
    <w:rsid w:val="007400F0"/>
    <w:rsid w:val="0074067F"/>
    <w:rsid w:val="007408D7"/>
    <w:rsid w:val="0074111A"/>
    <w:rsid w:val="00741A49"/>
    <w:rsid w:val="00741C86"/>
    <w:rsid w:val="00742486"/>
    <w:rsid w:val="00742B7E"/>
    <w:rsid w:val="0074491A"/>
    <w:rsid w:val="00744AEC"/>
    <w:rsid w:val="00745F24"/>
    <w:rsid w:val="00746644"/>
    <w:rsid w:val="00746CE2"/>
    <w:rsid w:val="00746F1C"/>
    <w:rsid w:val="00746F40"/>
    <w:rsid w:val="007475C2"/>
    <w:rsid w:val="00747A50"/>
    <w:rsid w:val="00747BF6"/>
    <w:rsid w:val="00751F2A"/>
    <w:rsid w:val="007526B5"/>
    <w:rsid w:val="00752966"/>
    <w:rsid w:val="00753FB6"/>
    <w:rsid w:val="00754193"/>
    <w:rsid w:val="007552C1"/>
    <w:rsid w:val="007566FD"/>
    <w:rsid w:val="007568E1"/>
    <w:rsid w:val="0075792B"/>
    <w:rsid w:val="00757D52"/>
    <w:rsid w:val="00760804"/>
    <w:rsid w:val="007612FF"/>
    <w:rsid w:val="00763298"/>
    <w:rsid w:val="00765881"/>
    <w:rsid w:val="00766164"/>
    <w:rsid w:val="007666DE"/>
    <w:rsid w:val="0076686B"/>
    <w:rsid w:val="007675A0"/>
    <w:rsid w:val="0076760F"/>
    <w:rsid w:val="00767ADF"/>
    <w:rsid w:val="00770A83"/>
    <w:rsid w:val="00770D92"/>
    <w:rsid w:val="00771889"/>
    <w:rsid w:val="00772291"/>
    <w:rsid w:val="00772839"/>
    <w:rsid w:val="00772AD7"/>
    <w:rsid w:val="007736C9"/>
    <w:rsid w:val="0077496D"/>
    <w:rsid w:val="007763DF"/>
    <w:rsid w:val="007768E5"/>
    <w:rsid w:val="00776D94"/>
    <w:rsid w:val="00777DDC"/>
    <w:rsid w:val="00780DC0"/>
    <w:rsid w:val="00781A45"/>
    <w:rsid w:val="00781D76"/>
    <w:rsid w:val="00782AF6"/>
    <w:rsid w:val="007836BA"/>
    <w:rsid w:val="0078370A"/>
    <w:rsid w:val="00784E09"/>
    <w:rsid w:val="00785362"/>
    <w:rsid w:val="00785690"/>
    <w:rsid w:val="007856AF"/>
    <w:rsid w:val="00786731"/>
    <w:rsid w:val="00786C0A"/>
    <w:rsid w:val="0078756A"/>
    <w:rsid w:val="00790147"/>
    <w:rsid w:val="007919AF"/>
    <w:rsid w:val="0079307B"/>
    <w:rsid w:val="007946CC"/>
    <w:rsid w:val="007958CA"/>
    <w:rsid w:val="007962A9"/>
    <w:rsid w:val="007A081E"/>
    <w:rsid w:val="007A234C"/>
    <w:rsid w:val="007A3123"/>
    <w:rsid w:val="007A3E5E"/>
    <w:rsid w:val="007A42CC"/>
    <w:rsid w:val="007A457C"/>
    <w:rsid w:val="007A4C1A"/>
    <w:rsid w:val="007A4DFD"/>
    <w:rsid w:val="007A6020"/>
    <w:rsid w:val="007A764E"/>
    <w:rsid w:val="007A7D48"/>
    <w:rsid w:val="007A7D7B"/>
    <w:rsid w:val="007B05E2"/>
    <w:rsid w:val="007B2026"/>
    <w:rsid w:val="007B3902"/>
    <w:rsid w:val="007B49FF"/>
    <w:rsid w:val="007B60CE"/>
    <w:rsid w:val="007B6BAD"/>
    <w:rsid w:val="007B7868"/>
    <w:rsid w:val="007B7CD8"/>
    <w:rsid w:val="007C24EC"/>
    <w:rsid w:val="007C2B15"/>
    <w:rsid w:val="007C2CA0"/>
    <w:rsid w:val="007C305B"/>
    <w:rsid w:val="007C354B"/>
    <w:rsid w:val="007C3C61"/>
    <w:rsid w:val="007C42FD"/>
    <w:rsid w:val="007C4CC3"/>
    <w:rsid w:val="007C4E86"/>
    <w:rsid w:val="007C5E89"/>
    <w:rsid w:val="007C5EE1"/>
    <w:rsid w:val="007C62F6"/>
    <w:rsid w:val="007D04F7"/>
    <w:rsid w:val="007D0C47"/>
    <w:rsid w:val="007D100D"/>
    <w:rsid w:val="007D1588"/>
    <w:rsid w:val="007D18E6"/>
    <w:rsid w:val="007D1982"/>
    <w:rsid w:val="007D23D0"/>
    <w:rsid w:val="007D2536"/>
    <w:rsid w:val="007D3220"/>
    <w:rsid w:val="007D32F6"/>
    <w:rsid w:val="007D3C8E"/>
    <w:rsid w:val="007D590E"/>
    <w:rsid w:val="007D60DA"/>
    <w:rsid w:val="007D68E8"/>
    <w:rsid w:val="007D6A94"/>
    <w:rsid w:val="007E076B"/>
    <w:rsid w:val="007E0F77"/>
    <w:rsid w:val="007E283E"/>
    <w:rsid w:val="007E2B5C"/>
    <w:rsid w:val="007E4610"/>
    <w:rsid w:val="007E46FB"/>
    <w:rsid w:val="007E4F4F"/>
    <w:rsid w:val="007E5840"/>
    <w:rsid w:val="007E64F7"/>
    <w:rsid w:val="007E6CA5"/>
    <w:rsid w:val="007E6DA6"/>
    <w:rsid w:val="007E7045"/>
    <w:rsid w:val="007F0112"/>
    <w:rsid w:val="007F0379"/>
    <w:rsid w:val="007F0802"/>
    <w:rsid w:val="007F211D"/>
    <w:rsid w:val="007F2760"/>
    <w:rsid w:val="007F425F"/>
    <w:rsid w:val="007F42BE"/>
    <w:rsid w:val="007F48BF"/>
    <w:rsid w:val="007F4DC4"/>
    <w:rsid w:val="007F53F1"/>
    <w:rsid w:val="007F5557"/>
    <w:rsid w:val="007F57E0"/>
    <w:rsid w:val="007F59C7"/>
    <w:rsid w:val="007F5F96"/>
    <w:rsid w:val="007F6D58"/>
    <w:rsid w:val="007F775E"/>
    <w:rsid w:val="007F7C06"/>
    <w:rsid w:val="00801011"/>
    <w:rsid w:val="00801EF6"/>
    <w:rsid w:val="00804368"/>
    <w:rsid w:val="0080460A"/>
    <w:rsid w:val="00804A75"/>
    <w:rsid w:val="00804EFC"/>
    <w:rsid w:val="008060E9"/>
    <w:rsid w:val="00807FB2"/>
    <w:rsid w:val="00810FED"/>
    <w:rsid w:val="0081180A"/>
    <w:rsid w:val="0081285B"/>
    <w:rsid w:val="0081385E"/>
    <w:rsid w:val="008152BA"/>
    <w:rsid w:val="00815334"/>
    <w:rsid w:val="008156F1"/>
    <w:rsid w:val="00815F6D"/>
    <w:rsid w:val="00816079"/>
    <w:rsid w:val="008161F9"/>
    <w:rsid w:val="008167B2"/>
    <w:rsid w:val="00821784"/>
    <w:rsid w:val="00821907"/>
    <w:rsid w:val="008228D1"/>
    <w:rsid w:val="0082435C"/>
    <w:rsid w:val="00824840"/>
    <w:rsid w:val="00824A33"/>
    <w:rsid w:val="00824F96"/>
    <w:rsid w:val="00826E74"/>
    <w:rsid w:val="00827444"/>
    <w:rsid w:val="008302B9"/>
    <w:rsid w:val="00830380"/>
    <w:rsid w:val="0083052D"/>
    <w:rsid w:val="008305B1"/>
    <w:rsid w:val="00830706"/>
    <w:rsid w:val="00830D14"/>
    <w:rsid w:val="0083107B"/>
    <w:rsid w:val="008320F3"/>
    <w:rsid w:val="00835214"/>
    <w:rsid w:val="0083568A"/>
    <w:rsid w:val="00835931"/>
    <w:rsid w:val="008359F8"/>
    <w:rsid w:val="00835A25"/>
    <w:rsid w:val="00835C54"/>
    <w:rsid w:val="00836DB5"/>
    <w:rsid w:val="0084049B"/>
    <w:rsid w:val="008409BD"/>
    <w:rsid w:val="00840C6A"/>
    <w:rsid w:val="00841CB3"/>
    <w:rsid w:val="008420FF"/>
    <w:rsid w:val="00842694"/>
    <w:rsid w:val="0084347F"/>
    <w:rsid w:val="00843D08"/>
    <w:rsid w:val="00844BD2"/>
    <w:rsid w:val="00845824"/>
    <w:rsid w:val="00847254"/>
    <w:rsid w:val="008476BF"/>
    <w:rsid w:val="008500CC"/>
    <w:rsid w:val="00850424"/>
    <w:rsid w:val="0085045A"/>
    <w:rsid w:val="00851018"/>
    <w:rsid w:val="00851230"/>
    <w:rsid w:val="008513F5"/>
    <w:rsid w:val="008515DA"/>
    <w:rsid w:val="008533D2"/>
    <w:rsid w:val="0085365A"/>
    <w:rsid w:val="00854760"/>
    <w:rsid w:val="008556A5"/>
    <w:rsid w:val="008557E2"/>
    <w:rsid w:val="00856D22"/>
    <w:rsid w:val="00856ECB"/>
    <w:rsid w:val="008572C0"/>
    <w:rsid w:val="00857C26"/>
    <w:rsid w:val="00857E23"/>
    <w:rsid w:val="00860B8C"/>
    <w:rsid w:val="008620D9"/>
    <w:rsid w:val="00864583"/>
    <w:rsid w:val="00864C2E"/>
    <w:rsid w:val="00864E00"/>
    <w:rsid w:val="008662BB"/>
    <w:rsid w:val="00866309"/>
    <w:rsid w:val="00866A6B"/>
    <w:rsid w:val="00866E0E"/>
    <w:rsid w:val="0086775E"/>
    <w:rsid w:val="008719F0"/>
    <w:rsid w:val="008720C9"/>
    <w:rsid w:val="0087224C"/>
    <w:rsid w:val="008736C9"/>
    <w:rsid w:val="00873DB0"/>
    <w:rsid w:val="00874226"/>
    <w:rsid w:val="008745B4"/>
    <w:rsid w:val="00874D50"/>
    <w:rsid w:val="0087611D"/>
    <w:rsid w:val="00876BB8"/>
    <w:rsid w:val="0087749F"/>
    <w:rsid w:val="008816A9"/>
    <w:rsid w:val="008823C9"/>
    <w:rsid w:val="0088348A"/>
    <w:rsid w:val="008838C4"/>
    <w:rsid w:val="00883E5D"/>
    <w:rsid w:val="008852C1"/>
    <w:rsid w:val="008854C7"/>
    <w:rsid w:val="00885C9C"/>
    <w:rsid w:val="008876D4"/>
    <w:rsid w:val="00887A58"/>
    <w:rsid w:val="00890A7E"/>
    <w:rsid w:val="00891C43"/>
    <w:rsid w:val="00892B88"/>
    <w:rsid w:val="0089336D"/>
    <w:rsid w:val="00893BB1"/>
    <w:rsid w:val="00893CDA"/>
    <w:rsid w:val="008943E5"/>
    <w:rsid w:val="00894674"/>
    <w:rsid w:val="00894F54"/>
    <w:rsid w:val="008951FB"/>
    <w:rsid w:val="00896554"/>
    <w:rsid w:val="008A1737"/>
    <w:rsid w:val="008A1763"/>
    <w:rsid w:val="008A1E2A"/>
    <w:rsid w:val="008A291C"/>
    <w:rsid w:val="008A37C7"/>
    <w:rsid w:val="008A48E1"/>
    <w:rsid w:val="008A497A"/>
    <w:rsid w:val="008A7168"/>
    <w:rsid w:val="008B001A"/>
    <w:rsid w:val="008B081F"/>
    <w:rsid w:val="008B0AED"/>
    <w:rsid w:val="008B0CDF"/>
    <w:rsid w:val="008B1052"/>
    <w:rsid w:val="008B3D64"/>
    <w:rsid w:val="008B4495"/>
    <w:rsid w:val="008B464B"/>
    <w:rsid w:val="008B4A80"/>
    <w:rsid w:val="008B51CF"/>
    <w:rsid w:val="008B6067"/>
    <w:rsid w:val="008B609A"/>
    <w:rsid w:val="008B65EC"/>
    <w:rsid w:val="008B6C63"/>
    <w:rsid w:val="008B7272"/>
    <w:rsid w:val="008B7F45"/>
    <w:rsid w:val="008C1167"/>
    <w:rsid w:val="008C1612"/>
    <w:rsid w:val="008C1764"/>
    <w:rsid w:val="008C1CD9"/>
    <w:rsid w:val="008C31BE"/>
    <w:rsid w:val="008C3C11"/>
    <w:rsid w:val="008C47A2"/>
    <w:rsid w:val="008C4AF1"/>
    <w:rsid w:val="008C4C8E"/>
    <w:rsid w:val="008C5B85"/>
    <w:rsid w:val="008C7102"/>
    <w:rsid w:val="008C766E"/>
    <w:rsid w:val="008C7DAB"/>
    <w:rsid w:val="008D049A"/>
    <w:rsid w:val="008D3922"/>
    <w:rsid w:val="008D43BB"/>
    <w:rsid w:val="008D4E74"/>
    <w:rsid w:val="008D53D7"/>
    <w:rsid w:val="008D6553"/>
    <w:rsid w:val="008D6BAB"/>
    <w:rsid w:val="008D7C53"/>
    <w:rsid w:val="008E0CC9"/>
    <w:rsid w:val="008E188F"/>
    <w:rsid w:val="008E300D"/>
    <w:rsid w:val="008E44FC"/>
    <w:rsid w:val="008E480B"/>
    <w:rsid w:val="008E548A"/>
    <w:rsid w:val="008E6549"/>
    <w:rsid w:val="008E66DD"/>
    <w:rsid w:val="008E6F80"/>
    <w:rsid w:val="008F1084"/>
    <w:rsid w:val="008F1647"/>
    <w:rsid w:val="008F2BE5"/>
    <w:rsid w:val="008F2F22"/>
    <w:rsid w:val="008F37EB"/>
    <w:rsid w:val="008F3C3B"/>
    <w:rsid w:val="008F3D5F"/>
    <w:rsid w:val="008F4DA4"/>
    <w:rsid w:val="008F53A1"/>
    <w:rsid w:val="008F5F28"/>
    <w:rsid w:val="008F6F64"/>
    <w:rsid w:val="008F7025"/>
    <w:rsid w:val="00900F13"/>
    <w:rsid w:val="00901AA4"/>
    <w:rsid w:val="00901B45"/>
    <w:rsid w:val="00901F99"/>
    <w:rsid w:val="00902B94"/>
    <w:rsid w:val="00903852"/>
    <w:rsid w:val="0090433C"/>
    <w:rsid w:val="00904BBC"/>
    <w:rsid w:val="0090639C"/>
    <w:rsid w:val="009064C8"/>
    <w:rsid w:val="00907CA3"/>
    <w:rsid w:val="0091017E"/>
    <w:rsid w:val="00910279"/>
    <w:rsid w:val="0091034B"/>
    <w:rsid w:val="00913782"/>
    <w:rsid w:val="00915070"/>
    <w:rsid w:val="00915DDF"/>
    <w:rsid w:val="00916A98"/>
    <w:rsid w:val="009209FD"/>
    <w:rsid w:val="00922A21"/>
    <w:rsid w:val="00922F96"/>
    <w:rsid w:val="00923646"/>
    <w:rsid w:val="009237AB"/>
    <w:rsid w:val="00923A4B"/>
    <w:rsid w:val="00923A8A"/>
    <w:rsid w:val="00925118"/>
    <w:rsid w:val="0092534E"/>
    <w:rsid w:val="0092607B"/>
    <w:rsid w:val="00926781"/>
    <w:rsid w:val="0092696F"/>
    <w:rsid w:val="009274BD"/>
    <w:rsid w:val="00931A86"/>
    <w:rsid w:val="009323A0"/>
    <w:rsid w:val="0093276E"/>
    <w:rsid w:val="009336EE"/>
    <w:rsid w:val="00933C6E"/>
    <w:rsid w:val="00934E36"/>
    <w:rsid w:val="009354E3"/>
    <w:rsid w:val="00935F89"/>
    <w:rsid w:val="0093728B"/>
    <w:rsid w:val="00937778"/>
    <w:rsid w:val="00937FD7"/>
    <w:rsid w:val="009400B7"/>
    <w:rsid w:val="00940573"/>
    <w:rsid w:val="00940B42"/>
    <w:rsid w:val="00940CED"/>
    <w:rsid w:val="009416AE"/>
    <w:rsid w:val="00941A9E"/>
    <w:rsid w:val="009421DD"/>
    <w:rsid w:val="00942631"/>
    <w:rsid w:val="00942D46"/>
    <w:rsid w:val="00943041"/>
    <w:rsid w:val="009430CF"/>
    <w:rsid w:val="009434D3"/>
    <w:rsid w:val="0094390B"/>
    <w:rsid w:val="00945038"/>
    <w:rsid w:val="00946051"/>
    <w:rsid w:val="009475BE"/>
    <w:rsid w:val="00947A12"/>
    <w:rsid w:val="00947FA1"/>
    <w:rsid w:val="0095002A"/>
    <w:rsid w:val="0095006C"/>
    <w:rsid w:val="009527F4"/>
    <w:rsid w:val="0095281D"/>
    <w:rsid w:val="0095411D"/>
    <w:rsid w:val="009567AE"/>
    <w:rsid w:val="009602D8"/>
    <w:rsid w:val="00960A02"/>
    <w:rsid w:val="00960E19"/>
    <w:rsid w:val="0096282B"/>
    <w:rsid w:val="00962935"/>
    <w:rsid w:val="00963155"/>
    <w:rsid w:val="00963A7D"/>
    <w:rsid w:val="0096573F"/>
    <w:rsid w:val="00965EAC"/>
    <w:rsid w:val="00965F5E"/>
    <w:rsid w:val="009669AF"/>
    <w:rsid w:val="00966FA0"/>
    <w:rsid w:val="00967D26"/>
    <w:rsid w:val="009700CF"/>
    <w:rsid w:val="0097061B"/>
    <w:rsid w:val="0097245E"/>
    <w:rsid w:val="0097255E"/>
    <w:rsid w:val="00972BFF"/>
    <w:rsid w:val="00973373"/>
    <w:rsid w:val="009750E2"/>
    <w:rsid w:val="0097574A"/>
    <w:rsid w:val="00975C47"/>
    <w:rsid w:val="00975F65"/>
    <w:rsid w:val="009764ED"/>
    <w:rsid w:val="00976AA6"/>
    <w:rsid w:val="0098168F"/>
    <w:rsid w:val="00981741"/>
    <w:rsid w:val="00981A07"/>
    <w:rsid w:val="009824A0"/>
    <w:rsid w:val="0098263A"/>
    <w:rsid w:val="00982750"/>
    <w:rsid w:val="00984A1D"/>
    <w:rsid w:val="00984BAF"/>
    <w:rsid w:val="00984E3A"/>
    <w:rsid w:val="009855F8"/>
    <w:rsid w:val="00986573"/>
    <w:rsid w:val="00986EA8"/>
    <w:rsid w:val="009876AF"/>
    <w:rsid w:val="00987E95"/>
    <w:rsid w:val="009906A3"/>
    <w:rsid w:val="00994847"/>
    <w:rsid w:val="00994975"/>
    <w:rsid w:val="00995940"/>
    <w:rsid w:val="009963CC"/>
    <w:rsid w:val="0099696F"/>
    <w:rsid w:val="009976F0"/>
    <w:rsid w:val="00997A3E"/>
    <w:rsid w:val="00997DB1"/>
    <w:rsid w:val="009A3784"/>
    <w:rsid w:val="009A3D08"/>
    <w:rsid w:val="009A4ACF"/>
    <w:rsid w:val="009A51F0"/>
    <w:rsid w:val="009A60C1"/>
    <w:rsid w:val="009A66EA"/>
    <w:rsid w:val="009A7574"/>
    <w:rsid w:val="009A7FD4"/>
    <w:rsid w:val="009B12C0"/>
    <w:rsid w:val="009B1994"/>
    <w:rsid w:val="009B1D30"/>
    <w:rsid w:val="009B2FD5"/>
    <w:rsid w:val="009B4FFE"/>
    <w:rsid w:val="009B5BEC"/>
    <w:rsid w:val="009B5DDF"/>
    <w:rsid w:val="009B71D3"/>
    <w:rsid w:val="009B73F3"/>
    <w:rsid w:val="009B75CE"/>
    <w:rsid w:val="009C14A2"/>
    <w:rsid w:val="009C22A5"/>
    <w:rsid w:val="009C2431"/>
    <w:rsid w:val="009C2B61"/>
    <w:rsid w:val="009C3323"/>
    <w:rsid w:val="009C3526"/>
    <w:rsid w:val="009C3E5B"/>
    <w:rsid w:val="009C4915"/>
    <w:rsid w:val="009C630E"/>
    <w:rsid w:val="009C725C"/>
    <w:rsid w:val="009D142A"/>
    <w:rsid w:val="009D1DD3"/>
    <w:rsid w:val="009D34AE"/>
    <w:rsid w:val="009D51B6"/>
    <w:rsid w:val="009D5E57"/>
    <w:rsid w:val="009D69E7"/>
    <w:rsid w:val="009D6B4A"/>
    <w:rsid w:val="009D7A21"/>
    <w:rsid w:val="009E0AA9"/>
    <w:rsid w:val="009E0C96"/>
    <w:rsid w:val="009E159B"/>
    <w:rsid w:val="009E15C3"/>
    <w:rsid w:val="009E182C"/>
    <w:rsid w:val="009E33CD"/>
    <w:rsid w:val="009E3704"/>
    <w:rsid w:val="009E4BC0"/>
    <w:rsid w:val="009E547D"/>
    <w:rsid w:val="009E5C4E"/>
    <w:rsid w:val="009E6925"/>
    <w:rsid w:val="009E7AC7"/>
    <w:rsid w:val="009E7CBB"/>
    <w:rsid w:val="009F0043"/>
    <w:rsid w:val="009F10F0"/>
    <w:rsid w:val="009F1270"/>
    <w:rsid w:val="009F1558"/>
    <w:rsid w:val="009F2F75"/>
    <w:rsid w:val="009F3795"/>
    <w:rsid w:val="009F39D2"/>
    <w:rsid w:val="009F4112"/>
    <w:rsid w:val="009F45F5"/>
    <w:rsid w:val="009F4657"/>
    <w:rsid w:val="009F61E5"/>
    <w:rsid w:val="00A00598"/>
    <w:rsid w:val="00A018E4"/>
    <w:rsid w:val="00A01A39"/>
    <w:rsid w:val="00A01EBA"/>
    <w:rsid w:val="00A0355A"/>
    <w:rsid w:val="00A04481"/>
    <w:rsid w:val="00A051B2"/>
    <w:rsid w:val="00A051F2"/>
    <w:rsid w:val="00A05820"/>
    <w:rsid w:val="00A05899"/>
    <w:rsid w:val="00A066D2"/>
    <w:rsid w:val="00A06FD4"/>
    <w:rsid w:val="00A0704B"/>
    <w:rsid w:val="00A0733D"/>
    <w:rsid w:val="00A07374"/>
    <w:rsid w:val="00A073E7"/>
    <w:rsid w:val="00A07D53"/>
    <w:rsid w:val="00A103E4"/>
    <w:rsid w:val="00A1066A"/>
    <w:rsid w:val="00A10BBC"/>
    <w:rsid w:val="00A1187C"/>
    <w:rsid w:val="00A11C6D"/>
    <w:rsid w:val="00A131E7"/>
    <w:rsid w:val="00A13353"/>
    <w:rsid w:val="00A13DAF"/>
    <w:rsid w:val="00A15620"/>
    <w:rsid w:val="00A156ED"/>
    <w:rsid w:val="00A15924"/>
    <w:rsid w:val="00A1595F"/>
    <w:rsid w:val="00A16417"/>
    <w:rsid w:val="00A1745C"/>
    <w:rsid w:val="00A17A5C"/>
    <w:rsid w:val="00A202BA"/>
    <w:rsid w:val="00A20A77"/>
    <w:rsid w:val="00A20BDA"/>
    <w:rsid w:val="00A210AB"/>
    <w:rsid w:val="00A21283"/>
    <w:rsid w:val="00A21814"/>
    <w:rsid w:val="00A22463"/>
    <w:rsid w:val="00A229FC"/>
    <w:rsid w:val="00A22EFA"/>
    <w:rsid w:val="00A2332F"/>
    <w:rsid w:val="00A25881"/>
    <w:rsid w:val="00A25BCF"/>
    <w:rsid w:val="00A309FB"/>
    <w:rsid w:val="00A31935"/>
    <w:rsid w:val="00A32525"/>
    <w:rsid w:val="00A3360E"/>
    <w:rsid w:val="00A33B85"/>
    <w:rsid w:val="00A34813"/>
    <w:rsid w:val="00A35B5C"/>
    <w:rsid w:val="00A35B78"/>
    <w:rsid w:val="00A363D0"/>
    <w:rsid w:val="00A3667F"/>
    <w:rsid w:val="00A369FA"/>
    <w:rsid w:val="00A36DCC"/>
    <w:rsid w:val="00A36EEE"/>
    <w:rsid w:val="00A3709E"/>
    <w:rsid w:val="00A3774E"/>
    <w:rsid w:val="00A401E9"/>
    <w:rsid w:val="00A402FB"/>
    <w:rsid w:val="00A421D1"/>
    <w:rsid w:val="00A4228E"/>
    <w:rsid w:val="00A42D85"/>
    <w:rsid w:val="00A42ED7"/>
    <w:rsid w:val="00A43259"/>
    <w:rsid w:val="00A44FE9"/>
    <w:rsid w:val="00A451A0"/>
    <w:rsid w:val="00A45770"/>
    <w:rsid w:val="00A45E99"/>
    <w:rsid w:val="00A4609E"/>
    <w:rsid w:val="00A463DD"/>
    <w:rsid w:val="00A46B7E"/>
    <w:rsid w:val="00A54EBF"/>
    <w:rsid w:val="00A55A9E"/>
    <w:rsid w:val="00A56CBF"/>
    <w:rsid w:val="00A57F7A"/>
    <w:rsid w:val="00A609EF"/>
    <w:rsid w:val="00A61865"/>
    <w:rsid w:val="00A6187B"/>
    <w:rsid w:val="00A63A2A"/>
    <w:rsid w:val="00A6472D"/>
    <w:rsid w:val="00A649A4"/>
    <w:rsid w:val="00A64C8A"/>
    <w:rsid w:val="00A660F3"/>
    <w:rsid w:val="00A66ADE"/>
    <w:rsid w:val="00A703E9"/>
    <w:rsid w:val="00A70639"/>
    <w:rsid w:val="00A708A7"/>
    <w:rsid w:val="00A7188D"/>
    <w:rsid w:val="00A741C2"/>
    <w:rsid w:val="00A74CBA"/>
    <w:rsid w:val="00A74F02"/>
    <w:rsid w:val="00A76BCB"/>
    <w:rsid w:val="00A77297"/>
    <w:rsid w:val="00A81682"/>
    <w:rsid w:val="00A817DE"/>
    <w:rsid w:val="00A817F0"/>
    <w:rsid w:val="00A81A95"/>
    <w:rsid w:val="00A81B49"/>
    <w:rsid w:val="00A82159"/>
    <w:rsid w:val="00A831F2"/>
    <w:rsid w:val="00A842DC"/>
    <w:rsid w:val="00A84728"/>
    <w:rsid w:val="00A84D19"/>
    <w:rsid w:val="00A86238"/>
    <w:rsid w:val="00A8629C"/>
    <w:rsid w:val="00A8709C"/>
    <w:rsid w:val="00A871AA"/>
    <w:rsid w:val="00A87884"/>
    <w:rsid w:val="00A87B4D"/>
    <w:rsid w:val="00A87E28"/>
    <w:rsid w:val="00A902BA"/>
    <w:rsid w:val="00A90E2B"/>
    <w:rsid w:val="00A92AFC"/>
    <w:rsid w:val="00A938E8"/>
    <w:rsid w:val="00A94174"/>
    <w:rsid w:val="00A94526"/>
    <w:rsid w:val="00A945CD"/>
    <w:rsid w:val="00A94F25"/>
    <w:rsid w:val="00A94F65"/>
    <w:rsid w:val="00A95181"/>
    <w:rsid w:val="00AA0B9B"/>
    <w:rsid w:val="00AA1179"/>
    <w:rsid w:val="00AA179C"/>
    <w:rsid w:val="00AA2A7B"/>
    <w:rsid w:val="00AA4292"/>
    <w:rsid w:val="00AA5898"/>
    <w:rsid w:val="00AA5E60"/>
    <w:rsid w:val="00AA654D"/>
    <w:rsid w:val="00AA6754"/>
    <w:rsid w:val="00AB00B0"/>
    <w:rsid w:val="00AB018E"/>
    <w:rsid w:val="00AB20D1"/>
    <w:rsid w:val="00AB3586"/>
    <w:rsid w:val="00AB4450"/>
    <w:rsid w:val="00AB4871"/>
    <w:rsid w:val="00AB543F"/>
    <w:rsid w:val="00AB5D88"/>
    <w:rsid w:val="00AB60EF"/>
    <w:rsid w:val="00AB6719"/>
    <w:rsid w:val="00AB6D9B"/>
    <w:rsid w:val="00AB7218"/>
    <w:rsid w:val="00AB76A1"/>
    <w:rsid w:val="00AB7786"/>
    <w:rsid w:val="00AB7A80"/>
    <w:rsid w:val="00AC03E6"/>
    <w:rsid w:val="00AC0610"/>
    <w:rsid w:val="00AC0D9D"/>
    <w:rsid w:val="00AC1453"/>
    <w:rsid w:val="00AC180F"/>
    <w:rsid w:val="00AC1C92"/>
    <w:rsid w:val="00AC275E"/>
    <w:rsid w:val="00AC40EF"/>
    <w:rsid w:val="00AC45EA"/>
    <w:rsid w:val="00AC4E1D"/>
    <w:rsid w:val="00AC738F"/>
    <w:rsid w:val="00AC7651"/>
    <w:rsid w:val="00AD042C"/>
    <w:rsid w:val="00AD0652"/>
    <w:rsid w:val="00AD104C"/>
    <w:rsid w:val="00AD14DD"/>
    <w:rsid w:val="00AD225B"/>
    <w:rsid w:val="00AD28B1"/>
    <w:rsid w:val="00AD3CA1"/>
    <w:rsid w:val="00AD3F1F"/>
    <w:rsid w:val="00AD3F5A"/>
    <w:rsid w:val="00AD4009"/>
    <w:rsid w:val="00AD5A9F"/>
    <w:rsid w:val="00AD68CC"/>
    <w:rsid w:val="00AD6BE5"/>
    <w:rsid w:val="00AD7F46"/>
    <w:rsid w:val="00AE0781"/>
    <w:rsid w:val="00AE084A"/>
    <w:rsid w:val="00AE0916"/>
    <w:rsid w:val="00AE09AB"/>
    <w:rsid w:val="00AE17A6"/>
    <w:rsid w:val="00AE24FE"/>
    <w:rsid w:val="00AE259F"/>
    <w:rsid w:val="00AE3D21"/>
    <w:rsid w:val="00AE43ED"/>
    <w:rsid w:val="00AE4A67"/>
    <w:rsid w:val="00AE4C2F"/>
    <w:rsid w:val="00AE5274"/>
    <w:rsid w:val="00AE529C"/>
    <w:rsid w:val="00AE562E"/>
    <w:rsid w:val="00AE5898"/>
    <w:rsid w:val="00AE5E1B"/>
    <w:rsid w:val="00AE6C8C"/>
    <w:rsid w:val="00AE7992"/>
    <w:rsid w:val="00AE7E0C"/>
    <w:rsid w:val="00AF076E"/>
    <w:rsid w:val="00AF0B00"/>
    <w:rsid w:val="00AF1207"/>
    <w:rsid w:val="00AF1936"/>
    <w:rsid w:val="00AF1B37"/>
    <w:rsid w:val="00AF2013"/>
    <w:rsid w:val="00AF3F1D"/>
    <w:rsid w:val="00AF435E"/>
    <w:rsid w:val="00AF4BF5"/>
    <w:rsid w:val="00AF5741"/>
    <w:rsid w:val="00AF5FD8"/>
    <w:rsid w:val="00AF6E8C"/>
    <w:rsid w:val="00AF7AD7"/>
    <w:rsid w:val="00B021F5"/>
    <w:rsid w:val="00B02717"/>
    <w:rsid w:val="00B0280B"/>
    <w:rsid w:val="00B02B3A"/>
    <w:rsid w:val="00B03427"/>
    <w:rsid w:val="00B03BEB"/>
    <w:rsid w:val="00B03D11"/>
    <w:rsid w:val="00B0467D"/>
    <w:rsid w:val="00B05490"/>
    <w:rsid w:val="00B05C2A"/>
    <w:rsid w:val="00B06547"/>
    <w:rsid w:val="00B06816"/>
    <w:rsid w:val="00B069F6"/>
    <w:rsid w:val="00B06C36"/>
    <w:rsid w:val="00B06CC5"/>
    <w:rsid w:val="00B071A9"/>
    <w:rsid w:val="00B07F39"/>
    <w:rsid w:val="00B106D1"/>
    <w:rsid w:val="00B107E0"/>
    <w:rsid w:val="00B1126F"/>
    <w:rsid w:val="00B118FB"/>
    <w:rsid w:val="00B11D99"/>
    <w:rsid w:val="00B12779"/>
    <w:rsid w:val="00B145F9"/>
    <w:rsid w:val="00B150B4"/>
    <w:rsid w:val="00B15F7B"/>
    <w:rsid w:val="00B16B15"/>
    <w:rsid w:val="00B17E0C"/>
    <w:rsid w:val="00B2183D"/>
    <w:rsid w:val="00B21F2D"/>
    <w:rsid w:val="00B222AA"/>
    <w:rsid w:val="00B22E37"/>
    <w:rsid w:val="00B24744"/>
    <w:rsid w:val="00B25182"/>
    <w:rsid w:val="00B2596D"/>
    <w:rsid w:val="00B25B82"/>
    <w:rsid w:val="00B25BAA"/>
    <w:rsid w:val="00B26748"/>
    <w:rsid w:val="00B279B2"/>
    <w:rsid w:val="00B30DCD"/>
    <w:rsid w:val="00B3312D"/>
    <w:rsid w:val="00B33C3A"/>
    <w:rsid w:val="00B340FA"/>
    <w:rsid w:val="00B348D2"/>
    <w:rsid w:val="00B34DEF"/>
    <w:rsid w:val="00B35041"/>
    <w:rsid w:val="00B35C80"/>
    <w:rsid w:val="00B36112"/>
    <w:rsid w:val="00B36472"/>
    <w:rsid w:val="00B36D15"/>
    <w:rsid w:val="00B37D25"/>
    <w:rsid w:val="00B40459"/>
    <w:rsid w:val="00B42F74"/>
    <w:rsid w:val="00B42FE5"/>
    <w:rsid w:val="00B4362D"/>
    <w:rsid w:val="00B4379A"/>
    <w:rsid w:val="00B4381D"/>
    <w:rsid w:val="00B43A23"/>
    <w:rsid w:val="00B43DA9"/>
    <w:rsid w:val="00B44253"/>
    <w:rsid w:val="00B447F6"/>
    <w:rsid w:val="00B44896"/>
    <w:rsid w:val="00B44993"/>
    <w:rsid w:val="00B45765"/>
    <w:rsid w:val="00B46680"/>
    <w:rsid w:val="00B46F62"/>
    <w:rsid w:val="00B47A56"/>
    <w:rsid w:val="00B51DA9"/>
    <w:rsid w:val="00B5205F"/>
    <w:rsid w:val="00B535A0"/>
    <w:rsid w:val="00B54171"/>
    <w:rsid w:val="00B5438F"/>
    <w:rsid w:val="00B54731"/>
    <w:rsid w:val="00B54A57"/>
    <w:rsid w:val="00B568D5"/>
    <w:rsid w:val="00B572C4"/>
    <w:rsid w:val="00B60D5A"/>
    <w:rsid w:val="00B6249F"/>
    <w:rsid w:val="00B64392"/>
    <w:rsid w:val="00B64919"/>
    <w:rsid w:val="00B64983"/>
    <w:rsid w:val="00B6548D"/>
    <w:rsid w:val="00B67594"/>
    <w:rsid w:val="00B67FD1"/>
    <w:rsid w:val="00B70595"/>
    <w:rsid w:val="00B70B4E"/>
    <w:rsid w:val="00B715B5"/>
    <w:rsid w:val="00B719DE"/>
    <w:rsid w:val="00B71D14"/>
    <w:rsid w:val="00B722FB"/>
    <w:rsid w:val="00B75232"/>
    <w:rsid w:val="00B763B4"/>
    <w:rsid w:val="00B803CC"/>
    <w:rsid w:val="00B80BE5"/>
    <w:rsid w:val="00B80C75"/>
    <w:rsid w:val="00B81F08"/>
    <w:rsid w:val="00B82589"/>
    <w:rsid w:val="00B85640"/>
    <w:rsid w:val="00B861BC"/>
    <w:rsid w:val="00B87C44"/>
    <w:rsid w:val="00B9084B"/>
    <w:rsid w:val="00B90AD3"/>
    <w:rsid w:val="00B90B23"/>
    <w:rsid w:val="00B90DA9"/>
    <w:rsid w:val="00B9107C"/>
    <w:rsid w:val="00B92F53"/>
    <w:rsid w:val="00B952AE"/>
    <w:rsid w:val="00B977D9"/>
    <w:rsid w:val="00BA0067"/>
    <w:rsid w:val="00BA0785"/>
    <w:rsid w:val="00BA0B99"/>
    <w:rsid w:val="00BA2194"/>
    <w:rsid w:val="00BA264E"/>
    <w:rsid w:val="00BA32B7"/>
    <w:rsid w:val="00BA36E5"/>
    <w:rsid w:val="00BA4472"/>
    <w:rsid w:val="00BA4799"/>
    <w:rsid w:val="00BA4DD3"/>
    <w:rsid w:val="00BA5013"/>
    <w:rsid w:val="00BA6AA1"/>
    <w:rsid w:val="00BA7936"/>
    <w:rsid w:val="00BB0A04"/>
    <w:rsid w:val="00BB18DE"/>
    <w:rsid w:val="00BB1E42"/>
    <w:rsid w:val="00BB237B"/>
    <w:rsid w:val="00BB2B5F"/>
    <w:rsid w:val="00BB2C74"/>
    <w:rsid w:val="00BB2DF5"/>
    <w:rsid w:val="00BB39CC"/>
    <w:rsid w:val="00BB3B7C"/>
    <w:rsid w:val="00BB4569"/>
    <w:rsid w:val="00BB6451"/>
    <w:rsid w:val="00BB6EB0"/>
    <w:rsid w:val="00BB71C2"/>
    <w:rsid w:val="00BB7335"/>
    <w:rsid w:val="00BB73E9"/>
    <w:rsid w:val="00BB7823"/>
    <w:rsid w:val="00BC03EC"/>
    <w:rsid w:val="00BC0ED6"/>
    <w:rsid w:val="00BC232E"/>
    <w:rsid w:val="00BC2B7B"/>
    <w:rsid w:val="00BC3E80"/>
    <w:rsid w:val="00BC5816"/>
    <w:rsid w:val="00BC5938"/>
    <w:rsid w:val="00BC5B67"/>
    <w:rsid w:val="00BC7AA3"/>
    <w:rsid w:val="00BD0C09"/>
    <w:rsid w:val="00BD0D6D"/>
    <w:rsid w:val="00BD121D"/>
    <w:rsid w:val="00BD195F"/>
    <w:rsid w:val="00BD2972"/>
    <w:rsid w:val="00BD3E1F"/>
    <w:rsid w:val="00BD3E4E"/>
    <w:rsid w:val="00BD5382"/>
    <w:rsid w:val="00BD55F1"/>
    <w:rsid w:val="00BD7D27"/>
    <w:rsid w:val="00BE0643"/>
    <w:rsid w:val="00BE0CB7"/>
    <w:rsid w:val="00BE1302"/>
    <w:rsid w:val="00BE1CB9"/>
    <w:rsid w:val="00BE1F85"/>
    <w:rsid w:val="00BE26E1"/>
    <w:rsid w:val="00BE2833"/>
    <w:rsid w:val="00BE2EC2"/>
    <w:rsid w:val="00BE4FCF"/>
    <w:rsid w:val="00BE59F1"/>
    <w:rsid w:val="00BE5ABE"/>
    <w:rsid w:val="00BE6175"/>
    <w:rsid w:val="00BE6DEB"/>
    <w:rsid w:val="00BF0760"/>
    <w:rsid w:val="00BF0B2D"/>
    <w:rsid w:val="00BF1BE5"/>
    <w:rsid w:val="00BF3073"/>
    <w:rsid w:val="00BF3BCC"/>
    <w:rsid w:val="00BF5124"/>
    <w:rsid w:val="00BF63B0"/>
    <w:rsid w:val="00BF783B"/>
    <w:rsid w:val="00C006B8"/>
    <w:rsid w:val="00C006CF"/>
    <w:rsid w:val="00C00AD0"/>
    <w:rsid w:val="00C0143A"/>
    <w:rsid w:val="00C01CBC"/>
    <w:rsid w:val="00C032E8"/>
    <w:rsid w:val="00C04C1C"/>
    <w:rsid w:val="00C0531F"/>
    <w:rsid w:val="00C0675B"/>
    <w:rsid w:val="00C0689A"/>
    <w:rsid w:val="00C06F08"/>
    <w:rsid w:val="00C07A60"/>
    <w:rsid w:val="00C07B8B"/>
    <w:rsid w:val="00C1206B"/>
    <w:rsid w:val="00C1230B"/>
    <w:rsid w:val="00C12A93"/>
    <w:rsid w:val="00C12B1C"/>
    <w:rsid w:val="00C1353A"/>
    <w:rsid w:val="00C13F9A"/>
    <w:rsid w:val="00C14319"/>
    <w:rsid w:val="00C153ED"/>
    <w:rsid w:val="00C15571"/>
    <w:rsid w:val="00C15BED"/>
    <w:rsid w:val="00C16DF6"/>
    <w:rsid w:val="00C20018"/>
    <w:rsid w:val="00C2055A"/>
    <w:rsid w:val="00C21A39"/>
    <w:rsid w:val="00C224D4"/>
    <w:rsid w:val="00C224E7"/>
    <w:rsid w:val="00C22500"/>
    <w:rsid w:val="00C23EDA"/>
    <w:rsid w:val="00C241BD"/>
    <w:rsid w:val="00C24900"/>
    <w:rsid w:val="00C2498D"/>
    <w:rsid w:val="00C25636"/>
    <w:rsid w:val="00C26A95"/>
    <w:rsid w:val="00C302EA"/>
    <w:rsid w:val="00C3089D"/>
    <w:rsid w:val="00C31301"/>
    <w:rsid w:val="00C324E7"/>
    <w:rsid w:val="00C32DA3"/>
    <w:rsid w:val="00C338B8"/>
    <w:rsid w:val="00C33DC8"/>
    <w:rsid w:val="00C345B0"/>
    <w:rsid w:val="00C3552C"/>
    <w:rsid w:val="00C37983"/>
    <w:rsid w:val="00C37AEB"/>
    <w:rsid w:val="00C37BF7"/>
    <w:rsid w:val="00C42915"/>
    <w:rsid w:val="00C43EAA"/>
    <w:rsid w:val="00C46156"/>
    <w:rsid w:val="00C4747D"/>
    <w:rsid w:val="00C51AE8"/>
    <w:rsid w:val="00C5256F"/>
    <w:rsid w:val="00C52A58"/>
    <w:rsid w:val="00C52B25"/>
    <w:rsid w:val="00C531A8"/>
    <w:rsid w:val="00C53A78"/>
    <w:rsid w:val="00C53AB2"/>
    <w:rsid w:val="00C554E9"/>
    <w:rsid w:val="00C57C61"/>
    <w:rsid w:val="00C61F87"/>
    <w:rsid w:val="00C625A5"/>
    <w:rsid w:val="00C63A73"/>
    <w:rsid w:val="00C645DC"/>
    <w:rsid w:val="00C65384"/>
    <w:rsid w:val="00C65D80"/>
    <w:rsid w:val="00C66858"/>
    <w:rsid w:val="00C679C1"/>
    <w:rsid w:val="00C67BF2"/>
    <w:rsid w:val="00C71230"/>
    <w:rsid w:val="00C71A77"/>
    <w:rsid w:val="00C71F2E"/>
    <w:rsid w:val="00C723A0"/>
    <w:rsid w:val="00C72440"/>
    <w:rsid w:val="00C72974"/>
    <w:rsid w:val="00C7308C"/>
    <w:rsid w:val="00C73785"/>
    <w:rsid w:val="00C7489C"/>
    <w:rsid w:val="00C750B4"/>
    <w:rsid w:val="00C759FB"/>
    <w:rsid w:val="00C75AA1"/>
    <w:rsid w:val="00C76C63"/>
    <w:rsid w:val="00C77695"/>
    <w:rsid w:val="00C80A49"/>
    <w:rsid w:val="00C80BB8"/>
    <w:rsid w:val="00C8106B"/>
    <w:rsid w:val="00C810DE"/>
    <w:rsid w:val="00C814D7"/>
    <w:rsid w:val="00C818F6"/>
    <w:rsid w:val="00C81AED"/>
    <w:rsid w:val="00C8205B"/>
    <w:rsid w:val="00C82078"/>
    <w:rsid w:val="00C827FF"/>
    <w:rsid w:val="00C82D97"/>
    <w:rsid w:val="00C83924"/>
    <w:rsid w:val="00C83CF9"/>
    <w:rsid w:val="00C83EEB"/>
    <w:rsid w:val="00C840F4"/>
    <w:rsid w:val="00C848E8"/>
    <w:rsid w:val="00C84934"/>
    <w:rsid w:val="00C84BF4"/>
    <w:rsid w:val="00C85C50"/>
    <w:rsid w:val="00C8794F"/>
    <w:rsid w:val="00C900BF"/>
    <w:rsid w:val="00C90905"/>
    <w:rsid w:val="00C90FE8"/>
    <w:rsid w:val="00C9151F"/>
    <w:rsid w:val="00C91919"/>
    <w:rsid w:val="00C926B5"/>
    <w:rsid w:val="00C92A80"/>
    <w:rsid w:val="00C92D82"/>
    <w:rsid w:val="00C93477"/>
    <w:rsid w:val="00C93C95"/>
    <w:rsid w:val="00C94675"/>
    <w:rsid w:val="00C94FD1"/>
    <w:rsid w:val="00C95AD1"/>
    <w:rsid w:val="00C95C60"/>
    <w:rsid w:val="00C965CF"/>
    <w:rsid w:val="00C97385"/>
    <w:rsid w:val="00C977E7"/>
    <w:rsid w:val="00C97B48"/>
    <w:rsid w:val="00C97C21"/>
    <w:rsid w:val="00CA12C6"/>
    <w:rsid w:val="00CA1E1A"/>
    <w:rsid w:val="00CA2A10"/>
    <w:rsid w:val="00CA3346"/>
    <w:rsid w:val="00CA3800"/>
    <w:rsid w:val="00CA3F6E"/>
    <w:rsid w:val="00CA4D7C"/>
    <w:rsid w:val="00CA5C5A"/>
    <w:rsid w:val="00CA6277"/>
    <w:rsid w:val="00CA65CB"/>
    <w:rsid w:val="00CA6778"/>
    <w:rsid w:val="00CA6EC1"/>
    <w:rsid w:val="00CA7DE6"/>
    <w:rsid w:val="00CB0DC9"/>
    <w:rsid w:val="00CB17A7"/>
    <w:rsid w:val="00CB1FE1"/>
    <w:rsid w:val="00CB3C39"/>
    <w:rsid w:val="00CB51FF"/>
    <w:rsid w:val="00CB5446"/>
    <w:rsid w:val="00CB61D1"/>
    <w:rsid w:val="00CB79F5"/>
    <w:rsid w:val="00CB7E0B"/>
    <w:rsid w:val="00CC04FC"/>
    <w:rsid w:val="00CC2499"/>
    <w:rsid w:val="00CC2A2C"/>
    <w:rsid w:val="00CC3333"/>
    <w:rsid w:val="00CC35B4"/>
    <w:rsid w:val="00CC3992"/>
    <w:rsid w:val="00CC3FBB"/>
    <w:rsid w:val="00CC405A"/>
    <w:rsid w:val="00CC4749"/>
    <w:rsid w:val="00CC4FA9"/>
    <w:rsid w:val="00CC5529"/>
    <w:rsid w:val="00CC625E"/>
    <w:rsid w:val="00CC648E"/>
    <w:rsid w:val="00CC64ED"/>
    <w:rsid w:val="00CD0ADD"/>
    <w:rsid w:val="00CD1872"/>
    <w:rsid w:val="00CD1AEB"/>
    <w:rsid w:val="00CD2323"/>
    <w:rsid w:val="00CD2AD4"/>
    <w:rsid w:val="00CD3B32"/>
    <w:rsid w:val="00CD4961"/>
    <w:rsid w:val="00CD4F52"/>
    <w:rsid w:val="00CD4FB7"/>
    <w:rsid w:val="00CD5E08"/>
    <w:rsid w:val="00CD60B0"/>
    <w:rsid w:val="00CE0A75"/>
    <w:rsid w:val="00CE0B23"/>
    <w:rsid w:val="00CE1599"/>
    <w:rsid w:val="00CE32CE"/>
    <w:rsid w:val="00CE3F69"/>
    <w:rsid w:val="00CE451E"/>
    <w:rsid w:val="00CE453C"/>
    <w:rsid w:val="00CE5FE9"/>
    <w:rsid w:val="00CE64B8"/>
    <w:rsid w:val="00CE786C"/>
    <w:rsid w:val="00CF0910"/>
    <w:rsid w:val="00CF0A4F"/>
    <w:rsid w:val="00CF0CDB"/>
    <w:rsid w:val="00CF0E42"/>
    <w:rsid w:val="00CF1D6F"/>
    <w:rsid w:val="00CF1F70"/>
    <w:rsid w:val="00CF264D"/>
    <w:rsid w:val="00CF2A50"/>
    <w:rsid w:val="00CF3522"/>
    <w:rsid w:val="00CF3EF8"/>
    <w:rsid w:val="00CF4436"/>
    <w:rsid w:val="00CF4B6F"/>
    <w:rsid w:val="00CF4D40"/>
    <w:rsid w:val="00CF4E27"/>
    <w:rsid w:val="00CF746B"/>
    <w:rsid w:val="00D00CF1"/>
    <w:rsid w:val="00D014C9"/>
    <w:rsid w:val="00D022DB"/>
    <w:rsid w:val="00D02842"/>
    <w:rsid w:val="00D03CE3"/>
    <w:rsid w:val="00D03DCF"/>
    <w:rsid w:val="00D046AC"/>
    <w:rsid w:val="00D0490B"/>
    <w:rsid w:val="00D05D73"/>
    <w:rsid w:val="00D05E24"/>
    <w:rsid w:val="00D06DFC"/>
    <w:rsid w:val="00D07B68"/>
    <w:rsid w:val="00D10582"/>
    <w:rsid w:val="00D10C55"/>
    <w:rsid w:val="00D1245D"/>
    <w:rsid w:val="00D1258D"/>
    <w:rsid w:val="00D1406D"/>
    <w:rsid w:val="00D147D2"/>
    <w:rsid w:val="00D20441"/>
    <w:rsid w:val="00D210B5"/>
    <w:rsid w:val="00D232AC"/>
    <w:rsid w:val="00D236CB"/>
    <w:rsid w:val="00D23F45"/>
    <w:rsid w:val="00D250C5"/>
    <w:rsid w:val="00D26899"/>
    <w:rsid w:val="00D27C4C"/>
    <w:rsid w:val="00D3011C"/>
    <w:rsid w:val="00D31393"/>
    <w:rsid w:val="00D31FBF"/>
    <w:rsid w:val="00D323D3"/>
    <w:rsid w:val="00D32958"/>
    <w:rsid w:val="00D329A8"/>
    <w:rsid w:val="00D32A28"/>
    <w:rsid w:val="00D32EB8"/>
    <w:rsid w:val="00D3388D"/>
    <w:rsid w:val="00D3500E"/>
    <w:rsid w:val="00D35CDF"/>
    <w:rsid w:val="00D35D9C"/>
    <w:rsid w:val="00D365F7"/>
    <w:rsid w:val="00D366FA"/>
    <w:rsid w:val="00D37550"/>
    <w:rsid w:val="00D377E6"/>
    <w:rsid w:val="00D42E8D"/>
    <w:rsid w:val="00D42FD8"/>
    <w:rsid w:val="00D43440"/>
    <w:rsid w:val="00D437A2"/>
    <w:rsid w:val="00D45050"/>
    <w:rsid w:val="00D4505E"/>
    <w:rsid w:val="00D45DCA"/>
    <w:rsid w:val="00D4673E"/>
    <w:rsid w:val="00D46B06"/>
    <w:rsid w:val="00D51844"/>
    <w:rsid w:val="00D51EF8"/>
    <w:rsid w:val="00D520DD"/>
    <w:rsid w:val="00D52349"/>
    <w:rsid w:val="00D533E2"/>
    <w:rsid w:val="00D5342C"/>
    <w:rsid w:val="00D53FF1"/>
    <w:rsid w:val="00D54D92"/>
    <w:rsid w:val="00D55097"/>
    <w:rsid w:val="00D55490"/>
    <w:rsid w:val="00D55677"/>
    <w:rsid w:val="00D60308"/>
    <w:rsid w:val="00D61302"/>
    <w:rsid w:val="00D62298"/>
    <w:rsid w:val="00D631EE"/>
    <w:rsid w:val="00D6407D"/>
    <w:rsid w:val="00D641AA"/>
    <w:rsid w:val="00D6496F"/>
    <w:rsid w:val="00D66060"/>
    <w:rsid w:val="00D660F2"/>
    <w:rsid w:val="00D67E14"/>
    <w:rsid w:val="00D70177"/>
    <w:rsid w:val="00D71288"/>
    <w:rsid w:val="00D717F8"/>
    <w:rsid w:val="00D71F4D"/>
    <w:rsid w:val="00D72E71"/>
    <w:rsid w:val="00D7430B"/>
    <w:rsid w:val="00D745E3"/>
    <w:rsid w:val="00D752F6"/>
    <w:rsid w:val="00D76E90"/>
    <w:rsid w:val="00D77046"/>
    <w:rsid w:val="00D7798B"/>
    <w:rsid w:val="00D77D1B"/>
    <w:rsid w:val="00D77DED"/>
    <w:rsid w:val="00D80B13"/>
    <w:rsid w:val="00D80C2E"/>
    <w:rsid w:val="00D81CAC"/>
    <w:rsid w:val="00D81D39"/>
    <w:rsid w:val="00D840F0"/>
    <w:rsid w:val="00D84B6E"/>
    <w:rsid w:val="00D851DE"/>
    <w:rsid w:val="00D85687"/>
    <w:rsid w:val="00D85F9A"/>
    <w:rsid w:val="00D86401"/>
    <w:rsid w:val="00D875A6"/>
    <w:rsid w:val="00D87A67"/>
    <w:rsid w:val="00D90309"/>
    <w:rsid w:val="00D91639"/>
    <w:rsid w:val="00D938C2"/>
    <w:rsid w:val="00D93D85"/>
    <w:rsid w:val="00D9556C"/>
    <w:rsid w:val="00D96BE6"/>
    <w:rsid w:val="00D96D9B"/>
    <w:rsid w:val="00D97D80"/>
    <w:rsid w:val="00DA1933"/>
    <w:rsid w:val="00DA3066"/>
    <w:rsid w:val="00DA37C6"/>
    <w:rsid w:val="00DA3E05"/>
    <w:rsid w:val="00DA3ED3"/>
    <w:rsid w:val="00DA3F6B"/>
    <w:rsid w:val="00DA4641"/>
    <w:rsid w:val="00DA4A68"/>
    <w:rsid w:val="00DA6B1E"/>
    <w:rsid w:val="00DA701C"/>
    <w:rsid w:val="00DB1548"/>
    <w:rsid w:val="00DB1646"/>
    <w:rsid w:val="00DB1F3B"/>
    <w:rsid w:val="00DB2D58"/>
    <w:rsid w:val="00DB4553"/>
    <w:rsid w:val="00DB4EC8"/>
    <w:rsid w:val="00DB513D"/>
    <w:rsid w:val="00DB530A"/>
    <w:rsid w:val="00DB54AF"/>
    <w:rsid w:val="00DB6DEA"/>
    <w:rsid w:val="00DB71C4"/>
    <w:rsid w:val="00DB77D0"/>
    <w:rsid w:val="00DC0065"/>
    <w:rsid w:val="00DC0221"/>
    <w:rsid w:val="00DC044C"/>
    <w:rsid w:val="00DC06D6"/>
    <w:rsid w:val="00DC1B71"/>
    <w:rsid w:val="00DC2060"/>
    <w:rsid w:val="00DC23DE"/>
    <w:rsid w:val="00DC2B5D"/>
    <w:rsid w:val="00DC35F5"/>
    <w:rsid w:val="00DC39B8"/>
    <w:rsid w:val="00DC3ABF"/>
    <w:rsid w:val="00DC3DF3"/>
    <w:rsid w:val="00DC474D"/>
    <w:rsid w:val="00DC5849"/>
    <w:rsid w:val="00DC59CB"/>
    <w:rsid w:val="00DC6588"/>
    <w:rsid w:val="00DD0086"/>
    <w:rsid w:val="00DD0A07"/>
    <w:rsid w:val="00DD0F66"/>
    <w:rsid w:val="00DD1099"/>
    <w:rsid w:val="00DD23B4"/>
    <w:rsid w:val="00DD2B18"/>
    <w:rsid w:val="00DD3290"/>
    <w:rsid w:val="00DD3A7E"/>
    <w:rsid w:val="00DD4139"/>
    <w:rsid w:val="00DD47C3"/>
    <w:rsid w:val="00DD4E80"/>
    <w:rsid w:val="00DD51BD"/>
    <w:rsid w:val="00DE014C"/>
    <w:rsid w:val="00DE28E1"/>
    <w:rsid w:val="00DE35D7"/>
    <w:rsid w:val="00DE3DAC"/>
    <w:rsid w:val="00DE568D"/>
    <w:rsid w:val="00DE65C1"/>
    <w:rsid w:val="00DE6C11"/>
    <w:rsid w:val="00DE73D5"/>
    <w:rsid w:val="00DE7447"/>
    <w:rsid w:val="00DF0565"/>
    <w:rsid w:val="00DF0B6B"/>
    <w:rsid w:val="00DF0E8B"/>
    <w:rsid w:val="00DF110C"/>
    <w:rsid w:val="00DF1453"/>
    <w:rsid w:val="00DF1A67"/>
    <w:rsid w:val="00DF217F"/>
    <w:rsid w:val="00DF33F8"/>
    <w:rsid w:val="00DF382D"/>
    <w:rsid w:val="00DF3D22"/>
    <w:rsid w:val="00DF419E"/>
    <w:rsid w:val="00DF4EA3"/>
    <w:rsid w:val="00DF5B94"/>
    <w:rsid w:val="00DF6924"/>
    <w:rsid w:val="00DF74CC"/>
    <w:rsid w:val="00DF799C"/>
    <w:rsid w:val="00DF7A71"/>
    <w:rsid w:val="00DF7E83"/>
    <w:rsid w:val="00E002A4"/>
    <w:rsid w:val="00E0071F"/>
    <w:rsid w:val="00E00CBF"/>
    <w:rsid w:val="00E013C1"/>
    <w:rsid w:val="00E01F44"/>
    <w:rsid w:val="00E02649"/>
    <w:rsid w:val="00E02B9E"/>
    <w:rsid w:val="00E03212"/>
    <w:rsid w:val="00E035B7"/>
    <w:rsid w:val="00E03A3F"/>
    <w:rsid w:val="00E03CB1"/>
    <w:rsid w:val="00E03D28"/>
    <w:rsid w:val="00E058AF"/>
    <w:rsid w:val="00E05934"/>
    <w:rsid w:val="00E062D9"/>
    <w:rsid w:val="00E0658F"/>
    <w:rsid w:val="00E06EEF"/>
    <w:rsid w:val="00E07215"/>
    <w:rsid w:val="00E07980"/>
    <w:rsid w:val="00E10499"/>
    <w:rsid w:val="00E1060B"/>
    <w:rsid w:val="00E124FF"/>
    <w:rsid w:val="00E13FF3"/>
    <w:rsid w:val="00E14809"/>
    <w:rsid w:val="00E1515A"/>
    <w:rsid w:val="00E15258"/>
    <w:rsid w:val="00E15326"/>
    <w:rsid w:val="00E15B75"/>
    <w:rsid w:val="00E16775"/>
    <w:rsid w:val="00E16B4B"/>
    <w:rsid w:val="00E16F1F"/>
    <w:rsid w:val="00E1726C"/>
    <w:rsid w:val="00E17875"/>
    <w:rsid w:val="00E21400"/>
    <w:rsid w:val="00E214A4"/>
    <w:rsid w:val="00E215A3"/>
    <w:rsid w:val="00E2173D"/>
    <w:rsid w:val="00E219CF"/>
    <w:rsid w:val="00E22474"/>
    <w:rsid w:val="00E231A1"/>
    <w:rsid w:val="00E241F2"/>
    <w:rsid w:val="00E25B21"/>
    <w:rsid w:val="00E25EE2"/>
    <w:rsid w:val="00E26103"/>
    <w:rsid w:val="00E26E69"/>
    <w:rsid w:val="00E26FB5"/>
    <w:rsid w:val="00E2759B"/>
    <w:rsid w:val="00E27ADB"/>
    <w:rsid w:val="00E27C52"/>
    <w:rsid w:val="00E307D4"/>
    <w:rsid w:val="00E320FB"/>
    <w:rsid w:val="00E32F60"/>
    <w:rsid w:val="00E34257"/>
    <w:rsid w:val="00E3527E"/>
    <w:rsid w:val="00E361C1"/>
    <w:rsid w:val="00E37548"/>
    <w:rsid w:val="00E401AC"/>
    <w:rsid w:val="00E40695"/>
    <w:rsid w:val="00E407FA"/>
    <w:rsid w:val="00E40B38"/>
    <w:rsid w:val="00E417DC"/>
    <w:rsid w:val="00E42084"/>
    <w:rsid w:val="00E4267F"/>
    <w:rsid w:val="00E447C2"/>
    <w:rsid w:val="00E4518C"/>
    <w:rsid w:val="00E452DD"/>
    <w:rsid w:val="00E47C8D"/>
    <w:rsid w:val="00E47DC8"/>
    <w:rsid w:val="00E51580"/>
    <w:rsid w:val="00E522F7"/>
    <w:rsid w:val="00E52410"/>
    <w:rsid w:val="00E52B40"/>
    <w:rsid w:val="00E52FB3"/>
    <w:rsid w:val="00E53494"/>
    <w:rsid w:val="00E540D8"/>
    <w:rsid w:val="00E5449A"/>
    <w:rsid w:val="00E55AEB"/>
    <w:rsid w:val="00E57967"/>
    <w:rsid w:val="00E602FA"/>
    <w:rsid w:val="00E616F5"/>
    <w:rsid w:val="00E62254"/>
    <w:rsid w:val="00E6267A"/>
    <w:rsid w:val="00E6449D"/>
    <w:rsid w:val="00E64900"/>
    <w:rsid w:val="00E64E10"/>
    <w:rsid w:val="00E64ECA"/>
    <w:rsid w:val="00E651D7"/>
    <w:rsid w:val="00E669B6"/>
    <w:rsid w:val="00E67B51"/>
    <w:rsid w:val="00E70261"/>
    <w:rsid w:val="00E709C2"/>
    <w:rsid w:val="00E71EAA"/>
    <w:rsid w:val="00E72685"/>
    <w:rsid w:val="00E729DE"/>
    <w:rsid w:val="00E7365B"/>
    <w:rsid w:val="00E738D3"/>
    <w:rsid w:val="00E738EF"/>
    <w:rsid w:val="00E73D1E"/>
    <w:rsid w:val="00E7452A"/>
    <w:rsid w:val="00E74EAD"/>
    <w:rsid w:val="00E75069"/>
    <w:rsid w:val="00E7672C"/>
    <w:rsid w:val="00E768B3"/>
    <w:rsid w:val="00E76E8C"/>
    <w:rsid w:val="00E76F88"/>
    <w:rsid w:val="00E7757A"/>
    <w:rsid w:val="00E77A96"/>
    <w:rsid w:val="00E805D8"/>
    <w:rsid w:val="00E82599"/>
    <w:rsid w:val="00E83B4A"/>
    <w:rsid w:val="00E840F0"/>
    <w:rsid w:val="00E84125"/>
    <w:rsid w:val="00E861CD"/>
    <w:rsid w:val="00E86366"/>
    <w:rsid w:val="00E90CC6"/>
    <w:rsid w:val="00E91E84"/>
    <w:rsid w:val="00E91EC6"/>
    <w:rsid w:val="00E926FE"/>
    <w:rsid w:val="00E92F07"/>
    <w:rsid w:val="00E93669"/>
    <w:rsid w:val="00E9419D"/>
    <w:rsid w:val="00E950D9"/>
    <w:rsid w:val="00E95E63"/>
    <w:rsid w:val="00E95ED3"/>
    <w:rsid w:val="00E960AC"/>
    <w:rsid w:val="00E9634D"/>
    <w:rsid w:val="00E96647"/>
    <w:rsid w:val="00E96910"/>
    <w:rsid w:val="00E96E84"/>
    <w:rsid w:val="00E97371"/>
    <w:rsid w:val="00E97A30"/>
    <w:rsid w:val="00EA19C2"/>
    <w:rsid w:val="00EA214B"/>
    <w:rsid w:val="00EA22BC"/>
    <w:rsid w:val="00EA2CBC"/>
    <w:rsid w:val="00EA2F85"/>
    <w:rsid w:val="00EA3635"/>
    <w:rsid w:val="00EA3F4B"/>
    <w:rsid w:val="00EA6CA8"/>
    <w:rsid w:val="00EA6DBB"/>
    <w:rsid w:val="00EA73AA"/>
    <w:rsid w:val="00EA749A"/>
    <w:rsid w:val="00EA7887"/>
    <w:rsid w:val="00EA7973"/>
    <w:rsid w:val="00EB06A8"/>
    <w:rsid w:val="00EB0913"/>
    <w:rsid w:val="00EB2BA7"/>
    <w:rsid w:val="00EB30A8"/>
    <w:rsid w:val="00EB41D9"/>
    <w:rsid w:val="00EB504B"/>
    <w:rsid w:val="00EB5C32"/>
    <w:rsid w:val="00EB5CD6"/>
    <w:rsid w:val="00EB617D"/>
    <w:rsid w:val="00EB79FE"/>
    <w:rsid w:val="00EC2594"/>
    <w:rsid w:val="00EC2CF1"/>
    <w:rsid w:val="00EC329C"/>
    <w:rsid w:val="00EC411C"/>
    <w:rsid w:val="00EC457A"/>
    <w:rsid w:val="00EC46F4"/>
    <w:rsid w:val="00EC4B16"/>
    <w:rsid w:val="00EC5814"/>
    <w:rsid w:val="00EC69AB"/>
    <w:rsid w:val="00ED1098"/>
    <w:rsid w:val="00ED19FB"/>
    <w:rsid w:val="00ED3455"/>
    <w:rsid w:val="00ED3D93"/>
    <w:rsid w:val="00ED4DD6"/>
    <w:rsid w:val="00ED5CF7"/>
    <w:rsid w:val="00ED6CA8"/>
    <w:rsid w:val="00ED6DA9"/>
    <w:rsid w:val="00ED7171"/>
    <w:rsid w:val="00ED7296"/>
    <w:rsid w:val="00ED79FB"/>
    <w:rsid w:val="00ED7F5E"/>
    <w:rsid w:val="00EE11FD"/>
    <w:rsid w:val="00EE134F"/>
    <w:rsid w:val="00EE182F"/>
    <w:rsid w:val="00EE24BB"/>
    <w:rsid w:val="00EE2BAF"/>
    <w:rsid w:val="00EE2ECB"/>
    <w:rsid w:val="00EE38F4"/>
    <w:rsid w:val="00EE3AF3"/>
    <w:rsid w:val="00EE470B"/>
    <w:rsid w:val="00EE4EBD"/>
    <w:rsid w:val="00EE4FCF"/>
    <w:rsid w:val="00EE69A0"/>
    <w:rsid w:val="00EE7222"/>
    <w:rsid w:val="00EE7D3E"/>
    <w:rsid w:val="00EF0BB6"/>
    <w:rsid w:val="00EF17C9"/>
    <w:rsid w:val="00EF17FD"/>
    <w:rsid w:val="00EF1AD9"/>
    <w:rsid w:val="00EF264A"/>
    <w:rsid w:val="00EF32FF"/>
    <w:rsid w:val="00EF6573"/>
    <w:rsid w:val="00EF67B8"/>
    <w:rsid w:val="00EF6836"/>
    <w:rsid w:val="00F000AA"/>
    <w:rsid w:val="00F00687"/>
    <w:rsid w:val="00F01384"/>
    <w:rsid w:val="00F01CA9"/>
    <w:rsid w:val="00F0226B"/>
    <w:rsid w:val="00F02F34"/>
    <w:rsid w:val="00F0360E"/>
    <w:rsid w:val="00F03AAD"/>
    <w:rsid w:val="00F03EC2"/>
    <w:rsid w:val="00F04093"/>
    <w:rsid w:val="00F0489A"/>
    <w:rsid w:val="00F050FA"/>
    <w:rsid w:val="00F064DC"/>
    <w:rsid w:val="00F067D2"/>
    <w:rsid w:val="00F06877"/>
    <w:rsid w:val="00F07F66"/>
    <w:rsid w:val="00F10EF4"/>
    <w:rsid w:val="00F12AD4"/>
    <w:rsid w:val="00F12B27"/>
    <w:rsid w:val="00F1450C"/>
    <w:rsid w:val="00F148AC"/>
    <w:rsid w:val="00F14B16"/>
    <w:rsid w:val="00F16109"/>
    <w:rsid w:val="00F161D9"/>
    <w:rsid w:val="00F16269"/>
    <w:rsid w:val="00F17527"/>
    <w:rsid w:val="00F177CD"/>
    <w:rsid w:val="00F17AA9"/>
    <w:rsid w:val="00F20276"/>
    <w:rsid w:val="00F20D84"/>
    <w:rsid w:val="00F219FA"/>
    <w:rsid w:val="00F21D10"/>
    <w:rsid w:val="00F22540"/>
    <w:rsid w:val="00F22795"/>
    <w:rsid w:val="00F22CD6"/>
    <w:rsid w:val="00F24499"/>
    <w:rsid w:val="00F24B9A"/>
    <w:rsid w:val="00F26910"/>
    <w:rsid w:val="00F30B32"/>
    <w:rsid w:val="00F31468"/>
    <w:rsid w:val="00F3251C"/>
    <w:rsid w:val="00F34356"/>
    <w:rsid w:val="00F34690"/>
    <w:rsid w:val="00F3472A"/>
    <w:rsid w:val="00F36D60"/>
    <w:rsid w:val="00F40170"/>
    <w:rsid w:val="00F411FF"/>
    <w:rsid w:val="00F4195E"/>
    <w:rsid w:val="00F4231A"/>
    <w:rsid w:val="00F42DBE"/>
    <w:rsid w:val="00F4366B"/>
    <w:rsid w:val="00F4370C"/>
    <w:rsid w:val="00F43A74"/>
    <w:rsid w:val="00F43C50"/>
    <w:rsid w:val="00F440C5"/>
    <w:rsid w:val="00F44E8D"/>
    <w:rsid w:val="00F46671"/>
    <w:rsid w:val="00F466AB"/>
    <w:rsid w:val="00F46D4A"/>
    <w:rsid w:val="00F47335"/>
    <w:rsid w:val="00F474EA"/>
    <w:rsid w:val="00F4775B"/>
    <w:rsid w:val="00F47B65"/>
    <w:rsid w:val="00F5045A"/>
    <w:rsid w:val="00F505A2"/>
    <w:rsid w:val="00F506F5"/>
    <w:rsid w:val="00F51341"/>
    <w:rsid w:val="00F51373"/>
    <w:rsid w:val="00F5175D"/>
    <w:rsid w:val="00F5248E"/>
    <w:rsid w:val="00F52EFE"/>
    <w:rsid w:val="00F53909"/>
    <w:rsid w:val="00F5476F"/>
    <w:rsid w:val="00F578A7"/>
    <w:rsid w:val="00F57FA3"/>
    <w:rsid w:val="00F601E5"/>
    <w:rsid w:val="00F60322"/>
    <w:rsid w:val="00F60E6A"/>
    <w:rsid w:val="00F6110C"/>
    <w:rsid w:val="00F619BC"/>
    <w:rsid w:val="00F63233"/>
    <w:rsid w:val="00F63576"/>
    <w:rsid w:val="00F63D57"/>
    <w:rsid w:val="00F64FFD"/>
    <w:rsid w:val="00F65558"/>
    <w:rsid w:val="00F65A08"/>
    <w:rsid w:val="00F67D4D"/>
    <w:rsid w:val="00F724C1"/>
    <w:rsid w:val="00F7264A"/>
    <w:rsid w:val="00F72660"/>
    <w:rsid w:val="00F72ADC"/>
    <w:rsid w:val="00F74002"/>
    <w:rsid w:val="00F760F9"/>
    <w:rsid w:val="00F77EB6"/>
    <w:rsid w:val="00F80D43"/>
    <w:rsid w:val="00F818D2"/>
    <w:rsid w:val="00F83E5D"/>
    <w:rsid w:val="00F84AEC"/>
    <w:rsid w:val="00F8528C"/>
    <w:rsid w:val="00F856F5"/>
    <w:rsid w:val="00F8588A"/>
    <w:rsid w:val="00F858FA"/>
    <w:rsid w:val="00F85A5D"/>
    <w:rsid w:val="00F85C6E"/>
    <w:rsid w:val="00F86175"/>
    <w:rsid w:val="00F86FD0"/>
    <w:rsid w:val="00F87342"/>
    <w:rsid w:val="00F87D5F"/>
    <w:rsid w:val="00F91AE2"/>
    <w:rsid w:val="00F91CFC"/>
    <w:rsid w:val="00F929A3"/>
    <w:rsid w:val="00F92AF2"/>
    <w:rsid w:val="00F92B71"/>
    <w:rsid w:val="00F939F0"/>
    <w:rsid w:val="00F93AFE"/>
    <w:rsid w:val="00F93DE5"/>
    <w:rsid w:val="00F93E4B"/>
    <w:rsid w:val="00F944E3"/>
    <w:rsid w:val="00F94DDB"/>
    <w:rsid w:val="00F95507"/>
    <w:rsid w:val="00F95A76"/>
    <w:rsid w:val="00F95D5B"/>
    <w:rsid w:val="00F96E36"/>
    <w:rsid w:val="00F973F7"/>
    <w:rsid w:val="00FA067F"/>
    <w:rsid w:val="00FA2083"/>
    <w:rsid w:val="00FA22A2"/>
    <w:rsid w:val="00FA22DB"/>
    <w:rsid w:val="00FA3735"/>
    <w:rsid w:val="00FA3DF1"/>
    <w:rsid w:val="00FA501F"/>
    <w:rsid w:val="00FA53CC"/>
    <w:rsid w:val="00FA64E4"/>
    <w:rsid w:val="00FA6A94"/>
    <w:rsid w:val="00FA7593"/>
    <w:rsid w:val="00FB077E"/>
    <w:rsid w:val="00FB1201"/>
    <w:rsid w:val="00FB1445"/>
    <w:rsid w:val="00FB44A5"/>
    <w:rsid w:val="00FB4768"/>
    <w:rsid w:val="00FB4C11"/>
    <w:rsid w:val="00FB4D8E"/>
    <w:rsid w:val="00FB5C5B"/>
    <w:rsid w:val="00FB6320"/>
    <w:rsid w:val="00FB6379"/>
    <w:rsid w:val="00FB7CBA"/>
    <w:rsid w:val="00FC0495"/>
    <w:rsid w:val="00FC0ADE"/>
    <w:rsid w:val="00FC0BA1"/>
    <w:rsid w:val="00FC0F1C"/>
    <w:rsid w:val="00FC101C"/>
    <w:rsid w:val="00FC116C"/>
    <w:rsid w:val="00FC11FA"/>
    <w:rsid w:val="00FC16CC"/>
    <w:rsid w:val="00FC1F9A"/>
    <w:rsid w:val="00FC356B"/>
    <w:rsid w:val="00FC380E"/>
    <w:rsid w:val="00FC4381"/>
    <w:rsid w:val="00FC4703"/>
    <w:rsid w:val="00FC4B2C"/>
    <w:rsid w:val="00FC5794"/>
    <w:rsid w:val="00FC58DF"/>
    <w:rsid w:val="00FD0BE9"/>
    <w:rsid w:val="00FD0D02"/>
    <w:rsid w:val="00FD0F86"/>
    <w:rsid w:val="00FD1E9A"/>
    <w:rsid w:val="00FD2354"/>
    <w:rsid w:val="00FD245B"/>
    <w:rsid w:val="00FD275B"/>
    <w:rsid w:val="00FD283D"/>
    <w:rsid w:val="00FD304C"/>
    <w:rsid w:val="00FD35BF"/>
    <w:rsid w:val="00FD5E6F"/>
    <w:rsid w:val="00FD60A2"/>
    <w:rsid w:val="00FD6944"/>
    <w:rsid w:val="00FD7477"/>
    <w:rsid w:val="00FD7E25"/>
    <w:rsid w:val="00FE0B9E"/>
    <w:rsid w:val="00FE0CDA"/>
    <w:rsid w:val="00FE180E"/>
    <w:rsid w:val="00FE1C8A"/>
    <w:rsid w:val="00FE1D51"/>
    <w:rsid w:val="00FE2345"/>
    <w:rsid w:val="00FE234C"/>
    <w:rsid w:val="00FE3D23"/>
    <w:rsid w:val="00FE43C1"/>
    <w:rsid w:val="00FE5561"/>
    <w:rsid w:val="00FE5C6B"/>
    <w:rsid w:val="00FE5D37"/>
    <w:rsid w:val="00FE6D40"/>
    <w:rsid w:val="00FE791F"/>
    <w:rsid w:val="00FE7972"/>
    <w:rsid w:val="00FF0044"/>
    <w:rsid w:val="00FF0440"/>
    <w:rsid w:val="00FF090E"/>
    <w:rsid w:val="00FF12A1"/>
    <w:rsid w:val="00FF30D0"/>
    <w:rsid w:val="00FF320F"/>
    <w:rsid w:val="00FF3FDC"/>
    <w:rsid w:val="00FF41BA"/>
    <w:rsid w:val="00FF4931"/>
    <w:rsid w:val="00FF4B7F"/>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C702F04-B7CE-47B5-8D14-FE15CE11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4A0"/>
    <w:pPr>
      <w:widowControl w:val="0"/>
      <w:jc w:val="both"/>
    </w:pPr>
    <w:rPr>
      <w:kern w:val="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スタイル 行間 :  1.5 行"/>
    <w:basedOn w:val="Normal"/>
    <w:rsid w:val="001303A0"/>
    <w:pPr>
      <w:spacing w:line="360" w:lineRule="auto"/>
    </w:pPr>
    <w:rPr>
      <w:rFonts w:cs="MS Mincho"/>
      <w:szCs w:val="20"/>
    </w:rPr>
  </w:style>
  <w:style w:type="character" w:styleId="Hyperlink">
    <w:name w:val="Hyperlink"/>
    <w:rsid w:val="00187760"/>
    <w:rPr>
      <w:color w:val="0000FF"/>
      <w:u w:val="single"/>
    </w:rPr>
  </w:style>
  <w:style w:type="character" w:styleId="Strong">
    <w:name w:val="Strong"/>
    <w:qFormat/>
    <w:rsid w:val="00187760"/>
    <w:rPr>
      <w:b/>
      <w:bCs/>
    </w:rPr>
  </w:style>
  <w:style w:type="paragraph" w:styleId="BodyText">
    <w:name w:val="Body Text"/>
    <w:basedOn w:val="Normal"/>
    <w:link w:val="BodyTextChar"/>
    <w:rsid w:val="001B54FB"/>
    <w:pPr>
      <w:spacing w:line="480" w:lineRule="auto"/>
    </w:pPr>
    <w:rPr>
      <w:sz w:val="24"/>
      <w:szCs w:val="24"/>
    </w:rPr>
  </w:style>
  <w:style w:type="paragraph" w:styleId="Header">
    <w:name w:val="header"/>
    <w:basedOn w:val="Normal"/>
    <w:link w:val="HeaderChar"/>
    <w:uiPriority w:val="99"/>
    <w:rsid w:val="00F53909"/>
    <w:pPr>
      <w:tabs>
        <w:tab w:val="center" w:pos="4252"/>
        <w:tab w:val="right" w:pos="8504"/>
      </w:tabs>
      <w:snapToGrid w:val="0"/>
    </w:pPr>
  </w:style>
  <w:style w:type="character" w:customStyle="1" w:styleId="HeaderChar">
    <w:name w:val="Header Char"/>
    <w:link w:val="Header"/>
    <w:uiPriority w:val="99"/>
    <w:rsid w:val="00F53909"/>
    <w:rPr>
      <w:kern w:val="2"/>
      <w:sz w:val="22"/>
      <w:szCs w:val="22"/>
    </w:rPr>
  </w:style>
  <w:style w:type="paragraph" w:styleId="Footer">
    <w:name w:val="footer"/>
    <w:basedOn w:val="Normal"/>
    <w:link w:val="FooterChar"/>
    <w:rsid w:val="00F53909"/>
    <w:pPr>
      <w:tabs>
        <w:tab w:val="center" w:pos="4252"/>
        <w:tab w:val="right" w:pos="8504"/>
      </w:tabs>
      <w:snapToGrid w:val="0"/>
    </w:pPr>
  </w:style>
  <w:style w:type="character" w:customStyle="1" w:styleId="FooterChar">
    <w:name w:val="Footer Char"/>
    <w:link w:val="Footer"/>
    <w:rsid w:val="00F53909"/>
    <w:rPr>
      <w:kern w:val="2"/>
      <w:sz w:val="22"/>
      <w:szCs w:val="22"/>
    </w:rPr>
  </w:style>
  <w:style w:type="paragraph" w:styleId="BalloonText">
    <w:name w:val="Balloon Text"/>
    <w:basedOn w:val="Normal"/>
    <w:link w:val="BalloonTextChar"/>
    <w:rsid w:val="0065269C"/>
    <w:rPr>
      <w:rFonts w:ascii="Arial" w:eastAsia="MS Gothic" w:hAnsi="Arial"/>
      <w:sz w:val="18"/>
      <w:szCs w:val="18"/>
    </w:rPr>
  </w:style>
  <w:style w:type="character" w:customStyle="1" w:styleId="BalloonTextChar">
    <w:name w:val="Balloon Text Char"/>
    <w:link w:val="BalloonText"/>
    <w:rsid w:val="0065269C"/>
    <w:rPr>
      <w:rFonts w:ascii="Arial" w:eastAsia="MS Gothic" w:hAnsi="Arial" w:cs="Times New Roman"/>
      <w:kern w:val="2"/>
      <w:sz w:val="18"/>
      <w:szCs w:val="18"/>
    </w:rPr>
  </w:style>
  <w:style w:type="character" w:styleId="CommentReference">
    <w:name w:val="annotation reference"/>
    <w:rsid w:val="00744AEC"/>
    <w:rPr>
      <w:sz w:val="18"/>
      <w:szCs w:val="18"/>
    </w:rPr>
  </w:style>
  <w:style w:type="paragraph" w:styleId="CommentText">
    <w:name w:val="annotation text"/>
    <w:basedOn w:val="Normal"/>
    <w:link w:val="CommentTextChar"/>
    <w:rsid w:val="00744AEC"/>
    <w:pPr>
      <w:jc w:val="left"/>
    </w:pPr>
  </w:style>
  <w:style w:type="character" w:customStyle="1" w:styleId="CommentTextChar">
    <w:name w:val="Comment Text Char"/>
    <w:link w:val="CommentText"/>
    <w:rsid w:val="00744AEC"/>
    <w:rPr>
      <w:kern w:val="2"/>
      <w:sz w:val="22"/>
      <w:szCs w:val="22"/>
    </w:rPr>
  </w:style>
  <w:style w:type="paragraph" w:styleId="CommentSubject">
    <w:name w:val="annotation subject"/>
    <w:basedOn w:val="CommentText"/>
    <w:next w:val="CommentText"/>
    <w:link w:val="CommentSubjectChar"/>
    <w:rsid w:val="00744AEC"/>
    <w:rPr>
      <w:b/>
      <w:bCs/>
    </w:rPr>
  </w:style>
  <w:style w:type="character" w:customStyle="1" w:styleId="CommentSubjectChar">
    <w:name w:val="Comment Subject Char"/>
    <w:link w:val="CommentSubject"/>
    <w:rsid w:val="00744AEC"/>
    <w:rPr>
      <w:b/>
      <w:bCs/>
      <w:kern w:val="2"/>
      <w:sz w:val="22"/>
      <w:szCs w:val="22"/>
    </w:rPr>
  </w:style>
  <w:style w:type="paragraph" w:customStyle="1" w:styleId="desc">
    <w:name w:val="desc"/>
    <w:basedOn w:val="Normal"/>
    <w:rsid w:val="00A902BA"/>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DefaultParagraphFont"/>
    <w:rsid w:val="00A902BA"/>
  </w:style>
  <w:style w:type="paragraph" w:customStyle="1" w:styleId="details">
    <w:name w:val="details"/>
    <w:basedOn w:val="Normal"/>
    <w:rsid w:val="00A902BA"/>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DefaultParagraphFont"/>
    <w:rsid w:val="00A902BA"/>
  </w:style>
  <w:style w:type="character" w:customStyle="1" w:styleId="BodyTextChar">
    <w:name w:val="Body Text Char"/>
    <w:link w:val="BodyText"/>
    <w:rsid w:val="00536276"/>
    <w:rPr>
      <w:kern w:val="2"/>
      <w:sz w:val="24"/>
      <w:szCs w:val="24"/>
    </w:rPr>
  </w:style>
  <w:style w:type="paragraph" w:customStyle="1" w:styleId="1">
    <w:name w:val="正文1"/>
    <w:uiPriority w:val="99"/>
    <w:rsid w:val="00C84934"/>
    <w:pPr>
      <w:spacing w:line="276" w:lineRule="auto"/>
    </w:pPr>
    <w:rPr>
      <w:rFonts w:ascii="Arial" w:eastAsia="SimSun" w:hAnsi="Arial" w:cs="Arial"/>
      <w:color w:val="000000"/>
      <w:sz w:val="22"/>
      <w:lang w:val="pl-PL" w:eastAsia="pl-PL"/>
    </w:rPr>
  </w:style>
  <w:style w:type="table" w:styleId="TableGrid">
    <w:name w:val="Table Grid"/>
    <w:basedOn w:val="TableNormal"/>
    <w:rsid w:val="0057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34">
      <w:bodyDiv w:val="1"/>
      <w:marLeft w:val="0"/>
      <w:marRight w:val="0"/>
      <w:marTop w:val="0"/>
      <w:marBottom w:val="0"/>
      <w:divBdr>
        <w:top w:val="none" w:sz="0" w:space="0" w:color="auto"/>
        <w:left w:val="none" w:sz="0" w:space="0" w:color="auto"/>
        <w:bottom w:val="none" w:sz="0" w:space="0" w:color="auto"/>
        <w:right w:val="none" w:sz="0" w:space="0" w:color="auto"/>
      </w:divBdr>
      <w:divsChild>
        <w:div w:id="1530333978">
          <w:marLeft w:val="0"/>
          <w:marRight w:val="1"/>
          <w:marTop w:val="0"/>
          <w:marBottom w:val="0"/>
          <w:divBdr>
            <w:top w:val="none" w:sz="0" w:space="0" w:color="auto"/>
            <w:left w:val="none" w:sz="0" w:space="0" w:color="auto"/>
            <w:bottom w:val="none" w:sz="0" w:space="0" w:color="auto"/>
            <w:right w:val="none" w:sz="0" w:space="0" w:color="auto"/>
          </w:divBdr>
          <w:divsChild>
            <w:div w:id="368383667">
              <w:marLeft w:val="0"/>
              <w:marRight w:val="0"/>
              <w:marTop w:val="0"/>
              <w:marBottom w:val="0"/>
              <w:divBdr>
                <w:top w:val="none" w:sz="0" w:space="0" w:color="auto"/>
                <w:left w:val="none" w:sz="0" w:space="0" w:color="auto"/>
                <w:bottom w:val="none" w:sz="0" w:space="0" w:color="auto"/>
                <w:right w:val="none" w:sz="0" w:space="0" w:color="auto"/>
              </w:divBdr>
              <w:divsChild>
                <w:div w:id="30571819">
                  <w:marLeft w:val="0"/>
                  <w:marRight w:val="1"/>
                  <w:marTop w:val="0"/>
                  <w:marBottom w:val="0"/>
                  <w:divBdr>
                    <w:top w:val="none" w:sz="0" w:space="0" w:color="auto"/>
                    <w:left w:val="none" w:sz="0" w:space="0" w:color="auto"/>
                    <w:bottom w:val="none" w:sz="0" w:space="0" w:color="auto"/>
                    <w:right w:val="none" w:sz="0" w:space="0" w:color="auto"/>
                  </w:divBdr>
                  <w:divsChild>
                    <w:div w:id="825821011">
                      <w:marLeft w:val="0"/>
                      <w:marRight w:val="0"/>
                      <w:marTop w:val="0"/>
                      <w:marBottom w:val="0"/>
                      <w:divBdr>
                        <w:top w:val="none" w:sz="0" w:space="0" w:color="auto"/>
                        <w:left w:val="none" w:sz="0" w:space="0" w:color="auto"/>
                        <w:bottom w:val="none" w:sz="0" w:space="0" w:color="auto"/>
                        <w:right w:val="none" w:sz="0" w:space="0" w:color="auto"/>
                      </w:divBdr>
                      <w:divsChild>
                        <w:div w:id="2074738866">
                          <w:marLeft w:val="0"/>
                          <w:marRight w:val="0"/>
                          <w:marTop w:val="0"/>
                          <w:marBottom w:val="0"/>
                          <w:divBdr>
                            <w:top w:val="none" w:sz="0" w:space="0" w:color="auto"/>
                            <w:left w:val="none" w:sz="0" w:space="0" w:color="auto"/>
                            <w:bottom w:val="none" w:sz="0" w:space="0" w:color="auto"/>
                            <w:right w:val="none" w:sz="0" w:space="0" w:color="auto"/>
                          </w:divBdr>
                          <w:divsChild>
                            <w:div w:id="628627724">
                              <w:marLeft w:val="0"/>
                              <w:marRight w:val="0"/>
                              <w:marTop w:val="120"/>
                              <w:marBottom w:val="360"/>
                              <w:divBdr>
                                <w:top w:val="none" w:sz="0" w:space="0" w:color="auto"/>
                                <w:left w:val="none" w:sz="0" w:space="0" w:color="auto"/>
                                <w:bottom w:val="none" w:sz="0" w:space="0" w:color="auto"/>
                                <w:right w:val="none" w:sz="0" w:space="0" w:color="auto"/>
                              </w:divBdr>
                              <w:divsChild>
                                <w:div w:id="1339885990">
                                  <w:marLeft w:val="187"/>
                                  <w:marRight w:val="0"/>
                                  <w:marTop w:val="0"/>
                                  <w:marBottom w:val="0"/>
                                  <w:divBdr>
                                    <w:top w:val="none" w:sz="0" w:space="0" w:color="auto"/>
                                    <w:left w:val="none" w:sz="0" w:space="0" w:color="auto"/>
                                    <w:bottom w:val="none" w:sz="0" w:space="0" w:color="auto"/>
                                    <w:right w:val="none" w:sz="0" w:space="0" w:color="auto"/>
                                  </w:divBdr>
                                  <w:divsChild>
                                    <w:div w:id="3596254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2978">
      <w:bodyDiv w:val="1"/>
      <w:marLeft w:val="0"/>
      <w:marRight w:val="0"/>
      <w:marTop w:val="0"/>
      <w:marBottom w:val="0"/>
      <w:divBdr>
        <w:top w:val="none" w:sz="0" w:space="0" w:color="auto"/>
        <w:left w:val="none" w:sz="0" w:space="0" w:color="auto"/>
        <w:bottom w:val="none" w:sz="0" w:space="0" w:color="auto"/>
        <w:right w:val="none" w:sz="0" w:space="0" w:color="auto"/>
      </w:divBdr>
      <w:divsChild>
        <w:div w:id="496501046">
          <w:marLeft w:val="0"/>
          <w:marRight w:val="1"/>
          <w:marTop w:val="0"/>
          <w:marBottom w:val="0"/>
          <w:divBdr>
            <w:top w:val="none" w:sz="0" w:space="0" w:color="auto"/>
            <w:left w:val="none" w:sz="0" w:space="0" w:color="auto"/>
            <w:bottom w:val="none" w:sz="0" w:space="0" w:color="auto"/>
            <w:right w:val="none" w:sz="0" w:space="0" w:color="auto"/>
          </w:divBdr>
          <w:divsChild>
            <w:div w:id="353120160">
              <w:marLeft w:val="0"/>
              <w:marRight w:val="0"/>
              <w:marTop w:val="0"/>
              <w:marBottom w:val="0"/>
              <w:divBdr>
                <w:top w:val="none" w:sz="0" w:space="0" w:color="auto"/>
                <w:left w:val="none" w:sz="0" w:space="0" w:color="auto"/>
                <w:bottom w:val="none" w:sz="0" w:space="0" w:color="auto"/>
                <w:right w:val="none" w:sz="0" w:space="0" w:color="auto"/>
              </w:divBdr>
              <w:divsChild>
                <w:div w:id="874781101">
                  <w:marLeft w:val="0"/>
                  <w:marRight w:val="1"/>
                  <w:marTop w:val="0"/>
                  <w:marBottom w:val="0"/>
                  <w:divBdr>
                    <w:top w:val="none" w:sz="0" w:space="0" w:color="auto"/>
                    <w:left w:val="none" w:sz="0" w:space="0" w:color="auto"/>
                    <w:bottom w:val="none" w:sz="0" w:space="0" w:color="auto"/>
                    <w:right w:val="none" w:sz="0" w:space="0" w:color="auto"/>
                  </w:divBdr>
                  <w:divsChild>
                    <w:div w:id="183446068">
                      <w:marLeft w:val="0"/>
                      <w:marRight w:val="0"/>
                      <w:marTop w:val="0"/>
                      <w:marBottom w:val="0"/>
                      <w:divBdr>
                        <w:top w:val="none" w:sz="0" w:space="0" w:color="auto"/>
                        <w:left w:val="none" w:sz="0" w:space="0" w:color="auto"/>
                        <w:bottom w:val="none" w:sz="0" w:space="0" w:color="auto"/>
                        <w:right w:val="none" w:sz="0" w:space="0" w:color="auto"/>
                      </w:divBdr>
                      <w:divsChild>
                        <w:div w:id="1655335587">
                          <w:marLeft w:val="0"/>
                          <w:marRight w:val="0"/>
                          <w:marTop w:val="0"/>
                          <w:marBottom w:val="0"/>
                          <w:divBdr>
                            <w:top w:val="none" w:sz="0" w:space="0" w:color="auto"/>
                            <w:left w:val="none" w:sz="0" w:space="0" w:color="auto"/>
                            <w:bottom w:val="none" w:sz="0" w:space="0" w:color="auto"/>
                            <w:right w:val="none" w:sz="0" w:space="0" w:color="auto"/>
                          </w:divBdr>
                          <w:divsChild>
                            <w:div w:id="685406019">
                              <w:marLeft w:val="0"/>
                              <w:marRight w:val="0"/>
                              <w:marTop w:val="120"/>
                              <w:marBottom w:val="360"/>
                              <w:divBdr>
                                <w:top w:val="none" w:sz="0" w:space="0" w:color="auto"/>
                                <w:left w:val="none" w:sz="0" w:space="0" w:color="auto"/>
                                <w:bottom w:val="none" w:sz="0" w:space="0" w:color="auto"/>
                                <w:right w:val="none" w:sz="0" w:space="0" w:color="auto"/>
                              </w:divBdr>
                              <w:divsChild>
                                <w:div w:id="1545367154">
                                  <w:marLeft w:val="187"/>
                                  <w:marRight w:val="0"/>
                                  <w:marTop w:val="0"/>
                                  <w:marBottom w:val="0"/>
                                  <w:divBdr>
                                    <w:top w:val="none" w:sz="0" w:space="0" w:color="auto"/>
                                    <w:left w:val="none" w:sz="0" w:space="0" w:color="auto"/>
                                    <w:bottom w:val="none" w:sz="0" w:space="0" w:color="auto"/>
                                    <w:right w:val="none" w:sz="0" w:space="0" w:color="auto"/>
                                  </w:divBdr>
                                  <w:divsChild>
                                    <w:div w:id="10195022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1547">
      <w:bodyDiv w:val="1"/>
      <w:marLeft w:val="0"/>
      <w:marRight w:val="0"/>
      <w:marTop w:val="0"/>
      <w:marBottom w:val="0"/>
      <w:divBdr>
        <w:top w:val="none" w:sz="0" w:space="0" w:color="auto"/>
        <w:left w:val="none" w:sz="0" w:space="0" w:color="auto"/>
        <w:bottom w:val="none" w:sz="0" w:space="0" w:color="auto"/>
        <w:right w:val="none" w:sz="0" w:space="0" w:color="auto"/>
      </w:divBdr>
      <w:divsChild>
        <w:div w:id="839273170">
          <w:marLeft w:val="0"/>
          <w:marRight w:val="1"/>
          <w:marTop w:val="0"/>
          <w:marBottom w:val="0"/>
          <w:divBdr>
            <w:top w:val="none" w:sz="0" w:space="0" w:color="auto"/>
            <w:left w:val="none" w:sz="0" w:space="0" w:color="auto"/>
            <w:bottom w:val="none" w:sz="0" w:space="0" w:color="auto"/>
            <w:right w:val="none" w:sz="0" w:space="0" w:color="auto"/>
          </w:divBdr>
          <w:divsChild>
            <w:div w:id="987786813">
              <w:marLeft w:val="0"/>
              <w:marRight w:val="0"/>
              <w:marTop w:val="0"/>
              <w:marBottom w:val="0"/>
              <w:divBdr>
                <w:top w:val="none" w:sz="0" w:space="0" w:color="auto"/>
                <w:left w:val="none" w:sz="0" w:space="0" w:color="auto"/>
                <w:bottom w:val="none" w:sz="0" w:space="0" w:color="auto"/>
                <w:right w:val="none" w:sz="0" w:space="0" w:color="auto"/>
              </w:divBdr>
              <w:divsChild>
                <w:div w:id="307250276">
                  <w:marLeft w:val="0"/>
                  <w:marRight w:val="1"/>
                  <w:marTop w:val="0"/>
                  <w:marBottom w:val="0"/>
                  <w:divBdr>
                    <w:top w:val="none" w:sz="0" w:space="0" w:color="auto"/>
                    <w:left w:val="none" w:sz="0" w:space="0" w:color="auto"/>
                    <w:bottom w:val="none" w:sz="0" w:space="0" w:color="auto"/>
                    <w:right w:val="none" w:sz="0" w:space="0" w:color="auto"/>
                  </w:divBdr>
                  <w:divsChild>
                    <w:div w:id="360858295">
                      <w:marLeft w:val="0"/>
                      <w:marRight w:val="0"/>
                      <w:marTop w:val="0"/>
                      <w:marBottom w:val="0"/>
                      <w:divBdr>
                        <w:top w:val="none" w:sz="0" w:space="0" w:color="auto"/>
                        <w:left w:val="none" w:sz="0" w:space="0" w:color="auto"/>
                        <w:bottom w:val="none" w:sz="0" w:space="0" w:color="auto"/>
                        <w:right w:val="none" w:sz="0" w:space="0" w:color="auto"/>
                      </w:divBdr>
                      <w:divsChild>
                        <w:div w:id="1558275546">
                          <w:marLeft w:val="0"/>
                          <w:marRight w:val="0"/>
                          <w:marTop w:val="0"/>
                          <w:marBottom w:val="0"/>
                          <w:divBdr>
                            <w:top w:val="none" w:sz="0" w:space="0" w:color="auto"/>
                            <w:left w:val="none" w:sz="0" w:space="0" w:color="auto"/>
                            <w:bottom w:val="none" w:sz="0" w:space="0" w:color="auto"/>
                            <w:right w:val="none" w:sz="0" w:space="0" w:color="auto"/>
                          </w:divBdr>
                          <w:divsChild>
                            <w:div w:id="61757021">
                              <w:marLeft w:val="0"/>
                              <w:marRight w:val="0"/>
                              <w:marTop w:val="120"/>
                              <w:marBottom w:val="360"/>
                              <w:divBdr>
                                <w:top w:val="none" w:sz="0" w:space="0" w:color="auto"/>
                                <w:left w:val="none" w:sz="0" w:space="0" w:color="auto"/>
                                <w:bottom w:val="none" w:sz="0" w:space="0" w:color="auto"/>
                                <w:right w:val="none" w:sz="0" w:space="0" w:color="auto"/>
                              </w:divBdr>
                              <w:divsChild>
                                <w:div w:id="1176699604">
                                  <w:marLeft w:val="187"/>
                                  <w:marRight w:val="0"/>
                                  <w:marTop w:val="0"/>
                                  <w:marBottom w:val="0"/>
                                  <w:divBdr>
                                    <w:top w:val="none" w:sz="0" w:space="0" w:color="auto"/>
                                    <w:left w:val="none" w:sz="0" w:space="0" w:color="auto"/>
                                    <w:bottom w:val="none" w:sz="0" w:space="0" w:color="auto"/>
                                    <w:right w:val="none" w:sz="0" w:space="0" w:color="auto"/>
                                  </w:divBdr>
                                  <w:divsChild>
                                    <w:div w:id="1044697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6166">
      <w:bodyDiv w:val="1"/>
      <w:marLeft w:val="0"/>
      <w:marRight w:val="0"/>
      <w:marTop w:val="0"/>
      <w:marBottom w:val="0"/>
      <w:divBdr>
        <w:top w:val="none" w:sz="0" w:space="0" w:color="auto"/>
        <w:left w:val="none" w:sz="0" w:space="0" w:color="auto"/>
        <w:bottom w:val="none" w:sz="0" w:space="0" w:color="auto"/>
        <w:right w:val="none" w:sz="0" w:space="0" w:color="auto"/>
      </w:divBdr>
      <w:divsChild>
        <w:div w:id="1146513412">
          <w:marLeft w:val="0"/>
          <w:marRight w:val="1"/>
          <w:marTop w:val="0"/>
          <w:marBottom w:val="0"/>
          <w:divBdr>
            <w:top w:val="none" w:sz="0" w:space="0" w:color="auto"/>
            <w:left w:val="none" w:sz="0" w:space="0" w:color="auto"/>
            <w:bottom w:val="none" w:sz="0" w:space="0" w:color="auto"/>
            <w:right w:val="none" w:sz="0" w:space="0" w:color="auto"/>
          </w:divBdr>
          <w:divsChild>
            <w:div w:id="1969168731">
              <w:marLeft w:val="0"/>
              <w:marRight w:val="0"/>
              <w:marTop w:val="0"/>
              <w:marBottom w:val="0"/>
              <w:divBdr>
                <w:top w:val="none" w:sz="0" w:space="0" w:color="auto"/>
                <w:left w:val="none" w:sz="0" w:space="0" w:color="auto"/>
                <w:bottom w:val="none" w:sz="0" w:space="0" w:color="auto"/>
                <w:right w:val="none" w:sz="0" w:space="0" w:color="auto"/>
              </w:divBdr>
              <w:divsChild>
                <w:div w:id="1411078076">
                  <w:marLeft w:val="0"/>
                  <w:marRight w:val="1"/>
                  <w:marTop w:val="0"/>
                  <w:marBottom w:val="0"/>
                  <w:divBdr>
                    <w:top w:val="none" w:sz="0" w:space="0" w:color="auto"/>
                    <w:left w:val="none" w:sz="0" w:space="0" w:color="auto"/>
                    <w:bottom w:val="none" w:sz="0" w:space="0" w:color="auto"/>
                    <w:right w:val="none" w:sz="0" w:space="0" w:color="auto"/>
                  </w:divBdr>
                  <w:divsChild>
                    <w:div w:id="748232088">
                      <w:marLeft w:val="0"/>
                      <w:marRight w:val="0"/>
                      <w:marTop w:val="0"/>
                      <w:marBottom w:val="0"/>
                      <w:divBdr>
                        <w:top w:val="none" w:sz="0" w:space="0" w:color="auto"/>
                        <w:left w:val="none" w:sz="0" w:space="0" w:color="auto"/>
                        <w:bottom w:val="none" w:sz="0" w:space="0" w:color="auto"/>
                        <w:right w:val="none" w:sz="0" w:space="0" w:color="auto"/>
                      </w:divBdr>
                      <w:divsChild>
                        <w:div w:id="755977826">
                          <w:marLeft w:val="0"/>
                          <w:marRight w:val="0"/>
                          <w:marTop w:val="0"/>
                          <w:marBottom w:val="0"/>
                          <w:divBdr>
                            <w:top w:val="none" w:sz="0" w:space="0" w:color="auto"/>
                            <w:left w:val="none" w:sz="0" w:space="0" w:color="auto"/>
                            <w:bottom w:val="none" w:sz="0" w:space="0" w:color="auto"/>
                            <w:right w:val="none" w:sz="0" w:space="0" w:color="auto"/>
                          </w:divBdr>
                          <w:divsChild>
                            <w:div w:id="918363346">
                              <w:marLeft w:val="0"/>
                              <w:marRight w:val="0"/>
                              <w:marTop w:val="120"/>
                              <w:marBottom w:val="360"/>
                              <w:divBdr>
                                <w:top w:val="none" w:sz="0" w:space="0" w:color="auto"/>
                                <w:left w:val="none" w:sz="0" w:space="0" w:color="auto"/>
                                <w:bottom w:val="none" w:sz="0" w:space="0" w:color="auto"/>
                                <w:right w:val="none" w:sz="0" w:space="0" w:color="auto"/>
                              </w:divBdr>
                              <w:divsChild>
                                <w:div w:id="238098301">
                                  <w:marLeft w:val="0"/>
                                  <w:marRight w:val="0"/>
                                  <w:marTop w:val="0"/>
                                  <w:marBottom w:val="0"/>
                                  <w:divBdr>
                                    <w:top w:val="none" w:sz="0" w:space="0" w:color="auto"/>
                                    <w:left w:val="none" w:sz="0" w:space="0" w:color="auto"/>
                                    <w:bottom w:val="none" w:sz="0" w:space="0" w:color="auto"/>
                                    <w:right w:val="none" w:sz="0" w:space="0" w:color="auto"/>
                                  </w:divBdr>
                                  <w:divsChild>
                                    <w:div w:id="266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8552">
      <w:bodyDiv w:val="1"/>
      <w:marLeft w:val="0"/>
      <w:marRight w:val="0"/>
      <w:marTop w:val="0"/>
      <w:marBottom w:val="0"/>
      <w:divBdr>
        <w:top w:val="none" w:sz="0" w:space="0" w:color="auto"/>
        <w:left w:val="none" w:sz="0" w:space="0" w:color="auto"/>
        <w:bottom w:val="none" w:sz="0" w:space="0" w:color="auto"/>
        <w:right w:val="none" w:sz="0" w:space="0" w:color="auto"/>
      </w:divBdr>
      <w:divsChild>
        <w:div w:id="687676892">
          <w:marLeft w:val="0"/>
          <w:marRight w:val="1"/>
          <w:marTop w:val="0"/>
          <w:marBottom w:val="0"/>
          <w:divBdr>
            <w:top w:val="none" w:sz="0" w:space="0" w:color="auto"/>
            <w:left w:val="none" w:sz="0" w:space="0" w:color="auto"/>
            <w:bottom w:val="none" w:sz="0" w:space="0" w:color="auto"/>
            <w:right w:val="none" w:sz="0" w:space="0" w:color="auto"/>
          </w:divBdr>
          <w:divsChild>
            <w:div w:id="1242789547">
              <w:marLeft w:val="0"/>
              <w:marRight w:val="0"/>
              <w:marTop w:val="0"/>
              <w:marBottom w:val="0"/>
              <w:divBdr>
                <w:top w:val="none" w:sz="0" w:space="0" w:color="auto"/>
                <w:left w:val="none" w:sz="0" w:space="0" w:color="auto"/>
                <w:bottom w:val="none" w:sz="0" w:space="0" w:color="auto"/>
                <w:right w:val="none" w:sz="0" w:space="0" w:color="auto"/>
              </w:divBdr>
              <w:divsChild>
                <w:div w:id="1687903400">
                  <w:marLeft w:val="0"/>
                  <w:marRight w:val="1"/>
                  <w:marTop w:val="0"/>
                  <w:marBottom w:val="0"/>
                  <w:divBdr>
                    <w:top w:val="none" w:sz="0" w:space="0" w:color="auto"/>
                    <w:left w:val="none" w:sz="0" w:space="0" w:color="auto"/>
                    <w:bottom w:val="none" w:sz="0" w:space="0" w:color="auto"/>
                    <w:right w:val="none" w:sz="0" w:space="0" w:color="auto"/>
                  </w:divBdr>
                  <w:divsChild>
                    <w:div w:id="1756659470">
                      <w:marLeft w:val="0"/>
                      <w:marRight w:val="0"/>
                      <w:marTop w:val="0"/>
                      <w:marBottom w:val="0"/>
                      <w:divBdr>
                        <w:top w:val="none" w:sz="0" w:space="0" w:color="auto"/>
                        <w:left w:val="none" w:sz="0" w:space="0" w:color="auto"/>
                        <w:bottom w:val="none" w:sz="0" w:space="0" w:color="auto"/>
                        <w:right w:val="none" w:sz="0" w:space="0" w:color="auto"/>
                      </w:divBdr>
                      <w:divsChild>
                        <w:div w:id="1955477324">
                          <w:marLeft w:val="0"/>
                          <w:marRight w:val="0"/>
                          <w:marTop w:val="0"/>
                          <w:marBottom w:val="0"/>
                          <w:divBdr>
                            <w:top w:val="none" w:sz="0" w:space="0" w:color="auto"/>
                            <w:left w:val="none" w:sz="0" w:space="0" w:color="auto"/>
                            <w:bottom w:val="none" w:sz="0" w:space="0" w:color="auto"/>
                            <w:right w:val="none" w:sz="0" w:space="0" w:color="auto"/>
                          </w:divBdr>
                          <w:divsChild>
                            <w:div w:id="456216288">
                              <w:marLeft w:val="0"/>
                              <w:marRight w:val="0"/>
                              <w:marTop w:val="120"/>
                              <w:marBottom w:val="360"/>
                              <w:divBdr>
                                <w:top w:val="none" w:sz="0" w:space="0" w:color="auto"/>
                                <w:left w:val="none" w:sz="0" w:space="0" w:color="auto"/>
                                <w:bottom w:val="none" w:sz="0" w:space="0" w:color="auto"/>
                                <w:right w:val="none" w:sz="0" w:space="0" w:color="auto"/>
                              </w:divBdr>
                              <w:divsChild>
                                <w:div w:id="493644928">
                                  <w:marLeft w:val="187"/>
                                  <w:marRight w:val="0"/>
                                  <w:marTop w:val="0"/>
                                  <w:marBottom w:val="0"/>
                                  <w:divBdr>
                                    <w:top w:val="none" w:sz="0" w:space="0" w:color="auto"/>
                                    <w:left w:val="none" w:sz="0" w:space="0" w:color="auto"/>
                                    <w:bottom w:val="none" w:sz="0" w:space="0" w:color="auto"/>
                                    <w:right w:val="none" w:sz="0" w:space="0" w:color="auto"/>
                                  </w:divBdr>
                                  <w:divsChild>
                                    <w:div w:id="17094071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2109">
      <w:bodyDiv w:val="1"/>
      <w:marLeft w:val="0"/>
      <w:marRight w:val="0"/>
      <w:marTop w:val="0"/>
      <w:marBottom w:val="0"/>
      <w:divBdr>
        <w:top w:val="none" w:sz="0" w:space="0" w:color="auto"/>
        <w:left w:val="none" w:sz="0" w:space="0" w:color="auto"/>
        <w:bottom w:val="none" w:sz="0" w:space="0" w:color="auto"/>
        <w:right w:val="none" w:sz="0" w:space="0" w:color="auto"/>
      </w:divBdr>
      <w:divsChild>
        <w:div w:id="1880625087">
          <w:marLeft w:val="0"/>
          <w:marRight w:val="1"/>
          <w:marTop w:val="0"/>
          <w:marBottom w:val="0"/>
          <w:divBdr>
            <w:top w:val="none" w:sz="0" w:space="0" w:color="auto"/>
            <w:left w:val="none" w:sz="0" w:space="0" w:color="auto"/>
            <w:bottom w:val="none" w:sz="0" w:space="0" w:color="auto"/>
            <w:right w:val="none" w:sz="0" w:space="0" w:color="auto"/>
          </w:divBdr>
          <w:divsChild>
            <w:div w:id="1717007431">
              <w:marLeft w:val="0"/>
              <w:marRight w:val="0"/>
              <w:marTop w:val="0"/>
              <w:marBottom w:val="0"/>
              <w:divBdr>
                <w:top w:val="none" w:sz="0" w:space="0" w:color="auto"/>
                <w:left w:val="none" w:sz="0" w:space="0" w:color="auto"/>
                <w:bottom w:val="none" w:sz="0" w:space="0" w:color="auto"/>
                <w:right w:val="none" w:sz="0" w:space="0" w:color="auto"/>
              </w:divBdr>
              <w:divsChild>
                <w:div w:id="1355037132">
                  <w:marLeft w:val="0"/>
                  <w:marRight w:val="1"/>
                  <w:marTop w:val="0"/>
                  <w:marBottom w:val="0"/>
                  <w:divBdr>
                    <w:top w:val="none" w:sz="0" w:space="0" w:color="auto"/>
                    <w:left w:val="none" w:sz="0" w:space="0" w:color="auto"/>
                    <w:bottom w:val="none" w:sz="0" w:space="0" w:color="auto"/>
                    <w:right w:val="none" w:sz="0" w:space="0" w:color="auto"/>
                  </w:divBdr>
                  <w:divsChild>
                    <w:div w:id="1716389210">
                      <w:marLeft w:val="0"/>
                      <w:marRight w:val="0"/>
                      <w:marTop w:val="0"/>
                      <w:marBottom w:val="0"/>
                      <w:divBdr>
                        <w:top w:val="none" w:sz="0" w:space="0" w:color="auto"/>
                        <w:left w:val="none" w:sz="0" w:space="0" w:color="auto"/>
                        <w:bottom w:val="none" w:sz="0" w:space="0" w:color="auto"/>
                        <w:right w:val="none" w:sz="0" w:space="0" w:color="auto"/>
                      </w:divBdr>
                      <w:divsChild>
                        <w:div w:id="423499783">
                          <w:marLeft w:val="0"/>
                          <w:marRight w:val="0"/>
                          <w:marTop w:val="0"/>
                          <w:marBottom w:val="0"/>
                          <w:divBdr>
                            <w:top w:val="none" w:sz="0" w:space="0" w:color="auto"/>
                            <w:left w:val="none" w:sz="0" w:space="0" w:color="auto"/>
                            <w:bottom w:val="none" w:sz="0" w:space="0" w:color="auto"/>
                            <w:right w:val="none" w:sz="0" w:space="0" w:color="auto"/>
                          </w:divBdr>
                          <w:divsChild>
                            <w:div w:id="1404371789">
                              <w:marLeft w:val="0"/>
                              <w:marRight w:val="0"/>
                              <w:marTop w:val="120"/>
                              <w:marBottom w:val="360"/>
                              <w:divBdr>
                                <w:top w:val="none" w:sz="0" w:space="0" w:color="auto"/>
                                <w:left w:val="none" w:sz="0" w:space="0" w:color="auto"/>
                                <w:bottom w:val="none" w:sz="0" w:space="0" w:color="auto"/>
                                <w:right w:val="none" w:sz="0" w:space="0" w:color="auto"/>
                              </w:divBdr>
                              <w:divsChild>
                                <w:div w:id="1099330704">
                                  <w:marLeft w:val="187"/>
                                  <w:marRight w:val="0"/>
                                  <w:marTop w:val="0"/>
                                  <w:marBottom w:val="0"/>
                                  <w:divBdr>
                                    <w:top w:val="none" w:sz="0" w:space="0" w:color="auto"/>
                                    <w:left w:val="none" w:sz="0" w:space="0" w:color="auto"/>
                                    <w:bottom w:val="none" w:sz="0" w:space="0" w:color="auto"/>
                                    <w:right w:val="none" w:sz="0" w:space="0" w:color="auto"/>
                                  </w:divBdr>
                                  <w:divsChild>
                                    <w:div w:id="13603984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570461">
      <w:bodyDiv w:val="1"/>
      <w:marLeft w:val="0"/>
      <w:marRight w:val="0"/>
      <w:marTop w:val="0"/>
      <w:marBottom w:val="0"/>
      <w:divBdr>
        <w:top w:val="none" w:sz="0" w:space="0" w:color="auto"/>
        <w:left w:val="none" w:sz="0" w:space="0" w:color="auto"/>
        <w:bottom w:val="none" w:sz="0" w:space="0" w:color="auto"/>
        <w:right w:val="none" w:sz="0" w:space="0" w:color="auto"/>
      </w:divBdr>
    </w:div>
    <w:div w:id="435904092">
      <w:bodyDiv w:val="1"/>
      <w:marLeft w:val="0"/>
      <w:marRight w:val="0"/>
      <w:marTop w:val="0"/>
      <w:marBottom w:val="0"/>
      <w:divBdr>
        <w:top w:val="none" w:sz="0" w:space="0" w:color="auto"/>
        <w:left w:val="none" w:sz="0" w:space="0" w:color="auto"/>
        <w:bottom w:val="none" w:sz="0" w:space="0" w:color="auto"/>
        <w:right w:val="none" w:sz="0" w:space="0" w:color="auto"/>
      </w:divBdr>
    </w:div>
    <w:div w:id="452526514">
      <w:bodyDiv w:val="1"/>
      <w:marLeft w:val="0"/>
      <w:marRight w:val="0"/>
      <w:marTop w:val="0"/>
      <w:marBottom w:val="0"/>
      <w:divBdr>
        <w:top w:val="none" w:sz="0" w:space="0" w:color="auto"/>
        <w:left w:val="none" w:sz="0" w:space="0" w:color="auto"/>
        <w:bottom w:val="none" w:sz="0" w:space="0" w:color="auto"/>
        <w:right w:val="none" w:sz="0" w:space="0" w:color="auto"/>
      </w:divBdr>
      <w:divsChild>
        <w:div w:id="1632057031">
          <w:marLeft w:val="0"/>
          <w:marRight w:val="1"/>
          <w:marTop w:val="0"/>
          <w:marBottom w:val="0"/>
          <w:divBdr>
            <w:top w:val="none" w:sz="0" w:space="0" w:color="auto"/>
            <w:left w:val="none" w:sz="0" w:space="0" w:color="auto"/>
            <w:bottom w:val="none" w:sz="0" w:space="0" w:color="auto"/>
            <w:right w:val="none" w:sz="0" w:space="0" w:color="auto"/>
          </w:divBdr>
          <w:divsChild>
            <w:div w:id="970477382">
              <w:marLeft w:val="0"/>
              <w:marRight w:val="0"/>
              <w:marTop w:val="0"/>
              <w:marBottom w:val="0"/>
              <w:divBdr>
                <w:top w:val="none" w:sz="0" w:space="0" w:color="auto"/>
                <w:left w:val="none" w:sz="0" w:space="0" w:color="auto"/>
                <w:bottom w:val="none" w:sz="0" w:space="0" w:color="auto"/>
                <w:right w:val="none" w:sz="0" w:space="0" w:color="auto"/>
              </w:divBdr>
              <w:divsChild>
                <w:div w:id="308288262">
                  <w:marLeft w:val="0"/>
                  <w:marRight w:val="1"/>
                  <w:marTop w:val="0"/>
                  <w:marBottom w:val="0"/>
                  <w:divBdr>
                    <w:top w:val="none" w:sz="0" w:space="0" w:color="auto"/>
                    <w:left w:val="none" w:sz="0" w:space="0" w:color="auto"/>
                    <w:bottom w:val="none" w:sz="0" w:space="0" w:color="auto"/>
                    <w:right w:val="none" w:sz="0" w:space="0" w:color="auto"/>
                  </w:divBdr>
                  <w:divsChild>
                    <w:div w:id="119232775">
                      <w:marLeft w:val="0"/>
                      <w:marRight w:val="0"/>
                      <w:marTop w:val="0"/>
                      <w:marBottom w:val="0"/>
                      <w:divBdr>
                        <w:top w:val="none" w:sz="0" w:space="0" w:color="auto"/>
                        <w:left w:val="none" w:sz="0" w:space="0" w:color="auto"/>
                        <w:bottom w:val="none" w:sz="0" w:space="0" w:color="auto"/>
                        <w:right w:val="none" w:sz="0" w:space="0" w:color="auto"/>
                      </w:divBdr>
                      <w:divsChild>
                        <w:div w:id="308674874">
                          <w:marLeft w:val="0"/>
                          <w:marRight w:val="0"/>
                          <w:marTop w:val="0"/>
                          <w:marBottom w:val="0"/>
                          <w:divBdr>
                            <w:top w:val="none" w:sz="0" w:space="0" w:color="auto"/>
                            <w:left w:val="none" w:sz="0" w:space="0" w:color="auto"/>
                            <w:bottom w:val="none" w:sz="0" w:space="0" w:color="auto"/>
                            <w:right w:val="none" w:sz="0" w:space="0" w:color="auto"/>
                          </w:divBdr>
                          <w:divsChild>
                            <w:div w:id="286670022">
                              <w:marLeft w:val="0"/>
                              <w:marRight w:val="0"/>
                              <w:marTop w:val="120"/>
                              <w:marBottom w:val="360"/>
                              <w:divBdr>
                                <w:top w:val="none" w:sz="0" w:space="0" w:color="auto"/>
                                <w:left w:val="none" w:sz="0" w:space="0" w:color="auto"/>
                                <w:bottom w:val="none" w:sz="0" w:space="0" w:color="auto"/>
                                <w:right w:val="none" w:sz="0" w:space="0" w:color="auto"/>
                              </w:divBdr>
                              <w:divsChild>
                                <w:div w:id="489757915">
                                  <w:marLeft w:val="187"/>
                                  <w:marRight w:val="0"/>
                                  <w:marTop w:val="0"/>
                                  <w:marBottom w:val="0"/>
                                  <w:divBdr>
                                    <w:top w:val="none" w:sz="0" w:space="0" w:color="auto"/>
                                    <w:left w:val="none" w:sz="0" w:space="0" w:color="auto"/>
                                    <w:bottom w:val="none" w:sz="0" w:space="0" w:color="auto"/>
                                    <w:right w:val="none" w:sz="0" w:space="0" w:color="auto"/>
                                  </w:divBdr>
                                  <w:divsChild>
                                    <w:div w:id="2142375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127481">
      <w:bodyDiv w:val="1"/>
      <w:marLeft w:val="0"/>
      <w:marRight w:val="0"/>
      <w:marTop w:val="0"/>
      <w:marBottom w:val="0"/>
      <w:divBdr>
        <w:top w:val="none" w:sz="0" w:space="0" w:color="auto"/>
        <w:left w:val="none" w:sz="0" w:space="0" w:color="auto"/>
        <w:bottom w:val="none" w:sz="0" w:space="0" w:color="auto"/>
        <w:right w:val="none" w:sz="0" w:space="0" w:color="auto"/>
      </w:divBdr>
      <w:divsChild>
        <w:div w:id="1949656412">
          <w:marLeft w:val="0"/>
          <w:marRight w:val="1"/>
          <w:marTop w:val="0"/>
          <w:marBottom w:val="0"/>
          <w:divBdr>
            <w:top w:val="none" w:sz="0" w:space="0" w:color="auto"/>
            <w:left w:val="none" w:sz="0" w:space="0" w:color="auto"/>
            <w:bottom w:val="none" w:sz="0" w:space="0" w:color="auto"/>
            <w:right w:val="none" w:sz="0" w:space="0" w:color="auto"/>
          </w:divBdr>
          <w:divsChild>
            <w:div w:id="907884587">
              <w:marLeft w:val="0"/>
              <w:marRight w:val="0"/>
              <w:marTop w:val="0"/>
              <w:marBottom w:val="0"/>
              <w:divBdr>
                <w:top w:val="none" w:sz="0" w:space="0" w:color="auto"/>
                <w:left w:val="none" w:sz="0" w:space="0" w:color="auto"/>
                <w:bottom w:val="none" w:sz="0" w:space="0" w:color="auto"/>
                <w:right w:val="none" w:sz="0" w:space="0" w:color="auto"/>
              </w:divBdr>
              <w:divsChild>
                <w:div w:id="1947426937">
                  <w:marLeft w:val="0"/>
                  <w:marRight w:val="1"/>
                  <w:marTop w:val="0"/>
                  <w:marBottom w:val="0"/>
                  <w:divBdr>
                    <w:top w:val="none" w:sz="0" w:space="0" w:color="auto"/>
                    <w:left w:val="none" w:sz="0" w:space="0" w:color="auto"/>
                    <w:bottom w:val="none" w:sz="0" w:space="0" w:color="auto"/>
                    <w:right w:val="none" w:sz="0" w:space="0" w:color="auto"/>
                  </w:divBdr>
                  <w:divsChild>
                    <w:div w:id="2100902689">
                      <w:marLeft w:val="0"/>
                      <w:marRight w:val="0"/>
                      <w:marTop w:val="0"/>
                      <w:marBottom w:val="0"/>
                      <w:divBdr>
                        <w:top w:val="none" w:sz="0" w:space="0" w:color="auto"/>
                        <w:left w:val="none" w:sz="0" w:space="0" w:color="auto"/>
                        <w:bottom w:val="none" w:sz="0" w:space="0" w:color="auto"/>
                        <w:right w:val="none" w:sz="0" w:space="0" w:color="auto"/>
                      </w:divBdr>
                      <w:divsChild>
                        <w:div w:id="1119881396">
                          <w:marLeft w:val="0"/>
                          <w:marRight w:val="0"/>
                          <w:marTop w:val="0"/>
                          <w:marBottom w:val="0"/>
                          <w:divBdr>
                            <w:top w:val="none" w:sz="0" w:space="0" w:color="auto"/>
                            <w:left w:val="none" w:sz="0" w:space="0" w:color="auto"/>
                            <w:bottom w:val="none" w:sz="0" w:space="0" w:color="auto"/>
                            <w:right w:val="none" w:sz="0" w:space="0" w:color="auto"/>
                          </w:divBdr>
                          <w:divsChild>
                            <w:div w:id="875461252">
                              <w:marLeft w:val="0"/>
                              <w:marRight w:val="0"/>
                              <w:marTop w:val="120"/>
                              <w:marBottom w:val="360"/>
                              <w:divBdr>
                                <w:top w:val="none" w:sz="0" w:space="0" w:color="auto"/>
                                <w:left w:val="none" w:sz="0" w:space="0" w:color="auto"/>
                                <w:bottom w:val="none" w:sz="0" w:space="0" w:color="auto"/>
                                <w:right w:val="none" w:sz="0" w:space="0" w:color="auto"/>
                              </w:divBdr>
                              <w:divsChild>
                                <w:div w:id="1680690299">
                                  <w:marLeft w:val="187"/>
                                  <w:marRight w:val="0"/>
                                  <w:marTop w:val="0"/>
                                  <w:marBottom w:val="0"/>
                                  <w:divBdr>
                                    <w:top w:val="none" w:sz="0" w:space="0" w:color="auto"/>
                                    <w:left w:val="none" w:sz="0" w:space="0" w:color="auto"/>
                                    <w:bottom w:val="none" w:sz="0" w:space="0" w:color="auto"/>
                                    <w:right w:val="none" w:sz="0" w:space="0" w:color="auto"/>
                                  </w:divBdr>
                                  <w:divsChild>
                                    <w:div w:id="21050283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982436">
      <w:bodyDiv w:val="1"/>
      <w:marLeft w:val="0"/>
      <w:marRight w:val="0"/>
      <w:marTop w:val="0"/>
      <w:marBottom w:val="0"/>
      <w:divBdr>
        <w:top w:val="none" w:sz="0" w:space="0" w:color="auto"/>
        <w:left w:val="none" w:sz="0" w:space="0" w:color="auto"/>
        <w:bottom w:val="none" w:sz="0" w:space="0" w:color="auto"/>
        <w:right w:val="none" w:sz="0" w:space="0" w:color="auto"/>
      </w:divBdr>
      <w:divsChild>
        <w:div w:id="1887256691">
          <w:marLeft w:val="0"/>
          <w:marRight w:val="1"/>
          <w:marTop w:val="0"/>
          <w:marBottom w:val="0"/>
          <w:divBdr>
            <w:top w:val="none" w:sz="0" w:space="0" w:color="auto"/>
            <w:left w:val="none" w:sz="0" w:space="0" w:color="auto"/>
            <w:bottom w:val="none" w:sz="0" w:space="0" w:color="auto"/>
            <w:right w:val="none" w:sz="0" w:space="0" w:color="auto"/>
          </w:divBdr>
          <w:divsChild>
            <w:div w:id="1881359251">
              <w:marLeft w:val="0"/>
              <w:marRight w:val="0"/>
              <w:marTop w:val="0"/>
              <w:marBottom w:val="0"/>
              <w:divBdr>
                <w:top w:val="none" w:sz="0" w:space="0" w:color="auto"/>
                <w:left w:val="none" w:sz="0" w:space="0" w:color="auto"/>
                <w:bottom w:val="none" w:sz="0" w:space="0" w:color="auto"/>
                <w:right w:val="none" w:sz="0" w:space="0" w:color="auto"/>
              </w:divBdr>
              <w:divsChild>
                <w:div w:id="1267498376">
                  <w:marLeft w:val="0"/>
                  <w:marRight w:val="1"/>
                  <w:marTop w:val="0"/>
                  <w:marBottom w:val="0"/>
                  <w:divBdr>
                    <w:top w:val="none" w:sz="0" w:space="0" w:color="auto"/>
                    <w:left w:val="none" w:sz="0" w:space="0" w:color="auto"/>
                    <w:bottom w:val="none" w:sz="0" w:space="0" w:color="auto"/>
                    <w:right w:val="none" w:sz="0" w:space="0" w:color="auto"/>
                  </w:divBdr>
                  <w:divsChild>
                    <w:div w:id="216553637">
                      <w:marLeft w:val="0"/>
                      <w:marRight w:val="0"/>
                      <w:marTop w:val="0"/>
                      <w:marBottom w:val="0"/>
                      <w:divBdr>
                        <w:top w:val="none" w:sz="0" w:space="0" w:color="auto"/>
                        <w:left w:val="none" w:sz="0" w:space="0" w:color="auto"/>
                        <w:bottom w:val="none" w:sz="0" w:space="0" w:color="auto"/>
                        <w:right w:val="none" w:sz="0" w:space="0" w:color="auto"/>
                      </w:divBdr>
                      <w:divsChild>
                        <w:div w:id="630940919">
                          <w:marLeft w:val="0"/>
                          <w:marRight w:val="0"/>
                          <w:marTop w:val="0"/>
                          <w:marBottom w:val="0"/>
                          <w:divBdr>
                            <w:top w:val="none" w:sz="0" w:space="0" w:color="auto"/>
                            <w:left w:val="none" w:sz="0" w:space="0" w:color="auto"/>
                            <w:bottom w:val="none" w:sz="0" w:space="0" w:color="auto"/>
                            <w:right w:val="none" w:sz="0" w:space="0" w:color="auto"/>
                          </w:divBdr>
                          <w:divsChild>
                            <w:div w:id="71897333">
                              <w:marLeft w:val="0"/>
                              <w:marRight w:val="0"/>
                              <w:marTop w:val="120"/>
                              <w:marBottom w:val="360"/>
                              <w:divBdr>
                                <w:top w:val="none" w:sz="0" w:space="0" w:color="auto"/>
                                <w:left w:val="none" w:sz="0" w:space="0" w:color="auto"/>
                                <w:bottom w:val="none" w:sz="0" w:space="0" w:color="auto"/>
                                <w:right w:val="none" w:sz="0" w:space="0" w:color="auto"/>
                              </w:divBdr>
                              <w:divsChild>
                                <w:div w:id="1053624401">
                                  <w:marLeft w:val="187"/>
                                  <w:marRight w:val="0"/>
                                  <w:marTop w:val="0"/>
                                  <w:marBottom w:val="0"/>
                                  <w:divBdr>
                                    <w:top w:val="none" w:sz="0" w:space="0" w:color="auto"/>
                                    <w:left w:val="none" w:sz="0" w:space="0" w:color="auto"/>
                                    <w:bottom w:val="none" w:sz="0" w:space="0" w:color="auto"/>
                                    <w:right w:val="none" w:sz="0" w:space="0" w:color="auto"/>
                                  </w:divBdr>
                                  <w:divsChild>
                                    <w:div w:id="19162354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81130">
      <w:bodyDiv w:val="1"/>
      <w:marLeft w:val="0"/>
      <w:marRight w:val="0"/>
      <w:marTop w:val="0"/>
      <w:marBottom w:val="0"/>
      <w:divBdr>
        <w:top w:val="none" w:sz="0" w:space="0" w:color="auto"/>
        <w:left w:val="none" w:sz="0" w:space="0" w:color="auto"/>
        <w:bottom w:val="none" w:sz="0" w:space="0" w:color="auto"/>
        <w:right w:val="none" w:sz="0" w:space="0" w:color="auto"/>
      </w:divBdr>
      <w:divsChild>
        <w:div w:id="1686516981">
          <w:marLeft w:val="0"/>
          <w:marRight w:val="1"/>
          <w:marTop w:val="0"/>
          <w:marBottom w:val="0"/>
          <w:divBdr>
            <w:top w:val="none" w:sz="0" w:space="0" w:color="auto"/>
            <w:left w:val="none" w:sz="0" w:space="0" w:color="auto"/>
            <w:bottom w:val="none" w:sz="0" w:space="0" w:color="auto"/>
            <w:right w:val="none" w:sz="0" w:space="0" w:color="auto"/>
          </w:divBdr>
          <w:divsChild>
            <w:div w:id="606623729">
              <w:marLeft w:val="0"/>
              <w:marRight w:val="0"/>
              <w:marTop w:val="0"/>
              <w:marBottom w:val="0"/>
              <w:divBdr>
                <w:top w:val="none" w:sz="0" w:space="0" w:color="auto"/>
                <w:left w:val="none" w:sz="0" w:space="0" w:color="auto"/>
                <w:bottom w:val="none" w:sz="0" w:space="0" w:color="auto"/>
                <w:right w:val="none" w:sz="0" w:space="0" w:color="auto"/>
              </w:divBdr>
              <w:divsChild>
                <w:div w:id="181672702">
                  <w:marLeft w:val="0"/>
                  <w:marRight w:val="1"/>
                  <w:marTop w:val="0"/>
                  <w:marBottom w:val="0"/>
                  <w:divBdr>
                    <w:top w:val="none" w:sz="0" w:space="0" w:color="auto"/>
                    <w:left w:val="none" w:sz="0" w:space="0" w:color="auto"/>
                    <w:bottom w:val="none" w:sz="0" w:space="0" w:color="auto"/>
                    <w:right w:val="none" w:sz="0" w:space="0" w:color="auto"/>
                  </w:divBdr>
                  <w:divsChild>
                    <w:div w:id="2025859522">
                      <w:marLeft w:val="0"/>
                      <w:marRight w:val="0"/>
                      <w:marTop w:val="0"/>
                      <w:marBottom w:val="0"/>
                      <w:divBdr>
                        <w:top w:val="none" w:sz="0" w:space="0" w:color="auto"/>
                        <w:left w:val="none" w:sz="0" w:space="0" w:color="auto"/>
                        <w:bottom w:val="none" w:sz="0" w:space="0" w:color="auto"/>
                        <w:right w:val="none" w:sz="0" w:space="0" w:color="auto"/>
                      </w:divBdr>
                      <w:divsChild>
                        <w:div w:id="1151140564">
                          <w:marLeft w:val="0"/>
                          <w:marRight w:val="0"/>
                          <w:marTop w:val="0"/>
                          <w:marBottom w:val="0"/>
                          <w:divBdr>
                            <w:top w:val="none" w:sz="0" w:space="0" w:color="auto"/>
                            <w:left w:val="none" w:sz="0" w:space="0" w:color="auto"/>
                            <w:bottom w:val="none" w:sz="0" w:space="0" w:color="auto"/>
                            <w:right w:val="none" w:sz="0" w:space="0" w:color="auto"/>
                          </w:divBdr>
                          <w:divsChild>
                            <w:div w:id="1899627205">
                              <w:marLeft w:val="0"/>
                              <w:marRight w:val="0"/>
                              <w:marTop w:val="120"/>
                              <w:marBottom w:val="360"/>
                              <w:divBdr>
                                <w:top w:val="none" w:sz="0" w:space="0" w:color="auto"/>
                                <w:left w:val="none" w:sz="0" w:space="0" w:color="auto"/>
                                <w:bottom w:val="none" w:sz="0" w:space="0" w:color="auto"/>
                                <w:right w:val="none" w:sz="0" w:space="0" w:color="auto"/>
                              </w:divBdr>
                              <w:divsChild>
                                <w:div w:id="2013799593">
                                  <w:marLeft w:val="187"/>
                                  <w:marRight w:val="0"/>
                                  <w:marTop w:val="0"/>
                                  <w:marBottom w:val="0"/>
                                  <w:divBdr>
                                    <w:top w:val="none" w:sz="0" w:space="0" w:color="auto"/>
                                    <w:left w:val="none" w:sz="0" w:space="0" w:color="auto"/>
                                    <w:bottom w:val="none" w:sz="0" w:space="0" w:color="auto"/>
                                    <w:right w:val="none" w:sz="0" w:space="0" w:color="auto"/>
                                  </w:divBdr>
                                  <w:divsChild>
                                    <w:div w:id="20508336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2464">
      <w:bodyDiv w:val="1"/>
      <w:marLeft w:val="0"/>
      <w:marRight w:val="0"/>
      <w:marTop w:val="0"/>
      <w:marBottom w:val="0"/>
      <w:divBdr>
        <w:top w:val="none" w:sz="0" w:space="0" w:color="auto"/>
        <w:left w:val="none" w:sz="0" w:space="0" w:color="auto"/>
        <w:bottom w:val="none" w:sz="0" w:space="0" w:color="auto"/>
        <w:right w:val="none" w:sz="0" w:space="0" w:color="auto"/>
      </w:divBdr>
      <w:divsChild>
        <w:div w:id="1141465409">
          <w:marLeft w:val="0"/>
          <w:marRight w:val="1"/>
          <w:marTop w:val="0"/>
          <w:marBottom w:val="0"/>
          <w:divBdr>
            <w:top w:val="none" w:sz="0" w:space="0" w:color="auto"/>
            <w:left w:val="none" w:sz="0" w:space="0" w:color="auto"/>
            <w:bottom w:val="none" w:sz="0" w:space="0" w:color="auto"/>
            <w:right w:val="none" w:sz="0" w:space="0" w:color="auto"/>
          </w:divBdr>
          <w:divsChild>
            <w:div w:id="579681106">
              <w:marLeft w:val="0"/>
              <w:marRight w:val="0"/>
              <w:marTop w:val="0"/>
              <w:marBottom w:val="0"/>
              <w:divBdr>
                <w:top w:val="none" w:sz="0" w:space="0" w:color="auto"/>
                <w:left w:val="none" w:sz="0" w:space="0" w:color="auto"/>
                <w:bottom w:val="none" w:sz="0" w:space="0" w:color="auto"/>
                <w:right w:val="none" w:sz="0" w:space="0" w:color="auto"/>
              </w:divBdr>
              <w:divsChild>
                <w:div w:id="851147845">
                  <w:marLeft w:val="0"/>
                  <w:marRight w:val="1"/>
                  <w:marTop w:val="0"/>
                  <w:marBottom w:val="0"/>
                  <w:divBdr>
                    <w:top w:val="none" w:sz="0" w:space="0" w:color="auto"/>
                    <w:left w:val="none" w:sz="0" w:space="0" w:color="auto"/>
                    <w:bottom w:val="none" w:sz="0" w:space="0" w:color="auto"/>
                    <w:right w:val="none" w:sz="0" w:space="0" w:color="auto"/>
                  </w:divBdr>
                  <w:divsChild>
                    <w:div w:id="1638679818">
                      <w:marLeft w:val="0"/>
                      <w:marRight w:val="0"/>
                      <w:marTop w:val="0"/>
                      <w:marBottom w:val="0"/>
                      <w:divBdr>
                        <w:top w:val="none" w:sz="0" w:space="0" w:color="auto"/>
                        <w:left w:val="none" w:sz="0" w:space="0" w:color="auto"/>
                        <w:bottom w:val="none" w:sz="0" w:space="0" w:color="auto"/>
                        <w:right w:val="none" w:sz="0" w:space="0" w:color="auto"/>
                      </w:divBdr>
                      <w:divsChild>
                        <w:div w:id="842935415">
                          <w:marLeft w:val="0"/>
                          <w:marRight w:val="0"/>
                          <w:marTop w:val="0"/>
                          <w:marBottom w:val="0"/>
                          <w:divBdr>
                            <w:top w:val="none" w:sz="0" w:space="0" w:color="auto"/>
                            <w:left w:val="none" w:sz="0" w:space="0" w:color="auto"/>
                            <w:bottom w:val="none" w:sz="0" w:space="0" w:color="auto"/>
                            <w:right w:val="none" w:sz="0" w:space="0" w:color="auto"/>
                          </w:divBdr>
                          <w:divsChild>
                            <w:div w:id="955211904">
                              <w:marLeft w:val="0"/>
                              <w:marRight w:val="0"/>
                              <w:marTop w:val="120"/>
                              <w:marBottom w:val="360"/>
                              <w:divBdr>
                                <w:top w:val="none" w:sz="0" w:space="0" w:color="auto"/>
                                <w:left w:val="none" w:sz="0" w:space="0" w:color="auto"/>
                                <w:bottom w:val="none" w:sz="0" w:space="0" w:color="auto"/>
                                <w:right w:val="none" w:sz="0" w:space="0" w:color="auto"/>
                              </w:divBdr>
                              <w:divsChild>
                                <w:div w:id="261769589">
                                  <w:marLeft w:val="187"/>
                                  <w:marRight w:val="0"/>
                                  <w:marTop w:val="0"/>
                                  <w:marBottom w:val="0"/>
                                  <w:divBdr>
                                    <w:top w:val="none" w:sz="0" w:space="0" w:color="auto"/>
                                    <w:left w:val="none" w:sz="0" w:space="0" w:color="auto"/>
                                    <w:bottom w:val="none" w:sz="0" w:space="0" w:color="auto"/>
                                    <w:right w:val="none" w:sz="0" w:space="0" w:color="auto"/>
                                  </w:divBdr>
                                  <w:divsChild>
                                    <w:div w:id="18131313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142784">
      <w:bodyDiv w:val="1"/>
      <w:marLeft w:val="0"/>
      <w:marRight w:val="0"/>
      <w:marTop w:val="0"/>
      <w:marBottom w:val="0"/>
      <w:divBdr>
        <w:top w:val="none" w:sz="0" w:space="0" w:color="auto"/>
        <w:left w:val="none" w:sz="0" w:space="0" w:color="auto"/>
        <w:bottom w:val="none" w:sz="0" w:space="0" w:color="auto"/>
        <w:right w:val="none" w:sz="0" w:space="0" w:color="auto"/>
      </w:divBdr>
    </w:div>
    <w:div w:id="835264321">
      <w:bodyDiv w:val="1"/>
      <w:marLeft w:val="0"/>
      <w:marRight w:val="0"/>
      <w:marTop w:val="0"/>
      <w:marBottom w:val="0"/>
      <w:divBdr>
        <w:top w:val="none" w:sz="0" w:space="0" w:color="auto"/>
        <w:left w:val="none" w:sz="0" w:space="0" w:color="auto"/>
        <w:bottom w:val="none" w:sz="0" w:space="0" w:color="auto"/>
        <w:right w:val="none" w:sz="0" w:space="0" w:color="auto"/>
      </w:divBdr>
      <w:divsChild>
        <w:div w:id="282881310">
          <w:marLeft w:val="0"/>
          <w:marRight w:val="1"/>
          <w:marTop w:val="0"/>
          <w:marBottom w:val="0"/>
          <w:divBdr>
            <w:top w:val="none" w:sz="0" w:space="0" w:color="auto"/>
            <w:left w:val="none" w:sz="0" w:space="0" w:color="auto"/>
            <w:bottom w:val="none" w:sz="0" w:space="0" w:color="auto"/>
            <w:right w:val="none" w:sz="0" w:space="0" w:color="auto"/>
          </w:divBdr>
          <w:divsChild>
            <w:div w:id="429742774">
              <w:marLeft w:val="0"/>
              <w:marRight w:val="0"/>
              <w:marTop w:val="0"/>
              <w:marBottom w:val="0"/>
              <w:divBdr>
                <w:top w:val="none" w:sz="0" w:space="0" w:color="auto"/>
                <w:left w:val="none" w:sz="0" w:space="0" w:color="auto"/>
                <w:bottom w:val="none" w:sz="0" w:space="0" w:color="auto"/>
                <w:right w:val="none" w:sz="0" w:space="0" w:color="auto"/>
              </w:divBdr>
              <w:divsChild>
                <w:div w:id="614024808">
                  <w:marLeft w:val="0"/>
                  <w:marRight w:val="1"/>
                  <w:marTop w:val="0"/>
                  <w:marBottom w:val="0"/>
                  <w:divBdr>
                    <w:top w:val="none" w:sz="0" w:space="0" w:color="auto"/>
                    <w:left w:val="none" w:sz="0" w:space="0" w:color="auto"/>
                    <w:bottom w:val="none" w:sz="0" w:space="0" w:color="auto"/>
                    <w:right w:val="none" w:sz="0" w:space="0" w:color="auto"/>
                  </w:divBdr>
                  <w:divsChild>
                    <w:div w:id="497499261">
                      <w:marLeft w:val="0"/>
                      <w:marRight w:val="0"/>
                      <w:marTop w:val="0"/>
                      <w:marBottom w:val="0"/>
                      <w:divBdr>
                        <w:top w:val="none" w:sz="0" w:space="0" w:color="auto"/>
                        <w:left w:val="none" w:sz="0" w:space="0" w:color="auto"/>
                        <w:bottom w:val="none" w:sz="0" w:space="0" w:color="auto"/>
                        <w:right w:val="none" w:sz="0" w:space="0" w:color="auto"/>
                      </w:divBdr>
                      <w:divsChild>
                        <w:div w:id="165285686">
                          <w:marLeft w:val="0"/>
                          <w:marRight w:val="0"/>
                          <w:marTop w:val="0"/>
                          <w:marBottom w:val="0"/>
                          <w:divBdr>
                            <w:top w:val="none" w:sz="0" w:space="0" w:color="auto"/>
                            <w:left w:val="none" w:sz="0" w:space="0" w:color="auto"/>
                            <w:bottom w:val="none" w:sz="0" w:space="0" w:color="auto"/>
                            <w:right w:val="none" w:sz="0" w:space="0" w:color="auto"/>
                          </w:divBdr>
                          <w:divsChild>
                            <w:div w:id="849099387">
                              <w:marLeft w:val="0"/>
                              <w:marRight w:val="0"/>
                              <w:marTop w:val="120"/>
                              <w:marBottom w:val="360"/>
                              <w:divBdr>
                                <w:top w:val="none" w:sz="0" w:space="0" w:color="auto"/>
                                <w:left w:val="none" w:sz="0" w:space="0" w:color="auto"/>
                                <w:bottom w:val="none" w:sz="0" w:space="0" w:color="auto"/>
                                <w:right w:val="none" w:sz="0" w:space="0" w:color="auto"/>
                              </w:divBdr>
                              <w:divsChild>
                                <w:div w:id="1833570223">
                                  <w:marLeft w:val="187"/>
                                  <w:marRight w:val="0"/>
                                  <w:marTop w:val="0"/>
                                  <w:marBottom w:val="0"/>
                                  <w:divBdr>
                                    <w:top w:val="none" w:sz="0" w:space="0" w:color="auto"/>
                                    <w:left w:val="none" w:sz="0" w:space="0" w:color="auto"/>
                                    <w:bottom w:val="none" w:sz="0" w:space="0" w:color="auto"/>
                                    <w:right w:val="none" w:sz="0" w:space="0" w:color="auto"/>
                                  </w:divBdr>
                                  <w:divsChild>
                                    <w:div w:id="16453556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88887">
      <w:bodyDiv w:val="1"/>
      <w:marLeft w:val="0"/>
      <w:marRight w:val="0"/>
      <w:marTop w:val="0"/>
      <w:marBottom w:val="0"/>
      <w:divBdr>
        <w:top w:val="none" w:sz="0" w:space="0" w:color="auto"/>
        <w:left w:val="none" w:sz="0" w:space="0" w:color="auto"/>
        <w:bottom w:val="none" w:sz="0" w:space="0" w:color="auto"/>
        <w:right w:val="none" w:sz="0" w:space="0" w:color="auto"/>
      </w:divBdr>
      <w:divsChild>
        <w:div w:id="908344015">
          <w:marLeft w:val="0"/>
          <w:marRight w:val="1"/>
          <w:marTop w:val="0"/>
          <w:marBottom w:val="0"/>
          <w:divBdr>
            <w:top w:val="none" w:sz="0" w:space="0" w:color="auto"/>
            <w:left w:val="none" w:sz="0" w:space="0" w:color="auto"/>
            <w:bottom w:val="none" w:sz="0" w:space="0" w:color="auto"/>
            <w:right w:val="none" w:sz="0" w:space="0" w:color="auto"/>
          </w:divBdr>
          <w:divsChild>
            <w:div w:id="1840579879">
              <w:marLeft w:val="0"/>
              <w:marRight w:val="0"/>
              <w:marTop w:val="0"/>
              <w:marBottom w:val="0"/>
              <w:divBdr>
                <w:top w:val="none" w:sz="0" w:space="0" w:color="auto"/>
                <w:left w:val="none" w:sz="0" w:space="0" w:color="auto"/>
                <w:bottom w:val="none" w:sz="0" w:space="0" w:color="auto"/>
                <w:right w:val="none" w:sz="0" w:space="0" w:color="auto"/>
              </w:divBdr>
              <w:divsChild>
                <w:div w:id="379938889">
                  <w:marLeft w:val="0"/>
                  <w:marRight w:val="1"/>
                  <w:marTop w:val="0"/>
                  <w:marBottom w:val="0"/>
                  <w:divBdr>
                    <w:top w:val="none" w:sz="0" w:space="0" w:color="auto"/>
                    <w:left w:val="none" w:sz="0" w:space="0" w:color="auto"/>
                    <w:bottom w:val="none" w:sz="0" w:space="0" w:color="auto"/>
                    <w:right w:val="none" w:sz="0" w:space="0" w:color="auto"/>
                  </w:divBdr>
                  <w:divsChild>
                    <w:div w:id="685257335">
                      <w:marLeft w:val="0"/>
                      <w:marRight w:val="0"/>
                      <w:marTop w:val="0"/>
                      <w:marBottom w:val="0"/>
                      <w:divBdr>
                        <w:top w:val="none" w:sz="0" w:space="0" w:color="auto"/>
                        <w:left w:val="none" w:sz="0" w:space="0" w:color="auto"/>
                        <w:bottom w:val="none" w:sz="0" w:space="0" w:color="auto"/>
                        <w:right w:val="none" w:sz="0" w:space="0" w:color="auto"/>
                      </w:divBdr>
                      <w:divsChild>
                        <w:div w:id="1174998481">
                          <w:marLeft w:val="0"/>
                          <w:marRight w:val="0"/>
                          <w:marTop w:val="0"/>
                          <w:marBottom w:val="0"/>
                          <w:divBdr>
                            <w:top w:val="none" w:sz="0" w:space="0" w:color="auto"/>
                            <w:left w:val="none" w:sz="0" w:space="0" w:color="auto"/>
                            <w:bottom w:val="none" w:sz="0" w:space="0" w:color="auto"/>
                            <w:right w:val="none" w:sz="0" w:space="0" w:color="auto"/>
                          </w:divBdr>
                          <w:divsChild>
                            <w:div w:id="214201471">
                              <w:marLeft w:val="0"/>
                              <w:marRight w:val="0"/>
                              <w:marTop w:val="120"/>
                              <w:marBottom w:val="360"/>
                              <w:divBdr>
                                <w:top w:val="none" w:sz="0" w:space="0" w:color="auto"/>
                                <w:left w:val="none" w:sz="0" w:space="0" w:color="auto"/>
                                <w:bottom w:val="none" w:sz="0" w:space="0" w:color="auto"/>
                                <w:right w:val="none" w:sz="0" w:space="0" w:color="auto"/>
                              </w:divBdr>
                              <w:divsChild>
                                <w:div w:id="2124882540">
                                  <w:marLeft w:val="380"/>
                                  <w:marRight w:val="0"/>
                                  <w:marTop w:val="0"/>
                                  <w:marBottom w:val="0"/>
                                  <w:divBdr>
                                    <w:top w:val="none" w:sz="0" w:space="0" w:color="auto"/>
                                    <w:left w:val="none" w:sz="0" w:space="0" w:color="auto"/>
                                    <w:bottom w:val="none" w:sz="0" w:space="0" w:color="auto"/>
                                    <w:right w:val="none" w:sz="0" w:space="0" w:color="auto"/>
                                  </w:divBdr>
                                  <w:divsChild>
                                    <w:div w:id="7165833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239697">
      <w:bodyDiv w:val="1"/>
      <w:marLeft w:val="0"/>
      <w:marRight w:val="0"/>
      <w:marTop w:val="0"/>
      <w:marBottom w:val="0"/>
      <w:divBdr>
        <w:top w:val="none" w:sz="0" w:space="0" w:color="auto"/>
        <w:left w:val="none" w:sz="0" w:space="0" w:color="auto"/>
        <w:bottom w:val="none" w:sz="0" w:space="0" w:color="auto"/>
        <w:right w:val="none" w:sz="0" w:space="0" w:color="auto"/>
      </w:divBdr>
      <w:divsChild>
        <w:div w:id="1459907433">
          <w:marLeft w:val="0"/>
          <w:marRight w:val="1"/>
          <w:marTop w:val="0"/>
          <w:marBottom w:val="0"/>
          <w:divBdr>
            <w:top w:val="none" w:sz="0" w:space="0" w:color="auto"/>
            <w:left w:val="none" w:sz="0" w:space="0" w:color="auto"/>
            <w:bottom w:val="none" w:sz="0" w:space="0" w:color="auto"/>
            <w:right w:val="none" w:sz="0" w:space="0" w:color="auto"/>
          </w:divBdr>
          <w:divsChild>
            <w:div w:id="1787501399">
              <w:marLeft w:val="0"/>
              <w:marRight w:val="0"/>
              <w:marTop w:val="0"/>
              <w:marBottom w:val="0"/>
              <w:divBdr>
                <w:top w:val="none" w:sz="0" w:space="0" w:color="auto"/>
                <w:left w:val="none" w:sz="0" w:space="0" w:color="auto"/>
                <w:bottom w:val="none" w:sz="0" w:space="0" w:color="auto"/>
                <w:right w:val="none" w:sz="0" w:space="0" w:color="auto"/>
              </w:divBdr>
              <w:divsChild>
                <w:div w:id="84348695">
                  <w:marLeft w:val="0"/>
                  <w:marRight w:val="1"/>
                  <w:marTop w:val="0"/>
                  <w:marBottom w:val="0"/>
                  <w:divBdr>
                    <w:top w:val="none" w:sz="0" w:space="0" w:color="auto"/>
                    <w:left w:val="none" w:sz="0" w:space="0" w:color="auto"/>
                    <w:bottom w:val="none" w:sz="0" w:space="0" w:color="auto"/>
                    <w:right w:val="none" w:sz="0" w:space="0" w:color="auto"/>
                  </w:divBdr>
                  <w:divsChild>
                    <w:div w:id="720598498">
                      <w:marLeft w:val="0"/>
                      <w:marRight w:val="0"/>
                      <w:marTop w:val="0"/>
                      <w:marBottom w:val="0"/>
                      <w:divBdr>
                        <w:top w:val="none" w:sz="0" w:space="0" w:color="auto"/>
                        <w:left w:val="none" w:sz="0" w:space="0" w:color="auto"/>
                        <w:bottom w:val="none" w:sz="0" w:space="0" w:color="auto"/>
                        <w:right w:val="none" w:sz="0" w:space="0" w:color="auto"/>
                      </w:divBdr>
                      <w:divsChild>
                        <w:div w:id="281306130">
                          <w:marLeft w:val="0"/>
                          <w:marRight w:val="0"/>
                          <w:marTop w:val="0"/>
                          <w:marBottom w:val="0"/>
                          <w:divBdr>
                            <w:top w:val="none" w:sz="0" w:space="0" w:color="auto"/>
                            <w:left w:val="none" w:sz="0" w:space="0" w:color="auto"/>
                            <w:bottom w:val="none" w:sz="0" w:space="0" w:color="auto"/>
                            <w:right w:val="none" w:sz="0" w:space="0" w:color="auto"/>
                          </w:divBdr>
                          <w:divsChild>
                            <w:div w:id="1267618418">
                              <w:marLeft w:val="0"/>
                              <w:marRight w:val="0"/>
                              <w:marTop w:val="120"/>
                              <w:marBottom w:val="360"/>
                              <w:divBdr>
                                <w:top w:val="none" w:sz="0" w:space="0" w:color="auto"/>
                                <w:left w:val="none" w:sz="0" w:space="0" w:color="auto"/>
                                <w:bottom w:val="none" w:sz="0" w:space="0" w:color="auto"/>
                                <w:right w:val="none" w:sz="0" w:space="0" w:color="auto"/>
                              </w:divBdr>
                              <w:divsChild>
                                <w:div w:id="705180207">
                                  <w:marLeft w:val="187"/>
                                  <w:marRight w:val="0"/>
                                  <w:marTop w:val="0"/>
                                  <w:marBottom w:val="0"/>
                                  <w:divBdr>
                                    <w:top w:val="none" w:sz="0" w:space="0" w:color="auto"/>
                                    <w:left w:val="none" w:sz="0" w:space="0" w:color="auto"/>
                                    <w:bottom w:val="none" w:sz="0" w:space="0" w:color="auto"/>
                                    <w:right w:val="none" w:sz="0" w:space="0" w:color="auto"/>
                                  </w:divBdr>
                                  <w:divsChild>
                                    <w:div w:id="9475451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608931">
      <w:bodyDiv w:val="1"/>
      <w:marLeft w:val="0"/>
      <w:marRight w:val="0"/>
      <w:marTop w:val="0"/>
      <w:marBottom w:val="0"/>
      <w:divBdr>
        <w:top w:val="none" w:sz="0" w:space="0" w:color="auto"/>
        <w:left w:val="none" w:sz="0" w:space="0" w:color="auto"/>
        <w:bottom w:val="none" w:sz="0" w:space="0" w:color="auto"/>
        <w:right w:val="none" w:sz="0" w:space="0" w:color="auto"/>
      </w:divBdr>
      <w:divsChild>
        <w:div w:id="2117554874">
          <w:marLeft w:val="0"/>
          <w:marRight w:val="1"/>
          <w:marTop w:val="0"/>
          <w:marBottom w:val="0"/>
          <w:divBdr>
            <w:top w:val="none" w:sz="0" w:space="0" w:color="auto"/>
            <w:left w:val="none" w:sz="0" w:space="0" w:color="auto"/>
            <w:bottom w:val="none" w:sz="0" w:space="0" w:color="auto"/>
            <w:right w:val="none" w:sz="0" w:space="0" w:color="auto"/>
          </w:divBdr>
          <w:divsChild>
            <w:div w:id="1550342210">
              <w:marLeft w:val="0"/>
              <w:marRight w:val="0"/>
              <w:marTop w:val="0"/>
              <w:marBottom w:val="0"/>
              <w:divBdr>
                <w:top w:val="none" w:sz="0" w:space="0" w:color="auto"/>
                <w:left w:val="none" w:sz="0" w:space="0" w:color="auto"/>
                <w:bottom w:val="none" w:sz="0" w:space="0" w:color="auto"/>
                <w:right w:val="none" w:sz="0" w:space="0" w:color="auto"/>
              </w:divBdr>
              <w:divsChild>
                <w:div w:id="2117938248">
                  <w:marLeft w:val="0"/>
                  <w:marRight w:val="1"/>
                  <w:marTop w:val="0"/>
                  <w:marBottom w:val="0"/>
                  <w:divBdr>
                    <w:top w:val="none" w:sz="0" w:space="0" w:color="auto"/>
                    <w:left w:val="none" w:sz="0" w:space="0" w:color="auto"/>
                    <w:bottom w:val="none" w:sz="0" w:space="0" w:color="auto"/>
                    <w:right w:val="none" w:sz="0" w:space="0" w:color="auto"/>
                  </w:divBdr>
                  <w:divsChild>
                    <w:div w:id="1359626037">
                      <w:marLeft w:val="0"/>
                      <w:marRight w:val="0"/>
                      <w:marTop w:val="0"/>
                      <w:marBottom w:val="0"/>
                      <w:divBdr>
                        <w:top w:val="none" w:sz="0" w:space="0" w:color="auto"/>
                        <w:left w:val="none" w:sz="0" w:space="0" w:color="auto"/>
                        <w:bottom w:val="none" w:sz="0" w:space="0" w:color="auto"/>
                        <w:right w:val="none" w:sz="0" w:space="0" w:color="auto"/>
                      </w:divBdr>
                      <w:divsChild>
                        <w:div w:id="733697419">
                          <w:marLeft w:val="0"/>
                          <w:marRight w:val="0"/>
                          <w:marTop w:val="0"/>
                          <w:marBottom w:val="0"/>
                          <w:divBdr>
                            <w:top w:val="none" w:sz="0" w:space="0" w:color="auto"/>
                            <w:left w:val="none" w:sz="0" w:space="0" w:color="auto"/>
                            <w:bottom w:val="none" w:sz="0" w:space="0" w:color="auto"/>
                            <w:right w:val="none" w:sz="0" w:space="0" w:color="auto"/>
                          </w:divBdr>
                          <w:divsChild>
                            <w:div w:id="327487076">
                              <w:marLeft w:val="0"/>
                              <w:marRight w:val="0"/>
                              <w:marTop w:val="120"/>
                              <w:marBottom w:val="360"/>
                              <w:divBdr>
                                <w:top w:val="none" w:sz="0" w:space="0" w:color="auto"/>
                                <w:left w:val="none" w:sz="0" w:space="0" w:color="auto"/>
                                <w:bottom w:val="none" w:sz="0" w:space="0" w:color="auto"/>
                                <w:right w:val="none" w:sz="0" w:space="0" w:color="auto"/>
                              </w:divBdr>
                              <w:divsChild>
                                <w:div w:id="1941328595">
                                  <w:marLeft w:val="187"/>
                                  <w:marRight w:val="0"/>
                                  <w:marTop w:val="0"/>
                                  <w:marBottom w:val="0"/>
                                  <w:divBdr>
                                    <w:top w:val="none" w:sz="0" w:space="0" w:color="auto"/>
                                    <w:left w:val="none" w:sz="0" w:space="0" w:color="auto"/>
                                    <w:bottom w:val="none" w:sz="0" w:space="0" w:color="auto"/>
                                    <w:right w:val="none" w:sz="0" w:space="0" w:color="auto"/>
                                  </w:divBdr>
                                  <w:divsChild>
                                    <w:div w:id="15954784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840731">
      <w:bodyDiv w:val="1"/>
      <w:marLeft w:val="0"/>
      <w:marRight w:val="0"/>
      <w:marTop w:val="0"/>
      <w:marBottom w:val="0"/>
      <w:divBdr>
        <w:top w:val="none" w:sz="0" w:space="0" w:color="auto"/>
        <w:left w:val="none" w:sz="0" w:space="0" w:color="auto"/>
        <w:bottom w:val="none" w:sz="0" w:space="0" w:color="auto"/>
        <w:right w:val="none" w:sz="0" w:space="0" w:color="auto"/>
      </w:divBdr>
      <w:divsChild>
        <w:div w:id="292949582">
          <w:marLeft w:val="0"/>
          <w:marRight w:val="1"/>
          <w:marTop w:val="0"/>
          <w:marBottom w:val="0"/>
          <w:divBdr>
            <w:top w:val="none" w:sz="0" w:space="0" w:color="auto"/>
            <w:left w:val="none" w:sz="0" w:space="0" w:color="auto"/>
            <w:bottom w:val="none" w:sz="0" w:space="0" w:color="auto"/>
            <w:right w:val="none" w:sz="0" w:space="0" w:color="auto"/>
          </w:divBdr>
          <w:divsChild>
            <w:div w:id="788351679">
              <w:marLeft w:val="0"/>
              <w:marRight w:val="0"/>
              <w:marTop w:val="0"/>
              <w:marBottom w:val="0"/>
              <w:divBdr>
                <w:top w:val="none" w:sz="0" w:space="0" w:color="auto"/>
                <w:left w:val="none" w:sz="0" w:space="0" w:color="auto"/>
                <w:bottom w:val="none" w:sz="0" w:space="0" w:color="auto"/>
                <w:right w:val="none" w:sz="0" w:space="0" w:color="auto"/>
              </w:divBdr>
              <w:divsChild>
                <w:div w:id="145128888">
                  <w:marLeft w:val="0"/>
                  <w:marRight w:val="1"/>
                  <w:marTop w:val="0"/>
                  <w:marBottom w:val="0"/>
                  <w:divBdr>
                    <w:top w:val="none" w:sz="0" w:space="0" w:color="auto"/>
                    <w:left w:val="none" w:sz="0" w:space="0" w:color="auto"/>
                    <w:bottom w:val="none" w:sz="0" w:space="0" w:color="auto"/>
                    <w:right w:val="none" w:sz="0" w:space="0" w:color="auto"/>
                  </w:divBdr>
                  <w:divsChild>
                    <w:div w:id="1156339648">
                      <w:marLeft w:val="0"/>
                      <w:marRight w:val="0"/>
                      <w:marTop w:val="0"/>
                      <w:marBottom w:val="0"/>
                      <w:divBdr>
                        <w:top w:val="none" w:sz="0" w:space="0" w:color="auto"/>
                        <w:left w:val="none" w:sz="0" w:space="0" w:color="auto"/>
                        <w:bottom w:val="none" w:sz="0" w:space="0" w:color="auto"/>
                        <w:right w:val="none" w:sz="0" w:space="0" w:color="auto"/>
                      </w:divBdr>
                      <w:divsChild>
                        <w:div w:id="221791852">
                          <w:marLeft w:val="0"/>
                          <w:marRight w:val="0"/>
                          <w:marTop w:val="0"/>
                          <w:marBottom w:val="0"/>
                          <w:divBdr>
                            <w:top w:val="none" w:sz="0" w:space="0" w:color="auto"/>
                            <w:left w:val="none" w:sz="0" w:space="0" w:color="auto"/>
                            <w:bottom w:val="none" w:sz="0" w:space="0" w:color="auto"/>
                            <w:right w:val="none" w:sz="0" w:space="0" w:color="auto"/>
                          </w:divBdr>
                          <w:divsChild>
                            <w:div w:id="429011501">
                              <w:marLeft w:val="0"/>
                              <w:marRight w:val="0"/>
                              <w:marTop w:val="120"/>
                              <w:marBottom w:val="360"/>
                              <w:divBdr>
                                <w:top w:val="none" w:sz="0" w:space="0" w:color="auto"/>
                                <w:left w:val="none" w:sz="0" w:space="0" w:color="auto"/>
                                <w:bottom w:val="none" w:sz="0" w:space="0" w:color="auto"/>
                                <w:right w:val="none" w:sz="0" w:space="0" w:color="auto"/>
                              </w:divBdr>
                              <w:divsChild>
                                <w:div w:id="1352218115">
                                  <w:marLeft w:val="187"/>
                                  <w:marRight w:val="0"/>
                                  <w:marTop w:val="0"/>
                                  <w:marBottom w:val="0"/>
                                  <w:divBdr>
                                    <w:top w:val="none" w:sz="0" w:space="0" w:color="auto"/>
                                    <w:left w:val="none" w:sz="0" w:space="0" w:color="auto"/>
                                    <w:bottom w:val="none" w:sz="0" w:space="0" w:color="auto"/>
                                    <w:right w:val="none" w:sz="0" w:space="0" w:color="auto"/>
                                  </w:divBdr>
                                  <w:divsChild>
                                    <w:div w:id="19125420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233378">
      <w:bodyDiv w:val="1"/>
      <w:marLeft w:val="0"/>
      <w:marRight w:val="0"/>
      <w:marTop w:val="0"/>
      <w:marBottom w:val="0"/>
      <w:divBdr>
        <w:top w:val="none" w:sz="0" w:space="0" w:color="auto"/>
        <w:left w:val="none" w:sz="0" w:space="0" w:color="auto"/>
        <w:bottom w:val="none" w:sz="0" w:space="0" w:color="auto"/>
        <w:right w:val="none" w:sz="0" w:space="0" w:color="auto"/>
      </w:divBdr>
      <w:divsChild>
        <w:div w:id="1327788165">
          <w:marLeft w:val="0"/>
          <w:marRight w:val="1"/>
          <w:marTop w:val="0"/>
          <w:marBottom w:val="0"/>
          <w:divBdr>
            <w:top w:val="none" w:sz="0" w:space="0" w:color="auto"/>
            <w:left w:val="none" w:sz="0" w:space="0" w:color="auto"/>
            <w:bottom w:val="none" w:sz="0" w:space="0" w:color="auto"/>
            <w:right w:val="none" w:sz="0" w:space="0" w:color="auto"/>
          </w:divBdr>
          <w:divsChild>
            <w:div w:id="1659532849">
              <w:marLeft w:val="0"/>
              <w:marRight w:val="0"/>
              <w:marTop w:val="0"/>
              <w:marBottom w:val="0"/>
              <w:divBdr>
                <w:top w:val="none" w:sz="0" w:space="0" w:color="auto"/>
                <w:left w:val="none" w:sz="0" w:space="0" w:color="auto"/>
                <w:bottom w:val="none" w:sz="0" w:space="0" w:color="auto"/>
                <w:right w:val="none" w:sz="0" w:space="0" w:color="auto"/>
              </w:divBdr>
              <w:divsChild>
                <w:div w:id="1990092823">
                  <w:marLeft w:val="0"/>
                  <w:marRight w:val="1"/>
                  <w:marTop w:val="0"/>
                  <w:marBottom w:val="0"/>
                  <w:divBdr>
                    <w:top w:val="none" w:sz="0" w:space="0" w:color="auto"/>
                    <w:left w:val="none" w:sz="0" w:space="0" w:color="auto"/>
                    <w:bottom w:val="none" w:sz="0" w:space="0" w:color="auto"/>
                    <w:right w:val="none" w:sz="0" w:space="0" w:color="auto"/>
                  </w:divBdr>
                  <w:divsChild>
                    <w:div w:id="578175300">
                      <w:marLeft w:val="0"/>
                      <w:marRight w:val="0"/>
                      <w:marTop w:val="0"/>
                      <w:marBottom w:val="0"/>
                      <w:divBdr>
                        <w:top w:val="none" w:sz="0" w:space="0" w:color="auto"/>
                        <w:left w:val="none" w:sz="0" w:space="0" w:color="auto"/>
                        <w:bottom w:val="none" w:sz="0" w:space="0" w:color="auto"/>
                        <w:right w:val="none" w:sz="0" w:space="0" w:color="auto"/>
                      </w:divBdr>
                      <w:divsChild>
                        <w:div w:id="2056461318">
                          <w:marLeft w:val="0"/>
                          <w:marRight w:val="0"/>
                          <w:marTop w:val="0"/>
                          <w:marBottom w:val="0"/>
                          <w:divBdr>
                            <w:top w:val="none" w:sz="0" w:space="0" w:color="auto"/>
                            <w:left w:val="none" w:sz="0" w:space="0" w:color="auto"/>
                            <w:bottom w:val="none" w:sz="0" w:space="0" w:color="auto"/>
                            <w:right w:val="none" w:sz="0" w:space="0" w:color="auto"/>
                          </w:divBdr>
                          <w:divsChild>
                            <w:div w:id="949047154">
                              <w:marLeft w:val="0"/>
                              <w:marRight w:val="0"/>
                              <w:marTop w:val="120"/>
                              <w:marBottom w:val="360"/>
                              <w:divBdr>
                                <w:top w:val="none" w:sz="0" w:space="0" w:color="auto"/>
                                <w:left w:val="none" w:sz="0" w:space="0" w:color="auto"/>
                                <w:bottom w:val="none" w:sz="0" w:space="0" w:color="auto"/>
                                <w:right w:val="none" w:sz="0" w:space="0" w:color="auto"/>
                              </w:divBdr>
                              <w:divsChild>
                                <w:div w:id="920334227">
                                  <w:marLeft w:val="187"/>
                                  <w:marRight w:val="0"/>
                                  <w:marTop w:val="0"/>
                                  <w:marBottom w:val="0"/>
                                  <w:divBdr>
                                    <w:top w:val="none" w:sz="0" w:space="0" w:color="auto"/>
                                    <w:left w:val="none" w:sz="0" w:space="0" w:color="auto"/>
                                    <w:bottom w:val="none" w:sz="0" w:space="0" w:color="auto"/>
                                    <w:right w:val="none" w:sz="0" w:space="0" w:color="auto"/>
                                  </w:divBdr>
                                  <w:divsChild>
                                    <w:div w:id="15718475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213544">
      <w:bodyDiv w:val="1"/>
      <w:marLeft w:val="0"/>
      <w:marRight w:val="0"/>
      <w:marTop w:val="0"/>
      <w:marBottom w:val="0"/>
      <w:divBdr>
        <w:top w:val="none" w:sz="0" w:space="0" w:color="auto"/>
        <w:left w:val="none" w:sz="0" w:space="0" w:color="auto"/>
        <w:bottom w:val="none" w:sz="0" w:space="0" w:color="auto"/>
        <w:right w:val="none" w:sz="0" w:space="0" w:color="auto"/>
      </w:divBdr>
      <w:divsChild>
        <w:div w:id="1638341339">
          <w:marLeft w:val="0"/>
          <w:marRight w:val="1"/>
          <w:marTop w:val="0"/>
          <w:marBottom w:val="0"/>
          <w:divBdr>
            <w:top w:val="none" w:sz="0" w:space="0" w:color="auto"/>
            <w:left w:val="none" w:sz="0" w:space="0" w:color="auto"/>
            <w:bottom w:val="none" w:sz="0" w:space="0" w:color="auto"/>
            <w:right w:val="none" w:sz="0" w:space="0" w:color="auto"/>
          </w:divBdr>
          <w:divsChild>
            <w:div w:id="1034186786">
              <w:marLeft w:val="0"/>
              <w:marRight w:val="0"/>
              <w:marTop w:val="0"/>
              <w:marBottom w:val="0"/>
              <w:divBdr>
                <w:top w:val="none" w:sz="0" w:space="0" w:color="auto"/>
                <w:left w:val="none" w:sz="0" w:space="0" w:color="auto"/>
                <w:bottom w:val="none" w:sz="0" w:space="0" w:color="auto"/>
                <w:right w:val="none" w:sz="0" w:space="0" w:color="auto"/>
              </w:divBdr>
              <w:divsChild>
                <w:div w:id="1459028370">
                  <w:marLeft w:val="0"/>
                  <w:marRight w:val="1"/>
                  <w:marTop w:val="0"/>
                  <w:marBottom w:val="0"/>
                  <w:divBdr>
                    <w:top w:val="none" w:sz="0" w:space="0" w:color="auto"/>
                    <w:left w:val="none" w:sz="0" w:space="0" w:color="auto"/>
                    <w:bottom w:val="none" w:sz="0" w:space="0" w:color="auto"/>
                    <w:right w:val="none" w:sz="0" w:space="0" w:color="auto"/>
                  </w:divBdr>
                  <w:divsChild>
                    <w:div w:id="1834680933">
                      <w:marLeft w:val="0"/>
                      <w:marRight w:val="0"/>
                      <w:marTop w:val="0"/>
                      <w:marBottom w:val="0"/>
                      <w:divBdr>
                        <w:top w:val="none" w:sz="0" w:space="0" w:color="auto"/>
                        <w:left w:val="none" w:sz="0" w:space="0" w:color="auto"/>
                        <w:bottom w:val="none" w:sz="0" w:space="0" w:color="auto"/>
                        <w:right w:val="none" w:sz="0" w:space="0" w:color="auto"/>
                      </w:divBdr>
                      <w:divsChild>
                        <w:div w:id="367805314">
                          <w:marLeft w:val="0"/>
                          <w:marRight w:val="0"/>
                          <w:marTop w:val="0"/>
                          <w:marBottom w:val="0"/>
                          <w:divBdr>
                            <w:top w:val="none" w:sz="0" w:space="0" w:color="auto"/>
                            <w:left w:val="none" w:sz="0" w:space="0" w:color="auto"/>
                            <w:bottom w:val="none" w:sz="0" w:space="0" w:color="auto"/>
                            <w:right w:val="none" w:sz="0" w:space="0" w:color="auto"/>
                          </w:divBdr>
                          <w:divsChild>
                            <w:div w:id="823083126">
                              <w:marLeft w:val="0"/>
                              <w:marRight w:val="0"/>
                              <w:marTop w:val="120"/>
                              <w:marBottom w:val="360"/>
                              <w:divBdr>
                                <w:top w:val="none" w:sz="0" w:space="0" w:color="auto"/>
                                <w:left w:val="none" w:sz="0" w:space="0" w:color="auto"/>
                                <w:bottom w:val="none" w:sz="0" w:space="0" w:color="auto"/>
                                <w:right w:val="none" w:sz="0" w:space="0" w:color="auto"/>
                              </w:divBdr>
                              <w:divsChild>
                                <w:div w:id="1925916272">
                                  <w:marLeft w:val="187"/>
                                  <w:marRight w:val="0"/>
                                  <w:marTop w:val="0"/>
                                  <w:marBottom w:val="0"/>
                                  <w:divBdr>
                                    <w:top w:val="none" w:sz="0" w:space="0" w:color="auto"/>
                                    <w:left w:val="none" w:sz="0" w:space="0" w:color="auto"/>
                                    <w:bottom w:val="none" w:sz="0" w:space="0" w:color="auto"/>
                                    <w:right w:val="none" w:sz="0" w:space="0" w:color="auto"/>
                                  </w:divBdr>
                                  <w:divsChild>
                                    <w:div w:id="15354564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411861">
      <w:bodyDiv w:val="1"/>
      <w:marLeft w:val="0"/>
      <w:marRight w:val="0"/>
      <w:marTop w:val="0"/>
      <w:marBottom w:val="0"/>
      <w:divBdr>
        <w:top w:val="none" w:sz="0" w:space="0" w:color="auto"/>
        <w:left w:val="none" w:sz="0" w:space="0" w:color="auto"/>
        <w:bottom w:val="none" w:sz="0" w:space="0" w:color="auto"/>
        <w:right w:val="none" w:sz="0" w:space="0" w:color="auto"/>
      </w:divBdr>
      <w:divsChild>
        <w:div w:id="1657420983">
          <w:marLeft w:val="0"/>
          <w:marRight w:val="1"/>
          <w:marTop w:val="0"/>
          <w:marBottom w:val="0"/>
          <w:divBdr>
            <w:top w:val="none" w:sz="0" w:space="0" w:color="auto"/>
            <w:left w:val="none" w:sz="0" w:space="0" w:color="auto"/>
            <w:bottom w:val="none" w:sz="0" w:space="0" w:color="auto"/>
            <w:right w:val="none" w:sz="0" w:space="0" w:color="auto"/>
          </w:divBdr>
          <w:divsChild>
            <w:div w:id="473376026">
              <w:marLeft w:val="0"/>
              <w:marRight w:val="0"/>
              <w:marTop w:val="0"/>
              <w:marBottom w:val="0"/>
              <w:divBdr>
                <w:top w:val="none" w:sz="0" w:space="0" w:color="auto"/>
                <w:left w:val="none" w:sz="0" w:space="0" w:color="auto"/>
                <w:bottom w:val="none" w:sz="0" w:space="0" w:color="auto"/>
                <w:right w:val="none" w:sz="0" w:space="0" w:color="auto"/>
              </w:divBdr>
              <w:divsChild>
                <w:div w:id="358432253">
                  <w:marLeft w:val="0"/>
                  <w:marRight w:val="1"/>
                  <w:marTop w:val="0"/>
                  <w:marBottom w:val="0"/>
                  <w:divBdr>
                    <w:top w:val="none" w:sz="0" w:space="0" w:color="auto"/>
                    <w:left w:val="none" w:sz="0" w:space="0" w:color="auto"/>
                    <w:bottom w:val="none" w:sz="0" w:space="0" w:color="auto"/>
                    <w:right w:val="none" w:sz="0" w:space="0" w:color="auto"/>
                  </w:divBdr>
                  <w:divsChild>
                    <w:div w:id="1422484434">
                      <w:marLeft w:val="0"/>
                      <w:marRight w:val="0"/>
                      <w:marTop w:val="0"/>
                      <w:marBottom w:val="0"/>
                      <w:divBdr>
                        <w:top w:val="none" w:sz="0" w:space="0" w:color="auto"/>
                        <w:left w:val="none" w:sz="0" w:space="0" w:color="auto"/>
                        <w:bottom w:val="none" w:sz="0" w:space="0" w:color="auto"/>
                        <w:right w:val="none" w:sz="0" w:space="0" w:color="auto"/>
                      </w:divBdr>
                      <w:divsChild>
                        <w:div w:id="1163861079">
                          <w:marLeft w:val="0"/>
                          <w:marRight w:val="0"/>
                          <w:marTop w:val="0"/>
                          <w:marBottom w:val="0"/>
                          <w:divBdr>
                            <w:top w:val="none" w:sz="0" w:space="0" w:color="auto"/>
                            <w:left w:val="none" w:sz="0" w:space="0" w:color="auto"/>
                            <w:bottom w:val="none" w:sz="0" w:space="0" w:color="auto"/>
                            <w:right w:val="none" w:sz="0" w:space="0" w:color="auto"/>
                          </w:divBdr>
                          <w:divsChild>
                            <w:div w:id="539320592">
                              <w:marLeft w:val="0"/>
                              <w:marRight w:val="0"/>
                              <w:marTop w:val="120"/>
                              <w:marBottom w:val="360"/>
                              <w:divBdr>
                                <w:top w:val="none" w:sz="0" w:space="0" w:color="auto"/>
                                <w:left w:val="none" w:sz="0" w:space="0" w:color="auto"/>
                                <w:bottom w:val="none" w:sz="0" w:space="0" w:color="auto"/>
                                <w:right w:val="none" w:sz="0" w:space="0" w:color="auto"/>
                              </w:divBdr>
                              <w:divsChild>
                                <w:div w:id="259653920">
                                  <w:marLeft w:val="420"/>
                                  <w:marRight w:val="0"/>
                                  <w:marTop w:val="0"/>
                                  <w:marBottom w:val="0"/>
                                  <w:divBdr>
                                    <w:top w:val="none" w:sz="0" w:space="0" w:color="auto"/>
                                    <w:left w:val="none" w:sz="0" w:space="0" w:color="auto"/>
                                    <w:bottom w:val="none" w:sz="0" w:space="0" w:color="auto"/>
                                    <w:right w:val="none" w:sz="0" w:space="0" w:color="auto"/>
                                  </w:divBdr>
                                  <w:divsChild>
                                    <w:div w:id="9995828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44537">
      <w:bodyDiv w:val="1"/>
      <w:marLeft w:val="0"/>
      <w:marRight w:val="0"/>
      <w:marTop w:val="0"/>
      <w:marBottom w:val="0"/>
      <w:divBdr>
        <w:top w:val="none" w:sz="0" w:space="0" w:color="auto"/>
        <w:left w:val="none" w:sz="0" w:space="0" w:color="auto"/>
        <w:bottom w:val="none" w:sz="0" w:space="0" w:color="auto"/>
        <w:right w:val="none" w:sz="0" w:space="0" w:color="auto"/>
      </w:divBdr>
      <w:divsChild>
        <w:div w:id="1791392522">
          <w:marLeft w:val="0"/>
          <w:marRight w:val="1"/>
          <w:marTop w:val="0"/>
          <w:marBottom w:val="0"/>
          <w:divBdr>
            <w:top w:val="none" w:sz="0" w:space="0" w:color="auto"/>
            <w:left w:val="none" w:sz="0" w:space="0" w:color="auto"/>
            <w:bottom w:val="none" w:sz="0" w:space="0" w:color="auto"/>
            <w:right w:val="none" w:sz="0" w:space="0" w:color="auto"/>
          </w:divBdr>
          <w:divsChild>
            <w:div w:id="222713404">
              <w:marLeft w:val="0"/>
              <w:marRight w:val="0"/>
              <w:marTop w:val="0"/>
              <w:marBottom w:val="0"/>
              <w:divBdr>
                <w:top w:val="none" w:sz="0" w:space="0" w:color="auto"/>
                <w:left w:val="none" w:sz="0" w:space="0" w:color="auto"/>
                <w:bottom w:val="none" w:sz="0" w:space="0" w:color="auto"/>
                <w:right w:val="none" w:sz="0" w:space="0" w:color="auto"/>
              </w:divBdr>
              <w:divsChild>
                <w:div w:id="1930504238">
                  <w:marLeft w:val="0"/>
                  <w:marRight w:val="1"/>
                  <w:marTop w:val="0"/>
                  <w:marBottom w:val="0"/>
                  <w:divBdr>
                    <w:top w:val="none" w:sz="0" w:space="0" w:color="auto"/>
                    <w:left w:val="none" w:sz="0" w:space="0" w:color="auto"/>
                    <w:bottom w:val="none" w:sz="0" w:space="0" w:color="auto"/>
                    <w:right w:val="none" w:sz="0" w:space="0" w:color="auto"/>
                  </w:divBdr>
                  <w:divsChild>
                    <w:div w:id="1805461133">
                      <w:marLeft w:val="0"/>
                      <w:marRight w:val="0"/>
                      <w:marTop w:val="0"/>
                      <w:marBottom w:val="0"/>
                      <w:divBdr>
                        <w:top w:val="none" w:sz="0" w:space="0" w:color="auto"/>
                        <w:left w:val="none" w:sz="0" w:space="0" w:color="auto"/>
                        <w:bottom w:val="none" w:sz="0" w:space="0" w:color="auto"/>
                        <w:right w:val="none" w:sz="0" w:space="0" w:color="auto"/>
                      </w:divBdr>
                      <w:divsChild>
                        <w:div w:id="1604150285">
                          <w:marLeft w:val="0"/>
                          <w:marRight w:val="0"/>
                          <w:marTop w:val="0"/>
                          <w:marBottom w:val="0"/>
                          <w:divBdr>
                            <w:top w:val="none" w:sz="0" w:space="0" w:color="auto"/>
                            <w:left w:val="none" w:sz="0" w:space="0" w:color="auto"/>
                            <w:bottom w:val="none" w:sz="0" w:space="0" w:color="auto"/>
                            <w:right w:val="none" w:sz="0" w:space="0" w:color="auto"/>
                          </w:divBdr>
                          <w:divsChild>
                            <w:div w:id="2086606762">
                              <w:marLeft w:val="0"/>
                              <w:marRight w:val="0"/>
                              <w:marTop w:val="120"/>
                              <w:marBottom w:val="360"/>
                              <w:divBdr>
                                <w:top w:val="none" w:sz="0" w:space="0" w:color="auto"/>
                                <w:left w:val="none" w:sz="0" w:space="0" w:color="auto"/>
                                <w:bottom w:val="none" w:sz="0" w:space="0" w:color="auto"/>
                                <w:right w:val="none" w:sz="0" w:space="0" w:color="auto"/>
                              </w:divBdr>
                              <w:divsChild>
                                <w:div w:id="767966532">
                                  <w:marLeft w:val="187"/>
                                  <w:marRight w:val="0"/>
                                  <w:marTop w:val="0"/>
                                  <w:marBottom w:val="0"/>
                                  <w:divBdr>
                                    <w:top w:val="none" w:sz="0" w:space="0" w:color="auto"/>
                                    <w:left w:val="none" w:sz="0" w:space="0" w:color="auto"/>
                                    <w:bottom w:val="none" w:sz="0" w:space="0" w:color="auto"/>
                                    <w:right w:val="none" w:sz="0" w:space="0" w:color="auto"/>
                                  </w:divBdr>
                                  <w:divsChild>
                                    <w:div w:id="11403444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359500">
      <w:bodyDiv w:val="1"/>
      <w:marLeft w:val="0"/>
      <w:marRight w:val="0"/>
      <w:marTop w:val="0"/>
      <w:marBottom w:val="0"/>
      <w:divBdr>
        <w:top w:val="none" w:sz="0" w:space="0" w:color="auto"/>
        <w:left w:val="none" w:sz="0" w:space="0" w:color="auto"/>
        <w:bottom w:val="none" w:sz="0" w:space="0" w:color="auto"/>
        <w:right w:val="none" w:sz="0" w:space="0" w:color="auto"/>
      </w:divBdr>
      <w:divsChild>
        <w:div w:id="801727267">
          <w:marLeft w:val="0"/>
          <w:marRight w:val="1"/>
          <w:marTop w:val="0"/>
          <w:marBottom w:val="0"/>
          <w:divBdr>
            <w:top w:val="none" w:sz="0" w:space="0" w:color="auto"/>
            <w:left w:val="none" w:sz="0" w:space="0" w:color="auto"/>
            <w:bottom w:val="none" w:sz="0" w:space="0" w:color="auto"/>
            <w:right w:val="none" w:sz="0" w:space="0" w:color="auto"/>
          </w:divBdr>
          <w:divsChild>
            <w:div w:id="266087608">
              <w:marLeft w:val="0"/>
              <w:marRight w:val="0"/>
              <w:marTop w:val="0"/>
              <w:marBottom w:val="0"/>
              <w:divBdr>
                <w:top w:val="none" w:sz="0" w:space="0" w:color="auto"/>
                <w:left w:val="none" w:sz="0" w:space="0" w:color="auto"/>
                <w:bottom w:val="none" w:sz="0" w:space="0" w:color="auto"/>
                <w:right w:val="none" w:sz="0" w:space="0" w:color="auto"/>
              </w:divBdr>
              <w:divsChild>
                <w:div w:id="912079366">
                  <w:marLeft w:val="0"/>
                  <w:marRight w:val="1"/>
                  <w:marTop w:val="0"/>
                  <w:marBottom w:val="0"/>
                  <w:divBdr>
                    <w:top w:val="none" w:sz="0" w:space="0" w:color="auto"/>
                    <w:left w:val="none" w:sz="0" w:space="0" w:color="auto"/>
                    <w:bottom w:val="none" w:sz="0" w:space="0" w:color="auto"/>
                    <w:right w:val="none" w:sz="0" w:space="0" w:color="auto"/>
                  </w:divBdr>
                  <w:divsChild>
                    <w:div w:id="1375814705">
                      <w:marLeft w:val="0"/>
                      <w:marRight w:val="0"/>
                      <w:marTop w:val="0"/>
                      <w:marBottom w:val="0"/>
                      <w:divBdr>
                        <w:top w:val="none" w:sz="0" w:space="0" w:color="auto"/>
                        <w:left w:val="none" w:sz="0" w:space="0" w:color="auto"/>
                        <w:bottom w:val="none" w:sz="0" w:space="0" w:color="auto"/>
                        <w:right w:val="none" w:sz="0" w:space="0" w:color="auto"/>
                      </w:divBdr>
                      <w:divsChild>
                        <w:div w:id="89082177">
                          <w:marLeft w:val="0"/>
                          <w:marRight w:val="0"/>
                          <w:marTop w:val="0"/>
                          <w:marBottom w:val="0"/>
                          <w:divBdr>
                            <w:top w:val="none" w:sz="0" w:space="0" w:color="auto"/>
                            <w:left w:val="none" w:sz="0" w:space="0" w:color="auto"/>
                            <w:bottom w:val="none" w:sz="0" w:space="0" w:color="auto"/>
                            <w:right w:val="none" w:sz="0" w:space="0" w:color="auto"/>
                          </w:divBdr>
                          <w:divsChild>
                            <w:div w:id="431243565">
                              <w:marLeft w:val="0"/>
                              <w:marRight w:val="0"/>
                              <w:marTop w:val="120"/>
                              <w:marBottom w:val="360"/>
                              <w:divBdr>
                                <w:top w:val="none" w:sz="0" w:space="0" w:color="auto"/>
                                <w:left w:val="none" w:sz="0" w:space="0" w:color="auto"/>
                                <w:bottom w:val="none" w:sz="0" w:space="0" w:color="auto"/>
                                <w:right w:val="none" w:sz="0" w:space="0" w:color="auto"/>
                              </w:divBdr>
                              <w:divsChild>
                                <w:div w:id="1357191177">
                                  <w:marLeft w:val="0"/>
                                  <w:marRight w:val="0"/>
                                  <w:marTop w:val="0"/>
                                  <w:marBottom w:val="0"/>
                                  <w:divBdr>
                                    <w:top w:val="none" w:sz="0" w:space="0" w:color="auto"/>
                                    <w:left w:val="none" w:sz="0" w:space="0" w:color="auto"/>
                                    <w:bottom w:val="none" w:sz="0" w:space="0" w:color="auto"/>
                                    <w:right w:val="none" w:sz="0" w:space="0" w:color="auto"/>
                                  </w:divBdr>
                                  <w:divsChild>
                                    <w:div w:id="10926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380409">
      <w:bodyDiv w:val="1"/>
      <w:marLeft w:val="0"/>
      <w:marRight w:val="0"/>
      <w:marTop w:val="0"/>
      <w:marBottom w:val="0"/>
      <w:divBdr>
        <w:top w:val="none" w:sz="0" w:space="0" w:color="auto"/>
        <w:left w:val="none" w:sz="0" w:space="0" w:color="auto"/>
        <w:bottom w:val="none" w:sz="0" w:space="0" w:color="auto"/>
        <w:right w:val="none" w:sz="0" w:space="0" w:color="auto"/>
      </w:divBdr>
      <w:divsChild>
        <w:div w:id="2112700082">
          <w:marLeft w:val="0"/>
          <w:marRight w:val="1"/>
          <w:marTop w:val="0"/>
          <w:marBottom w:val="0"/>
          <w:divBdr>
            <w:top w:val="none" w:sz="0" w:space="0" w:color="auto"/>
            <w:left w:val="none" w:sz="0" w:space="0" w:color="auto"/>
            <w:bottom w:val="none" w:sz="0" w:space="0" w:color="auto"/>
            <w:right w:val="none" w:sz="0" w:space="0" w:color="auto"/>
          </w:divBdr>
          <w:divsChild>
            <w:div w:id="712846059">
              <w:marLeft w:val="0"/>
              <w:marRight w:val="0"/>
              <w:marTop w:val="0"/>
              <w:marBottom w:val="0"/>
              <w:divBdr>
                <w:top w:val="none" w:sz="0" w:space="0" w:color="auto"/>
                <w:left w:val="none" w:sz="0" w:space="0" w:color="auto"/>
                <w:bottom w:val="none" w:sz="0" w:space="0" w:color="auto"/>
                <w:right w:val="none" w:sz="0" w:space="0" w:color="auto"/>
              </w:divBdr>
              <w:divsChild>
                <w:div w:id="2012220087">
                  <w:marLeft w:val="0"/>
                  <w:marRight w:val="1"/>
                  <w:marTop w:val="0"/>
                  <w:marBottom w:val="0"/>
                  <w:divBdr>
                    <w:top w:val="none" w:sz="0" w:space="0" w:color="auto"/>
                    <w:left w:val="none" w:sz="0" w:space="0" w:color="auto"/>
                    <w:bottom w:val="none" w:sz="0" w:space="0" w:color="auto"/>
                    <w:right w:val="none" w:sz="0" w:space="0" w:color="auto"/>
                  </w:divBdr>
                  <w:divsChild>
                    <w:div w:id="1326126978">
                      <w:marLeft w:val="0"/>
                      <w:marRight w:val="0"/>
                      <w:marTop w:val="0"/>
                      <w:marBottom w:val="0"/>
                      <w:divBdr>
                        <w:top w:val="none" w:sz="0" w:space="0" w:color="auto"/>
                        <w:left w:val="none" w:sz="0" w:space="0" w:color="auto"/>
                        <w:bottom w:val="none" w:sz="0" w:space="0" w:color="auto"/>
                        <w:right w:val="none" w:sz="0" w:space="0" w:color="auto"/>
                      </w:divBdr>
                      <w:divsChild>
                        <w:div w:id="1986661913">
                          <w:marLeft w:val="0"/>
                          <w:marRight w:val="0"/>
                          <w:marTop w:val="0"/>
                          <w:marBottom w:val="0"/>
                          <w:divBdr>
                            <w:top w:val="none" w:sz="0" w:space="0" w:color="auto"/>
                            <w:left w:val="none" w:sz="0" w:space="0" w:color="auto"/>
                            <w:bottom w:val="none" w:sz="0" w:space="0" w:color="auto"/>
                            <w:right w:val="none" w:sz="0" w:space="0" w:color="auto"/>
                          </w:divBdr>
                          <w:divsChild>
                            <w:div w:id="544563977">
                              <w:marLeft w:val="0"/>
                              <w:marRight w:val="0"/>
                              <w:marTop w:val="120"/>
                              <w:marBottom w:val="360"/>
                              <w:divBdr>
                                <w:top w:val="none" w:sz="0" w:space="0" w:color="auto"/>
                                <w:left w:val="none" w:sz="0" w:space="0" w:color="auto"/>
                                <w:bottom w:val="none" w:sz="0" w:space="0" w:color="auto"/>
                                <w:right w:val="none" w:sz="0" w:space="0" w:color="auto"/>
                              </w:divBdr>
                              <w:divsChild>
                                <w:div w:id="868951660">
                                  <w:marLeft w:val="420"/>
                                  <w:marRight w:val="0"/>
                                  <w:marTop w:val="0"/>
                                  <w:marBottom w:val="0"/>
                                  <w:divBdr>
                                    <w:top w:val="none" w:sz="0" w:space="0" w:color="auto"/>
                                    <w:left w:val="none" w:sz="0" w:space="0" w:color="auto"/>
                                    <w:bottom w:val="none" w:sz="0" w:space="0" w:color="auto"/>
                                    <w:right w:val="none" w:sz="0" w:space="0" w:color="auto"/>
                                  </w:divBdr>
                                  <w:divsChild>
                                    <w:div w:id="15101713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07592">
      <w:bodyDiv w:val="1"/>
      <w:marLeft w:val="0"/>
      <w:marRight w:val="0"/>
      <w:marTop w:val="0"/>
      <w:marBottom w:val="0"/>
      <w:divBdr>
        <w:top w:val="none" w:sz="0" w:space="0" w:color="auto"/>
        <w:left w:val="none" w:sz="0" w:space="0" w:color="auto"/>
        <w:bottom w:val="none" w:sz="0" w:space="0" w:color="auto"/>
        <w:right w:val="none" w:sz="0" w:space="0" w:color="auto"/>
      </w:divBdr>
      <w:divsChild>
        <w:div w:id="1728727778">
          <w:marLeft w:val="0"/>
          <w:marRight w:val="1"/>
          <w:marTop w:val="0"/>
          <w:marBottom w:val="0"/>
          <w:divBdr>
            <w:top w:val="none" w:sz="0" w:space="0" w:color="auto"/>
            <w:left w:val="none" w:sz="0" w:space="0" w:color="auto"/>
            <w:bottom w:val="none" w:sz="0" w:space="0" w:color="auto"/>
            <w:right w:val="none" w:sz="0" w:space="0" w:color="auto"/>
          </w:divBdr>
          <w:divsChild>
            <w:div w:id="1983658257">
              <w:marLeft w:val="0"/>
              <w:marRight w:val="0"/>
              <w:marTop w:val="0"/>
              <w:marBottom w:val="0"/>
              <w:divBdr>
                <w:top w:val="none" w:sz="0" w:space="0" w:color="auto"/>
                <w:left w:val="none" w:sz="0" w:space="0" w:color="auto"/>
                <w:bottom w:val="none" w:sz="0" w:space="0" w:color="auto"/>
                <w:right w:val="none" w:sz="0" w:space="0" w:color="auto"/>
              </w:divBdr>
              <w:divsChild>
                <w:div w:id="1189754947">
                  <w:marLeft w:val="0"/>
                  <w:marRight w:val="1"/>
                  <w:marTop w:val="0"/>
                  <w:marBottom w:val="0"/>
                  <w:divBdr>
                    <w:top w:val="none" w:sz="0" w:space="0" w:color="auto"/>
                    <w:left w:val="none" w:sz="0" w:space="0" w:color="auto"/>
                    <w:bottom w:val="none" w:sz="0" w:space="0" w:color="auto"/>
                    <w:right w:val="none" w:sz="0" w:space="0" w:color="auto"/>
                  </w:divBdr>
                  <w:divsChild>
                    <w:div w:id="11540113">
                      <w:marLeft w:val="0"/>
                      <w:marRight w:val="0"/>
                      <w:marTop w:val="0"/>
                      <w:marBottom w:val="0"/>
                      <w:divBdr>
                        <w:top w:val="none" w:sz="0" w:space="0" w:color="auto"/>
                        <w:left w:val="none" w:sz="0" w:space="0" w:color="auto"/>
                        <w:bottom w:val="none" w:sz="0" w:space="0" w:color="auto"/>
                        <w:right w:val="none" w:sz="0" w:space="0" w:color="auto"/>
                      </w:divBdr>
                      <w:divsChild>
                        <w:div w:id="1913005892">
                          <w:marLeft w:val="0"/>
                          <w:marRight w:val="0"/>
                          <w:marTop w:val="0"/>
                          <w:marBottom w:val="0"/>
                          <w:divBdr>
                            <w:top w:val="none" w:sz="0" w:space="0" w:color="auto"/>
                            <w:left w:val="none" w:sz="0" w:space="0" w:color="auto"/>
                            <w:bottom w:val="none" w:sz="0" w:space="0" w:color="auto"/>
                            <w:right w:val="none" w:sz="0" w:space="0" w:color="auto"/>
                          </w:divBdr>
                          <w:divsChild>
                            <w:div w:id="1456871835">
                              <w:marLeft w:val="0"/>
                              <w:marRight w:val="0"/>
                              <w:marTop w:val="120"/>
                              <w:marBottom w:val="360"/>
                              <w:divBdr>
                                <w:top w:val="none" w:sz="0" w:space="0" w:color="auto"/>
                                <w:left w:val="none" w:sz="0" w:space="0" w:color="auto"/>
                                <w:bottom w:val="none" w:sz="0" w:space="0" w:color="auto"/>
                                <w:right w:val="none" w:sz="0" w:space="0" w:color="auto"/>
                              </w:divBdr>
                              <w:divsChild>
                                <w:div w:id="2062707215">
                                  <w:marLeft w:val="420"/>
                                  <w:marRight w:val="0"/>
                                  <w:marTop w:val="0"/>
                                  <w:marBottom w:val="0"/>
                                  <w:divBdr>
                                    <w:top w:val="none" w:sz="0" w:space="0" w:color="auto"/>
                                    <w:left w:val="none" w:sz="0" w:space="0" w:color="auto"/>
                                    <w:bottom w:val="none" w:sz="0" w:space="0" w:color="auto"/>
                                    <w:right w:val="none" w:sz="0" w:space="0" w:color="auto"/>
                                  </w:divBdr>
                                  <w:divsChild>
                                    <w:div w:id="4301979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2522">
      <w:bodyDiv w:val="1"/>
      <w:marLeft w:val="0"/>
      <w:marRight w:val="0"/>
      <w:marTop w:val="0"/>
      <w:marBottom w:val="0"/>
      <w:divBdr>
        <w:top w:val="none" w:sz="0" w:space="0" w:color="auto"/>
        <w:left w:val="none" w:sz="0" w:space="0" w:color="auto"/>
        <w:bottom w:val="none" w:sz="0" w:space="0" w:color="auto"/>
        <w:right w:val="none" w:sz="0" w:space="0" w:color="auto"/>
      </w:divBdr>
      <w:divsChild>
        <w:div w:id="1136072885">
          <w:marLeft w:val="0"/>
          <w:marRight w:val="1"/>
          <w:marTop w:val="0"/>
          <w:marBottom w:val="0"/>
          <w:divBdr>
            <w:top w:val="none" w:sz="0" w:space="0" w:color="auto"/>
            <w:left w:val="none" w:sz="0" w:space="0" w:color="auto"/>
            <w:bottom w:val="none" w:sz="0" w:space="0" w:color="auto"/>
            <w:right w:val="none" w:sz="0" w:space="0" w:color="auto"/>
          </w:divBdr>
          <w:divsChild>
            <w:div w:id="1736467268">
              <w:marLeft w:val="0"/>
              <w:marRight w:val="0"/>
              <w:marTop w:val="0"/>
              <w:marBottom w:val="0"/>
              <w:divBdr>
                <w:top w:val="none" w:sz="0" w:space="0" w:color="auto"/>
                <w:left w:val="none" w:sz="0" w:space="0" w:color="auto"/>
                <w:bottom w:val="none" w:sz="0" w:space="0" w:color="auto"/>
                <w:right w:val="none" w:sz="0" w:space="0" w:color="auto"/>
              </w:divBdr>
              <w:divsChild>
                <w:div w:id="1851334447">
                  <w:marLeft w:val="0"/>
                  <w:marRight w:val="1"/>
                  <w:marTop w:val="0"/>
                  <w:marBottom w:val="0"/>
                  <w:divBdr>
                    <w:top w:val="none" w:sz="0" w:space="0" w:color="auto"/>
                    <w:left w:val="none" w:sz="0" w:space="0" w:color="auto"/>
                    <w:bottom w:val="none" w:sz="0" w:space="0" w:color="auto"/>
                    <w:right w:val="none" w:sz="0" w:space="0" w:color="auto"/>
                  </w:divBdr>
                  <w:divsChild>
                    <w:div w:id="435179992">
                      <w:marLeft w:val="0"/>
                      <w:marRight w:val="0"/>
                      <w:marTop w:val="0"/>
                      <w:marBottom w:val="0"/>
                      <w:divBdr>
                        <w:top w:val="none" w:sz="0" w:space="0" w:color="auto"/>
                        <w:left w:val="none" w:sz="0" w:space="0" w:color="auto"/>
                        <w:bottom w:val="none" w:sz="0" w:space="0" w:color="auto"/>
                        <w:right w:val="none" w:sz="0" w:space="0" w:color="auto"/>
                      </w:divBdr>
                      <w:divsChild>
                        <w:div w:id="1834099458">
                          <w:marLeft w:val="0"/>
                          <w:marRight w:val="0"/>
                          <w:marTop w:val="0"/>
                          <w:marBottom w:val="0"/>
                          <w:divBdr>
                            <w:top w:val="none" w:sz="0" w:space="0" w:color="auto"/>
                            <w:left w:val="none" w:sz="0" w:space="0" w:color="auto"/>
                            <w:bottom w:val="none" w:sz="0" w:space="0" w:color="auto"/>
                            <w:right w:val="none" w:sz="0" w:space="0" w:color="auto"/>
                          </w:divBdr>
                          <w:divsChild>
                            <w:div w:id="1390880820">
                              <w:marLeft w:val="0"/>
                              <w:marRight w:val="0"/>
                              <w:marTop w:val="120"/>
                              <w:marBottom w:val="360"/>
                              <w:divBdr>
                                <w:top w:val="none" w:sz="0" w:space="0" w:color="auto"/>
                                <w:left w:val="none" w:sz="0" w:space="0" w:color="auto"/>
                                <w:bottom w:val="none" w:sz="0" w:space="0" w:color="auto"/>
                                <w:right w:val="none" w:sz="0" w:space="0" w:color="auto"/>
                              </w:divBdr>
                              <w:divsChild>
                                <w:div w:id="46075093">
                                  <w:marLeft w:val="380"/>
                                  <w:marRight w:val="0"/>
                                  <w:marTop w:val="0"/>
                                  <w:marBottom w:val="0"/>
                                  <w:divBdr>
                                    <w:top w:val="none" w:sz="0" w:space="0" w:color="auto"/>
                                    <w:left w:val="none" w:sz="0" w:space="0" w:color="auto"/>
                                    <w:bottom w:val="none" w:sz="0" w:space="0" w:color="auto"/>
                                    <w:right w:val="none" w:sz="0" w:space="0" w:color="auto"/>
                                  </w:divBdr>
                                  <w:divsChild>
                                    <w:div w:id="10893059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827803">
      <w:bodyDiv w:val="1"/>
      <w:marLeft w:val="0"/>
      <w:marRight w:val="0"/>
      <w:marTop w:val="0"/>
      <w:marBottom w:val="0"/>
      <w:divBdr>
        <w:top w:val="none" w:sz="0" w:space="0" w:color="auto"/>
        <w:left w:val="none" w:sz="0" w:space="0" w:color="auto"/>
        <w:bottom w:val="none" w:sz="0" w:space="0" w:color="auto"/>
        <w:right w:val="none" w:sz="0" w:space="0" w:color="auto"/>
      </w:divBdr>
      <w:divsChild>
        <w:div w:id="688070941">
          <w:marLeft w:val="0"/>
          <w:marRight w:val="1"/>
          <w:marTop w:val="0"/>
          <w:marBottom w:val="0"/>
          <w:divBdr>
            <w:top w:val="none" w:sz="0" w:space="0" w:color="auto"/>
            <w:left w:val="none" w:sz="0" w:space="0" w:color="auto"/>
            <w:bottom w:val="none" w:sz="0" w:space="0" w:color="auto"/>
            <w:right w:val="none" w:sz="0" w:space="0" w:color="auto"/>
          </w:divBdr>
          <w:divsChild>
            <w:div w:id="142310980">
              <w:marLeft w:val="0"/>
              <w:marRight w:val="0"/>
              <w:marTop w:val="0"/>
              <w:marBottom w:val="0"/>
              <w:divBdr>
                <w:top w:val="none" w:sz="0" w:space="0" w:color="auto"/>
                <w:left w:val="none" w:sz="0" w:space="0" w:color="auto"/>
                <w:bottom w:val="none" w:sz="0" w:space="0" w:color="auto"/>
                <w:right w:val="none" w:sz="0" w:space="0" w:color="auto"/>
              </w:divBdr>
              <w:divsChild>
                <w:div w:id="732042962">
                  <w:marLeft w:val="0"/>
                  <w:marRight w:val="1"/>
                  <w:marTop w:val="0"/>
                  <w:marBottom w:val="0"/>
                  <w:divBdr>
                    <w:top w:val="none" w:sz="0" w:space="0" w:color="auto"/>
                    <w:left w:val="none" w:sz="0" w:space="0" w:color="auto"/>
                    <w:bottom w:val="none" w:sz="0" w:space="0" w:color="auto"/>
                    <w:right w:val="none" w:sz="0" w:space="0" w:color="auto"/>
                  </w:divBdr>
                  <w:divsChild>
                    <w:div w:id="50616501">
                      <w:marLeft w:val="0"/>
                      <w:marRight w:val="0"/>
                      <w:marTop w:val="0"/>
                      <w:marBottom w:val="0"/>
                      <w:divBdr>
                        <w:top w:val="none" w:sz="0" w:space="0" w:color="auto"/>
                        <w:left w:val="none" w:sz="0" w:space="0" w:color="auto"/>
                        <w:bottom w:val="none" w:sz="0" w:space="0" w:color="auto"/>
                        <w:right w:val="none" w:sz="0" w:space="0" w:color="auto"/>
                      </w:divBdr>
                      <w:divsChild>
                        <w:div w:id="171339006">
                          <w:marLeft w:val="0"/>
                          <w:marRight w:val="0"/>
                          <w:marTop w:val="0"/>
                          <w:marBottom w:val="0"/>
                          <w:divBdr>
                            <w:top w:val="none" w:sz="0" w:space="0" w:color="auto"/>
                            <w:left w:val="none" w:sz="0" w:space="0" w:color="auto"/>
                            <w:bottom w:val="none" w:sz="0" w:space="0" w:color="auto"/>
                            <w:right w:val="none" w:sz="0" w:space="0" w:color="auto"/>
                          </w:divBdr>
                          <w:divsChild>
                            <w:div w:id="553811740">
                              <w:marLeft w:val="0"/>
                              <w:marRight w:val="0"/>
                              <w:marTop w:val="120"/>
                              <w:marBottom w:val="360"/>
                              <w:divBdr>
                                <w:top w:val="none" w:sz="0" w:space="0" w:color="auto"/>
                                <w:left w:val="none" w:sz="0" w:space="0" w:color="auto"/>
                                <w:bottom w:val="none" w:sz="0" w:space="0" w:color="auto"/>
                                <w:right w:val="none" w:sz="0" w:space="0" w:color="auto"/>
                              </w:divBdr>
                              <w:divsChild>
                                <w:div w:id="1855806835">
                                  <w:marLeft w:val="187"/>
                                  <w:marRight w:val="0"/>
                                  <w:marTop w:val="0"/>
                                  <w:marBottom w:val="0"/>
                                  <w:divBdr>
                                    <w:top w:val="none" w:sz="0" w:space="0" w:color="auto"/>
                                    <w:left w:val="none" w:sz="0" w:space="0" w:color="auto"/>
                                    <w:bottom w:val="none" w:sz="0" w:space="0" w:color="auto"/>
                                    <w:right w:val="none" w:sz="0" w:space="0" w:color="auto"/>
                                  </w:divBdr>
                                  <w:divsChild>
                                    <w:div w:id="11278191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29720">
      <w:bodyDiv w:val="1"/>
      <w:marLeft w:val="0"/>
      <w:marRight w:val="0"/>
      <w:marTop w:val="0"/>
      <w:marBottom w:val="0"/>
      <w:divBdr>
        <w:top w:val="none" w:sz="0" w:space="0" w:color="auto"/>
        <w:left w:val="none" w:sz="0" w:space="0" w:color="auto"/>
        <w:bottom w:val="none" w:sz="0" w:space="0" w:color="auto"/>
        <w:right w:val="none" w:sz="0" w:space="0" w:color="auto"/>
      </w:divBdr>
    </w:div>
    <w:div w:id="1914970721">
      <w:bodyDiv w:val="1"/>
      <w:marLeft w:val="0"/>
      <w:marRight w:val="0"/>
      <w:marTop w:val="0"/>
      <w:marBottom w:val="0"/>
      <w:divBdr>
        <w:top w:val="none" w:sz="0" w:space="0" w:color="auto"/>
        <w:left w:val="none" w:sz="0" w:space="0" w:color="auto"/>
        <w:bottom w:val="none" w:sz="0" w:space="0" w:color="auto"/>
        <w:right w:val="none" w:sz="0" w:space="0" w:color="auto"/>
      </w:divBdr>
      <w:divsChild>
        <w:div w:id="573126516">
          <w:marLeft w:val="0"/>
          <w:marRight w:val="1"/>
          <w:marTop w:val="0"/>
          <w:marBottom w:val="0"/>
          <w:divBdr>
            <w:top w:val="none" w:sz="0" w:space="0" w:color="auto"/>
            <w:left w:val="none" w:sz="0" w:space="0" w:color="auto"/>
            <w:bottom w:val="none" w:sz="0" w:space="0" w:color="auto"/>
            <w:right w:val="none" w:sz="0" w:space="0" w:color="auto"/>
          </w:divBdr>
          <w:divsChild>
            <w:div w:id="1573586311">
              <w:marLeft w:val="0"/>
              <w:marRight w:val="0"/>
              <w:marTop w:val="0"/>
              <w:marBottom w:val="0"/>
              <w:divBdr>
                <w:top w:val="none" w:sz="0" w:space="0" w:color="auto"/>
                <w:left w:val="none" w:sz="0" w:space="0" w:color="auto"/>
                <w:bottom w:val="none" w:sz="0" w:space="0" w:color="auto"/>
                <w:right w:val="none" w:sz="0" w:space="0" w:color="auto"/>
              </w:divBdr>
              <w:divsChild>
                <w:div w:id="42028433">
                  <w:marLeft w:val="0"/>
                  <w:marRight w:val="1"/>
                  <w:marTop w:val="0"/>
                  <w:marBottom w:val="0"/>
                  <w:divBdr>
                    <w:top w:val="none" w:sz="0" w:space="0" w:color="auto"/>
                    <w:left w:val="none" w:sz="0" w:space="0" w:color="auto"/>
                    <w:bottom w:val="none" w:sz="0" w:space="0" w:color="auto"/>
                    <w:right w:val="none" w:sz="0" w:space="0" w:color="auto"/>
                  </w:divBdr>
                  <w:divsChild>
                    <w:div w:id="1455173745">
                      <w:marLeft w:val="0"/>
                      <w:marRight w:val="0"/>
                      <w:marTop w:val="0"/>
                      <w:marBottom w:val="0"/>
                      <w:divBdr>
                        <w:top w:val="none" w:sz="0" w:space="0" w:color="auto"/>
                        <w:left w:val="none" w:sz="0" w:space="0" w:color="auto"/>
                        <w:bottom w:val="none" w:sz="0" w:space="0" w:color="auto"/>
                        <w:right w:val="none" w:sz="0" w:space="0" w:color="auto"/>
                      </w:divBdr>
                      <w:divsChild>
                        <w:div w:id="1672178024">
                          <w:marLeft w:val="0"/>
                          <w:marRight w:val="0"/>
                          <w:marTop w:val="0"/>
                          <w:marBottom w:val="0"/>
                          <w:divBdr>
                            <w:top w:val="none" w:sz="0" w:space="0" w:color="auto"/>
                            <w:left w:val="none" w:sz="0" w:space="0" w:color="auto"/>
                            <w:bottom w:val="none" w:sz="0" w:space="0" w:color="auto"/>
                            <w:right w:val="none" w:sz="0" w:space="0" w:color="auto"/>
                          </w:divBdr>
                          <w:divsChild>
                            <w:div w:id="2105496157">
                              <w:marLeft w:val="0"/>
                              <w:marRight w:val="0"/>
                              <w:marTop w:val="120"/>
                              <w:marBottom w:val="360"/>
                              <w:divBdr>
                                <w:top w:val="none" w:sz="0" w:space="0" w:color="auto"/>
                                <w:left w:val="none" w:sz="0" w:space="0" w:color="auto"/>
                                <w:bottom w:val="none" w:sz="0" w:space="0" w:color="auto"/>
                                <w:right w:val="none" w:sz="0" w:space="0" w:color="auto"/>
                              </w:divBdr>
                              <w:divsChild>
                                <w:div w:id="968583756">
                                  <w:marLeft w:val="187"/>
                                  <w:marRight w:val="0"/>
                                  <w:marTop w:val="0"/>
                                  <w:marBottom w:val="0"/>
                                  <w:divBdr>
                                    <w:top w:val="none" w:sz="0" w:space="0" w:color="auto"/>
                                    <w:left w:val="none" w:sz="0" w:space="0" w:color="auto"/>
                                    <w:bottom w:val="none" w:sz="0" w:space="0" w:color="auto"/>
                                    <w:right w:val="none" w:sz="0" w:space="0" w:color="auto"/>
                                  </w:divBdr>
                                  <w:divsChild>
                                    <w:div w:id="1599412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669353">
      <w:bodyDiv w:val="1"/>
      <w:marLeft w:val="0"/>
      <w:marRight w:val="0"/>
      <w:marTop w:val="0"/>
      <w:marBottom w:val="0"/>
      <w:divBdr>
        <w:top w:val="none" w:sz="0" w:space="0" w:color="auto"/>
        <w:left w:val="none" w:sz="0" w:space="0" w:color="auto"/>
        <w:bottom w:val="none" w:sz="0" w:space="0" w:color="auto"/>
        <w:right w:val="none" w:sz="0" w:space="0" w:color="auto"/>
      </w:divBdr>
      <w:divsChild>
        <w:div w:id="1508251022">
          <w:marLeft w:val="0"/>
          <w:marRight w:val="1"/>
          <w:marTop w:val="0"/>
          <w:marBottom w:val="0"/>
          <w:divBdr>
            <w:top w:val="none" w:sz="0" w:space="0" w:color="auto"/>
            <w:left w:val="none" w:sz="0" w:space="0" w:color="auto"/>
            <w:bottom w:val="none" w:sz="0" w:space="0" w:color="auto"/>
            <w:right w:val="none" w:sz="0" w:space="0" w:color="auto"/>
          </w:divBdr>
          <w:divsChild>
            <w:div w:id="1496070540">
              <w:marLeft w:val="0"/>
              <w:marRight w:val="0"/>
              <w:marTop w:val="0"/>
              <w:marBottom w:val="0"/>
              <w:divBdr>
                <w:top w:val="none" w:sz="0" w:space="0" w:color="auto"/>
                <w:left w:val="none" w:sz="0" w:space="0" w:color="auto"/>
                <w:bottom w:val="none" w:sz="0" w:space="0" w:color="auto"/>
                <w:right w:val="none" w:sz="0" w:space="0" w:color="auto"/>
              </w:divBdr>
              <w:divsChild>
                <w:div w:id="258681811">
                  <w:marLeft w:val="0"/>
                  <w:marRight w:val="1"/>
                  <w:marTop w:val="0"/>
                  <w:marBottom w:val="0"/>
                  <w:divBdr>
                    <w:top w:val="none" w:sz="0" w:space="0" w:color="auto"/>
                    <w:left w:val="none" w:sz="0" w:space="0" w:color="auto"/>
                    <w:bottom w:val="none" w:sz="0" w:space="0" w:color="auto"/>
                    <w:right w:val="none" w:sz="0" w:space="0" w:color="auto"/>
                  </w:divBdr>
                  <w:divsChild>
                    <w:div w:id="752776207">
                      <w:marLeft w:val="0"/>
                      <w:marRight w:val="0"/>
                      <w:marTop w:val="0"/>
                      <w:marBottom w:val="0"/>
                      <w:divBdr>
                        <w:top w:val="none" w:sz="0" w:space="0" w:color="auto"/>
                        <w:left w:val="none" w:sz="0" w:space="0" w:color="auto"/>
                        <w:bottom w:val="none" w:sz="0" w:space="0" w:color="auto"/>
                        <w:right w:val="none" w:sz="0" w:space="0" w:color="auto"/>
                      </w:divBdr>
                      <w:divsChild>
                        <w:div w:id="1521318221">
                          <w:marLeft w:val="0"/>
                          <w:marRight w:val="0"/>
                          <w:marTop w:val="0"/>
                          <w:marBottom w:val="0"/>
                          <w:divBdr>
                            <w:top w:val="none" w:sz="0" w:space="0" w:color="auto"/>
                            <w:left w:val="none" w:sz="0" w:space="0" w:color="auto"/>
                            <w:bottom w:val="none" w:sz="0" w:space="0" w:color="auto"/>
                            <w:right w:val="none" w:sz="0" w:space="0" w:color="auto"/>
                          </w:divBdr>
                          <w:divsChild>
                            <w:div w:id="612983907">
                              <w:marLeft w:val="0"/>
                              <w:marRight w:val="0"/>
                              <w:marTop w:val="120"/>
                              <w:marBottom w:val="360"/>
                              <w:divBdr>
                                <w:top w:val="none" w:sz="0" w:space="0" w:color="auto"/>
                                <w:left w:val="none" w:sz="0" w:space="0" w:color="auto"/>
                                <w:bottom w:val="none" w:sz="0" w:space="0" w:color="auto"/>
                                <w:right w:val="none" w:sz="0" w:space="0" w:color="auto"/>
                              </w:divBdr>
                              <w:divsChild>
                                <w:div w:id="1289313834">
                                  <w:marLeft w:val="187"/>
                                  <w:marRight w:val="0"/>
                                  <w:marTop w:val="0"/>
                                  <w:marBottom w:val="0"/>
                                  <w:divBdr>
                                    <w:top w:val="none" w:sz="0" w:space="0" w:color="auto"/>
                                    <w:left w:val="none" w:sz="0" w:space="0" w:color="auto"/>
                                    <w:bottom w:val="none" w:sz="0" w:space="0" w:color="auto"/>
                                    <w:right w:val="none" w:sz="0" w:space="0" w:color="auto"/>
                                  </w:divBdr>
                                  <w:divsChild>
                                    <w:div w:id="5286857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15547">
      <w:bodyDiv w:val="1"/>
      <w:marLeft w:val="0"/>
      <w:marRight w:val="0"/>
      <w:marTop w:val="0"/>
      <w:marBottom w:val="0"/>
      <w:divBdr>
        <w:top w:val="none" w:sz="0" w:space="0" w:color="auto"/>
        <w:left w:val="none" w:sz="0" w:space="0" w:color="auto"/>
        <w:bottom w:val="none" w:sz="0" w:space="0" w:color="auto"/>
        <w:right w:val="none" w:sz="0" w:space="0" w:color="auto"/>
      </w:divBdr>
      <w:divsChild>
        <w:div w:id="1251040562">
          <w:marLeft w:val="0"/>
          <w:marRight w:val="1"/>
          <w:marTop w:val="0"/>
          <w:marBottom w:val="0"/>
          <w:divBdr>
            <w:top w:val="none" w:sz="0" w:space="0" w:color="auto"/>
            <w:left w:val="none" w:sz="0" w:space="0" w:color="auto"/>
            <w:bottom w:val="none" w:sz="0" w:space="0" w:color="auto"/>
            <w:right w:val="none" w:sz="0" w:space="0" w:color="auto"/>
          </w:divBdr>
          <w:divsChild>
            <w:div w:id="415202655">
              <w:marLeft w:val="0"/>
              <w:marRight w:val="0"/>
              <w:marTop w:val="0"/>
              <w:marBottom w:val="0"/>
              <w:divBdr>
                <w:top w:val="none" w:sz="0" w:space="0" w:color="auto"/>
                <w:left w:val="none" w:sz="0" w:space="0" w:color="auto"/>
                <w:bottom w:val="none" w:sz="0" w:space="0" w:color="auto"/>
                <w:right w:val="none" w:sz="0" w:space="0" w:color="auto"/>
              </w:divBdr>
              <w:divsChild>
                <w:div w:id="2021659273">
                  <w:marLeft w:val="0"/>
                  <w:marRight w:val="1"/>
                  <w:marTop w:val="0"/>
                  <w:marBottom w:val="0"/>
                  <w:divBdr>
                    <w:top w:val="none" w:sz="0" w:space="0" w:color="auto"/>
                    <w:left w:val="none" w:sz="0" w:space="0" w:color="auto"/>
                    <w:bottom w:val="none" w:sz="0" w:space="0" w:color="auto"/>
                    <w:right w:val="none" w:sz="0" w:space="0" w:color="auto"/>
                  </w:divBdr>
                  <w:divsChild>
                    <w:div w:id="1233271105">
                      <w:marLeft w:val="0"/>
                      <w:marRight w:val="0"/>
                      <w:marTop w:val="0"/>
                      <w:marBottom w:val="0"/>
                      <w:divBdr>
                        <w:top w:val="none" w:sz="0" w:space="0" w:color="auto"/>
                        <w:left w:val="none" w:sz="0" w:space="0" w:color="auto"/>
                        <w:bottom w:val="none" w:sz="0" w:space="0" w:color="auto"/>
                        <w:right w:val="none" w:sz="0" w:space="0" w:color="auto"/>
                      </w:divBdr>
                      <w:divsChild>
                        <w:div w:id="1409423934">
                          <w:marLeft w:val="0"/>
                          <w:marRight w:val="0"/>
                          <w:marTop w:val="0"/>
                          <w:marBottom w:val="0"/>
                          <w:divBdr>
                            <w:top w:val="none" w:sz="0" w:space="0" w:color="auto"/>
                            <w:left w:val="none" w:sz="0" w:space="0" w:color="auto"/>
                            <w:bottom w:val="none" w:sz="0" w:space="0" w:color="auto"/>
                            <w:right w:val="none" w:sz="0" w:space="0" w:color="auto"/>
                          </w:divBdr>
                          <w:divsChild>
                            <w:div w:id="1181164355">
                              <w:marLeft w:val="0"/>
                              <w:marRight w:val="0"/>
                              <w:marTop w:val="120"/>
                              <w:marBottom w:val="360"/>
                              <w:divBdr>
                                <w:top w:val="none" w:sz="0" w:space="0" w:color="auto"/>
                                <w:left w:val="none" w:sz="0" w:space="0" w:color="auto"/>
                                <w:bottom w:val="none" w:sz="0" w:space="0" w:color="auto"/>
                                <w:right w:val="none" w:sz="0" w:space="0" w:color="auto"/>
                              </w:divBdr>
                              <w:divsChild>
                                <w:div w:id="823164512">
                                  <w:marLeft w:val="187"/>
                                  <w:marRight w:val="0"/>
                                  <w:marTop w:val="0"/>
                                  <w:marBottom w:val="0"/>
                                  <w:divBdr>
                                    <w:top w:val="none" w:sz="0" w:space="0" w:color="auto"/>
                                    <w:left w:val="none" w:sz="0" w:space="0" w:color="auto"/>
                                    <w:bottom w:val="none" w:sz="0" w:space="0" w:color="auto"/>
                                    <w:right w:val="none" w:sz="0" w:space="0" w:color="auto"/>
                                  </w:divBdr>
                                  <w:divsChild>
                                    <w:div w:id="3599427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113032">
      <w:bodyDiv w:val="1"/>
      <w:marLeft w:val="0"/>
      <w:marRight w:val="0"/>
      <w:marTop w:val="0"/>
      <w:marBottom w:val="0"/>
      <w:divBdr>
        <w:top w:val="none" w:sz="0" w:space="0" w:color="auto"/>
        <w:left w:val="none" w:sz="0" w:space="0" w:color="auto"/>
        <w:bottom w:val="none" w:sz="0" w:space="0" w:color="auto"/>
        <w:right w:val="none" w:sz="0" w:space="0" w:color="auto"/>
      </w:divBdr>
      <w:divsChild>
        <w:div w:id="1340425367">
          <w:marLeft w:val="0"/>
          <w:marRight w:val="1"/>
          <w:marTop w:val="0"/>
          <w:marBottom w:val="0"/>
          <w:divBdr>
            <w:top w:val="none" w:sz="0" w:space="0" w:color="auto"/>
            <w:left w:val="none" w:sz="0" w:space="0" w:color="auto"/>
            <w:bottom w:val="none" w:sz="0" w:space="0" w:color="auto"/>
            <w:right w:val="none" w:sz="0" w:space="0" w:color="auto"/>
          </w:divBdr>
          <w:divsChild>
            <w:div w:id="1260486353">
              <w:marLeft w:val="0"/>
              <w:marRight w:val="0"/>
              <w:marTop w:val="0"/>
              <w:marBottom w:val="0"/>
              <w:divBdr>
                <w:top w:val="none" w:sz="0" w:space="0" w:color="auto"/>
                <w:left w:val="none" w:sz="0" w:space="0" w:color="auto"/>
                <w:bottom w:val="none" w:sz="0" w:space="0" w:color="auto"/>
                <w:right w:val="none" w:sz="0" w:space="0" w:color="auto"/>
              </w:divBdr>
              <w:divsChild>
                <w:div w:id="1097484211">
                  <w:marLeft w:val="0"/>
                  <w:marRight w:val="1"/>
                  <w:marTop w:val="0"/>
                  <w:marBottom w:val="0"/>
                  <w:divBdr>
                    <w:top w:val="none" w:sz="0" w:space="0" w:color="auto"/>
                    <w:left w:val="none" w:sz="0" w:space="0" w:color="auto"/>
                    <w:bottom w:val="none" w:sz="0" w:space="0" w:color="auto"/>
                    <w:right w:val="none" w:sz="0" w:space="0" w:color="auto"/>
                  </w:divBdr>
                  <w:divsChild>
                    <w:div w:id="613639170">
                      <w:marLeft w:val="0"/>
                      <w:marRight w:val="0"/>
                      <w:marTop w:val="0"/>
                      <w:marBottom w:val="0"/>
                      <w:divBdr>
                        <w:top w:val="none" w:sz="0" w:space="0" w:color="auto"/>
                        <w:left w:val="none" w:sz="0" w:space="0" w:color="auto"/>
                        <w:bottom w:val="none" w:sz="0" w:space="0" w:color="auto"/>
                        <w:right w:val="none" w:sz="0" w:space="0" w:color="auto"/>
                      </w:divBdr>
                      <w:divsChild>
                        <w:div w:id="346560938">
                          <w:marLeft w:val="0"/>
                          <w:marRight w:val="0"/>
                          <w:marTop w:val="0"/>
                          <w:marBottom w:val="0"/>
                          <w:divBdr>
                            <w:top w:val="none" w:sz="0" w:space="0" w:color="auto"/>
                            <w:left w:val="none" w:sz="0" w:space="0" w:color="auto"/>
                            <w:bottom w:val="none" w:sz="0" w:space="0" w:color="auto"/>
                            <w:right w:val="none" w:sz="0" w:space="0" w:color="auto"/>
                          </w:divBdr>
                          <w:divsChild>
                            <w:div w:id="701707278">
                              <w:marLeft w:val="0"/>
                              <w:marRight w:val="0"/>
                              <w:marTop w:val="120"/>
                              <w:marBottom w:val="360"/>
                              <w:divBdr>
                                <w:top w:val="none" w:sz="0" w:space="0" w:color="auto"/>
                                <w:left w:val="none" w:sz="0" w:space="0" w:color="auto"/>
                                <w:bottom w:val="none" w:sz="0" w:space="0" w:color="auto"/>
                                <w:right w:val="none" w:sz="0" w:space="0" w:color="auto"/>
                              </w:divBdr>
                              <w:divsChild>
                                <w:div w:id="32193858">
                                  <w:marLeft w:val="187"/>
                                  <w:marRight w:val="0"/>
                                  <w:marTop w:val="0"/>
                                  <w:marBottom w:val="0"/>
                                  <w:divBdr>
                                    <w:top w:val="none" w:sz="0" w:space="0" w:color="auto"/>
                                    <w:left w:val="none" w:sz="0" w:space="0" w:color="auto"/>
                                    <w:bottom w:val="none" w:sz="0" w:space="0" w:color="auto"/>
                                    <w:right w:val="none" w:sz="0" w:space="0" w:color="auto"/>
                                  </w:divBdr>
                                  <w:divsChild>
                                    <w:div w:id="15941269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aopi@shinshu-u.ac.jp"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B9F65-E2F5-4A96-B147-DB20177F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7324</Words>
  <Characters>41750</Characters>
  <Application>Microsoft Office Word</Application>
  <DocSecurity>0</DocSecurity>
  <Lines>347</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Abstract</vt:lpstr>
      <vt:lpstr>Abstract</vt:lpstr>
    </vt:vector>
  </TitlesOfParts>
  <Company/>
  <LinksUpToDate>false</LinksUpToDate>
  <CharactersWithSpaces>48977</CharactersWithSpaces>
  <SharedDoc>false</SharedDoc>
  <HLinks>
    <vt:vector size="6" baseType="variant">
      <vt:variant>
        <vt:i4>6029439</vt:i4>
      </vt:variant>
      <vt:variant>
        <vt:i4>0</vt:i4>
      </vt:variant>
      <vt:variant>
        <vt:i4>0</vt:i4>
      </vt:variant>
      <vt:variant>
        <vt:i4>5</vt:i4>
      </vt:variant>
      <vt:variant>
        <vt:lpwstr>mailto:naopi@shinshu-u.ac.jp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Tanaka</dc:creator>
  <cp:lastModifiedBy>LS Ma</cp:lastModifiedBy>
  <cp:revision>2</cp:revision>
  <cp:lastPrinted>2016-08-02T10:32:00Z</cp:lastPrinted>
  <dcterms:created xsi:type="dcterms:W3CDTF">2017-01-02T04:38:00Z</dcterms:created>
  <dcterms:modified xsi:type="dcterms:W3CDTF">2017-01-02T04:38:00Z</dcterms:modified>
</cp:coreProperties>
</file>