
<file path=[Content_Types].xml><?xml version="1.0" encoding="utf-8"?>
<Types xmlns="http://schemas.openxmlformats.org/package/2006/content-types">
  <Default Extension="rels" ContentType="application/vnd.openxmlformats-package.relationships+xml"/>
  <Default Extension="xml" ContentType="application/xml"/>
  <Default Extension="tif" ContentType="image/tif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52F0551" w14:textId="77777777" w:rsidR="00DF2968" w:rsidRPr="00D3047C" w:rsidRDefault="00DF2968" w:rsidP="00A741A5">
      <w:pPr>
        <w:spacing w:line="360" w:lineRule="auto"/>
        <w:jc w:val="both"/>
        <w:rPr>
          <w:rFonts w:ascii="Book Antiqua" w:hAnsi="Book Antiqua" w:cs="Arial"/>
          <w:b/>
          <w:color w:val="222222"/>
          <w:shd w:val="clear" w:color="auto" w:fill="FFFFFF"/>
          <w:lang w:val="en-US"/>
        </w:rPr>
      </w:pPr>
      <w:r w:rsidRPr="00D3047C">
        <w:rPr>
          <w:rFonts w:ascii="Book Antiqua" w:hAnsi="Book Antiqua" w:cs="Arial"/>
          <w:b/>
          <w:color w:val="222222"/>
          <w:shd w:val="clear" w:color="auto" w:fill="FFFFFF"/>
          <w:lang w:val="en-US"/>
        </w:rPr>
        <w:t xml:space="preserve">Name of Journal: </w:t>
      </w:r>
      <w:r w:rsidRPr="003C7A54">
        <w:rPr>
          <w:rFonts w:ascii="Book Antiqua" w:hAnsi="Book Antiqua" w:cs="Arial"/>
          <w:b/>
          <w:i/>
          <w:color w:val="222222"/>
          <w:shd w:val="clear" w:color="auto" w:fill="FFFFFF"/>
          <w:lang w:val="en-US"/>
        </w:rPr>
        <w:t>World Journal of Gastroenterology</w:t>
      </w:r>
    </w:p>
    <w:p w14:paraId="17EBB70A" w14:textId="67A4BD01" w:rsidR="00DF2968" w:rsidRPr="00D3047C" w:rsidRDefault="00DF2968" w:rsidP="00A741A5">
      <w:pPr>
        <w:spacing w:line="360" w:lineRule="auto"/>
        <w:jc w:val="both"/>
        <w:rPr>
          <w:rFonts w:ascii="Book Antiqua" w:eastAsia="SimSun" w:hAnsi="Book Antiqua" w:cs="Arial"/>
          <w:b/>
          <w:color w:val="222222"/>
          <w:shd w:val="clear" w:color="auto" w:fill="FFFFFF"/>
          <w:lang w:val="en-US" w:eastAsia="zh-CN"/>
        </w:rPr>
      </w:pPr>
      <w:r w:rsidRPr="00D3047C">
        <w:rPr>
          <w:rFonts w:ascii="Book Antiqua" w:hAnsi="Book Antiqua" w:cs="Arial"/>
          <w:b/>
          <w:color w:val="222222"/>
          <w:shd w:val="clear" w:color="auto" w:fill="FFFFFF"/>
          <w:lang w:val="en-US"/>
        </w:rPr>
        <w:t xml:space="preserve">Manuscript NO: </w:t>
      </w:r>
      <w:r w:rsidRPr="00D3047C">
        <w:rPr>
          <w:rFonts w:ascii="Book Antiqua" w:eastAsia="SimSun" w:hAnsi="Book Antiqua" w:cs="Arial" w:hint="eastAsia"/>
          <w:b/>
          <w:color w:val="222222"/>
          <w:shd w:val="clear" w:color="auto" w:fill="FFFFFF"/>
          <w:lang w:val="en-US" w:eastAsia="zh-CN"/>
        </w:rPr>
        <w:t>32539</w:t>
      </w:r>
    </w:p>
    <w:p w14:paraId="48D9C077" w14:textId="77777777" w:rsidR="00DF2968" w:rsidRPr="00D3047C" w:rsidRDefault="00DF2968" w:rsidP="00A741A5">
      <w:pPr>
        <w:spacing w:line="360" w:lineRule="auto"/>
        <w:jc w:val="both"/>
        <w:rPr>
          <w:rFonts w:ascii="Book Antiqua" w:eastAsia="SimSun" w:hAnsi="Book Antiqua" w:cs="Arial"/>
          <w:b/>
          <w:color w:val="222222"/>
          <w:shd w:val="clear" w:color="auto" w:fill="FFFFFF"/>
          <w:lang w:val="en-US" w:eastAsia="zh-CN"/>
        </w:rPr>
      </w:pPr>
      <w:r w:rsidRPr="00D3047C">
        <w:rPr>
          <w:rFonts w:ascii="Book Antiqua" w:hAnsi="Book Antiqua" w:cs="Arial"/>
          <w:b/>
          <w:color w:val="222222"/>
          <w:shd w:val="clear" w:color="auto" w:fill="FFFFFF"/>
          <w:lang w:val="en-US"/>
        </w:rPr>
        <w:t>Manuscript Type: ORIGINAL ARTICLE</w:t>
      </w:r>
    </w:p>
    <w:p w14:paraId="35F3AEE6" w14:textId="77777777" w:rsidR="00DF2968" w:rsidRPr="00D3047C" w:rsidRDefault="00DF2968" w:rsidP="00A741A5">
      <w:pPr>
        <w:spacing w:line="360" w:lineRule="auto"/>
        <w:jc w:val="both"/>
        <w:rPr>
          <w:rFonts w:ascii="Book Antiqua" w:eastAsia="SimSun" w:hAnsi="Book Antiqua" w:cs="Arial"/>
          <w:b/>
          <w:color w:val="222222"/>
          <w:shd w:val="clear" w:color="auto" w:fill="FFFFFF"/>
          <w:lang w:val="en-US" w:eastAsia="zh-CN"/>
        </w:rPr>
      </w:pPr>
    </w:p>
    <w:p w14:paraId="3752E740" w14:textId="608977BB" w:rsidR="007871B8" w:rsidRPr="00DF2968" w:rsidRDefault="00DF2968" w:rsidP="00A741A5">
      <w:pPr>
        <w:spacing w:line="360" w:lineRule="auto"/>
        <w:jc w:val="both"/>
        <w:rPr>
          <w:rFonts w:ascii="Book Antiqua" w:eastAsia="SimSun" w:hAnsi="Book Antiqua"/>
          <w:i/>
          <w:spacing w:val="-6"/>
          <w:lang w:val="en-US" w:eastAsia="zh-CN"/>
        </w:rPr>
      </w:pPr>
      <w:r w:rsidRPr="00D3047C">
        <w:rPr>
          <w:rFonts w:ascii="Book Antiqua" w:hAnsi="Book Antiqua" w:cs="Arial"/>
          <w:b/>
          <w:i/>
          <w:color w:val="222222"/>
          <w:shd w:val="clear" w:color="auto" w:fill="FFFFFF"/>
          <w:lang w:val="en-US"/>
        </w:rPr>
        <w:t>Basic Study</w:t>
      </w:r>
    </w:p>
    <w:p w14:paraId="59BBE5FA" w14:textId="77777777" w:rsidR="000309B1" w:rsidRPr="00DF2968" w:rsidRDefault="000309B1" w:rsidP="00A741A5">
      <w:pPr>
        <w:spacing w:line="360" w:lineRule="auto"/>
        <w:jc w:val="both"/>
        <w:rPr>
          <w:rFonts w:ascii="Book Antiqua" w:hAnsi="Book Antiqua"/>
          <w:b/>
          <w:spacing w:val="-6"/>
          <w:lang w:val="en-US"/>
        </w:rPr>
      </w:pPr>
      <w:r w:rsidRPr="00DF2968">
        <w:rPr>
          <w:rFonts w:ascii="Book Antiqua" w:hAnsi="Book Antiqua"/>
          <w:b/>
          <w:spacing w:val="-6"/>
          <w:lang w:val="en-US"/>
        </w:rPr>
        <w:t>Bcl-2 degradation is an additional pro-apoptotic effect of polo-like kinase inhibition in cholangiocarcinoma cells</w:t>
      </w:r>
    </w:p>
    <w:p w14:paraId="7A94BA0D" w14:textId="77777777" w:rsidR="007871B8" w:rsidRPr="00DF2968" w:rsidRDefault="007871B8" w:rsidP="00A741A5">
      <w:pPr>
        <w:spacing w:line="360" w:lineRule="auto"/>
        <w:jc w:val="both"/>
        <w:rPr>
          <w:rFonts w:ascii="Book Antiqua" w:hAnsi="Book Antiqua"/>
          <w:b/>
          <w:spacing w:val="-6"/>
          <w:lang w:val="en-US"/>
        </w:rPr>
      </w:pPr>
    </w:p>
    <w:p w14:paraId="187290B9" w14:textId="4A28E0AB" w:rsidR="000309B1" w:rsidRDefault="007871B8" w:rsidP="00A741A5">
      <w:pPr>
        <w:spacing w:line="360" w:lineRule="auto"/>
        <w:jc w:val="both"/>
        <w:rPr>
          <w:rFonts w:ascii="Book Antiqua" w:eastAsia="SimSun" w:hAnsi="Book Antiqua"/>
          <w:lang w:val="en-US" w:eastAsia="zh-CN"/>
        </w:rPr>
      </w:pPr>
      <w:r w:rsidRPr="00DF2968">
        <w:rPr>
          <w:rFonts w:ascii="Book Antiqua" w:hAnsi="Book Antiqua"/>
          <w:lang w:val="en-US"/>
        </w:rPr>
        <w:t xml:space="preserve">Sydor S </w:t>
      </w:r>
      <w:r w:rsidRPr="00DF2968">
        <w:rPr>
          <w:rFonts w:ascii="Book Antiqua" w:hAnsi="Book Antiqua"/>
          <w:i/>
          <w:lang w:val="en-US"/>
        </w:rPr>
        <w:t>et al</w:t>
      </w:r>
      <w:r w:rsidR="008D2CCF" w:rsidRPr="00DF2968">
        <w:rPr>
          <w:rFonts w:ascii="Book Antiqua" w:hAnsi="Book Antiqua"/>
          <w:i/>
          <w:lang w:val="en-US"/>
        </w:rPr>
        <w:t>.</w:t>
      </w:r>
      <w:r w:rsidRPr="00DF2968">
        <w:rPr>
          <w:rFonts w:ascii="Book Antiqua" w:hAnsi="Book Antiqua"/>
          <w:lang w:val="en-US"/>
        </w:rPr>
        <w:t xml:space="preserve"> Bcl-2 degradation/polo-like kinase inhibition in CCA cells</w:t>
      </w:r>
    </w:p>
    <w:p w14:paraId="14C33A65" w14:textId="77777777" w:rsidR="00DF2968" w:rsidRPr="00DF2968" w:rsidRDefault="00DF2968" w:rsidP="00A741A5">
      <w:pPr>
        <w:spacing w:line="360" w:lineRule="auto"/>
        <w:jc w:val="both"/>
        <w:rPr>
          <w:rFonts w:ascii="Book Antiqua" w:eastAsia="SimSun" w:hAnsi="Book Antiqua"/>
          <w:lang w:val="en-US" w:eastAsia="zh-CN"/>
        </w:rPr>
      </w:pPr>
    </w:p>
    <w:p w14:paraId="7E26C812" w14:textId="4DB726A2" w:rsidR="000309B1" w:rsidRPr="00DF2968" w:rsidRDefault="000309B1" w:rsidP="00A741A5">
      <w:pPr>
        <w:spacing w:line="360" w:lineRule="auto"/>
        <w:jc w:val="both"/>
        <w:rPr>
          <w:rFonts w:ascii="Book Antiqua" w:hAnsi="Book Antiqua"/>
          <w:lang w:val="en-US"/>
        </w:rPr>
      </w:pPr>
      <w:r w:rsidRPr="00DF2968">
        <w:rPr>
          <w:rFonts w:ascii="Book Antiqua" w:hAnsi="Book Antiqua"/>
          <w:lang w:val="en-US"/>
        </w:rPr>
        <w:t>Svenja Sydor, Sami Jafoui, Lena Winge</w:t>
      </w:r>
      <w:r w:rsidR="00DF2968">
        <w:rPr>
          <w:rFonts w:ascii="Book Antiqua" w:hAnsi="Book Antiqua"/>
          <w:lang w:val="en-US"/>
        </w:rPr>
        <w:t>rter, Sandra Swoboda, Joachim C</w:t>
      </w:r>
      <w:r w:rsidRPr="00DF2968">
        <w:rPr>
          <w:rFonts w:ascii="Book Antiqua" w:hAnsi="Book Antiqua"/>
          <w:lang w:val="en-US"/>
        </w:rPr>
        <w:t xml:space="preserve"> Mertens, Guido Gerken, Ali Canba</w:t>
      </w:r>
      <w:r w:rsidR="00DF2968">
        <w:rPr>
          <w:rFonts w:ascii="Book Antiqua" w:hAnsi="Book Antiqua"/>
          <w:lang w:val="en-US"/>
        </w:rPr>
        <w:t>y, Andreas Paul</w:t>
      </w:r>
      <w:r w:rsidR="00DF2968">
        <w:rPr>
          <w:rFonts w:ascii="Book Antiqua" w:eastAsia="SimSun" w:hAnsi="Book Antiqua" w:hint="eastAsia"/>
          <w:lang w:val="en-US" w:eastAsia="zh-CN"/>
        </w:rPr>
        <w:t>,</w:t>
      </w:r>
      <w:r w:rsidR="00DF2968">
        <w:rPr>
          <w:rFonts w:ascii="Book Antiqua" w:hAnsi="Book Antiqua"/>
          <w:lang w:val="en-US"/>
        </w:rPr>
        <w:t xml:space="preserve"> Christian D</w:t>
      </w:r>
      <w:r w:rsidRPr="00DF2968">
        <w:rPr>
          <w:rFonts w:ascii="Book Antiqua" w:hAnsi="Book Antiqua"/>
          <w:lang w:val="en-US"/>
        </w:rPr>
        <w:t xml:space="preserve"> Fingas</w:t>
      </w:r>
    </w:p>
    <w:p w14:paraId="30D64397" w14:textId="77777777" w:rsidR="000309B1" w:rsidRPr="00DF2968" w:rsidRDefault="000309B1" w:rsidP="00A741A5">
      <w:pPr>
        <w:spacing w:line="360" w:lineRule="auto"/>
        <w:jc w:val="both"/>
        <w:rPr>
          <w:rFonts w:ascii="Book Antiqua" w:hAnsi="Book Antiqua"/>
          <w:lang w:val="en-US"/>
        </w:rPr>
      </w:pPr>
    </w:p>
    <w:p w14:paraId="26EBC4CF" w14:textId="19F8A5CB" w:rsidR="000309B1" w:rsidRDefault="00E36340" w:rsidP="00A741A5">
      <w:pPr>
        <w:spacing w:line="360" w:lineRule="auto"/>
        <w:jc w:val="both"/>
        <w:rPr>
          <w:rFonts w:ascii="Book Antiqua" w:eastAsia="SimSun" w:hAnsi="Book Antiqua"/>
          <w:lang w:val="en-US" w:eastAsia="zh-CN"/>
        </w:rPr>
      </w:pPr>
      <w:r w:rsidRPr="00660B61">
        <w:rPr>
          <w:rFonts w:ascii="Book Antiqua" w:hAnsi="Book Antiqua"/>
          <w:b/>
          <w:lang w:val="en-US"/>
        </w:rPr>
        <w:t xml:space="preserve">Svenja Sydor, Sami Jafoui, Lena Wingerter, Guido Gerken, Ali Canbay, </w:t>
      </w:r>
      <w:r w:rsidR="000309B1" w:rsidRPr="00DF2968">
        <w:rPr>
          <w:rFonts w:ascii="Book Antiqua" w:hAnsi="Book Antiqua"/>
          <w:lang w:val="en-US"/>
        </w:rPr>
        <w:t>Department of Gastroenterology and Hepatology, University Hospital Essen, University</w:t>
      </w:r>
      <w:r w:rsidR="00BE69E0">
        <w:rPr>
          <w:rFonts w:ascii="Book Antiqua" w:hAnsi="Book Antiqua"/>
          <w:lang w:val="en-US"/>
        </w:rPr>
        <w:t xml:space="preserve"> Duisburg-Essen, </w:t>
      </w:r>
      <w:r w:rsidR="00660B61" w:rsidRPr="00DF2968">
        <w:rPr>
          <w:rFonts w:ascii="Book Antiqua" w:hAnsi="Book Antiqua"/>
          <w:lang w:val="en-US"/>
        </w:rPr>
        <w:t>45122 Essen</w:t>
      </w:r>
      <w:r w:rsidR="00660B61">
        <w:rPr>
          <w:rFonts w:ascii="Book Antiqua" w:eastAsia="SimSun" w:hAnsi="Book Antiqua" w:hint="eastAsia"/>
          <w:lang w:val="en-US" w:eastAsia="zh-CN"/>
        </w:rPr>
        <w:t>,</w:t>
      </w:r>
      <w:r w:rsidR="00BE69E0">
        <w:rPr>
          <w:rFonts w:ascii="Book Antiqua" w:hAnsi="Book Antiqua"/>
          <w:lang w:val="en-US"/>
        </w:rPr>
        <w:t xml:space="preserve"> Germany</w:t>
      </w:r>
    </w:p>
    <w:p w14:paraId="0E5C957F" w14:textId="77777777" w:rsidR="00BE69E0" w:rsidRPr="00BE69E0" w:rsidRDefault="00BE69E0" w:rsidP="00A741A5">
      <w:pPr>
        <w:spacing w:line="360" w:lineRule="auto"/>
        <w:jc w:val="both"/>
        <w:rPr>
          <w:rFonts w:ascii="Book Antiqua" w:eastAsia="SimSun" w:hAnsi="Book Antiqua"/>
          <w:lang w:val="en-US" w:eastAsia="zh-CN"/>
        </w:rPr>
      </w:pPr>
    </w:p>
    <w:p w14:paraId="3DEA0195" w14:textId="1FAAA038" w:rsidR="000309B1" w:rsidRDefault="00E36340" w:rsidP="00A741A5">
      <w:pPr>
        <w:spacing w:line="360" w:lineRule="auto"/>
        <w:jc w:val="both"/>
        <w:rPr>
          <w:rFonts w:ascii="Book Antiqua" w:eastAsia="SimSun" w:hAnsi="Book Antiqua"/>
          <w:lang w:val="en-US" w:eastAsia="zh-CN"/>
        </w:rPr>
      </w:pPr>
      <w:r w:rsidRPr="00660B61">
        <w:rPr>
          <w:rFonts w:ascii="Book Antiqua" w:hAnsi="Book Antiqua"/>
          <w:b/>
          <w:lang w:val="en-US"/>
        </w:rPr>
        <w:t>Sandra Swo</w:t>
      </w:r>
      <w:r w:rsidR="00660B61" w:rsidRPr="00660B61">
        <w:rPr>
          <w:rFonts w:ascii="Book Antiqua" w:hAnsi="Book Antiqua"/>
          <w:b/>
          <w:lang w:val="en-US"/>
        </w:rPr>
        <w:t>boda, Andreas Paul, Christian D</w:t>
      </w:r>
      <w:r w:rsidRPr="00660B61">
        <w:rPr>
          <w:rFonts w:ascii="Book Antiqua" w:hAnsi="Book Antiqua"/>
          <w:b/>
          <w:lang w:val="en-US"/>
        </w:rPr>
        <w:t xml:space="preserve"> Fingas, </w:t>
      </w:r>
      <w:r w:rsidR="000309B1" w:rsidRPr="00DF2968">
        <w:rPr>
          <w:rFonts w:ascii="Book Antiqua" w:hAnsi="Book Antiqua"/>
          <w:lang w:val="en-US"/>
        </w:rPr>
        <w:t xml:space="preserve">Department for General, Visceral and Transplantation Surgery, University Hospital Essen, University Duisburg-Essen, </w:t>
      </w:r>
      <w:r w:rsidR="00660B61" w:rsidRPr="00DF2968">
        <w:rPr>
          <w:rFonts w:ascii="Book Antiqua" w:hAnsi="Book Antiqua"/>
          <w:lang w:val="en-US"/>
        </w:rPr>
        <w:t>45122 Essen</w:t>
      </w:r>
      <w:r w:rsidR="000309B1" w:rsidRPr="00DF2968">
        <w:rPr>
          <w:rFonts w:ascii="Book Antiqua" w:hAnsi="Book Antiqua"/>
          <w:lang w:val="en-US"/>
        </w:rPr>
        <w:t>, Germany</w:t>
      </w:r>
    </w:p>
    <w:p w14:paraId="10DFDD5D" w14:textId="77777777" w:rsidR="00BE69E0" w:rsidRPr="00BE69E0" w:rsidRDefault="00BE69E0" w:rsidP="00A741A5">
      <w:pPr>
        <w:spacing w:line="360" w:lineRule="auto"/>
        <w:jc w:val="both"/>
        <w:rPr>
          <w:rFonts w:ascii="Book Antiqua" w:eastAsia="SimSun" w:hAnsi="Book Antiqua"/>
          <w:lang w:val="en-US" w:eastAsia="zh-CN"/>
        </w:rPr>
      </w:pPr>
    </w:p>
    <w:p w14:paraId="554B7670" w14:textId="5545DF6F" w:rsidR="000309B1" w:rsidRPr="00BE69E0" w:rsidRDefault="00BE69E0" w:rsidP="00A741A5">
      <w:pPr>
        <w:spacing w:line="360" w:lineRule="auto"/>
        <w:jc w:val="both"/>
        <w:rPr>
          <w:rFonts w:ascii="Book Antiqua" w:eastAsia="SimSun" w:hAnsi="Book Antiqua"/>
          <w:lang w:val="en-US" w:eastAsia="zh-CN"/>
        </w:rPr>
      </w:pPr>
      <w:r w:rsidRPr="00660B61">
        <w:rPr>
          <w:rFonts w:ascii="Book Antiqua" w:hAnsi="Book Antiqua"/>
          <w:b/>
          <w:lang w:val="en-US"/>
        </w:rPr>
        <w:t>Joachin C</w:t>
      </w:r>
      <w:r w:rsidR="00E36340" w:rsidRPr="00660B61">
        <w:rPr>
          <w:rFonts w:ascii="Book Antiqua" w:hAnsi="Book Antiqua"/>
          <w:b/>
          <w:lang w:val="en-US"/>
        </w:rPr>
        <w:t xml:space="preserve"> Mertens, </w:t>
      </w:r>
      <w:r w:rsidR="000309B1" w:rsidRPr="00DF2968">
        <w:rPr>
          <w:rFonts w:ascii="Book Antiqua" w:hAnsi="Book Antiqua"/>
          <w:lang w:val="en-US"/>
        </w:rPr>
        <w:t>Division of Gastroenterology and Hepatology, University Hospi</w:t>
      </w:r>
      <w:r>
        <w:rPr>
          <w:rFonts w:ascii="Book Antiqua" w:hAnsi="Book Antiqua"/>
          <w:lang w:val="en-US"/>
        </w:rPr>
        <w:t>tal Zurich, Zurich, Switzerland</w:t>
      </w:r>
    </w:p>
    <w:p w14:paraId="4B0B8133" w14:textId="77777777" w:rsidR="000309B1" w:rsidRPr="00DF2968" w:rsidRDefault="000309B1" w:rsidP="00A741A5">
      <w:pPr>
        <w:spacing w:line="360" w:lineRule="auto"/>
        <w:jc w:val="both"/>
        <w:rPr>
          <w:rFonts w:ascii="Book Antiqua" w:hAnsi="Book Antiqua"/>
          <w:lang w:val="en-US"/>
        </w:rPr>
      </w:pPr>
    </w:p>
    <w:p w14:paraId="6DDA52ED" w14:textId="61C32FA1" w:rsidR="006909E8" w:rsidRPr="00BE69E0" w:rsidRDefault="00BE69E0" w:rsidP="00A741A5">
      <w:pPr>
        <w:spacing w:line="360" w:lineRule="auto"/>
        <w:jc w:val="both"/>
        <w:rPr>
          <w:rFonts w:ascii="Book Antiqua" w:eastAsia="SimSun" w:hAnsi="Book Antiqua"/>
          <w:b/>
          <w:lang w:val="en-US" w:eastAsia="zh-CN"/>
        </w:rPr>
      </w:pPr>
      <w:r>
        <w:rPr>
          <w:rFonts w:ascii="Book Antiqua" w:hAnsi="Book Antiqua"/>
          <w:b/>
          <w:lang w:val="en-US"/>
        </w:rPr>
        <w:t>Author contributio</w:t>
      </w:r>
      <w:r>
        <w:rPr>
          <w:rFonts w:ascii="Book Antiqua" w:eastAsia="SimSun" w:hAnsi="Book Antiqua" w:hint="eastAsia"/>
          <w:b/>
          <w:lang w:val="en-US" w:eastAsia="zh-CN"/>
        </w:rPr>
        <w:t xml:space="preserve">s: </w:t>
      </w:r>
      <w:r w:rsidR="008D2CCF" w:rsidRPr="00DF2968">
        <w:rPr>
          <w:rFonts w:ascii="Book Antiqua" w:hAnsi="Book Antiqua"/>
          <w:lang w:val="en-US"/>
        </w:rPr>
        <w:t>S</w:t>
      </w:r>
      <w:r w:rsidR="005D0504" w:rsidRPr="00DF2968">
        <w:rPr>
          <w:rFonts w:ascii="Book Antiqua" w:hAnsi="Book Antiqua"/>
          <w:lang w:val="en-US"/>
        </w:rPr>
        <w:t xml:space="preserve">ydor </w:t>
      </w:r>
      <w:r w:rsidR="008D2CCF" w:rsidRPr="00DF2968">
        <w:rPr>
          <w:rFonts w:ascii="Book Antiqua" w:hAnsi="Book Antiqua"/>
          <w:lang w:val="en-US"/>
        </w:rPr>
        <w:t xml:space="preserve">S </w:t>
      </w:r>
      <w:r w:rsidR="00660B61">
        <w:rPr>
          <w:rFonts w:ascii="Book Antiqua" w:eastAsia="SimSun" w:hAnsi="Book Antiqua" w:hint="eastAsia"/>
          <w:lang w:val="en-US" w:eastAsia="zh-CN"/>
        </w:rPr>
        <w:t xml:space="preserve">contributed to </w:t>
      </w:r>
      <w:r w:rsidR="008D2CCF" w:rsidRPr="00DF2968">
        <w:rPr>
          <w:rFonts w:ascii="Book Antiqua" w:hAnsi="Book Antiqua"/>
          <w:lang w:val="en-US"/>
        </w:rPr>
        <w:t>acquisition, analysis and interpretation of data, statistical analysis</w:t>
      </w:r>
      <w:r w:rsidR="005D0504" w:rsidRPr="00DF2968">
        <w:rPr>
          <w:rFonts w:ascii="Book Antiqua" w:hAnsi="Book Antiqua"/>
          <w:lang w:val="en-US"/>
        </w:rPr>
        <w:t>, drafting of the manuscript</w:t>
      </w:r>
      <w:r w:rsidR="00660B61">
        <w:rPr>
          <w:rFonts w:ascii="Book Antiqua" w:eastAsia="SimSun" w:hAnsi="Book Antiqua" w:hint="eastAsia"/>
          <w:lang w:val="en-US" w:eastAsia="zh-CN"/>
        </w:rPr>
        <w:t>;</w:t>
      </w:r>
      <w:r w:rsidR="005D0504" w:rsidRPr="00DF2968">
        <w:rPr>
          <w:rFonts w:ascii="Book Antiqua" w:hAnsi="Book Antiqua"/>
          <w:lang w:val="en-US"/>
        </w:rPr>
        <w:t xml:space="preserve"> </w:t>
      </w:r>
      <w:r w:rsidR="008D2CCF" w:rsidRPr="00DF2968">
        <w:rPr>
          <w:rFonts w:ascii="Book Antiqua" w:hAnsi="Book Antiqua"/>
          <w:lang w:val="en-US"/>
        </w:rPr>
        <w:t>J</w:t>
      </w:r>
      <w:r w:rsidR="005D0504" w:rsidRPr="00DF2968">
        <w:rPr>
          <w:rFonts w:ascii="Book Antiqua" w:hAnsi="Book Antiqua"/>
          <w:lang w:val="en-US"/>
        </w:rPr>
        <w:t>afoui S</w:t>
      </w:r>
      <w:r w:rsidR="008D2CCF" w:rsidRPr="00DF2968">
        <w:rPr>
          <w:rFonts w:ascii="Book Antiqua" w:hAnsi="Book Antiqua"/>
          <w:lang w:val="en-US"/>
        </w:rPr>
        <w:t xml:space="preserve"> </w:t>
      </w:r>
      <w:r w:rsidR="00660B61">
        <w:rPr>
          <w:rFonts w:ascii="Book Antiqua" w:eastAsia="SimSun" w:hAnsi="Book Antiqua" w:hint="eastAsia"/>
          <w:lang w:val="en-US" w:eastAsia="zh-CN"/>
        </w:rPr>
        <w:t>contributed to</w:t>
      </w:r>
      <w:r w:rsidR="00660B61" w:rsidRPr="00DF2968">
        <w:rPr>
          <w:rFonts w:ascii="Book Antiqua" w:hAnsi="Book Antiqua"/>
          <w:lang w:val="en-US"/>
        </w:rPr>
        <w:t xml:space="preserve"> </w:t>
      </w:r>
      <w:r w:rsidR="008D2CCF" w:rsidRPr="00DF2968">
        <w:rPr>
          <w:rFonts w:ascii="Book Antiqua" w:hAnsi="Book Antiqua"/>
          <w:lang w:val="en-US"/>
        </w:rPr>
        <w:t>acqu</w:t>
      </w:r>
      <w:r w:rsidR="005D0504" w:rsidRPr="00DF2968">
        <w:rPr>
          <w:rFonts w:ascii="Book Antiqua" w:hAnsi="Book Antiqua"/>
          <w:lang w:val="en-US"/>
        </w:rPr>
        <w:t>isition and analysis of data</w:t>
      </w:r>
      <w:r w:rsidR="00660B61">
        <w:rPr>
          <w:rFonts w:ascii="Book Antiqua" w:eastAsia="SimSun" w:hAnsi="Book Antiqua" w:hint="eastAsia"/>
          <w:lang w:val="en-US" w:eastAsia="zh-CN"/>
        </w:rPr>
        <w:t xml:space="preserve">; </w:t>
      </w:r>
      <w:r w:rsidR="008D2CCF" w:rsidRPr="00DF2968">
        <w:rPr>
          <w:rFonts w:ascii="Book Antiqua" w:hAnsi="Book Antiqua"/>
          <w:lang w:val="en-US"/>
        </w:rPr>
        <w:t>W</w:t>
      </w:r>
      <w:r w:rsidR="005D0504" w:rsidRPr="00DF2968">
        <w:rPr>
          <w:rFonts w:ascii="Book Antiqua" w:hAnsi="Book Antiqua"/>
          <w:lang w:val="en-US"/>
        </w:rPr>
        <w:t>ingerter L</w:t>
      </w:r>
      <w:r w:rsidR="008D2CCF" w:rsidRPr="00DF2968">
        <w:rPr>
          <w:rFonts w:ascii="Book Antiqua" w:hAnsi="Book Antiqua"/>
          <w:lang w:val="en-US"/>
        </w:rPr>
        <w:t xml:space="preserve"> </w:t>
      </w:r>
      <w:r w:rsidR="00660B61">
        <w:rPr>
          <w:rFonts w:ascii="Book Antiqua" w:eastAsia="SimSun" w:hAnsi="Book Antiqua" w:hint="eastAsia"/>
          <w:lang w:val="en-US" w:eastAsia="zh-CN"/>
        </w:rPr>
        <w:t>contributed to</w:t>
      </w:r>
      <w:r w:rsidR="00660B61" w:rsidRPr="00DF2968">
        <w:rPr>
          <w:rFonts w:ascii="Book Antiqua" w:hAnsi="Book Antiqua"/>
          <w:lang w:val="en-US"/>
        </w:rPr>
        <w:t xml:space="preserve"> </w:t>
      </w:r>
      <w:r w:rsidR="008D2CCF" w:rsidRPr="00DF2968">
        <w:rPr>
          <w:rFonts w:ascii="Book Antiqua" w:hAnsi="Book Antiqua"/>
          <w:lang w:val="en-US"/>
        </w:rPr>
        <w:t>acquisition and analysis of data</w:t>
      </w:r>
      <w:r w:rsidR="00660B61">
        <w:rPr>
          <w:rFonts w:ascii="Book Antiqua" w:eastAsia="SimSun" w:hAnsi="Book Antiqua" w:hint="eastAsia"/>
          <w:lang w:val="en-US" w:eastAsia="zh-CN"/>
        </w:rPr>
        <w:t xml:space="preserve">; </w:t>
      </w:r>
      <w:r w:rsidR="008D2CCF" w:rsidRPr="00DF2968">
        <w:rPr>
          <w:rFonts w:ascii="Book Antiqua" w:hAnsi="Book Antiqua"/>
          <w:lang w:val="en-US"/>
        </w:rPr>
        <w:t>S</w:t>
      </w:r>
      <w:r w:rsidR="005D0504" w:rsidRPr="00DF2968">
        <w:rPr>
          <w:rFonts w:ascii="Book Antiqua" w:hAnsi="Book Antiqua"/>
          <w:lang w:val="en-US"/>
        </w:rPr>
        <w:t xml:space="preserve">woboda </w:t>
      </w:r>
      <w:r w:rsidR="008D2CCF" w:rsidRPr="00DF2968">
        <w:rPr>
          <w:rFonts w:ascii="Book Antiqua" w:hAnsi="Book Antiqua"/>
          <w:lang w:val="en-US"/>
        </w:rPr>
        <w:t xml:space="preserve">S </w:t>
      </w:r>
      <w:r w:rsidR="00660B61">
        <w:rPr>
          <w:rFonts w:ascii="Book Antiqua" w:eastAsia="SimSun" w:hAnsi="Book Antiqua" w:hint="eastAsia"/>
          <w:lang w:val="en-US" w:eastAsia="zh-CN"/>
        </w:rPr>
        <w:t>contributed to</w:t>
      </w:r>
      <w:r w:rsidR="00660B61" w:rsidRPr="00DF2968">
        <w:rPr>
          <w:rFonts w:ascii="Book Antiqua" w:hAnsi="Book Antiqua"/>
          <w:lang w:val="en-US"/>
        </w:rPr>
        <w:t xml:space="preserve"> </w:t>
      </w:r>
      <w:r w:rsidR="008D2CCF" w:rsidRPr="00DF2968">
        <w:rPr>
          <w:rFonts w:ascii="Book Antiqua" w:hAnsi="Book Antiqua"/>
          <w:lang w:val="en-US"/>
        </w:rPr>
        <w:t>acqui</w:t>
      </w:r>
      <w:r w:rsidR="005D0504" w:rsidRPr="00DF2968">
        <w:rPr>
          <w:rFonts w:ascii="Book Antiqua" w:hAnsi="Book Antiqua"/>
          <w:lang w:val="en-US"/>
        </w:rPr>
        <w:t>sition and analysis of data</w:t>
      </w:r>
      <w:r w:rsidR="00660B61">
        <w:rPr>
          <w:rFonts w:ascii="Book Antiqua" w:eastAsia="SimSun" w:hAnsi="Book Antiqua" w:hint="eastAsia"/>
          <w:lang w:val="en-US" w:eastAsia="zh-CN"/>
        </w:rPr>
        <w:t>;</w:t>
      </w:r>
      <w:r w:rsidR="005D0504" w:rsidRPr="00DF2968">
        <w:rPr>
          <w:rFonts w:ascii="Book Antiqua" w:hAnsi="Book Antiqua"/>
          <w:lang w:val="en-US"/>
        </w:rPr>
        <w:t xml:space="preserve"> </w:t>
      </w:r>
      <w:r w:rsidR="008D2CCF" w:rsidRPr="00DF2968">
        <w:rPr>
          <w:rFonts w:ascii="Book Antiqua" w:hAnsi="Book Antiqua"/>
          <w:lang w:val="en-US"/>
        </w:rPr>
        <w:t>M</w:t>
      </w:r>
      <w:r w:rsidR="005D0504" w:rsidRPr="00DF2968">
        <w:rPr>
          <w:rFonts w:ascii="Book Antiqua" w:hAnsi="Book Antiqua"/>
          <w:lang w:val="en-US"/>
        </w:rPr>
        <w:t>ertens JC</w:t>
      </w:r>
      <w:r w:rsidR="008D2CCF" w:rsidRPr="00DF2968">
        <w:rPr>
          <w:rFonts w:ascii="Book Antiqua" w:hAnsi="Book Antiqua"/>
          <w:lang w:val="en-US"/>
        </w:rPr>
        <w:t xml:space="preserve"> </w:t>
      </w:r>
      <w:r w:rsidR="00660B61">
        <w:rPr>
          <w:rFonts w:ascii="Book Antiqua" w:eastAsia="SimSun" w:hAnsi="Book Antiqua" w:hint="eastAsia"/>
          <w:lang w:val="en-US" w:eastAsia="zh-CN"/>
        </w:rPr>
        <w:t>contributed to</w:t>
      </w:r>
      <w:r w:rsidR="00660B61" w:rsidRPr="00DF2968">
        <w:rPr>
          <w:rFonts w:ascii="Book Antiqua" w:hAnsi="Book Antiqua"/>
          <w:lang w:val="en-US"/>
        </w:rPr>
        <w:t xml:space="preserve"> </w:t>
      </w:r>
      <w:r w:rsidR="008D2CCF" w:rsidRPr="00DF2968">
        <w:rPr>
          <w:rFonts w:ascii="Book Antiqua" w:hAnsi="Book Antiqua"/>
          <w:lang w:val="en-US"/>
        </w:rPr>
        <w:t>critical revision of the manuscript for important intellectual content, technical support</w:t>
      </w:r>
      <w:r w:rsidR="00660B61">
        <w:rPr>
          <w:rFonts w:ascii="Book Antiqua" w:eastAsia="SimSun" w:hAnsi="Book Antiqua" w:hint="eastAsia"/>
          <w:lang w:val="en-US" w:eastAsia="zh-CN"/>
        </w:rPr>
        <w:t>;</w:t>
      </w:r>
      <w:r w:rsidR="008D2CCF" w:rsidRPr="00DF2968">
        <w:rPr>
          <w:rFonts w:ascii="Book Antiqua" w:hAnsi="Book Antiqua"/>
          <w:lang w:val="en-US"/>
        </w:rPr>
        <w:t xml:space="preserve"> G</w:t>
      </w:r>
      <w:r w:rsidR="005D0504" w:rsidRPr="00DF2968">
        <w:rPr>
          <w:rFonts w:ascii="Book Antiqua" w:hAnsi="Book Antiqua"/>
          <w:lang w:val="en-US"/>
        </w:rPr>
        <w:t xml:space="preserve">erken </w:t>
      </w:r>
      <w:r w:rsidR="008D2CCF" w:rsidRPr="00DF2968">
        <w:rPr>
          <w:rFonts w:ascii="Book Antiqua" w:hAnsi="Book Antiqua"/>
          <w:lang w:val="en-US"/>
        </w:rPr>
        <w:t xml:space="preserve">G </w:t>
      </w:r>
      <w:r w:rsidR="00660B61">
        <w:rPr>
          <w:rFonts w:ascii="Book Antiqua" w:eastAsia="SimSun" w:hAnsi="Book Antiqua" w:hint="eastAsia"/>
          <w:lang w:val="en-US" w:eastAsia="zh-CN"/>
        </w:rPr>
        <w:t>contributed to</w:t>
      </w:r>
      <w:r w:rsidR="00660B61" w:rsidRPr="00DF2968">
        <w:rPr>
          <w:rFonts w:ascii="Book Antiqua" w:hAnsi="Book Antiqua"/>
          <w:lang w:val="en-US"/>
        </w:rPr>
        <w:t xml:space="preserve"> </w:t>
      </w:r>
      <w:r w:rsidR="008D2CCF" w:rsidRPr="00DF2968">
        <w:rPr>
          <w:rFonts w:ascii="Book Antiqua" w:hAnsi="Book Antiqua"/>
          <w:lang w:val="en-US"/>
        </w:rPr>
        <w:t>obtained funding, critical revision of the manuscript for im</w:t>
      </w:r>
      <w:r w:rsidR="005D0504" w:rsidRPr="00DF2968">
        <w:rPr>
          <w:rFonts w:ascii="Book Antiqua" w:hAnsi="Book Antiqua"/>
          <w:lang w:val="en-US"/>
        </w:rPr>
        <w:t>portant intellectual content</w:t>
      </w:r>
      <w:r w:rsidR="00660B61">
        <w:rPr>
          <w:rFonts w:ascii="Book Antiqua" w:eastAsia="SimSun" w:hAnsi="Book Antiqua" w:hint="eastAsia"/>
          <w:lang w:val="en-US" w:eastAsia="zh-CN"/>
        </w:rPr>
        <w:t>;</w:t>
      </w:r>
      <w:r w:rsidR="005D0504" w:rsidRPr="00DF2968">
        <w:rPr>
          <w:rFonts w:ascii="Book Antiqua" w:hAnsi="Book Antiqua"/>
          <w:lang w:val="en-US"/>
        </w:rPr>
        <w:t xml:space="preserve"> </w:t>
      </w:r>
      <w:r w:rsidR="008D2CCF" w:rsidRPr="00DF2968">
        <w:rPr>
          <w:rFonts w:ascii="Book Antiqua" w:hAnsi="Book Antiqua"/>
          <w:lang w:val="en-US"/>
        </w:rPr>
        <w:t>C</w:t>
      </w:r>
      <w:r w:rsidR="005D0504" w:rsidRPr="00DF2968">
        <w:rPr>
          <w:rFonts w:ascii="Book Antiqua" w:hAnsi="Book Antiqua"/>
          <w:lang w:val="en-US"/>
        </w:rPr>
        <w:t>anbay A</w:t>
      </w:r>
      <w:r w:rsidR="008D2CCF" w:rsidRPr="00DF2968">
        <w:rPr>
          <w:rFonts w:ascii="Book Antiqua" w:hAnsi="Book Antiqua"/>
          <w:lang w:val="en-US"/>
        </w:rPr>
        <w:t xml:space="preserve"> </w:t>
      </w:r>
      <w:r w:rsidR="00660B61">
        <w:rPr>
          <w:rFonts w:ascii="Book Antiqua" w:eastAsia="SimSun" w:hAnsi="Book Antiqua" w:hint="eastAsia"/>
          <w:lang w:val="en-US" w:eastAsia="zh-CN"/>
        </w:rPr>
        <w:t>contributed to</w:t>
      </w:r>
      <w:r w:rsidR="00660B61" w:rsidRPr="00DF2968">
        <w:rPr>
          <w:rFonts w:ascii="Book Antiqua" w:hAnsi="Book Antiqua"/>
          <w:lang w:val="en-US"/>
        </w:rPr>
        <w:t xml:space="preserve"> </w:t>
      </w:r>
      <w:r w:rsidR="008D2CCF" w:rsidRPr="00DF2968">
        <w:rPr>
          <w:rFonts w:ascii="Book Antiqua" w:hAnsi="Book Antiqua"/>
          <w:lang w:val="en-US"/>
        </w:rPr>
        <w:t>obtained funding, critical revision of the manuscript for im</w:t>
      </w:r>
      <w:r w:rsidR="005D0504" w:rsidRPr="00DF2968">
        <w:rPr>
          <w:rFonts w:ascii="Book Antiqua" w:hAnsi="Book Antiqua"/>
          <w:lang w:val="en-US"/>
        </w:rPr>
        <w:t>portant intellectual content</w:t>
      </w:r>
      <w:r w:rsidR="00660B61">
        <w:rPr>
          <w:rFonts w:ascii="Book Antiqua" w:eastAsia="SimSun" w:hAnsi="Book Antiqua" w:hint="eastAsia"/>
          <w:lang w:val="en-US" w:eastAsia="zh-CN"/>
        </w:rPr>
        <w:t>;</w:t>
      </w:r>
      <w:r w:rsidR="005D0504" w:rsidRPr="00DF2968">
        <w:rPr>
          <w:rFonts w:ascii="Book Antiqua" w:hAnsi="Book Antiqua"/>
          <w:lang w:val="en-US"/>
        </w:rPr>
        <w:t xml:space="preserve"> </w:t>
      </w:r>
      <w:r w:rsidR="008D2CCF" w:rsidRPr="00DF2968">
        <w:rPr>
          <w:rFonts w:ascii="Book Antiqua" w:hAnsi="Book Antiqua"/>
          <w:lang w:val="en-US"/>
        </w:rPr>
        <w:t>P</w:t>
      </w:r>
      <w:r w:rsidR="005D0504" w:rsidRPr="00DF2968">
        <w:rPr>
          <w:rFonts w:ascii="Book Antiqua" w:hAnsi="Book Antiqua"/>
          <w:lang w:val="en-US"/>
        </w:rPr>
        <w:t>aul A</w:t>
      </w:r>
      <w:r w:rsidR="008D2CCF" w:rsidRPr="00DF2968">
        <w:rPr>
          <w:rFonts w:ascii="Book Antiqua" w:hAnsi="Book Antiqua"/>
          <w:lang w:val="en-US"/>
        </w:rPr>
        <w:t xml:space="preserve"> </w:t>
      </w:r>
      <w:r w:rsidR="00660B61">
        <w:rPr>
          <w:rFonts w:ascii="Book Antiqua" w:eastAsia="SimSun" w:hAnsi="Book Antiqua" w:hint="eastAsia"/>
          <w:lang w:val="en-US" w:eastAsia="zh-CN"/>
        </w:rPr>
        <w:lastRenderedPageBreak/>
        <w:t>contributed to</w:t>
      </w:r>
      <w:r w:rsidR="00660B61" w:rsidRPr="00DF2968">
        <w:rPr>
          <w:rFonts w:ascii="Book Antiqua" w:hAnsi="Book Antiqua"/>
          <w:lang w:val="en-US"/>
        </w:rPr>
        <w:t xml:space="preserve"> </w:t>
      </w:r>
      <w:r w:rsidR="008D2CCF" w:rsidRPr="00DF2968">
        <w:rPr>
          <w:rFonts w:ascii="Book Antiqua" w:hAnsi="Book Antiqua"/>
          <w:lang w:val="en-US"/>
        </w:rPr>
        <w:t>obtained funding, critical revision of the manuscript for imp</w:t>
      </w:r>
      <w:r w:rsidR="005D0504" w:rsidRPr="00DF2968">
        <w:rPr>
          <w:rFonts w:ascii="Book Antiqua" w:hAnsi="Book Antiqua"/>
          <w:lang w:val="en-US"/>
        </w:rPr>
        <w:t>ortant intellectual content</w:t>
      </w:r>
      <w:r w:rsidR="00660B61">
        <w:rPr>
          <w:rFonts w:ascii="Book Antiqua" w:eastAsia="SimSun" w:hAnsi="Book Antiqua" w:hint="eastAsia"/>
          <w:lang w:val="en-US" w:eastAsia="zh-CN"/>
        </w:rPr>
        <w:t>;</w:t>
      </w:r>
      <w:r w:rsidR="005D0504" w:rsidRPr="00DF2968">
        <w:rPr>
          <w:rFonts w:ascii="Book Antiqua" w:hAnsi="Book Antiqua"/>
          <w:lang w:val="en-US"/>
        </w:rPr>
        <w:t xml:space="preserve"> </w:t>
      </w:r>
      <w:r w:rsidR="008D2CCF" w:rsidRPr="00DF2968">
        <w:rPr>
          <w:rFonts w:ascii="Book Antiqua" w:hAnsi="Book Antiqua"/>
          <w:lang w:val="en-US"/>
        </w:rPr>
        <w:t>F</w:t>
      </w:r>
      <w:r w:rsidR="005D0504" w:rsidRPr="00DF2968">
        <w:rPr>
          <w:rFonts w:ascii="Book Antiqua" w:hAnsi="Book Antiqua"/>
          <w:lang w:val="en-US"/>
        </w:rPr>
        <w:t>ingas CD</w:t>
      </w:r>
      <w:r w:rsidR="008D2CCF" w:rsidRPr="00DF2968">
        <w:rPr>
          <w:rFonts w:ascii="Book Antiqua" w:hAnsi="Book Antiqua"/>
          <w:lang w:val="en-US"/>
        </w:rPr>
        <w:t xml:space="preserve"> </w:t>
      </w:r>
      <w:r w:rsidR="00660B61">
        <w:rPr>
          <w:rFonts w:ascii="Book Antiqua" w:eastAsia="SimSun" w:hAnsi="Book Antiqua" w:hint="eastAsia"/>
          <w:lang w:val="en-US" w:eastAsia="zh-CN"/>
        </w:rPr>
        <w:t>contributed to</w:t>
      </w:r>
      <w:r w:rsidR="00660B61" w:rsidRPr="00DF2968">
        <w:rPr>
          <w:rFonts w:ascii="Book Antiqua" w:hAnsi="Book Antiqua"/>
          <w:lang w:val="en-US"/>
        </w:rPr>
        <w:t xml:space="preserve"> </w:t>
      </w:r>
      <w:r w:rsidR="008D2CCF" w:rsidRPr="00DF2968">
        <w:rPr>
          <w:rFonts w:ascii="Book Antiqua" w:hAnsi="Book Antiqua"/>
          <w:lang w:val="en-US"/>
        </w:rPr>
        <w:t>study concept and design; acquisition, analysis and interpretation of data; statistical analysis; study supervision; drafting of the manuscript; obtaine</w:t>
      </w:r>
      <w:r w:rsidR="00660B61">
        <w:rPr>
          <w:rFonts w:ascii="Book Antiqua" w:hAnsi="Book Antiqua"/>
          <w:lang w:val="en-US"/>
        </w:rPr>
        <w:t>d funding</w:t>
      </w:r>
      <w:r w:rsidR="008D2CCF" w:rsidRPr="00DF2968">
        <w:rPr>
          <w:rFonts w:ascii="Book Antiqua" w:hAnsi="Book Antiqua"/>
          <w:lang w:val="en-US"/>
        </w:rPr>
        <w:t>.</w:t>
      </w:r>
    </w:p>
    <w:p w14:paraId="65EE820E" w14:textId="77777777" w:rsidR="008A2AC1" w:rsidRPr="00DF2968" w:rsidRDefault="008A2AC1" w:rsidP="00A741A5">
      <w:pPr>
        <w:spacing w:line="360" w:lineRule="auto"/>
        <w:jc w:val="both"/>
        <w:rPr>
          <w:rFonts w:ascii="Book Antiqua" w:hAnsi="Book Antiqua"/>
          <w:lang w:val="en-US"/>
        </w:rPr>
      </w:pPr>
    </w:p>
    <w:p w14:paraId="6BAC3FB0" w14:textId="12040317" w:rsidR="006909E8" w:rsidRPr="00DF2968" w:rsidRDefault="00091B10" w:rsidP="00A741A5">
      <w:pPr>
        <w:spacing w:line="360" w:lineRule="auto"/>
        <w:jc w:val="both"/>
        <w:rPr>
          <w:rFonts w:ascii="Book Antiqua" w:hAnsi="Book Antiqua"/>
          <w:lang w:val="en-US"/>
        </w:rPr>
      </w:pPr>
      <w:r w:rsidRPr="00F84438">
        <w:rPr>
          <w:rFonts w:ascii="Book Antiqua" w:hAnsi="Book Antiqua"/>
          <w:b/>
          <w:caps/>
          <w:lang w:val="en-US"/>
        </w:rPr>
        <w:t>s</w:t>
      </w:r>
      <w:r w:rsidRPr="00F84438">
        <w:rPr>
          <w:rFonts w:ascii="Book Antiqua" w:hAnsi="Book Antiqua"/>
          <w:b/>
          <w:lang w:val="en-US"/>
        </w:rPr>
        <w:t xml:space="preserve">upported by </w:t>
      </w:r>
      <w:r w:rsidRPr="00DF2968">
        <w:rPr>
          <w:rFonts w:ascii="Book Antiqua" w:hAnsi="Book Antiqua"/>
          <w:lang w:val="en-US"/>
        </w:rPr>
        <w:t>DFG/German Research Foundation</w:t>
      </w:r>
      <w:r w:rsidR="00F84438">
        <w:rPr>
          <w:rFonts w:ascii="Book Antiqua" w:eastAsia="SimSun" w:hAnsi="Book Antiqua" w:hint="eastAsia"/>
          <w:lang w:val="en-US" w:eastAsia="zh-CN"/>
        </w:rPr>
        <w:t xml:space="preserve">, No. </w:t>
      </w:r>
      <w:r w:rsidR="00F84438" w:rsidRPr="00DF2968">
        <w:rPr>
          <w:rFonts w:ascii="Book Antiqua" w:hAnsi="Book Antiqua"/>
          <w:lang w:val="en-US"/>
        </w:rPr>
        <w:t xml:space="preserve">FI 1630/3-1 </w:t>
      </w:r>
      <w:r w:rsidRPr="00DF2968">
        <w:rPr>
          <w:rFonts w:ascii="Book Antiqua" w:hAnsi="Book Antiqua"/>
          <w:lang w:val="en-US"/>
        </w:rPr>
        <w:t xml:space="preserve">and </w:t>
      </w:r>
      <w:r w:rsidR="00F84438">
        <w:rPr>
          <w:rFonts w:ascii="Book Antiqua" w:eastAsia="SimSun" w:hAnsi="Book Antiqua" w:hint="eastAsia"/>
          <w:lang w:val="en-US" w:eastAsia="zh-CN"/>
        </w:rPr>
        <w:t xml:space="preserve">No. </w:t>
      </w:r>
      <w:r w:rsidRPr="00DF2968">
        <w:rPr>
          <w:rFonts w:ascii="Book Antiqua" w:hAnsi="Book Antiqua"/>
          <w:lang w:val="en-US"/>
        </w:rPr>
        <w:t>IFORES D/107</w:t>
      </w:r>
      <w:r w:rsidRPr="00DF2968">
        <w:rPr>
          <w:rFonts w:ascii="Book Antiqua" w:hAnsi="Book Antiqua"/>
          <w:lang w:val="en-US"/>
        </w:rPr>
        <w:noBreakHyphen/>
        <w:t xml:space="preserve">114400 </w:t>
      </w:r>
      <w:r w:rsidR="00F84438">
        <w:rPr>
          <w:rFonts w:ascii="Book Antiqua" w:eastAsia="SimSun" w:hAnsi="Book Antiqua" w:hint="eastAsia"/>
          <w:lang w:val="en-US" w:eastAsia="zh-CN"/>
        </w:rPr>
        <w:t>(</w:t>
      </w:r>
      <w:r w:rsidRPr="00DF2968">
        <w:rPr>
          <w:rFonts w:ascii="Book Antiqua" w:hAnsi="Book Antiqua"/>
          <w:lang w:val="en-US"/>
        </w:rPr>
        <w:t>to CDF</w:t>
      </w:r>
      <w:r w:rsidR="00F84438">
        <w:rPr>
          <w:rFonts w:ascii="Book Antiqua" w:eastAsia="SimSun" w:hAnsi="Book Antiqua" w:hint="eastAsia"/>
          <w:lang w:val="en-US" w:eastAsia="zh-CN"/>
        </w:rPr>
        <w:t>)</w:t>
      </w:r>
      <w:r w:rsidRPr="00DF2968">
        <w:rPr>
          <w:rFonts w:ascii="Book Antiqua" w:hAnsi="Book Antiqua"/>
          <w:lang w:val="en-US"/>
        </w:rPr>
        <w:t xml:space="preserve">. </w:t>
      </w:r>
    </w:p>
    <w:p w14:paraId="0A0041AF" w14:textId="77777777" w:rsidR="008A2AC1" w:rsidRPr="00DF2968" w:rsidRDefault="008A2AC1" w:rsidP="00A741A5">
      <w:pPr>
        <w:spacing w:line="360" w:lineRule="auto"/>
        <w:jc w:val="both"/>
        <w:rPr>
          <w:rFonts w:ascii="Book Antiqua" w:hAnsi="Book Antiqua"/>
          <w:lang w:val="en-US"/>
        </w:rPr>
      </w:pPr>
    </w:p>
    <w:p w14:paraId="4A142ADD" w14:textId="028B2F51" w:rsidR="006909E8" w:rsidRPr="00DF2968" w:rsidRDefault="0031706C" w:rsidP="00A741A5">
      <w:pPr>
        <w:widowControl w:val="0"/>
        <w:autoSpaceDE w:val="0"/>
        <w:autoSpaceDN w:val="0"/>
        <w:adjustRightInd w:val="0"/>
        <w:spacing w:line="360" w:lineRule="auto"/>
        <w:jc w:val="both"/>
        <w:rPr>
          <w:rFonts w:ascii="Book Antiqua" w:hAnsi="Book Antiqua" w:cs="Arial"/>
          <w:lang w:val="da-DK"/>
        </w:rPr>
      </w:pPr>
      <w:r w:rsidRPr="00DF2968">
        <w:rPr>
          <w:rFonts w:ascii="Book Antiqua" w:hAnsi="Book Antiqua" w:cs="Arial"/>
          <w:b/>
          <w:lang w:val="en-US" w:eastAsia="en-US"/>
        </w:rPr>
        <w:t xml:space="preserve">Institutional review board statement: </w:t>
      </w:r>
      <w:r w:rsidR="00545FC7" w:rsidRPr="00DF2968">
        <w:rPr>
          <w:rFonts w:ascii="Book Antiqua" w:hAnsi="Book Antiqua" w:cs="Arial"/>
          <w:lang w:val="en-US"/>
        </w:rPr>
        <w:t xml:space="preserve">For this study </w:t>
      </w:r>
      <w:r w:rsidR="00545FC7" w:rsidRPr="00DF2968">
        <w:rPr>
          <w:rFonts w:ascii="Book Antiqua" w:hAnsi="Book Antiqua" w:cs="Arial"/>
          <w:lang w:val="da-DK"/>
        </w:rPr>
        <w:t>no human or animal derived material was used. All performed experiments and shown data were assessed by using established cell lines and were performed according to good laboratory practice guidelines. The study was reviewed and approved by the University of Duisburg-Essen Institutional Review Board.</w:t>
      </w:r>
    </w:p>
    <w:p w14:paraId="46E48DF2" w14:textId="77777777" w:rsidR="008A2AC1" w:rsidRPr="00DF2968" w:rsidRDefault="008A2AC1" w:rsidP="00A741A5">
      <w:pPr>
        <w:widowControl w:val="0"/>
        <w:autoSpaceDE w:val="0"/>
        <w:autoSpaceDN w:val="0"/>
        <w:adjustRightInd w:val="0"/>
        <w:spacing w:line="360" w:lineRule="auto"/>
        <w:jc w:val="both"/>
        <w:rPr>
          <w:rFonts w:ascii="Book Antiqua" w:hAnsi="Book Antiqua" w:cs="Arial"/>
          <w:lang w:val="da-DK"/>
        </w:rPr>
      </w:pPr>
    </w:p>
    <w:p w14:paraId="02BD37BB" w14:textId="381E6EBE" w:rsidR="006909E8" w:rsidRPr="00DF2968" w:rsidRDefault="0031706C" w:rsidP="00A741A5">
      <w:pPr>
        <w:tabs>
          <w:tab w:val="left" w:pos="720"/>
        </w:tabs>
        <w:spacing w:line="360" w:lineRule="auto"/>
        <w:jc w:val="both"/>
        <w:rPr>
          <w:rFonts w:ascii="Book Antiqua" w:hAnsi="Book Antiqua" w:cs="Arial"/>
          <w:lang w:val="da-DK"/>
        </w:rPr>
      </w:pPr>
      <w:r w:rsidRPr="00DF2968">
        <w:rPr>
          <w:rFonts w:ascii="Book Antiqua" w:hAnsi="Book Antiqua" w:cs="Arial"/>
          <w:b/>
          <w:lang w:val="en-US" w:eastAsia="en-US"/>
        </w:rPr>
        <w:t xml:space="preserve">Institutional animal care and use statement: </w:t>
      </w:r>
      <w:r w:rsidR="00545FC7" w:rsidRPr="00DF2968">
        <w:rPr>
          <w:rFonts w:ascii="Book Antiqua" w:hAnsi="Book Antiqua" w:cs="Arial"/>
          <w:lang w:val="en-US"/>
        </w:rPr>
        <w:t xml:space="preserve">For this study </w:t>
      </w:r>
      <w:r w:rsidR="00545FC7" w:rsidRPr="00DF2968">
        <w:rPr>
          <w:rFonts w:ascii="Book Antiqua" w:hAnsi="Book Antiqua" w:cs="Arial"/>
          <w:lang w:val="da-DK"/>
        </w:rPr>
        <w:t xml:space="preserve">we did not perform animal experiments or use experimental material derived from animals. Provision of an institutional animal care and use committee statement is not applicable in this case. </w:t>
      </w:r>
    </w:p>
    <w:p w14:paraId="49265FAB" w14:textId="77777777" w:rsidR="008A2AC1" w:rsidRPr="00DF2968" w:rsidRDefault="008A2AC1" w:rsidP="00A741A5">
      <w:pPr>
        <w:tabs>
          <w:tab w:val="left" w:pos="720"/>
        </w:tabs>
        <w:spacing w:line="360" w:lineRule="auto"/>
        <w:jc w:val="both"/>
        <w:rPr>
          <w:rFonts w:ascii="Book Antiqua" w:hAnsi="Book Antiqua" w:cs="Arial"/>
          <w:lang w:val="da-DK"/>
        </w:rPr>
      </w:pPr>
    </w:p>
    <w:p w14:paraId="300FB370" w14:textId="6563937F" w:rsidR="006909E8" w:rsidRPr="00DF2968" w:rsidRDefault="008D2CCF" w:rsidP="00A741A5">
      <w:pPr>
        <w:widowControl w:val="0"/>
        <w:autoSpaceDE w:val="0"/>
        <w:autoSpaceDN w:val="0"/>
        <w:adjustRightInd w:val="0"/>
        <w:spacing w:line="360" w:lineRule="auto"/>
        <w:jc w:val="both"/>
        <w:rPr>
          <w:rFonts w:ascii="Book Antiqua" w:hAnsi="Book Antiqua"/>
          <w:lang w:val="en-US"/>
        </w:rPr>
      </w:pPr>
      <w:r w:rsidRPr="00DF2968">
        <w:rPr>
          <w:rFonts w:ascii="Book Antiqua" w:hAnsi="Book Antiqua" w:cs="Arial"/>
          <w:b/>
          <w:lang w:val="en-US" w:eastAsia="en-US"/>
        </w:rPr>
        <w:t>Conflict-of-interest statement:</w:t>
      </w:r>
      <w:r w:rsidR="00091B10" w:rsidRPr="00DF2968">
        <w:rPr>
          <w:rFonts w:ascii="Book Antiqua" w:hAnsi="Book Antiqua" w:cs="Arial"/>
          <w:lang w:val="en-US" w:eastAsia="en-US"/>
        </w:rPr>
        <w:t xml:space="preserve"> </w:t>
      </w:r>
      <w:r w:rsidR="00091B10" w:rsidRPr="00DF2968">
        <w:rPr>
          <w:rFonts w:ascii="Book Antiqua" w:hAnsi="Book Antiqua"/>
          <w:lang w:val="en-US"/>
        </w:rPr>
        <w:t>The authors have no conflicts of interest.</w:t>
      </w:r>
    </w:p>
    <w:p w14:paraId="60310C65" w14:textId="77777777" w:rsidR="008A2AC1" w:rsidRPr="00DF2968" w:rsidRDefault="008A2AC1" w:rsidP="00A741A5">
      <w:pPr>
        <w:widowControl w:val="0"/>
        <w:autoSpaceDE w:val="0"/>
        <w:autoSpaceDN w:val="0"/>
        <w:adjustRightInd w:val="0"/>
        <w:spacing w:line="360" w:lineRule="auto"/>
        <w:jc w:val="both"/>
        <w:rPr>
          <w:rFonts w:ascii="Book Antiqua" w:hAnsi="Book Antiqua"/>
          <w:lang w:val="en-US"/>
        </w:rPr>
      </w:pPr>
    </w:p>
    <w:p w14:paraId="3F09E2A3" w14:textId="767AE257" w:rsidR="008D2CCF" w:rsidRPr="00DF2968" w:rsidRDefault="009E71C9" w:rsidP="00A741A5">
      <w:pPr>
        <w:widowControl w:val="0"/>
        <w:autoSpaceDE w:val="0"/>
        <w:autoSpaceDN w:val="0"/>
        <w:adjustRightInd w:val="0"/>
        <w:spacing w:line="360" w:lineRule="auto"/>
        <w:jc w:val="both"/>
        <w:rPr>
          <w:rFonts w:ascii="Book Antiqua" w:hAnsi="Book Antiqua"/>
          <w:lang w:val="en-US"/>
        </w:rPr>
      </w:pPr>
      <w:r w:rsidRPr="00DF2968">
        <w:rPr>
          <w:rFonts w:ascii="Book Antiqua" w:hAnsi="Book Antiqua"/>
          <w:b/>
          <w:lang w:val="en-US"/>
        </w:rPr>
        <w:t>Data sharing statement:</w:t>
      </w:r>
      <w:r w:rsidRPr="00DF2968">
        <w:rPr>
          <w:rFonts w:ascii="Book Antiqua" w:hAnsi="Book Antiqua"/>
          <w:lang w:val="en-US"/>
        </w:rPr>
        <w:t xml:space="preserve"> There are no additional data available. </w:t>
      </w:r>
    </w:p>
    <w:p w14:paraId="54B56066" w14:textId="77777777" w:rsidR="008A2AC1" w:rsidRPr="00DF2968" w:rsidRDefault="008A2AC1" w:rsidP="00A741A5">
      <w:pPr>
        <w:widowControl w:val="0"/>
        <w:autoSpaceDE w:val="0"/>
        <w:autoSpaceDN w:val="0"/>
        <w:adjustRightInd w:val="0"/>
        <w:spacing w:line="360" w:lineRule="auto"/>
        <w:jc w:val="both"/>
        <w:rPr>
          <w:rFonts w:ascii="Book Antiqua" w:hAnsi="Book Antiqua"/>
          <w:lang w:val="en-US"/>
        </w:rPr>
      </w:pPr>
    </w:p>
    <w:p w14:paraId="5B9671CD" w14:textId="1297DB62" w:rsidR="00320E11" w:rsidRPr="00DF2968" w:rsidRDefault="00320E11" w:rsidP="00A741A5">
      <w:pPr>
        <w:autoSpaceDE w:val="0"/>
        <w:autoSpaceDN w:val="0"/>
        <w:adjustRightInd w:val="0"/>
        <w:spacing w:line="360" w:lineRule="auto"/>
        <w:jc w:val="both"/>
        <w:rPr>
          <w:rFonts w:ascii="Book Antiqua" w:hAnsi="Book Antiqua" w:cs="Arial"/>
          <w:lang w:val="en-US" w:eastAsia="en-US"/>
        </w:rPr>
      </w:pPr>
      <w:r w:rsidRPr="00DF2968">
        <w:rPr>
          <w:rFonts w:ascii="Book Antiqua" w:hAnsi="Book Antiqua"/>
          <w:b/>
          <w:lang w:val="en-US"/>
        </w:rPr>
        <w:t>Open-Access:</w:t>
      </w:r>
      <w:r w:rsidRPr="00DF2968">
        <w:rPr>
          <w:rFonts w:ascii="Book Antiqua" w:hAnsi="Book Antiqua"/>
          <w:lang w:val="en-US"/>
        </w:rPr>
        <w:t xml:space="preserve"> </w:t>
      </w:r>
      <w:r w:rsidRPr="00DF2968">
        <w:rPr>
          <w:rFonts w:ascii="Book Antiqua" w:hAnsi="Book Antiqua" w:cs="Arial"/>
          <w:lang w:val="en-US" w:eastAsia="en-US"/>
        </w:rPr>
        <w:t>This article is an open-access article which was selected by an in-house editor and fully peer-reviewed by external reviewers. It is distributed in accordance with the Creative Commons Attribution Non Commercial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768BC85D" w14:textId="77777777" w:rsidR="00320E11" w:rsidRDefault="00320E11" w:rsidP="00A741A5">
      <w:pPr>
        <w:autoSpaceDE w:val="0"/>
        <w:autoSpaceDN w:val="0"/>
        <w:adjustRightInd w:val="0"/>
        <w:spacing w:line="360" w:lineRule="auto"/>
        <w:jc w:val="both"/>
        <w:rPr>
          <w:rFonts w:ascii="Book Antiqua" w:eastAsia="SimSun" w:hAnsi="Book Antiqua" w:cs="Arial"/>
          <w:lang w:val="en-US" w:eastAsia="zh-CN"/>
        </w:rPr>
      </w:pPr>
    </w:p>
    <w:p w14:paraId="180728C1" w14:textId="57E022FE" w:rsidR="00660B61" w:rsidRDefault="00D06422" w:rsidP="00A741A5">
      <w:pPr>
        <w:autoSpaceDE w:val="0"/>
        <w:autoSpaceDN w:val="0"/>
        <w:adjustRightInd w:val="0"/>
        <w:spacing w:line="360" w:lineRule="auto"/>
        <w:jc w:val="both"/>
        <w:rPr>
          <w:rFonts w:ascii="Book Antiqua" w:eastAsia="SimSun" w:hAnsi="Book Antiqua"/>
          <w:lang w:eastAsia="zh-CN"/>
        </w:rPr>
      </w:pPr>
      <w:r w:rsidRPr="00B757B8">
        <w:rPr>
          <w:rFonts w:ascii="Book Antiqua" w:hAnsi="Book Antiqua"/>
          <w:b/>
        </w:rPr>
        <w:t xml:space="preserve">Manuscript source: </w:t>
      </w:r>
      <w:r w:rsidRPr="00B757B8">
        <w:rPr>
          <w:rFonts w:ascii="Book Antiqua" w:hAnsi="Book Antiqua"/>
        </w:rPr>
        <w:t>Invited manuscript</w:t>
      </w:r>
    </w:p>
    <w:p w14:paraId="4CAB5C50" w14:textId="77777777" w:rsidR="00D06422" w:rsidRPr="00D06422" w:rsidRDefault="00D06422" w:rsidP="00A741A5">
      <w:pPr>
        <w:autoSpaceDE w:val="0"/>
        <w:autoSpaceDN w:val="0"/>
        <w:adjustRightInd w:val="0"/>
        <w:spacing w:line="360" w:lineRule="auto"/>
        <w:jc w:val="both"/>
        <w:rPr>
          <w:rFonts w:ascii="Book Antiqua" w:eastAsia="SimSun" w:hAnsi="Book Antiqua" w:cs="Arial"/>
          <w:lang w:val="en-US" w:eastAsia="zh-CN"/>
        </w:rPr>
      </w:pPr>
    </w:p>
    <w:p w14:paraId="47E9E8AB" w14:textId="7EBCAFD0" w:rsidR="000309B1" w:rsidRPr="00D06422" w:rsidRDefault="00B04BE5" w:rsidP="00A741A5">
      <w:pPr>
        <w:spacing w:line="360" w:lineRule="auto"/>
        <w:jc w:val="both"/>
        <w:rPr>
          <w:rFonts w:ascii="Book Antiqua" w:eastAsia="SimSun" w:hAnsi="Book Antiqua"/>
          <w:b/>
          <w:lang w:val="en-US" w:eastAsia="zh-CN"/>
        </w:rPr>
      </w:pPr>
      <w:r w:rsidRPr="00DF2968">
        <w:rPr>
          <w:rFonts w:ascii="Book Antiqua" w:hAnsi="Book Antiqua"/>
          <w:b/>
          <w:lang w:val="en-US"/>
        </w:rPr>
        <w:t>C</w:t>
      </w:r>
      <w:r w:rsidR="00C72F23" w:rsidRPr="00DF2968">
        <w:rPr>
          <w:rFonts w:ascii="Book Antiqua" w:hAnsi="Book Antiqua"/>
          <w:b/>
          <w:lang w:val="en-US"/>
        </w:rPr>
        <w:t>orrespondence</w:t>
      </w:r>
      <w:r w:rsidRPr="00DF2968">
        <w:rPr>
          <w:rFonts w:ascii="Book Antiqua" w:hAnsi="Book Antiqua"/>
          <w:b/>
          <w:lang w:val="en-US"/>
        </w:rPr>
        <w:t xml:space="preserve"> to</w:t>
      </w:r>
      <w:r w:rsidR="000309B1" w:rsidRPr="00DF2968">
        <w:rPr>
          <w:rFonts w:ascii="Book Antiqua" w:hAnsi="Book Antiqua"/>
          <w:b/>
          <w:lang w:val="en-US"/>
        </w:rPr>
        <w:t>:</w:t>
      </w:r>
      <w:r w:rsidRPr="00D06422">
        <w:rPr>
          <w:rFonts w:ascii="Book Antiqua" w:hAnsi="Book Antiqua"/>
          <w:b/>
          <w:lang w:val="en-US"/>
        </w:rPr>
        <w:t xml:space="preserve"> </w:t>
      </w:r>
      <w:r w:rsidR="00D06422" w:rsidRPr="00D06422">
        <w:rPr>
          <w:rFonts w:ascii="Book Antiqua" w:hAnsi="Book Antiqua"/>
          <w:b/>
          <w:lang w:val="en-US"/>
        </w:rPr>
        <w:t>Christian D Fingas, MD</w:t>
      </w:r>
      <w:r w:rsidRPr="00D06422">
        <w:rPr>
          <w:rFonts w:ascii="Book Antiqua" w:hAnsi="Book Antiqua"/>
          <w:b/>
          <w:lang w:val="en-US"/>
        </w:rPr>
        <w:t xml:space="preserve">, </w:t>
      </w:r>
      <w:r w:rsidR="0067044D" w:rsidRPr="00D06422">
        <w:rPr>
          <w:rFonts w:ascii="Book Antiqua" w:hAnsi="Book Antiqua"/>
          <w:b/>
          <w:lang w:val="en-US"/>
        </w:rPr>
        <w:t>Associate Professor</w:t>
      </w:r>
      <w:r w:rsidR="00D06422">
        <w:rPr>
          <w:rFonts w:ascii="Book Antiqua" w:eastAsia="SimSun" w:hAnsi="Book Antiqua" w:hint="eastAsia"/>
          <w:b/>
          <w:lang w:val="en-US" w:eastAsia="zh-CN"/>
        </w:rPr>
        <w:t>,</w:t>
      </w:r>
      <w:r w:rsidR="0067044D" w:rsidRPr="00DF2968">
        <w:rPr>
          <w:rFonts w:ascii="Book Antiqua" w:hAnsi="Book Antiqua"/>
          <w:lang w:val="en-US"/>
        </w:rPr>
        <w:t xml:space="preserve"> </w:t>
      </w:r>
      <w:r w:rsidR="00D06422" w:rsidRPr="00DF2968">
        <w:rPr>
          <w:rFonts w:ascii="Book Antiqua" w:hAnsi="Book Antiqua"/>
          <w:lang w:val="en-US"/>
        </w:rPr>
        <w:t>Department for General, Visceral and Transplantation Surgery, University Hospital Essen, University Duisburg-Essen,</w:t>
      </w:r>
      <w:r w:rsidRPr="00DF2968">
        <w:rPr>
          <w:rFonts w:ascii="Book Antiqua" w:hAnsi="Book Antiqua"/>
          <w:b/>
          <w:lang w:val="en-US"/>
        </w:rPr>
        <w:t xml:space="preserve"> </w:t>
      </w:r>
      <w:r w:rsidR="000309B1" w:rsidRPr="00DF2968">
        <w:rPr>
          <w:rFonts w:ascii="Book Antiqua" w:hAnsi="Book Antiqua"/>
          <w:lang w:val="en-US"/>
        </w:rPr>
        <w:t>Hufelandstraße 55</w:t>
      </w:r>
      <w:r w:rsidRPr="00DF2968">
        <w:rPr>
          <w:rFonts w:ascii="Book Antiqua" w:hAnsi="Book Antiqua"/>
          <w:b/>
          <w:lang w:val="en-US"/>
        </w:rPr>
        <w:t xml:space="preserve">, </w:t>
      </w:r>
      <w:r w:rsidR="00974D49" w:rsidRPr="00DF2968">
        <w:rPr>
          <w:rFonts w:ascii="Book Antiqua" w:hAnsi="Book Antiqua"/>
          <w:lang w:val="en-US"/>
        </w:rPr>
        <w:t xml:space="preserve">45122 </w:t>
      </w:r>
      <w:r w:rsidR="000309B1" w:rsidRPr="00DF2968">
        <w:rPr>
          <w:rFonts w:ascii="Book Antiqua" w:hAnsi="Book Antiqua"/>
          <w:lang w:val="en-US"/>
        </w:rPr>
        <w:t>Essen, Germany</w:t>
      </w:r>
      <w:r w:rsidR="00D06422">
        <w:rPr>
          <w:rFonts w:ascii="Book Antiqua" w:eastAsia="SimSun" w:hAnsi="Book Antiqua" w:hint="eastAsia"/>
          <w:lang w:val="en-US" w:eastAsia="zh-CN"/>
        </w:rPr>
        <w:t xml:space="preserve">. </w:t>
      </w:r>
      <w:hyperlink r:id="rId8" w:history="1">
        <w:r w:rsidR="00D06422" w:rsidRPr="00DF2968">
          <w:rPr>
            <w:rFonts w:ascii="Book Antiqua" w:hAnsi="Book Antiqua"/>
            <w:lang w:val="pt-BR"/>
          </w:rPr>
          <w:t>chri</w:t>
        </w:r>
        <w:r w:rsidRPr="00DF2968">
          <w:rPr>
            <w:rFonts w:ascii="Book Antiqua" w:hAnsi="Book Antiqua"/>
            <w:lang w:val="pt-BR"/>
          </w:rPr>
          <w:t>stian.fingas@uk-essen.de</w:t>
        </w:r>
      </w:hyperlink>
    </w:p>
    <w:p w14:paraId="1EE20E34" w14:textId="24272593" w:rsidR="00D06422" w:rsidRDefault="00D06422" w:rsidP="00A741A5">
      <w:pPr>
        <w:adjustRightInd w:val="0"/>
        <w:snapToGrid w:val="0"/>
        <w:spacing w:line="360" w:lineRule="auto"/>
        <w:jc w:val="both"/>
        <w:rPr>
          <w:rFonts w:ascii="Book Antiqua" w:hAnsi="Book Antiqua"/>
          <w:color w:val="0A0905"/>
        </w:rPr>
      </w:pPr>
      <w:r w:rsidRPr="009E3692">
        <w:rPr>
          <w:rFonts w:ascii="Book Antiqua" w:hAnsi="Book Antiqua"/>
          <w:b/>
        </w:rPr>
        <w:t xml:space="preserve">Telephone: </w:t>
      </w:r>
      <w:r w:rsidRPr="00DF2968">
        <w:rPr>
          <w:rFonts w:ascii="Book Antiqua" w:hAnsi="Book Antiqua"/>
          <w:lang w:val="en-US"/>
        </w:rPr>
        <w:t>+49</w:t>
      </w:r>
      <w:r>
        <w:rPr>
          <w:rFonts w:ascii="Book Antiqua" w:eastAsia="SimSun" w:hAnsi="Book Antiqua" w:hint="eastAsia"/>
          <w:lang w:val="en-US" w:eastAsia="zh-CN"/>
        </w:rPr>
        <w:t>-</w:t>
      </w:r>
      <w:r w:rsidRPr="00DF2968">
        <w:rPr>
          <w:rFonts w:ascii="Book Antiqua" w:hAnsi="Book Antiqua"/>
          <w:lang w:val="en-US"/>
        </w:rPr>
        <w:t>201</w:t>
      </w:r>
      <w:r>
        <w:rPr>
          <w:rFonts w:ascii="Book Antiqua" w:eastAsia="SimSun" w:hAnsi="Book Antiqua" w:hint="eastAsia"/>
          <w:lang w:val="en-US" w:eastAsia="zh-CN"/>
        </w:rPr>
        <w:t>-</w:t>
      </w:r>
      <w:r w:rsidRPr="00DF2968">
        <w:rPr>
          <w:rFonts w:ascii="Book Antiqua" w:hAnsi="Book Antiqua"/>
          <w:lang w:val="en-US"/>
        </w:rPr>
        <w:t>723 83676</w:t>
      </w:r>
      <w:r w:rsidRPr="009E3692">
        <w:rPr>
          <w:rFonts w:ascii="Book Antiqua" w:hAnsi="Book Antiqua"/>
          <w:color w:val="0A0905"/>
        </w:rPr>
        <w:t xml:space="preserve"> </w:t>
      </w:r>
    </w:p>
    <w:p w14:paraId="6147AD9E" w14:textId="1D9A6339" w:rsidR="00D06422" w:rsidRPr="009E3692" w:rsidRDefault="00D06422" w:rsidP="00A741A5">
      <w:pPr>
        <w:adjustRightInd w:val="0"/>
        <w:snapToGrid w:val="0"/>
        <w:spacing w:line="360" w:lineRule="auto"/>
        <w:jc w:val="both"/>
        <w:rPr>
          <w:rFonts w:ascii="Book Antiqua" w:hAnsi="Book Antiqua"/>
        </w:rPr>
      </w:pPr>
      <w:r w:rsidRPr="009E3692">
        <w:rPr>
          <w:rFonts w:ascii="Book Antiqua" w:hAnsi="Book Antiqua"/>
          <w:b/>
        </w:rPr>
        <w:t xml:space="preserve">Fax: </w:t>
      </w:r>
      <w:r w:rsidRPr="00DF2968">
        <w:rPr>
          <w:rFonts w:ascii="Book Antiqua" w:hAnsi="Book Antiqua"/>
          <w:lang w:val="en-US"/>
        </w:rPr>
        <w:t>+49</w:t>
      </w:r>
      <w:r>
        <w:rPr>
          <w:rFonts w:ascii="Book Antiqua" w:eastAsia="SimSun" w:hAnsi="Book Antiqua" w:hint="eastAsia"/>
          <w:lang w:val="en-US" w:eastAsia="zh-CN"/>
        </w:rPr>
        <w:t>-</w:t>
      </w:r>
      <w:r w:rsidRPr="00DF2968">
        <w:rPr>
          <w:rFonts w:ascii="Book Antiqua" w:hAnsi="Book Antiqua"/>
          <w:lang w:val="en-US"/>
        </w:rPr>
        <w:t>201</w:t>
      </w:r>
      <w:r>
        <w:rPr>
          <w:rFonts w:ascii="Book Antiqua" w:eastAsia="SimSun" w:hAnsi="Book Antiqua" w:hint="eastAsia"/>
          <w:lang w:val="en-US" w:eastAsia="zh-CN"/>
        </w:rPr>
        <w:t>-</w:t>
      </w:r>
      <w:r>
        <w:rPr>
          <w:rFonts w:ascii="Book Antiqua" w:hAnsi="Book Antiqua"/>
          <w:lang w:val="en-US"/>
        </w:rPr>
        <w:t>723</w:t>
      </w:r>
      <w:r w:rsidRPr="00DF2968">
        <w:rPr>
          <w:rFonts w:ascii="Book Antiqua" w:hAnsi="Book Antiqua"/>
          <w:lang w:val="en-US"/>
        </w:rPr>
        <w:t>1131</w:t>
      </w:r>
    </w:p>
    <w:p w14:paraId="15DC603E" w14:textId="77777777" w:rsidR="00D06422" w:rsidRDefault="00D06422" w:rsidP="00A741A5">
      <w:pPr>
        <w:spacing w:line="360" w:lineRule="auto"/>
        <w:jc w:val="both"/>
        <w:rPr>
          <w:rFonts w:ascii="Book Antiqua" w:hAnsi="Book Antiqua"/>
          <w:b/>
        </w:rPr>
      </w:pPr>
    </w:p>
    <w:p w14:paraId="4264D5D5" w14:textId="37C7E3EB" w:rsidR="00D06422" w:rsidRPr="00867A3A" w:rsidRDefault="00D06422" w:rsidP="00A741A5">
      <w:pPr>
        <w:spacing w:line="360" w:lineRule="auto"/>
        <w:jc w:val="both"/>
        <w:rPr>
          <w:rFonts w:ascii="Book Antiqua" w:hAnsi="Book Antiqua"/>
          <w:b/>
        </w:rPr>
      </w:pPr>
      <w:r w:rsidRPr="00867A3A">
        <w:rPr>
          <w:rFonts w:ascii="Book Antiqua" w:hAnsi="Book Antiqua"/>
          <w:b/>
        </w:rPr>
        <w:t xml:space="preserve">Received: </w:t>
      </w:r>
      <w:r w:rsidR="00FE66C1" w:rsidRPr="00FE66C1">
        <w:rPr>
          <w:rFonts w:ascii="Book Antiqua" w:hAnsi="Book Antiqua"/>
        </w:rPr>
        <w:t>January</w:t>
      </w:r>
      <w:r w:rsidR="00FE66C1" w:rsidRPr="00FE66C1">
        <w:rPr>
          <w:rFonts w:ascii="Book Antiqua" w:hAnsi="Book Antiqua" w:hint="eastAsia"/>
        </w:rPr>
        <w:t xml:space="preserve"> </w:t>
      </w:r>
      <w:r w:rsidR="00FE66C1">
        <w:rPr>
          <w:rFonts w:ascii="Book Antiqua" w:eastAsia="SimSun" w:hAnsi="Book Antiqua" w:hint="eastAsia"/>
          <w:lang w:eastAsia="zh-CN"/>
        </w:rPr>
        <w:t>1</w:t>
      </w:r>
      <w:r w:rsidR="000C79C3">
        <w:rPr>
          <w:rFonts w:ascii="Book Antiqua" w:eastAsia="SimSun" w:hAnsi="Book Antiqua" w:hint="eastAsia"/>
          <w:lang w:eastAsia="zh-CN"/>
        </w:rPr>
        <w:t>3</w:t>
      </w:r>
      <w:r>
        <w:rPr>
          <w:rFonts w:ascii="Book Antiqua" w:hAnsi="Book Antiqua" w:hint="eastAsia"/>
        </w:rPr>
        <w:t>, 2017</w:t>
      </w:r>
      <w:r w:rsidRPr="00867A3A">
        <w:rPr>
          <w:rFonts w:ascii="Book Antiqua" w:hAnsi="Book Antiqua"/>
          <w:b/>
        </w:rPr>
        <w:t xml:space="preserve">  </w:t>
      </w:r>
    </w:p>
    <w:p w14:paraId="316C25C5" w14:textId="581B197E" w:rsidR="00D06422" w:rsidRPr="00867A3A" w:rsidRDefault="00D06422" w:rsidP="00A741A5">
      <w:pPr>
        <w:spacing w:line="360" w:lineRule="auto"/>
        <w:jc w:val="both"/>
        <w:rPr>
          <w:rFonts w:ascii="Book Antiqua" w:hAnsi="Book Antiqua"/>
          <w:b/>
        </w:rPr>
      </w:pPr>
      <w:r w:rsidRPr="00867A3A">
        <w:rPr>
          <w:rFonts w:ascii="Book Antiqua" w:hAnsi="Book Antiqua"/>
          <w:b/>
        </w:rPr>
        <w:t>Peer-review started:</w:t>
      </w:r>
      <w:r>
        <w:rPr>
          <w:rFonts w:ascii="Book Antiqua" w:hAnsi="Book Antiqua" w:hint="eastAsia"/>
          <w:b/>
        </w:rPr>
        <w:t xml:space="preserve"> </w:t>
      </w:r>
      <w:r w:rsidR="00FE66C1" w:rsidRPr="00FE66C1">
        <w:rPr>
          <w:rFonts w:ascii="Book Antiqua" w:hAnsi="Book Antiqua"/>
        </w:rPr>
        <w:t>January</w:t>
      </w:r>
      <w:r w:rsidR="00FE66C1" w:rsidRPr="00FE66C1">
        <w:rPr>
          <w:rFonts w:ascii="Book Antiqua" w:hAnsi="Book Antiqua" w:hint="eastAsia"/>
        </w:rPr>
        <w:t xml:space="preserve"> </w:t>
      </w:r>
      <w:r w:rsidR="00FE66C1">
        <w:rPr>
          <w:rFonts w:ascii="Book Antiqua" w:eastAsia="SimSun" w:hAnsi="Book Antiqua" w:hint="eastAsia"/>
          <w:lang w:eastAsia="zh-CN"/>
        </w:rPr>
        <w:t>1</w:t>
      </w:r>
      <w:r w:rsidR="000C79C3">
        <w:rPr>
          <w:rFonts w:ascii="Book Antiqua" w:eastAsia="SimSun" w:hAnsi="Book Antiqua" w:hint="eastAsia"/>
          <w:lang w:eastAsia="zh-CN"/>
        </w:rPr>
        <w:t>4</w:t>
      </w:r>
      <w:r>
        <w:rPr>
          <w:rFonts w:ascii="Book Antiqua" w:hAnsi="Book Antiqua" w:hint="eastAsia"/>
        </w:rPr>
        <w:t>, 2017</w:t>
      </w:r>
    </w:p>
    <w:p w14:paraId="1CF1C4CB" w14:textId="1DF65F45" w:rsidR="00D06422" w:rsidRPr="00867A3A" w:rsidRDefault="00D06422" w:rsidP="00A741A5">
      <w:pPr>
        <w:spacing w:line="360" w:lineRule="auto"/>
        <w:jc w:val="both"/>
        <w:rPr>
          <w:rFonts w:ascii="Book Antiqua" w:hAnsi="Book Antiqua"/>
          <w:b/>
        </w:rPr>
      </w:pPr>
      <w:r w:rsidRPr="00867A3A">
        <w:rPr>
          <w:rFonts w:ascii="Book Antiqua" w:hAnsi="Book Antiqua"/>
          <w:b/>
        </w:rPr>
        <w:t>First decision:</w:t>
      </w:r>
      <w:r>
        <w:rPr>
          <w:rFonts w:ascii="Book Antiqua" w:hAnsi="Book Antiqua" w:hint="eastAsia"/>
          <w:b/>
        </w:rPr>
        <w:t xml:space="preserve"> </w:t>
      </w:r>
      <w:r w:rsidR="00225F76" w:rsidRPr="00225F76">
        <w:rPr>
          <w:rFonts w:ascii="Book Antiqua" w:hAnsi="Book Antiqua"/>
        </w:rPr>
        <w:t>February</w:t>
      </w:r>
      <w:r w:rsidR="00225F76" w:rsidRPr="00225F76">
        <w:rPr>
          <w:rFonts w:ascii="Book Antiqua" w:hAnsi="Book Antiqua" w:hint="eastAsia"/>
        </w:rPr>
        <w:t xml:space="preserve"> </w:t>
      </w:r>
      <w:r w:rsidR="00225F76">
        <w:rPr>
          <w:rFonts w:ascii="Book Antiqua" w:eastAsia="SimSun" w:hAnsi="Book Antiqua" w:hint="eastAsia"/>
          <w:lang w:eastAsia="zh-CN"/>
        </w:rPr>
        <w:t>23</w:t>
      </w:r>
      <w:r>
        <w:rPr>
          <w:rFonts w:ascii="Book Antiqua" w:hAnsi="Book Antiqua" w:hint="eastAsia"/>
        </w:rPr>
        <w:t>, 2017</w:t>
      </w:r>
    </w:p>
    <w:p w14:paraId="02176B81" w14:textId="2E6F670B" w:rsidR="00D06422" w:rsidRPr="00867A3A" w:rsidRDefault="00D06422" w:rsidP="00A741A5">
      <w:pPr>
        <w:spacing w:line="360" w:lineRule="auto"/>
        <w:jc w:val="both"/>
        <w:rPr>
          <w:rFonts w:ascii="Book Antiqua" w:hAnsi="Book Antiqua"/>
          <w:b/>
        </w:rPr>
      </w:pPr>
      <w:r w:rsidRPr="00867A3A">
        <w:rPr>
          <w:rFonts w:ascii="Book Antiqua" w:hAnsi="Book Antiqua"/>
          <w:b/>
        </w:rPr>
        <w:t xml:space="preserve">Revised: </w:t>
      </w:r>
      <w:r w:rsidRPr="00A11C75">
        <w:rPr>
          <w:rFonts w:ascii="Book Antiqua" w:hAnsi="Book Antiqua"/>
        </w:rPr>
        <w:t>April</w:t>
      </w:r>
      <w:r>
        <w:rPr>
          <w:rFonts w:ascii="Book Antiqua" w:hAnsi="Book Antiqua" w:hint="eastAsia"/>
        </w:rPr>
        <w:t xml:space="preserve"> </w:t>
      </w:r>
      <w:r w:rsidR="00225F76">
        <w:rPr>
          <w:rFonts w:ascii="Book Antiqua" w:eastAsia="SimSun" w:hAnsi="Book Antiqua" w:hint="eastAsia"/>
          <w:lang w:eastAsia="zh-CN"/>
        </w:rPr>
        <w:t>5</w:t>
      </w:r>
      <w:r>
        <w:rPr>
          <w:rFonts w:ascii="Book Antiqua" w:hAnsi="Book Antiqua" w:hint="eastAsia"/>
        </w:rPr>
        <w:t>, 2017</w:t>
      </w:r>
      <w:r w:rsidRPr="00867A3A">
        <w:rPr>
          <w:rFonts w:ascii="Book Antiqua" w:hAnsi="Book Antiqua"/>
          <w:b/>
        </w:rPr>
        <w:t xml:space="preserve"> </w:t>
      </w:r>
    </w:p>
    <w:p w14:paraId="5783D97A" w14:textId="75A94F2D" w:rsidR="00D06422" w:rsidRPr="009E7A66" w:rsidRDefault="00D06422" w:rsidP="009E7A66">
      <w:pPr>
        <w:spacing w:line="360" w:lineRule="auto"/>
        <w:rPr>
          <w:rFonts w:ascii="Book Antiqua" w:hAnsi="Book Antiqua"/>
          <w:color w:val="000000"/>
        </w:rPr>
      </w:pPr>
      <w:r w:rsidRPr="00867A3A">
        <w:rPr>
          <w:rFonts w:ascii="Book Antiqua" w:hAnsi="Book Antiqua"/>
          <w:b/>
        </w:rPr>
        <w:t>Accepted:</w:t>
      </w:r>
      <w:bookmarkStart w:id="0" w:name="OLE_LINK116"/>
      <w:bookmarkStart w:id="1" w:name="OLE_LINK117"/>
      <w:bookmarkStart w:id="2" w:name="OLE_LINK118"/>
      <w:bookmarkStart w:id="3" w:name="OLE_LINK125"/>
      <w:r w:rsidR="009E7A66" w:rsidRPr="009E7A66">
        <w:rPr>
          <w:rFonts w:ascii="Book Antiqua" w:hAnsi="Book Antiqua"/>
          <w:color w:val="000000"/>
        </w:rPr>
        <w:t xml:space="preserve"> </w:t>
      </w:r>
      <w:r w:rsidR="009E7A66">
        <w:rPr>
          <w:rFonts w:ascii="Book Antiqua" w:hAnsi="Book Antiqua"/>
          <w:color w:val="000000"/>
        </w:rPr>
        <w:t>May 9, 2017</w:t>
      </w:r>
      <w:bookmarkStart w:id="4" w:name="_GoBack"/>
      <w:bookmarkEnd w:id="0"/>
      <w:bookmarkEnd w:id="1"/>
      <w:bookmarkEnd w:id="2"/>
      <w:bookmarkEnd w:id="3"/>
      <w:bookmarkEnd w:id="4"/>
      <w:r w:rsidRPr="00867A3A">
        <w:rPr>
          <w:rFonts w:ascii="Book Antiqua" w:hAnsi="Book Antiqua"/>
          <w:b/>
        </w:rPr>
        <w:t xml:space="preserve">  </w:t>
      </w:r>
    </w:p>
    <w:p w14:paraId="783AFE34" w14:textId="77777777" w:rsidR="00D06422" w:rsidRPr="00867A3A" w:rsidRDefault="00D06422" w:rsidP="00A741A5">
      <w:pPr>
        <w:spacing w:line="360" w:lineRule="auto"/>
        <w:jc w:val="both"/>
        <w:rPr>
          <w:rFonts w:ascii="Book Antiqua" w:hAnsi="Book Antiqua"/>
          <w:b/>
        </w:rPr>
      </w:pPr>
      <w:r w:rsidRPr="00867A3A">
        <w:rPr>
          <w:rFonts w:ascii="Book Antiqua" w:hAnsi="Book Antiqua"/>
          <w:b/>
        </w:rPr>
        <w:t>Article in press:</w:t>
      </w:r>
    </w:p>
    <w:p w14:paraId="0A36FC6B" w14:textId="77777777" w:rsidR="00D06422" w:rsidRPr="009E3692" w:rsidRDefault="00D06422" w:rsidP="00A741A5">
      <w:pPr>
        <w:spacing w:line="360" w:lineRule="auto"/>
        <w:jc w:val="both"/>
        <w:rPr>
          <w:rFonts w:ascii="Book Antiqua" w:hAnsi="Book Antiqua"/>
        </w:rPr>
      </w:pPr>
      <w:r w:rsidRPr="00867A3A">
        <w:rPr>
          <w:rFonts w:ascii="Book Antiqua" w:hAnsi="Book Antiqua"/>
          <w:b/>
        </w:rPr>
        <w:t>Published online:</w:t>
      </w:r>
    </w:p>
    <w:p w14:paraId="738FC674" w14:textId="202A8F51" w:rsidR="00225F76" w:rsidRDefault="00225F76" w:rsidP="00A741A5">
      <w:pPr>
        <w:spacing w:line="360" w:lineRule="auto"/>
        <w:jc w:val="both"/>
        <w:rPr>
          <w:rFonts w:ascii="Book Antiqua" w:hAnsi="Book Antiqua"/>
          <w:lang w:val="pt-BR"/>
        </w:rPr>
      </w:pPr>
      <w:r>
        <w:rPr>
          <w:rFonts w:ascii="Book Antiqua" w:hAnsi="Book Antiqua"/>
          <w:lang w:val="pt-BR"/>
        </w:rPr>
        <w:br w:type="page"/>
      </w:r>
    </w:p>
    <w:p w14:paraId="0B83D9F9" w14:textId="250661A4" w:rsidR="00F0713C" w:rsidRPr="00DF2968" w:rsidRDefault="006909E8" w:rsidP="00A741A5">
      <w:pPr>
        <w:spacing w:line="360" w:lineRule="auto"/>
        <w:jc w:val="both"/>
        <w:rPr>
          <w:rFonts w:ascii="Book Antiqua" w:hAnsi="Book Antiqua" w:cs="Arial"/>
          <w:b/>
          <w:lang w:val="en-US"/>
        </w:rPr>
      </w:pPr>
      <w:r w:rsidRPr="00DF2968">
        <w:rPr>
          <w:rFonts w:ascii="Book Antiqua" w:hAnsi="Book Antiqua" w:cs="Arial"/>
          <w:b/>
          <w:lang w:val="en-US"/>
        </w:rPr>
        <w:lastRenderedPageBreak/>
        <w:t>Abstract</w:t>
      </w:r>
      <w:r w:rsidR="00D90E4C" w:rsidRPr="00DF2968">
        <w:rPr>
          <w:rFonts w:ascii="Book Antiqua" w:hAnsi="Book Antiqua" w:cs="Arial"/>
          <w:b/>
          <w:lang w:val="en-US"/>
        </w:rPr>
        <w:t xml:space="preserve"> </w:t>
      </w:r>
    </w:p>
    <w:p w14:paraId="26F0DCB1" w14:textId="77777777" w:rsidR="009A7CA5" w:rsidRPr="009A7CA5" w:rsidRDefault="00F0713C" w:rsidP="00A741A5">
      <w:pPr>
        <w:spacing w:line="360" w:lineRule="auto"/>
        <w:jc w:val="both"/>
        <w:rPr>
          <w:rFonts w:ascii="Book Antiqua" w:eastAsia="SimSun" w:hAnsi="Book Antiqua" w:cs="Arial"/>
          <w:b/>
          <w:i/>
          <w:caps/>
          <w:u w:val="single"/>
          <w:lang w:val="en-US" w:eastAsia="zh-CN"/>
        </w:rPr>
      </w:pPr>
      <w:r w:rsidRPr="009A7CA5">
        <w:rPr>
          <w:rFonts w:ascii="Book Antiqua" w:hAnsi="Book Antiqua" w:cs="Arial"/>
          <w:b/>
          <w:i/>
          <w:caps/>
          <w:lang w:val="en-US"/>
        </w:rPr>
        <w:t>Aim</w:t>
      </w:r>
    </w:p>
    <w:p w14:paraId="18D166EC" w14:textId="076BC4AF" w:rsidR="002222D9" w:rsidRDefault="009A7CA5" w:rsidP="00A741A5">
      <w:pPr>
        <w:spacing w:line="360" w:lineRule="auto"/>
        <w:jc w:val="both"/>
        <w:rPr>
          <w:rFonts w:ascii="Book Antiqua" w:eastAsia="SimSun" w:hAnsi="Book Antiqua" w:cs="Arial"/>
          <w:lang w:val="en-US" w:eastAsia="zh-CN"/>
        </w:rPr>
      </w:pPr>
      <w:r>
        <w:rPr>
          <w:rFonts w:ascii="Book Antiqua" w:eastAsia="SimSun" w:hAnsi="Book Antiqua" w:cs="Arial" w:hint="eastAsia"/>
          <w:lang w:val="en-US" w:eastAsia="zh-CN"/>
        </w:rPr>
        <w:t xml:space="preserve">To </w:t>
      </w:r>
      <w:r>
        <w:rPr>
          <w:rFonts w:ascii="Book Antiqua" w:hAnsi="Book Antiqua" w:cs="Arial"/>
          <w:lang w:val="en-US"/>
        </w:rPr>
        <w:t>examine</w:t>
      </w:r>
      <w:r w:rsidR="002222D9" w:rsidRPr="00DF2968">
        <w:rPr>
          <w:rFonts w:ascii="Book Antiqua" w:hAnsi="Book Antiqua" w:cs="Arial"/>
          <w:lang w:val="en-US"/>
        </w:rPr>
        <w:t xml:space="preserve"> </w:t>
      </w:r>
      <w:r w:rsidR="00911C32" w:rsidRPr="00DF2968">
        <w:rPr>
          <w:rFonts w:ascii="Book Antiqua" w:hAnsi="Book Antiqua" w:cs="Arial"/>
          <w:lang w:val="en-US"/>
        </w:rPr>
        <w:t xml:space="preserve">the influence on </w:t>
      </w:r>
      <w:r w:rsidR="004C026C" w:rsidRPr="00DF2968">
        <w:rPr>
          <w:rFonts w:ascii="Book Antiqua" w:hAnsi="Book Antiqua" w:cs="Arial"/>
          <w:lang w:val="en-US"/>
        </w:rPr>
        <w:t xml:space="preserve">apoptotic mechanisms following inhibition of polo-like kinases as therapeutically approach for </w:t>
      </w:r>
      <w:r w:rsidR="00911C32" w:rsidRPr="00DF2968">
        <w:rPr>
          <w:rFonts w:ascii="Book Antiqua" w:hAnsi="Book Antiqua" w:cs="Arial"/>
          <w:lang w:val="en-US"/>
        </w:rPr>
        <w:t xml:space="preserve">cholangiocellular </w:t>
      </w:r>
      <w:r w:rsidR="004C026C" w:rsidRPr="00DF2968">
        <w:rPr>
          <w:rFonts w:ascii="Book Antiqua" w:hAnsi="Book Antiqua" w:cs="Arial"/>
          <w:lang w:val="en-US"/>
        </w:rPr>
        <w:t>cancer treatment.</w:t>
      </w:r>
      <w:r w:rsidR="00F0713C" w:rsidRPr="00DF2968">
        <w:rPr>
          <w:rFonts w:ascii="Book Antiqua" w:hAnsi="Book Antiqua" w:cs="Arial"/>
          <w:lang w:val="en-US"/>
        </w:rPr>
        <w:t xml:space="preserve"> </w:t>
      </w:r>
    </w:p>
    <w:p w14:paraId="4C653342" w14:textId="77777777" w:rsidR="009A7CA5" w:rsidRPr="009A7CA5" w:rsidRDefault="009A7CA5" w:rsidP="00A741A5">
      <w:pPr>
        <w:spacing w:line="360" w:lineRule="auto"/>
        <w:jc w:val="both"/>
        <w:rPr>
          <w:rFonts w:ascii="Book Antiqua" w:eastAsia="SimSun" w:hAnsi="Book Antiqua" w:cs="Arial"/>
          <w:lang w:val="en-US" w:eastAsia="zh-CN"/>
        </w:rPr>
      </w:pPr>
    </w:p>
    <w:p w14:paraId="112B9C84" w14:textId="77777777" w:rsidR="009A7CA5" w:rsidRPr="009A7CA5" w:rsidRDefault="00F0713C" w:rsidP="00A741A5">
      <w:pPr>
        <w:spacing w:line="360" w:lineRule="auto"/>
        <w:jc w:val="both"/>
        <w:rPr>
          <w:rFonts w:ascii="Book Antiqua" w:eastAsia="SimSun" w:hAnsi="Book Antiqua" w:cs="Arial"/>
          <w:b/>
          <w:i/>
          <w:caps/>
          <w:u w:val="single"/>
          <w:lang w:val="en-US" w:eastAsia="zh-CN"/>
        </w:rPr>
      </w:pPr>
      <w:r w:rsidRPr="009A7CA5">
        <w:rPr>
          <w:rFonts w:ascii="Book Antiqua" w:hAnsi="Book Antiqua" w:cs="Arial"/>
          <w:b/>
          <w:i/>
          <w:caps/>
          <w:lang w:val="en-US"/>
        </w:rPr>
        <w:t>Methods</w:t>
      </w:r>
    </w:p>
    <w:p w14:paraId="2DD34B70" w14:textId="51202A20" w:rsidR="00911C32" w:rsidRPr="00DF2968" w:rsidRDefault="00911C32" w:rsidP="00A741A5">
      <w:pPr>
        <w:spacing w:line="360" w:lineRule="auto"/>
        <w:jc w:val="both"/>
        <w:rPr>
          <w:rFonts w:ascii="Book Antiqua" w:hAnsi="Book Antiqua" w:cs="Arial"/>
          <w:lang w:val="en-US"/>
        </w:rPr>
      </w:pPr>
      <w:r w:rsidRPr="00DF2968">
        <w:rPr>
          <w:rFonts w:ascii="Book Antiqua" w:hAnsi="Book Antiqua" w:cs="Arial"/>
          <w:lang w:val="en-US"/>
        </w:rPr>
        <w:t>As most cholangiocarcinomas are chemotherapy-resistant due to mechanisms preventing tumor cell death, we</w:t>
      </w:r>
      <w:r w:rsidR="00137F77" w:rsidRPr="00DF2968">
        <w:rPr>
          <w:rFonts w:ascii="Book Antiqua" w:hAnsi="Book Antiqua" w:cs="Arial"/>
          <w:lang w:val="en-US"/>
        </w:rPr>
        <w:t xml:space="preserve"> investigate</w:t>
      </w:r>
      <w:r w:rsidRPr="00DF2968">
        <w:rPr>
          <w:rFonts w:ascii="Book Antiqua" w:hAnsi="Book Antiqua" w:cs="Arial"/>
          <w:lang w:val="en-US"/>
        </w:rPr>
        <w:t>d the</w:t>
      </w:r>
      <w:r w:rsidR="00AD7828" w:rsidRPr="00DF2968">
        <w:rPr>
          <w:rFonts w:ascii="Book Antiqua" w:hAnsi="Book Antiqua" w:cs="Arial"/>
          <w:lang w:val="en-US"/>
        </w:rPr>
        <w:t xml:space="preserve"> effect of</w:t>
      </w:r>
      <w:r w:rsidR="00137F77" w:rsidRPr="00DF2968">
        <w:rPr>
          <w:rFonts w:ascii="Book Antiqua" w:hAnsi="Book Antiqua" w:cs="Arial"/>
          <w:lang w:val="en-US"/>
        </w:rPr>
        <w:t xml:space="preserve"> Cisplatin </w:t>
      </w:r>
      <w:r w:rsidRPr="00DF2968">
        <w:rPr>
          <w:rFonts w:ascii="Book Antiqua" w:hAnsi="Book Antiqua" w:cs="Arial"/>
          <w:lang w:val="en-US"/>
        </w:rPr>
        <w:t xml:space="preserve">on </w:t>
      </w:r>
      <w:r w:rsidR="00137F77" w:rsidRPr="00DF2968">
        <w:rPr>
          <w:rFonts w:ascii="Book Antiqua" w:hAnsi="Book Antiqua" w:cs="Arial"/>
          <w:lang w:val="en-US"/>
        </w:rPr>
        <w:t>cholangiocellular carcinoma</w:t>
      </w:r>
      <w:r w:rsidR="00B91D21" w:rsidRPr="00DF2968">
        <w:rPr>
          <w:rFonts w:ascii="Book Antiqua" w:hAnsi="Book Antiqua" w:cs="Arial"/>
          <w:lang w:val="en-US"/>
        </w:rPr>
        <w:t xml:space="preserve"> (CCA)</w:t>
      </w:r>
      <w:r w:rsidR="00137F77" w:rsidRPr="00DF2968">
        <w:rPr>
          <w:rFonts w:ascii="Book Antiqua" w:hAnsi="Book Antiqua" w:cs="Arial"/>
          <w:lang w:val="en-US"/>
        </w:rPr>
        <w:t xml:space="preserve"> cell lines KMCH-1 and Mz-Ch-1</w:t>
      </w:r>
      <w:r w:rsidRPr="00DF2968">
        <w:rPr>
          <w:rFonts w:ascii="Book Antiqua" w:hAnsi="Book Antiqua" w:cs="Arial"/>
          <w:lang w:val="en-US"/>
        </w:rPr>
        <w:t xml:space="preserve">. Polo-like kinases (PLK) are important regulators of the cell cycle and their inhibition is discussed as a </w:t>
      </w:r>
      <w:r w:rsidR="00AD7828" w:rsidRPr="00DF2968">
        <w:rPr>
          <w:rFonts w:ascii="Book Antiqua" w:hAnsi="Book Antiqua" w:cs="Arial"/>
          <w:lang w:val="en-US"/>
        </w:rPr>
        <w:t>potential therapy while PLK inhibition</w:t>
      </w:r>
      <w:r w:rsidRPr="00DF2968">
        <w:rPr>
          <w:rFonts w:ascii="Book Antiqua" w:hAnsi="Book Antiqua" w:cs="Arial"/>
          <w:lang w:val="en-US"/>
        </w:rPr>
        <w:t xml:space="preserve"> </w:t>
      </w:r>
      <w:r w:rsidR="00AD7828" w:rsidRPr="00DF2968">
        <w:rPr>
          <w:rFonts w:ascii="Book Antiqua" w:hAnsi="Book Antiqua" w:cs="Arial"/>
          <w:lang w:val="en-US"/>
        </w:rPr>
        <w:t xml:space="preserve">can </w:t>
      </w:r>
      <w:r w:rsidRPr="00DF2968">
        <w:rPr>
          <w:rFonts w:ascii="Book Antiqua" w:hAnsi="Book Antiqua" w:cs="Arial"/>
          <w:lang w:val="en-US"/>
        </w:rPr>
        <w:t>regulate</w:t>
      </w:r>
      <w:r w:rsidR="00AD7828" w:rsidRPr="00DF2968">
        <w:rPr>
          <w:rFonts w:ascii="Book Antiqua" w:hAnsi="Book Antiqua" w:cs="Arial"/>
          <w:lang w:val="en-US"/>
        </w:rPr>
        <w:t xml:space="preserve"> apoptotic</w:t>
      </w:r>
      <w:r w:rsidRPr="00DF2968">
        <w:rPr>
          <w:rFonts w:ascii="Book Antiqua" w:hAnsi="Book Antiqua" w:cs="Arial"/>
          <w:lang w:val="en-US"/>
        </w:rPr>
        <w:t xml:space="preserve"> m</w:t>
      </w:r>
      <w:r w:rsidR="00AD7828" w:rsidRPr="00DF2968">
        <w:rPr>
          <w:rFonts w:ascii="Book Antiqua" w:hAnsi="Book Antiqua" w:cs="Arial"/>
          <w:lang w:val="en-US"/>
        </w:rPr>
        <w:t>ediators</w:t>
      </w:r>
      <w:r w:rsidRPr="00DF2968">
        <w:rPr>
          <w:rFonts w:ascii="Book Antiqua" w:hAnsi="Book Antiqua" w:cs="Arial"/>
          <w:lang w:val="en-US"/>
        </w:rPr>
        <w:t xml:space="preserve">. </w:t>
      </w:r>
      <w:r w:rsidR="00BC074E" w:rsidRPr="00DF2968">
        <w:rPr>
          <w:rFonts w:ascii="Book Antiqua" w:hAnsi="Book Antiqua" w:cs="Arial"/>
          <w:lang w:val="en-US"/>
        </w:rPr>
        <w:t>Here, c</w:t>
      </w:r>
      <w:r w:rsidRPr="00DF2968">
        <w:rPr>
          <w:rFonts w:ascii="Book Antiqua" w:hAnsi="Book Antiqua" w:cs="Arial"/>
          <w:lang w:val="en-US"/>
        </w:rPr>
        <w:t>ells</w:t>
      </w:r>
      <w:r w:rsidR="00941395" w:rsidRPr="00DF2968">
        <w:rPr>
          <w:rFonts w:ascii="Book Antiqua" w:hAnsi="Book Antiqua" w:cs="Arial"/>
          <w:lang w:val="en-US"/>
        </w:rPr>
        <w:t xml:space="preserve"> were treated with PLK</w:t>
      </w:r>
      <w:r w:rsidR="00137F77" w:rsidRPr="00DF2968">
        <w:rPr>
          <w:rFonts w:ascii="Book Antiqua" w:hAnsi="Book Antiqua" w:cs="Arial"/>
          <w:lang w:val="en-US"/>
        </w:rPr>
        <w:t xml:space="preserve"> inhibitor BI6727 (</w:t>
      </w:r>
      <w:r w:rsidR="000429F0" w:rsidRPr="00DF2968">
        <w:rPr>
          <w:rFonts w:ascii="Book Antiqua" w:hAnsi="Book Antiqua" w:cs="Arial"/>
          <w:lang w:val="en-US"/>
        </w:rPr>
        <w:t>Volasertib</w:t>
      </w:r>
      <w:r w:rsidR="00137F77" w:rsidRPr="00DF2968">
        <w:rPr>
          <w:rFonts w:ascii="Book Antiqua" w:hAnsi="Book Antiqua" w:cs="Arial"/>
          <w:lang w:val="en-US"/>
        </w:rPr>
        <w:t>), Cisplatin, and</w:t>
      </w:r>
      <w:r w:rsidR="000429F0" w:rsidRPr="00DF2968">
        <w:rPr>
          <w:rFonts w:ascii="Book Antiqua" w:hAnsi="Book Antiqua" w:cs="Arial"/>
          <w:lang w:val="en-US"/>
        </w:rPr>
        <w:t xml:space="preserve"> in combination of both compounds. Cel</w:t>
      </w:r>
      <w:r w:rsidR="00AD7828" w:rsidRPr="00DF2968">
        <w:rPr>
          <w:rFonts w:ascii="Book Antiqua" w:hAnsi="Book Antiqua" w:cs="Arial"/>
          <w:lang w:val="en-US"/>
        </w:rPr>
        <w:t xml:space="preserve">l viability was assessed by </w:t>
      </w:r>
      <w:r w:rsidR="006909E8" w:rsidRPr="00DF2968">
        <w:rPr>
          <w:rFonts w:ascii="Book Antiqua" w:hAnsi="Book Antiqua" w:cs="Arial"/>
          <w:lang w:val="en-US"/>
        </w:rPr>
        <w:t>MTT;</w:t>
      </w:r>
      <w:r w:rsidR="000429F0" w:rsidRPr="00DF2968">
        <w:rPr>
          <w:rFonts w:ascii="Book Antiqua" w:hAnsi="Book Antiqua" w:cs="Arial"/>
          <w:lang w:val="en-US"/>
        </w:rPr>
        <w:t xml:space="preserve"> apoptosis was measur</w:t>
      </w:r>
      <w:r w:rsidR="00941395" w:rsidRPr="00DF2968">
        <w:rPr>
          <w:rFonts w:ascii="Book Antiqua" w:hAnsi="Book Antiqua" w:cs="Arial"/>
          <w:lang w:val="en-US"/>
        </w:rPr>
        <w:t>ed by DAPI staining and caspase-</w:t>
      </w:r>
      <w:r w:rsidR="000429F0" w:rsidRPr="00DF2968">
        <w:rPr>
          <w:rFonts w:ascii="Book Antiqua" w:hAnsi="Book Antiqua" w:cs="Arial"/>
          <w:lang w:val="en-US"/>
        </w:rPr>
        <w:t>3/</w:t>
      </w:r>
      <w:r w:rsidR="00941395" w:rsidRPr="00DF2968">
        <w:rPr>
          <w:rFonts w:ascii="Book Antiqua" w:hAnsi="Book Antiqua" w:cs="Arial"/>
          <w:lang w:val="en-US"/>
        </w:rPr>
        <w:t>-</w:t>
      </w:r>
      <w:r w:rsidR="00AD7828" w:rsidRPr="00DF2968">
        <w:rPr>
          <w:rFonts w:ascii="Book Antiqua" w:hAnsi="Book Antiqua" w:cs="Arial"/>
          <w:lang w:val="en-US"/>
        </w:rPr>
        <w:t>7 assay. Western blot</w:t>
      </w:r>
      <w:r w:rsidR="000429F0" w:rsidRPr="00DF2968">
        <w:rPr>
          <w:rFonts w:ascii="Book Antiqua" w:hAnsi="Book Antiqua" w:cs="Arial"/>
          <w:lang w:val="en-US"/>
        </w:rPr>
        <w:t xml:space="preserve"> and qRT-PCR were used to measure expression levels of apoptosis-related molecules Bax and Bcl-2. </w:t>
      </w:r>
    </w:p>
    <w:p w14:paraId="59FCF3FA" w14:textId="77777777" w:rsidR="009A7CA5" w:rsidRDefault="009A7CA5" w:rsidP="00A741A5">
      <w:pPr>
        <w:spacing w:line="360" w:lineRule="auto"/>
        <w:jc w:val="both"/>
        <w:rPr>
          <w:rFonts w:ascii="Book Antiqua" w:eastAsia="SimSun" w:hAnsi="Book Antiqua" w:cs="Arial"/>
          <w:b/>
          <w:lang w:val="en-US" w:eastAsia="zh-CN"/>
        </w:rPr>
      </w:pPr>
    </w:p>
    <w:p w14:paraId="2901380D" w14:textId="77777777" w:rsidR="009A7CA5" w:rsidRPr="009A7CA5" w:rsidRDefault="00F0713C" w:rsidP="00A741A5">
      <w:pPr>
        <w:spacing w:line="360" w:lineRule="auto"/>
        <w:jc w:val="both"/>
        <w:rPr>
          <w:rFonts w:ascii="Book Antiqua" w:eastAsia="SimSun" w:hAnsi="Book Antiqua" w:cs="Arial"/>
          <w:b/>
          <w:i/>
          <w:caps/>
          <w:u w:val="single"/>
          <w:lang w:val="en-US" w:eastAsia="zh-CN"/>
        </w:rPr>
      </w:pPr>
      <w:r w:rsidRPr="009A7CA5">
        <w:rPr>
          <w:rFonts w:ascii="Book Antiqua" w:hAnsi="Book Antiqua" w:cs="Arial"/>
          <w:b/>
          <w:i/>
          <w:caps/>
          <w:lang w:val="en-US"/>
        </w:rPr>
        <w:t>Results</w:t>
      </w:r>
    </w:p>
    <w:p w14:paraId="4FAE4944" w14:textId="2ED00ACA" w:rsidR="00AE1EF4" w:rsidRDefault="00AE1EF4" w:rsidP="00A741A5">
      <w:pPr>
        <w:spacing w:line="360" w:lineRule="auto"/>
        <w:jc w:val="both"/>
        <w:rPr>
          <w:rFonts w:ascii="Book Antiqua" w:eastAsia="SimSun" w:hAnsi="Book Antiqua" w:cs="Arial"/>
          <w:lang w:val="en-US" w:eastAsia="zh-CN"/>
        </w:rPr>
      </w:pPr>
      <w:r w:rsidRPr="00DF2968">
        <w:rPr>
          <w:rFonts w:ascii="Book Antiqua" w:hAnsi="Book Antiqua" w:cs="Arial"/>
          <w:lang w:val="en-US"/>
        </w:rPr>
        <w:t>The c</w:t>
      </w:r>
      <w:r w:rsidR="00A919AE" w:rsidRPr="00DF2968">
        <w:rPr>
          <w:rFonts w:ascii="Book Antiqua" w:hAnsi="Book Antiqua" w:cs="Arial"/>
          <w:lang w:val="en-US"/>
        </w:rPr>
        <w:t xml:space="preserve">ell viability in the </w:t>
      </w:r>
      <w:r w:rsidR="00B91D21" w:rsidRPr="00DF2968">
        <w:rPr>
          <w:rFonts w:ascii="Book Antiqua" w:hAnsi="Book Antiqua" w:cs="Arial"/>
          <w:lang w:val="en-US"/>
        </w:rPr>
        <w:t xml:space="preserve">CCA cell lines KMCH-1 and Mz-Ch-1 </w:t>
      </w:r>
      <w:r w:rsidR="00B91D21" w:rsidRPr="00DF2968">
        <w:rPr>
          <w:rFonts w:ascii="Book Antiqua" w:hAnsi="Book Antiqua"/>
          <w:lang w:val="en-US"/>
        </w:rPr>
        <w:t xml:space="preserve">was reduced in all treatment conditions compared to vehicle-treated cells. Co-treatment with BI6727 and cisplatin could even enhance the cytotoxic effect of cisplatin single treatment. </w:t>
      </w:r>
      <w:r w:rsidR="00E51414" w:rsidRPr="00DF2968">
        <w:rPr>
          <w:rFonts w:ascii="Book Antiqua" w:hAnsi="Book Antiqua"/>
          <w:lang w:val="en-US"/>
        </w:rPr>
        <w:t>Thus,</w:t>
      </w:r>
      <w:r w:rsidR="00941395" w:rsidRPr="00DF2968">
        <w:rPr>
          <w:rFonts w:ascii="Book Antiqua" w:hAnsi="Book Antiqua"/>
          <w:lang w:val="en-US"/>
        </w:rPr>
        <w:t xml:space="preserve"> co-treatment of cisplatin with</w:t>
      </w:r>
      <w:r w:rsidRPr="00DF2968">
        <w:rPr>
          <w:rFonts w:ascii="Book Antiqua" w:hAnsi="Book Antiqua"/>
          <w:lang w:val="en-US"/>
        </w:rPr>
        <w:t xml:space="preserve"> BI6727 could slightly</w:t>
      </w:r>
      <w:r w:rsidR="00E51414" w:rsidRPr="00DF2968">
        <w:rPr>
          <w:rFonts w:ascii="Book Antiqua" w:hAnsi="Book Antiqua"/>
          <w:lang w:val="en-US"/>
        </w:rPr>
        <w:t xml:space="preserve"> enhance the cytotox</w:t>
      </w:r>
      <w:r w:rsidR="00941395" w:rsidRPr="00DF2968">
        <w:rPr>
          <w:rFonts w:ascii="Book Antiqua" w:hAnsi="Book Antiqua"/>
          <w:lang w:val="en-US"/>
        </w:rPr>
        <w:t>ic effect of the</w:t>
      </w:r>
      <w:r w:rsidR="00E51414" w:rsidRPr="00DF2968">
        <w:rPr>
          <w:rFonts w:ascii="Book Antiqua" w:hAnsi="Book Antiqua"/>
          <w:lang w:val="en-US"/>
        </w:rPr>
        <w:t xml:space="preserve"> cisplatin in both cell lines whereas there was evidence of increased apoptos</w:t>
      </w:r>
      <w:r w:rsidR="00941395" w:rsidRPr="00DF2968">
        <w:rPr>
          <w:rFonts w:ascii="Book Antiqua" w:hAnsi="Book Antiqua"/>
          <w:lang w:val="en-US"/>
        </w:rPr>
        <w:t>is induction solely in Mz-Ch-1 as compared to KMCH-1</w:t>
      </w:r>
      <w:r w:rsidR="00E51414" w:rsidRPr="00DF2968">
        <w:rPr>
          <w:rFonts w:ascii="Book Antiqua" w:hAnsi="Book Antiqua"/>
          <w:lang w:val="en-US"/>
        </w:rPr>
        <w:t>.</w:t>
      </w:r>
      <w:r w:rsidRPr="00DF2968">
        <w:rPr>
          <w:rFonts w:ascii="Book Antiqua" w:hAnsi="Book Antiqua"/>
          <w:lang w:val="en-US"/>
        </w:rPr>
        <w:t xml:space="preserve"> </w:t>
      </w:r>
      <w:r w:rsidRPr="00DF2968">
        <w:rPr>
          <w:rFonts w:ascii="Book Antiqua" w:hAnsi="Book Antiqua" w:cs="Arial"/>
          <w:lang w:val="en-US"/>
        </w:rPr>
        <w:t xml:space="preserve">Moreover, PLK inhibition decreases protein levels </w:t>
      </w:r>
      <w:r w:rsidR="00941395" w:rsidRPr="00DF2968">
        <w:rPr>
          <w:rFonts w:ascii="Book Antiqua" w:hAnsi="Book Antiqua" w:cs="Arial"/>
          <w:lang w:val="en-US"/>
        </w:rPr>
        <w:t>of</w:t>
      </w:r>
      <w:r w:rsidRPr="00DF2968">
        <w:rPr>
          <w:rFonts w:ascii="Book Antiqua" w:hAnsi="Book Antiqua" w:cs="Arial"/>
          <w:lang w:val="en-US"/>
        </w:rPr>
        <w:t xml:space="preserve"> Bcl-2; an effect that can be reversed by the proteasomal degradation inhibitor MG-132. In contrast, protein levels </w:t>
      </w:r>
      <w:r w:rsidR="00941395" w:rsidRPr="00DF2968">
        <w:rPr>
          <w:rFonts w:ascii="Book Antiqua" w:hAnsi="Book Antiqua" w:cs="Arial"/>
          <w:lang w:val="en-US"/>
        </w:rPr>
        <w:t>of</w:t>
      </w:r>
      <w:r w:rsidRPr="00DF2968">
        <w:rPr>
          <w:rFonts w:ascii="Book Antiqua" w:hAnsi="Book Antiqua" w:cs="Arial"/>
          <w:lang w:val="en-US"/>
        </w:rPr>
        <w:t xml:space="preserve"> Bax were not found to be altered by PLK inhibition. The</w:t>
      </w:r>
      <w:r w:rsidR="00941395" w:rsidRPr="00DF2968">
        <w:rPr>
          <w:rFonts w:ascii="Book Antiqua" w:hAnsi="Book Antiqua" w:cs="Arial"/>
          <w:lang w:val="en-US"/>
        </w:rPr>
        <w:t>se</w:t>
      </w:r>
      <w:r w:rsidRPr="00DF2968">
        <w:rPr>
          <w:rFonts w:ascii="Book Antiqua" w:hAnsi="Book Antiqua" w:cs="Arial"/>
          <w:lang w:val="en-US"/>
        </w:rPr>
        <w:t xml:space="preserve"> findings indicate that cytotoxic effects of Cisplatin in Mz-Ch-1 cells can be enhanced by co</w:t>
      </w:r>
      <w:r w:rsidRPr="00DF2968">
        <w:rPr>
          <w:rFonts w:ascii="Book Antiqua" w:hAnsi="Book Antiqua" w:cs="Arial"/>
          <w:lang w:val="en-US"/>
        </w:rPr>
        <w:noBreakHyphen/>
      </w:r>
      <w:r w:rsidR="00941395" w:rsidRPr="00DF2968">
        <w:rPr>
          <w:rFonts w:ascii="Book Antiqua" w:hAnsi="Book Antiqua" w:cs="Arial"/>
          <w:lang w:val="en-US"/>
        </w:rPr>
        <w:t>treatment with</w:t>
      </w:r>
      <w:r w:rsidRPr="00DF2968">
        <w:rPr>
          <w:rFonts w:ascii="Book Antiqua" w:hAnsi="Book Antiqua" w:cs="Arial"/>
          <w:lang w:val="en-US"/>
        </w:rPr>
        <w:t xml:space="preserve"> BI6727.</w:t>
      </w:r>
    </w:p>
    <w:p w14:paraId="08D99133" w14:textId="77777777" w:rsidR="009A7CA5" w:rsidRPr="009A7CA5" w:rsidRDefault="009A7CA5" w:rsidP="00A741A5">
      <w:pPr>
        <w:spacing w:line="360" w:lineRule="auto"/>
        <w:jc w:val="both"/>
        <w:rPr>
          <w:rFonts w:ascii="Book Antiqua" w:eastAsia="SimSun" w:hAnsi="Book Antiqua"/>
          <w:lang w:val="en-US" w:eastAsia="zh-CN"/>
        </w:rPr>
      </w:pPr>
    </w:p>
    <w:p w14:paraId="2B11478D" w14:textId="77777777" w:rsidR="009A7CA5" w:rsidRPr="009A7CA5" w:rsidRDefault="00F0713C" w:rsidP="00A741A5">
      <w:pPr>
        <w:spacing w:line="360" w:lineRule="auto"/>
        <w:jc w:val="both"/>
        <w:rPr>
          <w:rFonts w:ascii="Book Antiqua" w:eastAsia="SimSun" w:hAnsi="Book Antiqua" w:cs="Arial"/>
          <w:b/>
          <w:i/>
          <w:caps/>
          <w:u w:val="single"/>
          <w:lang w:val="en-US" w:eastAsia="zh-CN"/>
        </w:rPr>
      </w:pPr>
      <w:r w:rsidRPr="009A7CA5">
        <w:rPr>
          <w:rFonts w:ascii="Book Antiqua" w:hAnsi="Book Antiqua" w:cs="Arial"/>
          <w:b/>
          <w:i/>
          <w:caps/>
          <w:lang w:val="en-US"/>
        </w:rPr>
        <w:t>Conclusion</w:t>
      </w:r>
    </w:p>
    <w:p w14:paraId="1C96357C" w14:textId="50F2ACBC" w:rsidR="000429F0" w:rsidRPr="00DF2968" w:rsidRDefault="00F0713C" w:rsidP="00A741A5">
      <w:pPr>
        <w:spacing w:line="360" w:lineRule="auto"/>
        <w:jc w:val="both"/>
        <w:rPr>
          <w:rFonts w:ascii="Book Antiqua" w:hAnsi="Book Antiqua"/>
          <w:lang w:val="en-US"/>
        </w:rPr>
      </w:pPr>
      <w:r w:rsidRPr="00DF2968">
        <w:rPr>
          <w:rFonts w:ascii="Book Antiqua" w:hAnsi="Book Antiqua" w:cs="Arial"/>
          <w:lang w:val="en-US"/>
        </w:rPr>
        <w:t>In conclusion, BI6727 treatment can sensitize CCA cells to cisplatin-induced apoptosis with proteasomal Bcl-2 degradation as an additional pro-apoptotic effect.</w:t>
      </w:r>
    </w:p>
    <w:p w14:paraId="05859717" w14:textId="77777777" w:rsidR="00225F76" w:rsidRDefault="00225F76" w:rsidP="00A741A5">
      <w:pPr>
        <w:spacing w:line="360" w:lineRule="auto"/>
        <w:jc w:val="both"/>
        <w:rPr>
          <w:rFonts w:ascii="Book Antiqua" w:eastAsia="SimSun" w:hAnsi="Book Antiqua"/>
          <w:b/>
          <w:lang w:val="en-US" w:eastAsia="zh-CN"/>
        </w:rPr>
      </w:pPr>
    </w:p>
    <w:p w14:paraId="53C2F4F8" w14:textId="0714BACA" w:rsidR="00F0713C" w:rsidRDefault="00F0713C" w:rsidP="00A741A5">
      <w:pPr>
        <w:spacing w:line="360" w:lineRule="auto"/>
        <w:jc w:val="both"/>
        <w:rPr>
          <w:rFonts w:ascii="Book Antiqua" w:eastAsia="SimSun" w:hAnsi="Book Antiqua"/>
          <w:lang w:val="en-US" w:eastAsia="zh-CN"/>
        </w:rPr>
      </w:pPr>
      <w:r w:rsidRPr="00DF2968">
        <w:rPr>
          <w:rFonts w:ascii="Book Antiqua" w:hAnsi="Book Antiqua"/>
          <w:b/>
          <w:lang w:val="en-US"/>
        </w:rPr>
        <w:t>Key</w:t>
      </w:r>
      <w:r w:rsidR="00225F76">
        <w:rPr>
          <w:rFonts w:ascii="Book Antiqua" w:eastAsia="SimSun" w:hAnsi="Book Antiqua" w:hint="eastAsia"/>
          <w:b/>
          <w:lang w:val="en-US" w:eastAsia="zh-CN"/>
        </w:rPr>
        <w:t xml:space="preserve"> </w:t>
      </w:r>
      <w:r w:rsidRPr="00DF2968">
        <w:rPr>
          <w:rFonts w:ascii="Book Antiqua" w:hAnsi="Book Antiqua"/>
          <w:b/>
          <w:lang w:val="en-US"/>
        </w:rPr>
        <w:t>words:</w:t>
      </w:r>
      <w:r w:rsidRPr="00DF2968">
        <w:rPr>
          <w:rFonts w:ascii="Book Antiqua" w:hAnsi="Book Antiqua"/>
          <w:lang w:val="en-US"/>
        </w:rPr>
        <w:t xml:space="preserve"> </w:t>
      </w:r>
      <w:r w:rsidR="00225F76" w:rsidRPr="00DF2968">
        <w:rPr>
          <w:rFonts w:ascii="Book Antiqua" w:hAnsi="Book Antiqua" w:cs="Arial"/>
          <w:lang w:val="en-US"/>
        </w:rPr>
        <w:t xml:space="preserve">Tumor </w:t>
      </w:r>
      <w:r w:rsidRPr="00DF2968">
        <w:rPr>
          <w:rFonts w:ascii="Book Antiqua" w:hAnsi="Book Antiqua" w:cs="Arial"/>
          <w:lang w:val="en-US"/>
        </w:rPr>
        <w:t>necrosis factor-related apoptosis-inducing ligand</w:t>
      </w:r>
      <w:r w:rsidR="00225F76">
        <w:rPr>
          <w:rFonts w:ascii="Book Antiqua" w:eastAsia="SimSun" w:hAnsi="Book Antiqua" w:cs="Arial" w:hint="eastAsia"/>
          <w:lang w:val="en-US" w:eastAsia="zh-CN"/>
        </w:rPr>
        <w:t>;</w:t>
      </w:r>
      <w:r w:rsidRPr="00DF2968">
        <w:rPr>
          <w:rFonts w:ascii="Book Antiqua" w:hAnsi="Book Antiqua" w:cs="Arial"/>
          <w:lang w:val="en-US"/>
        </w:rPr>
        <w:t xml:space="preserve"> </w:t>
      </w:r>
      <w:r w:rsidR="00225F76" w:rsidRPr="00DF2968">
        <w:rPr>
          <w:rFonts w:ascii="Book Antiqua" w:hAnsi="Book Antiqua"/>
          <w:lang w:val="en-US"/>
        </w:rPr>
        <w:t xml:space="preserve">Myeloid </w:t>
      </w:r>
      <w:r w:rsidRPr="00DF2968">
        <w:rPr>
          <w:rFonts w:ascii="Book Antiqua" w:hAnsi="Book Antiqua"/>
          <w:lang w:val="en-US"/>
        </w:rPr>
        <w:t>cell leukemia-1</w:t>
      </w:r>
      <w:r w:rsidR="00225F76">
        <w:rPr>
          <w:rFonts w:ascii="Book Antiqua" w:eastAsia="SimSun" w:hAnsi="Book Antiqua" w:hint="eastAsia"/>
          <w:lang w:val="en-US" w:eastAsia="zh-CN"/>
        </w:rPr>
        <w:t>;</w:t>
      </w:r>
      <w:r w:rsidRPr="00DF2968">
        <w:rPr>
          <w:rFonts w:ascii="Book Antiqua" w:hAnsi="Book Antiqua"/>
          <w:lang w:val="en-US"/>
        </w:rPr>
        <w:t xml:space="preserve"> </w:t>
      </w:r>
      <w:r w:rsidR="00225F76" w:rsidRPr="00DF2968">
        <w:rPr>
          <w:rFonts w:ascii="Book Antiqua" w:hAnsi="Book Antiqua"/>
          <w:lang w:val="en-US"/>
        </w:rPr>
        <w:t xml:space="preserve">Hedgehog </w:t>
      </w:r>
      <w:r w:rsidRPr="00DF2968">
        <w:rPr>
          <w:rFonts w:ascii="Book Antiqua" w:hAnsi="Book Antiqua"/>
          <w:lang w:val="en-US"/>
        </w:rPr>
        <w:t>pathway</w:t>
      </w:r>
      <w:r w:rsidR="00225F76">
        <w:rPr>
          <w:rFonts w:ascii="Book Antiqua" w:eastAsia="SimSun" w:hAnsi="Book Antiqua" w:hint="eastAsia"/>
          <w:lang w:val="en-US" w:eastAsia="zh-CN"/>
        </w:rPr>
        <w:t>;</w:t>
      </w:r>
      <w:r w:rsidRPr="00DF2968">
        <w:rPr>
          <w:rFonts w:ascii="Book Antiqua" w:hAnsi="Book Antiqua"/>
          <w:lang w:val="en-US"/>
        </w:rPr>
        <w:t xml:space="preserve"> </w:t>
      </w:r>
      <w:r w:rsidR="00225F76" w:rsidRPr="00DF2968">
        <w:rPr>
          <w:rFonts w:ascii="Book Antiqua" w:hAnsi="Book Antiqua"/>
          <w:lang w:val="en-US"/>
        </w:rPr>
        <w:t>Cisplatin</w:t>
      </w:r>
      <w:r w:rsidR="00225F76">
        <w:rPr>
          <w:rFonts w:ascii="Book Antiqua" w:eastAsia="SimSun" w:hAnsi="Book Antiqua" w:hint="eastAsia"/>
          <w:lang w:val="en-US" w:eastAsia="zh-CN"/>
        </w:rPr>
        <w:t>;</w:t>
      </w:r>
      <w:r w:rsidRPr="00DF2968">
        <w:rPr>
          <w:rFonts w:ascii="Book Antiqua" w:hAnsi="Book Antiqua"/>
          <w:lang w:val="en-US"/>
        </w:rPr>
        <w:t xml:space="preserve"> </w:t>
      </w:r>
      <w:r w:rsidR="00225F76" w:rsidRPr="00DF2968">
        <w:rPr>
          <w:rFonts w:ascii="Book Antiqua" w:hAnsi="Book Antiqua"/>
          <w:lang w:val="en-US"/>
        </w:rPr>
        <w:t xml:space="preserve">Chemotherapy </w:t>
      </w:r>
      <w:r w:rsidRPr="00DF2968">
        <w:rPr>
          <w:rFonts w:ascii="Book Antiqua" w:hAnsi="Book Antiqua"/>
          <w:lang w:val="en-US"/>
        </w:rPr>
        <w:t>resistance</w:t>
      </w:r>
    </w:p>
    <w:p w14:paraId="414E8FE1" w14:textId="77777777" w:rsidR="00225F76" w:rsidRDefault="00225F76" w:rsidP="00A741A5">
      <w:pPr>
        <w:spacing w:line="360" w:lineRule="auto"/>
        <w:jc w:val="both"/>
        <w:rPr>
          <w:rFonts w:ascii="Book Antiqua" w:eastAsia="SimSun" w:hAnsi="Book Antiqua"/>
          <w:lang w:val="en-US" w:eastAsia="zh-CN"/>
        </w:rPr>
      </w:pPr>
    </w:p>
    <w:p w14:paraId="7DF282ED" w14:textId="65B5B240" w:rsidR="00225F76" w:rsidRPr="00225F76" w:rsidRDefault="008F46F5" w:rsidP="00A741A5">
      <w:pPr>
        <w:spacing w:line="360" w:lineRule="auto"/>
        <w:jc w:val="both"/>
        <w:rPr>
          <w:rFonts w:ascii="Book Antiqua" w:eastAsia="SimSun" w:hAnsi="Book Antiqua"/>
          <w:highlight w:val="yellow"/>
          <w:lang w:val="en-US" w:eastAsia="zh-CN"/>
        </w:rPr>
      </w:pPr>
      <w:bookmarkStart w:id="5" w:name="OLE_LINK98"/>
      <w:bookmarkStart w:id="6" w:name="OLE_LINK156"/>
      <w:bookmarkStart w:id="7" w:name="OLE_LINK196"/>
      <w:bookmarkStart w:id="8" w:name="OLE_LINK217"/>
      <w:bookmarkStart w:id="9" w:name="OLE_LINK242"/>
      <w:bookmarkStart w:id="10" w:name="OLE_LINK247"/>
      <w:bookmarkStart w:id="11" w:name="OLE_LINK311"/>
      <w:bookmarkStart w:id="12" w:name="OLE_LINK312"/>
      <w:bookmarkStart w:id="13" w:name="OLE_LINK325"/>
      <w:bookmarkStart w:id="14" w:name="OLE_LINK330"/>
      <w:bookmarkStart w:id="15" w:name="OLE_LINK513"/>
      <w:bookmarkStart w:id="16" w:name="OLE_LINK514"/>
      <w:bookmarkStart w:id="17" w:name="OLE_LINK464"/>
      <w:bookmarkStart w:id="18" w:name="OLE_LINK465"/>
      <w:bookmarkStart w:id="19" w:name="OLE_LINK466"/>
      <w:bookmarkStart w:id="20" w:name="OLE_LINK470"/>
      <w:bookmarkStart w:id="21" w:name="OLE_LINK471"/>
      <w:bookmarkStart w:id="22" w:name="OLE_LINK472"/>
      <w:bookmarkStart w:id="23" w:name="OLE_LINK474"/>
      <w:bookmarkStart w:id="24" w:name="OLE_LINK512"/>
      <w:bookmarkStart w:id="25" w:name="OLE_LINK800"/>
      <w:bookmarkStart w:id="26" w:name="OLE_LINK982"/>
      <w:bookmarkStart w:id="27" w:name="OLE_LINK1027"/>
      <w:bookmarkStart w:id="28" w:name="OLE_LINK504"/>
      <w:bookmarkStart w:id="29" w:name="OLE_LINK546"/>
      <w:bookmarkStart w:id="30" w:name="OLE_LINK547"/>
      <w:bookmarkStart w:id="31" w:name="OLE_LINK575"/>
      <w:bookmarkStart w:id="32" w:name="OLE_LINK640"/>
      <w:bookmarkStart w:id="33" w:name="OLE_LINK672"/>
      <w:bookmarkStart w:id="34" w:name="OLE_LINK714"/>
      <w:bookmarkStart w:id="35" w:name="OLE_LINK651"/>
      <w:bookmarkStart w:id="36" w:name="OLE_LINK652"/>
      <w:bookmarkStart w:id="37" w:name="OLE_LINK744"/>
      <w:bookmarkStart w:id="38" w:name="OLE_LINK758"/>
      <w:bookmarkStart w:id="39" w:name="OLE_LINK787"/>
      <w:bookmarkStart w:id="40" w:name="OLE_LINK807"/>
      <w:bookmarkStart w:id="41" w:name="OLE_LINK820"/>
      <w:bookmarkStart w:id="42" w:name="OLE_LINK862"/>
      <w:bookmarkStart w:id="43" w:name="OLE_LINK879"/>
      <w:bookmarkStart w:id="44" w:name="OLE_LINK906"/>
      <w:bookmarkStart w:id="45" w:name="OLE_LINK928"/>
      <w:bookmarkStart w:id="46" w:name="OLE_LINK960"/>
      <w:bookmarkStart w:id="47" w:name="OLE_LINK861"/>
      <w:bookmarkStart w:id="48" w:name="OLE_LINK983"/>
      <w:bookmarkStart w:id="49" w:name="OLE_LINK1334"/>
      <w:bookmarkStart w:id="50" w:name="OLE_LINK1029"/>
      <w:bookmarkStart w:id="51" w:name="OLE_LINK1060"/>
      <w:bookmarkStart w:id="52" w:name="OLE_LINK1061"/>
      <w:bookmarkStart w:id="53" w:name="OLE_LINK1348"/>
      <w:bookmarkStart w:id="54" w:name="OLE_LINK1086"/>
      <w:bookmarkStart w:id="55" w:name="OLE_LINK1100"/>
      <w:bookmarkStart w:id="56" w:name="OLE_LINK1125"/>
      <w:bookmarkStart w:id="57" w:name="OLE_LINK1163"/>
      <w:bookmarkStart w:id="58" w:name="OLE_LINK1193"/>
      <w:bookmarkStart w:id="59" w:name="OLE_LINK1219"/>
      <w:bookmarkStart w:id="60" w:name="OLE_LINK1247"/>
      <w:bookmarkStart w:id="61" w:name="OLE_LINK1284"/>
      <w:bookmarkStart w:id="62" w:name="OLE_LINK1313"/>
      <w:bookmarkStart w:id="63" w:name="OLE_LINK1361"/>
      <w:bookmarkStart w:id="64" w:name="OLE_LINK1384"/>
      <w:bookmarkStart w:id="65" w:name="OLE_LINK1403"/>
      <w:bookmarkStart w:id="66" w:name="OLE_LINK1437"/>
      <w:bookmarkStart w:id="67" w:name="OLE_LINK1454"/>
      <w:bookmarkStart w:id="68" w:name="OLE_LINK1480"/>
      <w:bookmarkStart w:id="69" w:name="OLE_LINK1504"/>
      <w:bookmarkStart w:id="70" w:name="OLE_LINK1516"/>
      <w:bookmarkStart w:id="71" w:name="OLE_LINK135"/>
      <w:bookmarkStart w:id="72" w:name="OLE_LINK216"/>
      <w:bookmarkStart w:id="73" w:name="OLE_LINK259"/>
      <w:bookmarkStart w:id="74" w:name="OLE_LINK1186"/>
      <w:bookmarkStart w:id="75" w:name="OLE_LINK1265"/>
      <w:bookmarkStart w:id="76" w:name="OLE_LINK1373"/>
      <w:bookmarkStart w:id="77" w:name="OLE_LINK1478"/>
      <w:bookmarkStart w:id="78" w:name="OLE_LINK1644"/>
      <w:bookmarkStart w:id="79" w:name="OLE_LINK1884"/>
      <w:bookmarkStart w:id="80" w:name="OLE_LINK1885"/>
      <w:bookmarkStart w:id="81" w:name="OLE_LINK1538"/>
      <w:bookmarkStart w:id="82" w:name="OLE_LINK1539"/>
      <w:bookmarkStart w:id="83" w:name="OLE_LINK1543"/>
      <w:bookmarkStart w:id="84" w:name="OLE_LINK1549"/>
      <w:bookmarkStart w:id="85" w:name="OLE_LINK1778"/>
      <w:bookmarkStart w:id="86" w:name="OLE_LINK1756"/>
      <w:bookmarkStart w:id="87" w:name="OLE_LINK1776"/>
      <w:bookmarkStart w:id="88" w:name="OLE_LINK1777"/>
      <w:bookmarkStart w:id="89" w:name="OLE_LINK1868"/>
      <w:bookmarkStart w:id="90" w:name="OLE_LINK1744"/>
      <w:bookmarkStart w:id="91" w:name="OLE_LINK1817"/>
      <w:bookmarkStart w:id="92" w:name="OLE_LINK1835"/>
      <w:bookmarkStart w:id="93" w:name="OLE_LINK1866"/>
      <w:bookmarkStart w:id="94" w:name="OLE_LINK1882"/>
      <w:bookmarkStart w:id="95" w:name="OLE_LINK1901"/>
      <w:bookmarkStart w:id="96" w:name="OLE_LINK1902"/>
      <w:bookmarkStart w:id="97" w:name="OLE_LINK2013"/>
      <w:bookmarkStart w:id="98" w:name="OLE_LINK1894"/>
      <w:bookmarkStart w:id="99" w:name="OLE_LINK1929"/>
      <w:bookmarkStart w:id="100" w:name="OLE_LINK1941"/>
      <w:bookmarkStart w:id="101" w:name="OLE_LINK1995"/>
      <w:bookmarkStart w:id="102" w:name="OLE_LINK1938"/>
      <w:bookmarkStart w:id="103" w:name="OLE_LINK2081"/>
      <w:bookmarkStart w:id="104" w:name="OLE_LINK2082"/>
      <w:bookmarkStart w:id="105" w:name="OLE_LINK2292"/>
      <w:bookmarkStart w:id="106" w:name="OLE_LINK1931"/>
      <w:bookmarkStart w:id="107" w:name="OLE_LINK1964"/>
      <w:bookmarkStart w:id="108" w:name="OLE_LINK2020"/>
      <w:bookmarkStart w:id="109" w:name="OLE_LINK2071"/>
      <w:bookmarkStart w:id="110" w:name="OLE_LINK2134"/>
      <w:bookmarkStart w:id="111" w:name="OLE_LINK2265"/>
      <w:bookmarkStart w:id="112" w:name="OLE_LINK2562"/>
      <w:bookmarkStart w:id="113" w:name="OLE_LINK1923"/>
      <w:bookmarkStart w:id="114" w:name="OLE_LINK2192"/>
      <w:bookmarkStart w:id="115" w:name="OLE_LINK2110"/>
      <w:bookmarkStart w:id="116" w:name="OLE_LINK2445"/>
      <w:bookmarkStart w:id="117" w:name="OLE_LINK2446"/>
      <w:bookmarkStart w:id="118" w:name="OLE_LINK2169"/>
      <w:bookmarkStart w:id="119" w:name="OLE_LINK2190"/>
      <w:bookmarkStart w:id="120" w:name="OLE_LINK2331"/>
      <w:bookmarkStart w:id="121" w:name="OLE_LINK2345"/>
      <w:bookmarkStart w:id="122" w:name="OLE_LINK2467"/>
      <w:bookmarkStart w:id="123" w:name="OLE_LINK2484"/>
      <w:bookmarkStart w:id="124" w:name="OLE_LINK2157"/>
      <w:bookmarkStart w:id="125" w:name="OLE_LINK2221"/>
      <w:bookmarkStart w:id="126" w:name="OLE_LINK2252"/>
      <w:bookmarkStart w:id="127" w:name="OLE_LINK2348"/>
      <w:bookmarkStart w:id="128" w:name="OLE_LINK2451"/>
      <w:bookmarkStart w:id="129" w:name="OLE_LINK2627"/>
      <w:bookmarkStart w:id="130" w:name="OLE_LINK2482"/>
      <w:bookmarkStart w:id="131" w:name="OLE_LINK2663"/>
      <w:bookmarkStart w:id="132" w:name="OLE_LINK2761"/>
      <w:bookmarkStart w:id="133" w:name="OLE_LINK2856"/>
      <w:bookmarkStart w:id="134" w:name="OLE_LINK2993"/>
      <w:bookmarkStart w:id="135" w:name="OLE_LINK2643"/>
      <w:bookmarkStart w:id="136" w:name="OLE_LINK2583"/>
      <w:bookmarkStart w:id="137" w:name="OLE_LINK2762"/>
      <w:bookmarkStart w:id="138" w:name="OLE_LINK2962"/>
      <w:bookmarkStart w:id="139" w:name="OLE_LINK2582"/>
      <w:r w:rsidRPr="00412B34">
        <w:rPr>
          <w:rFonts w:ascii="Book Antiqua" w:hAnsi="Book Antiqua"/>
          <w:b/>
          <w:color w:val="000000"/>
          <w:lang w:val="en-GB"/>
        </w:rPr>
        <w:t xml:space="preserve">© </w:t>
      </w:r>
      <w:r w:rsidRPr="00412B34">
        <w:rPr>
          <w:rFonts w:ascii="Book Antiqua" w:eastAsia="AdvTimes" w:hAnsi="Book Antiqua" w:cs="AdvTimes"/>
          <w:b/>
          <w:color w:val="000000"/>
        </w:rPr>
        <w:t>The Author(s) 201</w:t>
      </w:r>
      <w:r>
        <w:rPr>
          <w:rFonts w:ascii="Book Antiqua" w:hAnsi="Book Antiqua" w:cs="AdvTimes" w:hint="eastAsia"/>
          <w:b/>
          <w:color w:val="000000"/>
        </w:rPr>
        <w:t>7</w:t>
      </w:r>
      <w:r w:rsidRPr="00412B34">
        <w:rPr>
          <w:rFonts w:ascii="Book Antiqua" w:eastAsia="AdvTimes" w:hAnsi="Book Antiqua" w:cs="AdvTimes"/>
          <w:b/>
          <w:color w:val="000000"/>
        </w:rPr>
        <w:t>.</w:t>
      </w:r>
      <w:r w:rsidRPr="004269F8">
        <w:rPr>
          <w:rFonts w:ascii="Book Antiqua" w:eastAsia="AdvTimes" w:hAnsi="Book Antiqua" w:cs="AdvTimes"/>
          <w:color w:val="000000"/>
        </w:rPr>
        <w:t xml:space="preserve"> </w:t>
      </w:r>
      <w:r w:rsidRPr="00897D49">
        <w:rPr>
          <w:rFonts w:ascii="Book Antiqua" w:eastAsia="AdvTimes" w:hAnsi="Book Antiqua" w:cs="AdvTimes"/>
          <w:color w:val="000000"/>
        </w:rPr>
        <w:t>Published by</w:t>
      </w:r>
      <w:r w:rsidRPr="004269F8">
        <w:rPr>
          <w:rFonts w:ascii="Book Antiqua" w:eastAsia="AdvTimes" w:hAnsi="Book Antiqua" w:cs="AdvTimes"/>
          <w:color w:val="000000"/>
        </w:rPr>
        <w:t xml:space="preserve"> </w:t>
      </w:r>
      <w:r w:rsidRPr="004269F8">
        <w:rPr>
          <w:rFonts w:ascii="Book Antiqua" w:hAnsi="Book Antiqua" w:cs="Arial Unicode MS"/>
          <w:color w:val="000000"/>
          <w:lang w:val="en-GB"/>
        </w:rPr>
        <w:t>Baishideng Publishing Group Inc.</w:t>
      </w:r>
      <w:r w:rsidRPr="008E6844">
        <w:rPr>
          <w:rFonts w:ascii="Book Antiqua" w:hAnsi="Book Antiqua" w:cs="Arial Unicode MS"/>
        </w:rPr>
        <w:t xml:space="preserve"> </w:t>
      </w:r>
      <w:r w:rsidRPr="00836DCC">
        <w:rPr>
          <w:rFonts w:ascii="Book Antiqua" w:hAnsi="Book Antiqua" w:cs="Arial Unicode MS"/>
        </w:rPr>
        <w:t>All rights reserved.</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p>
    <w:p w14:paraId="243E0A17" w14:textId="77777777" w:rsidR="001D6143" w:rsidRPr="00DF2968" w:rsidRDefault="001D6143" w:rsidP="00A741A5">
      <w:pPr>
        <w:spacing w:line="360" w:lineRule="auto"/>
        <w:jc w:val="both"/>
        <w:rPr>
          <w:rFonts w:ascii="Book Antiqua" w:hAnsi="Book Antiqua"/>
          <w:b/>
          <w:lang w:val="en-US"/>
        </w:rPr>
      </w:pPr>
    </w:p>
    <w:p w14:paraId="747E5924" w14:textId="77777777" w:rsidR="008F46F5" w:rsidRDefault="007B5CFF" w:rsidP="00A741A5">
      <w:pPr>
        <w:spacing w:line="360" w:lineRule="auto"/>
        <w:jc w:val="both"/>
        <w:rPr>
          <w:rFonts w:ascii="Book Antiqua" w:eastAsia="SimSun" w:hAnsi="Book Antiqua" w:cs="Arial"/>
          <w:lang w:val="en-US" w:eastAsia="zh-CN"/>
        </w:rPr>
      </w:pPr>
      <w:r w:rsidRPr="00DF2968">
        <w:rPr>
          <w:rFonts w:ascii="Book Antiqua" w:hAnsi="Book Antiqua"/>
          <w:b/>
          <w:lang w:val="en-US"/>
        </w:rPr>
        <w:t xml:space="preserve">Core tip: </w:t>
      </w:r>
      <w:r w:rsidR="00AB4018" w:rsidRPr="00DF2968">
        <w:rPr>
          <w:rFonts w:ascii="Book Antiqua" w:hAnsi="Book Antiqua" w:cs="Arial"/>
          <w:lang w:val="en-US"/>
        </w:rPr>
        <w:t>This</w:t>
      </w:r>
      <w:r w:rsidRPr="00DF2968">
        <w:rPr>
          <w:rFonts w:ascii="Book Antiqua" w:hAnsi="Book Antiqua" w:cs="Arial"/>
          <w:lang w:val="en-US"/>
        </w:rPr>
        <w:t xml:space="preserve"> manuscript addresses the</w:t>
      </w:r>
      <w:r w:rsidR="00AB4018" w:rsidRPr="00DF2968">
        <w:rPr>
          <w:rFonts w:ascii="Book Antiqua" w:hAnsi="Book Antiqua" w:cs="Arial"/>
          <w:lang w:val="en-US"/>
        </w:rPr>
        <w:t xml:space="preserve"> timely and topical roles of cell cycle/apoptosis modulating enzymes for the tumor biology of human cholangiocarcinoma. </w:t>
      </w:r>
      <w:r w:rsidRPr="00DF2968">
        <w:rPr>
          <w:rFonts w:ascii="Book Antiqua" w:hAnsi="Book Antiqua" w:cs="Arial"/>
          <w:lang w:val="en-US"/>
        </w:rPr>
        <w:t>These</w:t>
      </w:r>
      <w:r w:rsidR="00AB4018" w:rsidRPr="00DF2968">
        <w:rPr>
          <w:rFonts w:ascii="Book Antiqua" w:hAnsi="Book Antiqua" w:cs="Arial"/>
          <w:lang w:val="en-US"/>
        </w:rPr>
        <w:t xml:space="preserve"> data suggest that </w:t>
      </w:r>
      <w:r w:rsidR="008F46F5" w:rsidRPr="00DF2968">
        <w:rPr>
          <w:rFonts w:ascii="Book Antiqua" w:hAnsi="Book Antiqua" w:cs="Arial"/>
          <w:lang w:val="en-US"/>
        </w:rPr>
        <w:t xml:space="preserve">polo-like kinases </w:t>
      </w:r>
      <w:r w:rsidR="00AB4018" w:rsidRPr="00DF2968">
        <w:rPr>
          <w:rFonts w:ascii="Book Antiqua" w:hAnsi="Book Antiqua" w:cs="Arial"/>
          <w:lang w:val="en-US"/>
        </w:rPr>
        <w:t>-Inhibition by B</w:t>
      </w:r>
      <w:r w:rsidRPr="00DF2968">
        <w:rPr>
          <w:rFonts w:ascii="Book Antiqua" w:hAnsi="Book Antiqua" w:cs="Arial"/>
          <w:lang w:val="en-US"/>
        </w:rPr>
        <w:t>I6727 (v</w:t>
      </w:r>
      <w:r w:rsidR="00AB4018" w:rsidRPr="00DF2968">
        <w:rPr>
          <w:rFonts w:ascii="Book Antiqua" w:hAnsi="Book Antiqua" w:cs="Arial"/>
          <w:lang w:val="en-US"/>
        </w:rPr>
        <w:t>olasertib) sensitizes some cholangiocarcinoma cell lines to cisplatin-induced apoptosis.</w:t>
      </w:r>
      <w:r w:rsidR="00AB4018" w:rsidRPr="00DF2968">
        <w:rPr>
          <w:rFonts w:ascii="Book Antiqua" w:hAnsi="Book Antiqua"/>
          <w:b/>
          <w:lang w:val="en-US"/>
        </w:rPr>
        <w:t xml:space="preserve"> </w:t>
      </w:r>
      <w:r w:rsidR="003E0E60" w:rsidRPr="00DF2968">
        <w:rPr>
          <w:rFonts w:ascii="Book Antiqua" w:hAnsi="Book Antiqua" w:cs="Arial"/>
          <w:lang w:val="en-US"/>
        </w:rPr>
        <w:t xml:space="preserve">Our findings include an enhanced cytotoxic effect </w:t>
      </w:r>
      <w:r w:rsidRPr="00DF2968">
        <w:rPr>
          <w:rFonts w:ascii="Book Antiqua" w:hAnsi="Book Antiqua" w:cs="Arial"/>
          <w:lang w:val="en-US"/>
        </w:rPr>
        <w:t xml:space="preserve">of cisplatin by co-treatment with BI6727 (volasertib) and results in decreased protein expression levels of the anti-apoptotic molecule Bcl-2, which appears to be mediated via proteasomal degradation. </w:t>
      </w:r>
      <w:r w:rsidR="00AB4018" w:rsidRPr="00DF2968">
        <w:rPr>
          <w:rFonts w:ascii="Book Antiqua" w:hAnsi="Book Antiqua" w:cs="Arial"/>
          <w:lang w:val="en-US"/>
        </w:rPr>
        <w:t>Taken together, these data reveal another pro-apoptotic mechanism of polo-like kinase inhibition emphasizing the potential therapeutic benefit of polo-like kinase inhibitors for the treatment of cholangiocarcinoma.</w:t>
      </w:r>
      <w:r w:rsidR="00657AD2">
        <w:rPr>
          <w:rFonts w:ascii="Book Antiqua" w:hAnsi="Book Antiqua" w:cs="Arial"/>
          <w:lang w:val="en-US"/>
        </w:rPr>
        <w:t xml:space="preserve"> </w:t>
      </w:r>
    </w:p>
    <w:p w14:paraId="514009BF" w14:textId="77777777" w:rsidR="008F46F5" w:rsidRDefault="008F46F5" w:rsidP="00A741A5">
      <w:pPr>
        <w:spacing w:line="360" w:lineRule="auto"/>
        <w:jc w:val="both"/>
        <w:rPr>
          <w:rFonts w:ascii="Book Antiqua" w:eastAsia="SimSun" w:hAnsi="Book Antiqua" w:cs="Arial"/>
          <w:lang w:val="en-US" w:eastAsia="zh-CN"/>
        </w:rPr>
      </w:pPr>
    </w:p>
    <w:p w14:paraId="00A5B9F3" w14:textId="39CB70DB" w:rsidR="00536433" w:rsidRPr="00536433" w:rsidRDefault="00536433" w:rsidP="00A741A5">
      <w:pPr>
        <w:spacing w:line="360" w:lineRule="auto"/>
        <w:jc w:val="both"/>
        <w:rPr>
          <w:rFonts w:eastAsia="SimSun"/>
          <w:lang w:eastAsia="zh-CN"/>
        </w:rPr>
      </w:pPr>
      <w:r w:rsidRPr="00DF2968">
        <w:rPr>
          <w:rFonts w:ascii="Book Antiqua" w:hAnsi="Book Antiqua"/>
          <w:lang w:val="en-US"/>
        </w:rPr>
        <w:t>Sydor</w:t>
      </w:r>
      <w:r>
        <w:rPr>
          <w:rFonts w:ascii="Book Antiqua" w:eastAsia="SimSun" w:hAnsi="Book Antiqua" w:hint="eastAsia"/>
          <w:lang w:val="en-US" w:eastAsia="zh-CN"/>
        </w:rPr>
        <w:t xml:space="preserve"> S</w:t>
      </w:r>
      <w:r w:rsidRPr="00DF2968">
        <w:rPr>
          <w:rFonts w:ascii="Book Antiqua" w:hAnsi="Book Antiqua"/>
          <w:lang w:val="en-US"/>
        </w:rPr>
        <w:t>, Jafoui</w:t>
      </w:r>
      <w:r>
        <w:rPr>
          <w:rFonts w:ascii="Book Antiqua" w:eastAsia="SimSun" w:hAnsi="Book Antiqua" w:hint="eastAsia"/>
          <w:lang w:val="en-US" w:eastAsia="zh-CN"/>
        </w:rPr>
        <w:t xml:space="preserve"> S</w:t>
      </w:r>
      <w:r w:rsidRPr="00DF2968">
        <w:rPr>
          <w:rFonts w:ascii="Book Antiqua" w:hAnsi="Book Antiqua"/>
          <w:lang w:val="en-US"/>
        </w:rPr>
        <w:t>, Winge</w:t>
      </w:r>
      <w:r>
        <w:rPr>
          <w:rFonts w:ascii="Book Antiqua" w:hAnsi="Book Antiqua"/>
          <w:lang w:val="en-US"/>
        </w:rPr>
        <w:t>rter</w:t>
      </w:r>
      <w:r>
        <w:rPr>
          <w:rFonts w:ascii="Book Antiqua" w:eastAsia="SimSun" w:hAnsi="Book Antiqua" w:hint="eastAsia"/>
          <w:lang w:val="en-US" w:eastAsia="zh-CN"/>
        </w:rPr>
        <w:t xml:space="preserve"> L</w:t>
      </w:r>
      <w:r>
        <w:rPr>
          <w:rFonts w:ascii="Book Antiqua" w:hAnsi="Book Antiqua"/>
          <w:lang w:val="en-US"/>
        </w:rPr>
        <w:t>, Swoboda</w:t>
      </w:r>
      <w:r>
        <w:rPr>
          <w:rFonts w:ascii="Book Antiqua" w:eastAsia="SimSun" w:hAnsi="Book Antiqua" w:hint="eastAsia"/>
          <w:lang w:val="en-US" w:eastAsia="zh-CN"/>
        </w:rPr>
        <w:t xml:space="preserve"> S</w:t>
      </w:r>
      <w:r>
        <w:rPr>
          <w:rFonts w:ascii="Book Antiqua" w:hAnsi="Book Antiqua"/>
          <w:lang w:val="en-US"/>
        </w:rPr>
        <w:t xml:space="preserve">, </w:t>
      </w:r>
      <w:r w:rsidRPr="00DF2968">
        <w:rPr>
          <w:rFonts w:ascii="Book Antiqua" w:hAnsi="Book Antiqua"/>
          <w:lang w:val="en-US"/>
        </w:rPr>
        <w:t>Mertens</w:t>
      </w:r>
      <w:r>
        <w:rPr>
          <w:rFonts w:ascii="Book Antiqua" w:eastAsia="SimSun" w:hAnsi="Book Antiqua" w:hint="eastAsia"/>
          <w:lang w:val="en-US" w:eastAsia="zh-CN"/>
        </w:rPr>
        <w:t xml:space="preserve"> JC</w:t>
      </w:r>
      <w:r w:rsidRPr="00DF2968">
        <w:rPr>
          <w:rFonts w:ascii="Book Antiqua" w:hAnsi="Book Antiqua"/>
          <w:lang w:val="en-US"/>
        </w:rPr>
        <w:t>, Gerken</w:t>
      </w:r>
      <w:r>
        <w:rPr>
          <w:rFonts w:ascii="Book Antiqua" w:eastAsia="SimSun" w:hAnsi="Book Antiqua" w:hint="eastAsia"/>
          <w:lang w:val="en-US" w:eastAsia="zh-CN"/>
        </w:rPr>
        <w:t xml:space="preserve"> G</w:t>
      </w:r>
      <w:r w:rsidRPr="00DF2968">
        <w:rPr>
          <w:rFonts w:ascii="Book Antiqua" w:hAnsi="Book Antiqua"/>
          <w:lang w:val="en-US"/>
        </w:rPr>
        <w:t>, Canba</w:t>
      </w:r>
      <w:r>
        <w:rPr>
          <w:rFonts w:ascii="Book Antiqua" w:hAnsi="Book Antiqua"/>
          <w:lang w:val="en-US"/>
        </w:rPr>
        <w:t>y</w:t>
      </w:r>
      <w:r>
        <w:rPr>
          <w:rFonts w:ascii="Book Antiqua" w:eastAsia="SimSun" w:hAnsi="Book Antiqua" w:hint="eastAsia"/>
          <w:lang w:val="en-US" w:eastAsia="zh-CN"/>
        </w:rPr>
        <w:t xml:space="preserve"> A</w:t>
      </w:r>
      <w:r>
        <w:rPr>
          <w:rFonts w:ascii="Book Antiqua" w:hAnsi="Book Antiqua"/>
          <w:lang w:val="en-US"/>
        </w:rPr>
        <w:t>, Paul</w:t>
      </w:r>
      <w:r>
        <w:rPr>
          <w:rFonts w:ascii="Book Antiqua" w:eastAsia="SimSun" w:hAnsi="Book Antiqua" w:hint="eastAsia"/>
          <w:lang w:val="en-US" w:eastAsia="zh-CN"/>
        </w:rPr>
        <w:t xml:space="preserve"> A,</w:t>
      </w:r>
      <w:r>
        <w:rPr>
          <w:rFonts w:ascii="Book Antiqua" w:hAnsi="Book Antiqua"/>
          <w:lang w:val="en-US"/>
        </w:rPr>
        <w:t xml:space="preserve"> </w:t>
      </w:r>
      <w:r w:rsidRPr="00DF2968">
        <w:rPr>
          <w:rFonts w:ascii="Book Antiqua" w:hAnsi="Book Antiqua"/>
          <w:lang w:val="en-US"/>
        </w:rPr>
        <w:t>Fingas</w:t>
      </w:r>
      <w:r>
        <w:rPr>
          <w:rFonts w:ascii="Book Antiqua" w:eastAsia="SimSun" w:hAnsi="Book Antiqua" w:hint="eastAsia"/>
          <w:lang w:val="en-US" w:eastAsia="zh-CN"/>
        </w:rPr>
        <w:t xml:space="preserve"> CD. </w:t>
      </w:r>
      <w:r w:rsidRPr="00536433">
        <w:rPr>
          <w:rFonts w:ascii="Book Antiqua" w:hAnsi="Book Antiqua"/>
          <w:spacing w:val="-6"/>
          <w:lang w:val="en-US"/>
        </w:rPr>
        <w:t>Bcl-2 degradation is an additional pro-apoptotic effect of polo-like kinase inhibition in cholangiocarcinoma cells</w:t>
      </w:r>
      <w:r>
        <w:rPr>
          <w:rFonts w:ascii="Book Antiqua" w:eastAsia="SimSun" w:hAnsi="Book Antiqua" w:hint="eastAsia"/>
          <w:spacing w:val="-6"/>
          <w:lang w:val="en-US" w:eastAsia="zh-CN"/>
        </w:rPr>
        <w:t xml:space="preserve">. </w:t>
      </w:r>
      <w:r w:rsidRPr="009E3692">
        <w:rPr>
          <w:rFonts w:ascii="Book Antiqua" w:hAnsi="Book Antiqua"/>
          <w:i/>
        </w:rPr>
        <w:t>World J Gastroenterol</w:t>
      </w:r>
      <w:r w:rsidRPr="009E3692">
        <w:rPr>
          <w:rFonts w:ascii="Book Antiqua" w:hAnsi="Book Antiqua"/>
        </w:rPr>
        <w:t xml:space="preserve"> 201</w:t>
      </w:r>
      <w:r>
        <w:rPr>
          <w:rFonts w:ascii="Book Antiqua" w:hAnsi="Book Antiqua" w:hint="eastAsia"/>
        </w:rPr>
        <w:t>7</w:t>
      </w:r>
      <w:r w:rsidRPr="009E3692">
        <w:rPr>
          <w:rFonts w:ascii="Book Antiqua" w:hAnsi="Book Antiqua"/>
        </w:rPr>
        <w:t>; In press</w:t>
      </w:r>
    </w:p>
    <w:p w14:paraId="20C2B7DC" w14:textId="77777777" w:rsidR="008F46F5" w:rsidRPr="00536433" w:rsidRDefault="008F46F5" w:rsidP="00A741A5">
      <w:pPr>
        <w:spacing w:line="360" w:lineRule="auto"/>
        <w:jc w:val="both"/>
        <w:rPr>
          <w:rFonts w:ascii="Book Antiqua" w:eastAsia="SimSun" w:hAnsi="Book Antiqua" w:cs="Arial"/>
          <w:lang w:eastAsia="zh-CN"/>
        </w:rPr>
      </w:pPr>
    </w:p>
    <w:p w14:paraId="355CE773" w14:textId="2E2EB770" w:rsidR="000429F0" w:rsidRPr="00DF2968" w:rsidRDefault="000429F0" w:rsidP="00A741A5">
      <w:pPr>
        <w:spacing w:line="360" w:lineRule="auto"/>
        <w:jc w:val="both"/>
        <w:rPr>
          <w:rFonts w:ascii="Book Antiqua" w:hAnsi="Book Antiqua" w:cs="Arial"/>
          <w:lang w:val="en-US"/>
        </w:rPr>
      </w:pPr>
      <w:r w:rsidRPr="00DF2968">
        <w:rPr>
          <w:rFonts w:ascii="Book Antiqua" w:hAnsi="Book Antiqua"/>
          <w:b/>
          <w:highlight w:val="yellow"/>
          <w:lang w:val="en-US"/>
        </w:rPr>
        <w:br w:type="page"/>
      </w:r>
    </w:p>
    <w:p w14:paraId="59F2EAF5" w14:textId="7362EE4D" w:rsidR="000309B1" w:rsidRPr="009A7CA5" w:rsidRDefault="000309B1" w:rsidP="00A741A5">
      <w:pPr>
        <w:spacing w:line="360" w:lineRule="auto"/>
        <w:jc w:val="both"/>
        <w:rPr>
          <w:rFonts w:ascii="Book Antiqua" w:hAnsi="Book Antiqua"/>
          <w:b/>
          <w:caps/>
          <w:lang w:val="en-US"/>
        </w:rPr>
      </w:pPr>
      <w:r w:rsidRPr="009A7CA5">
        <w:rPr>
          <w:rFonts w:ascii="Book Antiqua" w:hAnsi="Book Antiqua"/>
          <w:b/>
          <w:caps/>
          <w:lang w:val="en-US"/>
        </w:rPr>
        <w:lastRenderedPageBreak/>
        <w:t>Introduction</w:t>
      </w:r>
    </w:p>
    <w:p w14:paraId="572CA8F2" w14:textId="7C4DC362" w:rsidR="000309B1" w:rsidRPr="00DF2968" w:rsidRDefault="000309B1" w:rsidP="00A741A5">
      <w:pPr>
        <w:spacing w:line="360" w:lineRule="auto"/>
        <w:jc w:val="both"/>
        <w:rPr>
          <w:rFonts w:ascii="Book Antiqua" w:hAnsi="Book Antiqua"/>
          <w:lang w:val="en-US"/>
        </w:rPr>
      </w:pPr>
      <w:r w:rsidRPr="00DF2968">
        <w:rPr>
          <w:rFonts w:ascii="Book Antiqua" w:hAnsi="Book Antiqua"/>
          <w:lang w:val="en-US"/>
        </w:rPr>
        <w:t xml:space="preserve">Cholangiocellular carcinoma (CCA) represents the most common primary liver cancer with biliary differentiation and its incidence is increasing </w:t>
      </w:r>
      <w:r w:rsidR="00AF3519">
        <w:rPr>
          <w:rFonts w:ascii="Book Antiqua" w:hAnsi="Book Antiqua"/>
          <w:lang w:val="en-US"/>
        </w:rPr>
        <w:t>constantly in Western countries</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{"citationID":"mgljtbmfd","properties":{"formattedCitation":"{\\rtf [1\\uc0\\u8211{}5]}","plainCitation":"[1–5]"},"citationItems":[{"id":1559,"uris":["http://zotero.org/users/local/AzZugh3l/items/SK49C4J6"],"uri":["http://zotero.org/users/local/AzZugh3l/items/SK49C4J6"],"itemData":{"id":1559,"type":"article-journal","title":"Cholangiocarcinoma","container-title":"Nature Clinical Practice. Gastroenterology &amp; Hepatology","page":"33-42","volume":"3","issue":"1","source":"PubMed","abstract":"Cholangiocarcinomas are rare malignant tumors composed of cells that resemble those of the biliary tract. On the basis of their anatomic location, cholangiocarcinomas can be classified as intrahepatic, extrahepatic and hilar tumors. For reasons that are not clear, the incidence of cholangiocarcinoma is increasing globally. Established risk factors, including conditions associated with chronic biliary tract inflammation, account for a small proportion of cases. Additional risk factors such as cirrhosis, infection with hepatitis B virus and hepatitis C virus are now becoming recognized. The diagnosis of cholangiocarcinoma requires the integration of clinical information, imaging studies of the hepatic parenchyma and biliary tract, tumor markers, and histology. In terms of the treatment options for cholangiocarcinoma, surgery can be curative, although few patients are candidates for surgery. Palliative biliary decompression can provide symptomatic relief. Advances in MRI and positron-emission tomography scanning, identification of new tumor markers, improved utility of biliary cytology, and the use of photodynamic therapy for adjunct treatment are all expected to enhance the diagnosis, evaluation and management of cholangiocarcinoma.","DOI":"10.1038/ncpgasthep0389","ISSN":"1743-4378","note":"PMID: 16397610","journalAbbreviation":"Nat Clin Pract Gastroenterol Hepatol","language":"eng","author":[{"family":"Patel","given":"Tushar"}],"issued":{"date-parts":[["2006",1]]}}},{"id":1551,"uris":["http://zotero.org/users/local/AzZugh3l/items/A28U7JP3"],"uri":["http://zotero.org/users/local/AzZugh3l/items/A28U7JP3"],"itemData":{"id":1551,"type":"article-journal","title":"Cholangiocarcinoma: advances in pathogenesis, diagnosis, and treatment","container-title":"Hepatology (Baltimore, Md.)","page":"308-321","volume":"48","issue":"1","source":"PubMed","DOI":"10.1002/hep.22310","ISSN":"1527-3350","note":"PMID: 18536057\nPMCID: PMC2547491","shortTitle":"Cholangiocarcinoma","journalAbbreviation":"Hepatology","language":"eng","author":[{"family":"Blechacz","given":"Boris"},{"family":"Gores","given":"Gregory J."}],"issued":{"date-parts":[["2008",7]]}}},{"id":1549,"uris":["http://zotero.org/users/local/AzZugh3l/items/88RQMRZJ"],"uri":["http://zotero.org/users/local/AzZugh3l/items/88RQMRZJ"],"itemData":{"id":1549,"type":"article-journal","title":"Cholangiocarcinoma","container-title":"Lancet (London, England)","page":"2168-2179","volume":"383","issue":"9935","source":"PubMed","abstract":"Cholangiocarcinoma represents a diverse group of epithelial cancers united by late diagnosis and poor outcomes. Specific diagnostic and therapeutic approaches are undertaken for cholangiocarcinomas of different anatomical locations (intrahepatic, perihilar, and distal). Mixed hepatocellular cholangiocarcinomas have emerged as a distinct subtype of primary liver cancer. Clinicians need to be aware of intrahepatic cholangiocarcinomas arising in cirrhosis and properly assess liver masses in this setting for cholangiocarcinoma. Management of biliary obstruction is obligatory in perihilar cholangiocarcinoma, and advanced cytological tests such as fluorescence in-situ hybridisation for aneusomy are helpful in the diagnosis. Liver transplantation is a curative option for selected patients with perihilar but not with intrahepatic or distal cholangiocarcinoma. International efforts of clinicians and scientists are helping to identify the genetic drivers of cholangiocarcinoma progression, which will unveil early diagnostic markers and direct development of individualised therapies.","DOI":"10.1016/S0140-6736(13)61903-0","ISSN":"1474-547X","note":"PMID: 24581682\nPMCID: PMC4069226","journalAbbreviation":"Lancet","language":"eng","author":[{"family":"Razumilava","given":"Nataliya"},{"family":"Gores","given":"Gregory J."}],"issued":{"date-parts":[["2014",6,21]]}}},{"id":1555,"uris":["http://zotero.org/users/local/AzZugh3l/items/77WCRENT"],"uri":["http://zotero.org/users/local/AzZugh3l/items/77WCRENT"],"itemData":{"id":1555,"type":"article-journal","title":"Epidemiological trends in incidence and mortality of hepatobiliary cancers in Germany","container-title":"Scandinavian Journal of Gastroenterology","page":"1092-1098","volume":"46","issue":"9","source":"PubMed","abstract":"OBJECTIVE: While marked changes in the frequency of hepatobiliary malignancies, most notably hepatocellular carcinoma (HCC) and intrahepatic cholangiocarcinoma (ICC), have been observed in different populations, no such data have been reported for Germany. We aimed to provide epidemiological data on recent trends in liver-related mortality, specifically mortality from hepatobiliary malignancies, in Germany.\nMATERIAL AND METHODS: We used incidence and mortality data to determine changes in the frequency of malignant and non-malignant liver disease in Germany over the past 30 years.\nRESULTS: While overall liver disease mortality has slightly declined in Germany, deaths from hepatobiliary malignancies have declined in women, but remained constant in men. Among hepatobiliary malignancies, ICC stands out, because mortality has more than tripled both in men and women between 1998 and 2008. This is mirrored by a marked increase in new cases reported to local cancer registries, that is, incidence. Over the same time period, HCC and extrahepatic cholangiocarcinoma (ECC) have remained largely constant while gall bladder cancers (GBC) have declined twofold. The rapid rise in ICC is in line with finding from different regions worldwide, but in contrast to recent data from Denmark and France, two of Germany's direct neighbors.\nCONCLUSIONS: The incidence of and mortality from ICC are rising markedly in Germany. The risk factors underlying this trend are as yet unclear.","DOI":"10.3109/00365521.2011.589472","ISSN":"1502-7708","note":"PMID: 21692710","journalAbbreviation":"Scand. J. Gastroenterol.","language":"eng","author":[{"family":"Hahn","given":"Thomas","non-dropping-particle":"von"},{"family":"Ciesek","given":"Sandra"},{"family":"Wegener","given":"Gerd"},{"family":"Plentz","given":"Ruben R."},{"family":"Weismüller","given":"Tobias J."},{"family":"Wedemeyer","given":"Heiner"},{"family":"Manns","given":"Michael P."},{"family":"Greten","given":"Tim F."},{"family":"Malek","given":"Nisar P."}],"issued":{"date-parts":[["2011",9]]}}},{"id":1557,"uris":["http://zotero.org/users/local/AzZugh3l/items/IBA2686I"],"uri":["http://zotero.org/users/local/AzZugh3l/items/IBA2686I"],"itemData":{"id":1557,"type":"article-journal","title":"Trends in the incidence of primary liver and biliary tract cancers in England and Wales 1971-2001","container-title":"British Journal of Cancer","page":"1751-1758","volume":"94","issue":"11","source":"PubMed","abstract":"In the last two decades, mortality from primary liver cancer has increased in the UK. We aimed to determine whether the incidence trends for these cancers were similar and in particular if the increasing occurrence of cholangiocarcinoma has continued. We calculated directly age-standardised incidence rates (using the European standard population) by subsite and histological type for all cancers of the liver, gallbladder and biliary tract in England and Wales from 1971 to 2001, using cancer registry data. The incidence of cancers of the liver, gallbladder and biliary tract increased, with the greatest rise, around 12-fold, in intrahepatic bile duct cancers. The rate of liver cell cancer increased by around 45% in males, but by &lt;10% in females. There were marked reductions in the incidence of gallbladder and extrahepatic bile duct cancer. Cholangiocarcinoma increased around 16-fold and became the most common type of primary liver cancer in females, while hepatocellular carcinoma remained the commonest type in males. The age-specific incidence rates showed that intrahepatic bile duct cancer continued to increase throughout the 1990s in those aged 75 and over, while liver cell cancer decreased in the older age groups. In conclusion, there were increases in the incidence of primary liver cancer, which have been particularly dramatic for intrahepatic bile duct cancer, over the last three decades of the 20th century in England and Wales. There has been a halving in the incidence of gallbladder cancer and a reduction of a third in extrahepatic bile duct cancer.","DOI":"10.1038/sj.bjc.6603127","ISSN":"0007-0920","note":"PMID: 16736026\nPMCID: PMC2361300","journalAbbreviation":"Br. J. Cancer","language":"eng","author":[{"family":"West","given":"J."},{"family":"Wood","given":"H."},{"family":"Logan","given":"R. F. A."},{"family":"Quinn","given":"M."},{"family":"Aithal","given":"G. P."}],"issued":{"date-parts":[["2006",6,5]]}}}],"schema":"https://github.com/citation-style-language/schema/raw/master/csl-citation.json"}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[1–5]</w:t>
      </w:r>
      <w:r w:rsidR="00EC6668" w:rsidRPr="00DF2968">
        <w:rPr>
          <w:rFonts w:ascii="Book Antiqua" w:hAnsi="Book Antiqua"/>
          <w:vertAlign w:val="superscript"/>
          <w:lang w:val="en-US"/>
        </w:rPr>
        <w:fldChar w:fldCharType="end"/>
      </w:r>
      <w:r w:rsidRPr="00DF2968">
        <w:rPr>
          <w:rFonts w:ascii="Book Antiqua" w:hAnsi="Book Antiqua"/>
          <w:lang w:val="en-US"/>
        </w:rPr>
        <w:t>. Therapeutic options are limited for CCA as tumors can be multifocal in advanced stages being surgically non-accessible. Additionally, CCA is often resistant to conventional chemotherapy and, therefore, associated with p</w:t>
      </w:r>
      <w:r w:rsidR="00AF3519">
        <w:rPr>
          <w:rFonts w:ascii="Book Antiqua" w:hAnsi="Book Antiqua"/>
          <w:lang w:val="en-US"/>
        </w:rPr>
        <w:t>oor prognosis</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ppbsmhvt2","properties":{"formattedCitation":"[6]","plainCitation":"[6]"},"citationItems":[{"id":1547,"uris":["http://zotero.org/users/local/AzZugh3l/items/9JBUXKIS"],"uri":["http://zotero.org/users/local/AzZugh3l/items/9JBUXKIS"],"itemData":{"id":1547,"type":"article-journal","title":"Changing international trends in mortality rates for liver, biliary and pancreatic tumours","container-title":"Journal of Hepatology","page":"806-813","volume":"37","issue":"6","source":"PubMed","abstract":"BACKGROUND/AIMS: The age-standardized mortality rate for hepatocellular carcinoma is increasing in several countries. However, in England and Wales we previously reported an increase in mortality rates from intrahepatic cholangiocarcinoma. Trends in cholangiocarcinoma in most other industrialized countries are unknown. To further study trends in hepatobiliary and pancreatic tumours, we analysed mortality data from the United States, Japan, Australia and Europe.\nMETHODS: Age-standardized mortality rates for men and women for subcategories of liver tumours, tumours of the gall bladder and extrahepatic biliary tree and pancreas from 1979 to 1998 were obtained from the World Health Organization mortality database.\nRESULTS: We confirmed previously reported increases in hepatocellular carcinoma, but also found increases in other countries, particularly Australia (3-year average rise from 1.20 to 2.27, men). Mortality for intrahepatic cholangiocarcinoma increased in men in all countries studied, with the largest increases in Australia (from 0.10 to 0.70) and England and Wales (from 0.20 to 0.83).\nCONCLUSIONS: We present a hitherto unreported rise in age-standardized mortality rates from intrahepatic cholangiocarcinoma across four continents. The cause remains uncertain. An impact on the observed trends of improved diagnostic techniques and death certificate misclassification cannot be completely ruled out. Future research should include epidemiological studies to examine possible case-clustering and investigation of potential aetiological and host factors.","ISSN":"0168-8278","note":"PMID: 12445422","journalAbbreviation":"J. Hepatol.","language":"eng","author":[{"family":"Khan","given":"Shahid A."},{"family":"Taylor-Robinson","given":"Simon D."},{"family":"Toledano","given":"Mireille B."},{"family":"Beck","given":"Angus"},{"family":"Elliott","given":"Paul"},{"family":"Thomas","given":"Howard C."}],"issued":{"date-parts":[["2002",12]]}}}],"schema":"https://github.com/citation-style-language/schema/raw/master/csl-citation.json"}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[6]</w:t>
      </w:r>
      <w:r w:rsidR="00EC6668" w:rsidRPr="00DF2968">
        <w:rPr>
          <w:rFonts w:ascii="Book Antiqua" w:hAnsi="Book Antiqua"/>
          <w:vertAlign w:val="superscript"/>
          <w:lang w:val="en-US"/>
        </w:rPr>
        <w:fldChar w:fldCharType="end"/>
      </w:r>
      <w:r w:rsidRPr="00DF2968">
        <w:rPr>
          <w:rFonts w:ascii="Book Antiqua" w:hAnsi="Book Antiqua"/>
          <w:lang w:val="en-US"/>
        </w:rPr>
        <w:t>. Development and progression of CCA are in part mediated by mechanism</w:t>
      </w:r>
      <w:r w:rsidR="00AF3519">
        <w:rPr>
          <w:rFonts w:ascii="Book Antiqua" w:hAnsi="Book Antiqua"/>
          <w:lang w:val="en-US"/>
        </w:rPr>
        <w:t>s that prevent tumor cell death</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21iut69qvi","properties":{"formattedCitation":"[3,7]","plainCitation":"[3,7]"},"citationItems":[{"id":1549,"uris":["http://zotero.org/users/local/AzZugh3l/items/88RQMRZJ"],"uri":["http://zotero.org/users/local/AzZugh3l/items/88RQMRZJ"],"itemData":{"id":1549,"type":"article-journal","title":"Cholangiocarcinoma","container-title":"Lancet (London, England)","page":"2168-2179","volume":"383","issue":"9935","source":"PubMed","abstract":"Cholangiocarcinoma represents a diverse group of epithelial cancers united by late diagnosis and poor outcomes. Specific diagnostic and therapeutic approaches are undertaken for cholangiocarcinomas of different anatomical locations (intrahepatic, perihilar, and distal). Mixed hepatocellular cholangiocarcinomas have emerged as a distinct subtype of primary liver cancer. Clinicians need to be aware of intrahepatic cholangiocarcinomas arising in cirrhosis and properly assess liver masses in this setting for cholangiocarcinoma. Management of biliary obstruction is obligatory in perihilar cholangiocarcinoma, and advanced cytological tests such as fluorescence in-situ hybridisation for aneusomy are helpful in the diagnosis. Liver transplantation is a curative option for selected patients with perihilar but not with intrahepatic or distal cholangiocarcinoma. International efforts of clinicians and scientists are helping to identify the genetic drivers of cholangiocarcinoma progression, which will unveil early diagnostic markers and direct development of individualised therapies.","DOI":"10.1016/S0140-6736(13)61903-0","ISSN":"1474-547X","note":"PMID: 24581682\nPMCID: PMC4069226","journalAbbreviation":"Lancet","language":"eng","author":[{"family":"Razumilava","given":"Nataliya"},{"family":"Gores","given":"Gregory J."}],"issued":{"date-parts":[["2014",6,21]]}}},{"id":1553,"uris":["http://zotero.org/users/local/AzZugh3l/items/6P72JHB2"],"uri":["http://zotero.org/users/local/AzZugh3l/items/6P72JHB2"],"itemData":{"id":1553,"type":"article-journal","title":"Pathogenesis, diagnosis, and management of cholangiocarcinoma","container-title":"Gastroenterology","page":"1215-1229","volume":"145","issue":"6","source":"PubMed","abstract":"Cholangiocarcinomas (CCAs) are hepatobiliary cancers with features of cholangiocyte differentiation; they can be classified anatomically as intrahepatic CCA (iCCA), perihilar CCA (pCCA), or distal CCA. These subtypes differ not only in their anatomic location, but in epidemiology, origin, etiology, pathogenesis, and treatment. The incidence and mortality of iCCA has been increasing over the past 3 decades, and only a low percentage of patients survive until 5 years after diagnosis. Geographic variations in the incidence of CCA are related to variations in risk factors. Changes in oncogene and inflammatory signaling pathways, as well as genetic and epigenetic alterations and chromosome aberrations, have been shown to contribute to the development of CCA. Furthermore, CCAs are surrounded by a dense stroma that contains many cancer-associated fibroblasts, which promotes their progression. We have gained a better understanding of the imaging characteristics of iCCAs and have developed advanced cytologic techniques to detect pCCAs. Patients with iCCAs usually are treated surgically, whereas liver transplantation after neoadjuvant chemoradiation is an option for a subset of patients with pCCAs. We review recent developments in our understanding of the epidemiology and pathogenesis of CCA, along with advances in classification, diagnosis, and treatment.","DOI":"10.1053/j.gastro.2013.10.013","ISSN":"1528-0012","note":"PMID: 24140396\nPMCID: PMC3862291","journalAbbreviation":"Gastroenterology","language":"eng","author":[{"family":"Rizvi","given":"Sumera"},{"family":"Gores","given":"Gregory J."}],"issued":{"date-parts":[["2013",12]]}}}],"schema":"https://github.com/citation-style-language/schema/raw/master/csl-citation.json"}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[3,7]</w:t>
      </w:r>
      <w:r w:rsidR="00EC6668" w:rsidRPr="00DF2968">
        <w:rPr>
          <w:rFonts w:ascii="Book Antiqua" w:hAnsi="Book Antiqua"/>
          <w:vertAlign w:val="superscript"/>
          <w:lang w:val="en-US"/>
        </w:rPr>
        <w:fldChar w:fldCharType="end"/>
      </w:r>
      <w:r w:rsidRPr="00DF2968">
        <w:rPr>
          <w:rFonts w:ascii="Book Antiqua" w:hAnsi="Book Antiqua"/>
          <w:lang w:val="en-US"/>
        </w:rPr>
        <w:t>. For example, these cancer cells paradoxically express tumor necrosis factor-related apoptosis-inducing ligand (TRAIL) a</w:t>
      </w:r>
      <w:r w:rsidR="00AF3519">
        <w:rPr>
          <w:rFonts w:ascii="Book Antiqua" w:hAnsi="Book Antiqua"/>
          <w:lang w:val="en-US"/>
        </w:rPr>
        <w:t>s well as its cognate receptors</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{"citationID":"185muolbte","properties":{"formattedCitation":"{\\rtf [8\\uc0\\u8211{}10]}","plainCitation":"[8–10]"},"citationItems":[{"id":230,"uris":["http://zotero.org/users/local/AzZugh3l/items/PJGNIKM7"],"uri":["http://zotero.org/users/local/AzZugh3l/items/PJGNIKM7"],"itemData":{"id":230,"type":"article-journal","title":"Polo-like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J"}],"issued":{"date-parts":[["2013",10]]}}},{"id":1543,"uris":["http://zotero.org/users/local/AzZugh3l/items/7X8I9S4Z"],"uri":["http://zotero.org/users/local/AzZugh3l/items/7X8I9S4Z"],"itemData":{"id":1543,"type":"article-journal","title":"Directing cancer cells to self-destruct with pro-apoptotic receptor agonists","container-title":"Nature Reviews. Drug Discovery","page":"1001-1012","volume":"7","issue":"12","source":"PubMed","abstract":"Each day, the human body eliminates billions of unwanted cells by apoptotic suicide. Apoptosis provides an important barrier against cancer; however, specific mutations enable some tumour cells to escape apoptotic death and become more malignant. Two signalling pathways initiate apoptosis: one acts through intracellular Bcl-2 proteins, the other through cell-surface pro-apoptotic receptors. New molecular insights have inspired the development of pro-apoptotic receptor agonists (PARAs), including the recombinant human protein apoptosis ligand 2/TNF-related apoptosis-inducing ligand (Apo2L/TRAIL) and agonistic monoclonal antibodies to its signalling receptors. Acting alone, or in concert with other agents, PARAs may overcome key apoptosis blocks and direct cancer cells to self-destruct.","DOI":"10.1038/nrd2637","ISSN":"1474-1784","note":"PMID: 18989337","journalAbbreviation":"Nat Rev Drug Discov","language":"eng","author":[{"family":"Ashkenazi","given":"Avi"}],"issued":{"date-parts":[["2008",12]]}}},{"id":1531,"uris":["http://zotero.org/users/local/AzZugh3l/items/B4JVPWCM"],"uri":["http://zotero.org/users/local/AzZugh3l/items/B4JVPWCM"],"itemData":{"id":1531,"type":"article-journal","title":"The TRAIL apoptotic pathway in cancer onset, progression and therapy","container-title":"Nature Reviews. Cancer","page":"782-798","volume":"8","issue":"10","source":"PubMed","abstract":"Triggering of tumour cell apoptosis is the foundation of many cancer therapies. Death receptors of the tumour necrosis factor (TNF) superfamily have been largely characterized, as have the signals that are generated when these receptors are activated. TNF-related apoptosis-inducing ligand (TRAIL) receptors (TRAILR1 and TRAILR2) are promising targets for cancer therapy. Herein we review what is known about the molecular control of TRAIL-mediated apoptosis, the role of TRAIL in carcinogenesis and the potential therapeutic utility of recombinant TRAIL and agonistic antibodies against TRAILR1 and TRAILR2.","DOI":"10.1038/nrc2465","ISSN":"1474-1768","note":"PMID: 18813321","journalAbbreviation":"Nat. Rev. Cancer","language":"eng","author":[{"family":"Johnstone","given":"Ricky W."},{"family":"Frew","given":"Ailsa J."},{"family":"Smyth","given":"Mark J."}],"issued":{"date-parts":[["2008",10]]}}}],"schema":"https://github.com/citation-style-language/schema/raw/master/csl-citation.json"}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rPr>
        <w:t>[8–10]</w:t>
      </w:r>
      <w:r w:rsidR="00EC6668" w:rsidRPr="00DF2968">
        <w:rPr>
          <w:rFonts w:ascii="Book Antiqua" w:hAnsi="Book Antiqua"/>
          <w:vertAlign w:val="superscript"/>
          <w:lang w:val="en-US"/>
        </w:rPr>
        <w:fldChar w:fldCharType="end"/>
      </w:r>
      <w:r w:rsidRPr="00DF2968">
        <w:rPr>
          <w:rFonts w:ascii="Book Antiqua" w:hAnsi="Book Antiqua"/>
          <w:lang w:val="en-US"/>
        </w:rPr>
        <w:t xml:space="preserve"> but are quite resis</w:t>
      </w:r>
      <w:r w:rsidR="00AF3519">
        <w:rPr>
          <w:rFonts w:ascii="Book Antiqua" w:hAnsi="Book Antiqua"/>
          <w:lang w:val="en-US"/>
        </w:rPr>
        <w:t>tant to TRAIL-induced apoptosis</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{"citationID":"Wt6s9euf","properties":{"formattedCitation":"{\\rtf [10\\uc0\\u8211{}13]}","plainCitation":"[10–13]"},"citationItems":[{"id":1529,"uris":["http://zotero.org/users/local/AzZugh3l/items/D6S7NJ56"],"uri":["http://zotero.org/users/local/AzZugh3l/items/D6S7NJ56"],"itemData":{"id":1529,"type":"article-journal","title":"Trail induces cell migration and invasion in apoptosis-resistant cholangiocarcinoma cells","container-title":"American Journal of Physiology. Gastrointestinal and Liver Physiology","page":"G129-136","volume":"290","issue":"1","source":"PubMed","abstract":"Tumor necrosis factor-related apoptosis-inducing ligand (TRAIL) is a promising agent for cancer therapy; however, many cholangiocarcinoma cells are resistant to TRAIL-mediated apoptosis. Resistance to apoptosis may unmask TRAIL signaling cascades favoring tumor biology. Thus our aim was to examine whether TRAIL is expressed by human cholangiocarcinomas, and if so, to determine whether it promotes a malignant phenotype. To address this objective, TRAIL expression in human liver specimens was evaluated by immunohistochemistry. The effect of TRAIL on tumor cell migration, invasion, and proliferation was examined in three human cholangiocarcinoma cell lines. TRAIL expression was upregulated by cholangiocytes in preneoplastic disease, primary sclerosing cholangitis, and human cholangiocarcinoma specimens. TRAIL promoted tumor cell migration and invasion but did not induce cell proliferation. TRAIL-mediated cell migration and invasion was NF-kappaB dependent. These data demonstrate that TRAIL promotes cell migration and invasion via a NF-kappaB-dependent pathway in human cholangiocarcinoma cell lines, an observation that has a potential negative implication for TRAIL in cancer therapy.","DOI":"10.1152/ajpgi.00242.2005","ISSN":"0193-1857","note":"PMID: 16166346","journalAbbreviation":"Am. J. Physiol. Gastrointest. Liver Physiol.","language":"eng","author":[{"family":"Ishimura","given":"Norihisa"},{"family":"Isomoto","given":"Hajime"},{"family":"Bronk","given":"Steven F."},{"family":"Gores","given":"Gregory J."}],"issued":{"date-parts":[["2006",1]]}}},{"id":1531,"uris":["http://zotero.org/users/local/AzZugh3l/items/B4JVPWCM"],"uri":["http://zotero.org/users/local/AzZugh3l/items/B4JVPWCM"],"itemData":{"id":1531,"type":"article-journal","title":"The TRAIL apoptotic pathway in cancer onset, progression and therapy","container-title":"Nature Reviews. Cancer","page":"782-798","volume":"8","issue":"10","source":"PubMed","abstract":"Triggering of tumour cell apoptosis is the foundation of many cancer therapies. Death receptors of the tumour necrosis factor (TNF) superfamily have been largely characterized, as have the signals that are generated when these receptors are activated. TNF-related apoptosis-inducing ligand (TRAIL) receptors (TRAILR1 and TRAILR2) are promising targets for cancer therapy. Herein we review what is known about the molecular control of TRAIL-mediated apoptosis, the role of TRAIL in carcinogenesis and the potential therapeutic utility of recombinant TRAIL and agonistic antibodies against TRAILR1 and TRAILR2.","DOI":"10.1038/nrc2465","ISSN":"1474-1768","note":"PMID: 18813321","journalAbbreviation":"Nat. Rev. Cancer","language":"eng","author":[{"family":"Johnstone","given":"Ricky W."},{"family":"Frew","given":"Ailsa J."},{"family":"Smyth","given":"Mark J."}],"issued":{"date-parts":[["2008",10]]}}},{"id":1533,"uris":["http://zotero.org/users/local/AzZugh3l/items/PZECIRIC"],"uri":["http://zotero.org/users/local/AzZugh3l/items/PZECIRIC"],"itemData":{"id":1533,"type":"article-journal","title":"Tumoricidal activity of tumor necrosis factor-related apoptosis-inducing ligand in vivo","container-title":"Nature Medicine","page":"157-163","volume":"5","issue":"2","source":"PubMed","abstract":"To evaluate the utility of tumor necrosis factor-related apoptosis-inducing ligand (TRAIL) as a cancer therapeutic, we created leucine zipper (LZ) forms of human (hu) and murine (mu) TRAIL to promote and stabilize the formation of trimers. Both were biologically active, inducing apoptosis of both human and murine target cells in vitro with similar specific activities. In contrast to the fulminant hepatotoxicity of LZ-huCD95L in vivo, administration of either LZ-huTRAIL or LZ-muTRAIL did not seem toxic to normal tissues of mice. Finally, repeated treatments with LZ-huTRAIL actively suppressed growth of the TRAIL-sensitive human mammary adenocarcinoma cell line MDA-231 in CB.17 (SCID) mice, and histologic examination of tumors from SCID mice treated with LZ-huTRAIL demonstrated clear areas of apoptotic necrosis within 9-12 hours of injection.","DOI":"10.1038/5517","ISSN":"1078-8956","note":"PMID: 9930862","journalAbbreviation":"Nat. Med.","language":"eng","author":[{"family":"Walczak","given":"H."},{"family":"Miller","given":"R. E."},{"family":"Ariail","given":"K."},{"family":"Gliniak","given":"B."},{"family":"Griffith","given":"T. S."},{"family":"Kubin","given":"M."},{"family":"Chin","given":"W."},{"family":"Jones","given":"J."},{"family":"Woodward","given":"A."},{"family":"Le","given":"T."},{"family":"Smith","given":"C."},{"family":"Smolak","given":"P."},{"family":"Goodwin","given":"R. G."},{"family":"Rauch","given":"C. T."},{"family":"Schuh","given":"J. C."},{"family":"Lynch","given":"D. H."}],"issued":{"date-parts":[["1999",2]]}}},{"id":1642,"uris":["http://zotero.org/users/local/AzZugh3l/items/WIN3MG4E"],"uri":["http://zotero.org/users/local/AzZugh3l/items/WIN3MG4E"],"itemData":{"id":1642,"type":"article-journal","title":"Cellular inhibitor of apoptosis 1 (cIAP-1) degradation by caspase 8 during TNF-related apoptosis-inducing ligand (TRAIL)-induced apoptosis","container-title":"Experimental Cell Research","page":"107-116","volume":"317","issue":"1","source":"PubMed","abstract":"TNF-related apoptosis-inducing ligand (TRAIL) is a potential chemotherapeutic agent with high selectivity for malignant cells. Many tumors, however, are resistant to TRAIL cytotoxicity. Although cellular inhibitors of apoptosis 1 and 2 (cIAP-1 and -2) are often over-expressed in cancers, their role in mediating TRAIL resistance remains unclear. Here, we demonstrate that TRAIL-induced apoptosis of liver cancer cells is associated with degradation of cIAP-1 and X-linked IAP (XIAP), whereas cIAP-2 remains unchanged. Lower concentrations of TRAIL causing minimal or no apoptosis do not alter cIAP-1 or XIAP protein levels. Silencing of cIAP-1 expression, but not XIAP or cIAP-2, as well as co-treatment with a second mitochondrial activator of caspases (SMAC) mimetic (which results in rapid depletion of cIAP-1), sensitizes the cells to TRAIL. TRAIL-induced loss of cIAP-1 and XIAP requires caspase activity. In particular, caspase 8 knockdown stabilizes both cIAP-1 and XIAP, while caspase 9 knockdown prevents XIAP, but not cIAP-1 degradation. Cell-free experiments confirmed cIAP-1 is a substrate for caspase 8, with likely multiple cleavage sites. These results suggest that TRAIL-mediated apoptosis proceeds through caspase 8-dependent degradation of cIAP-1. Targeted depletion of cIAP-1 by SMAC mimetics in conjunction with TRAIL may be beneficial for the treatment of human hepatobiliary malignancies.","DOI":"10.1016/j.yexcr.2010.10.005","ISSN":"1090-2422","note":"PMID: 20951133\nPMCID: PMC2991414","journalAbbreviation":"Exp. Cell Res.","language":"eng","author":[{"family":"Guicciardi","given":"Maria Eugenia"},{"family":"Mott","given":"Justin L."},{"family":"Bronk","given":"Steven F."},{"family":"Kurita","given":"Satoshi"},{"family":"Fingas","given":"Christian D."},{"family":"Gores","given":"Gregory J."}],"issued":{"date-parts":[["2011",1,1]]}}}],"schema":"https://github.com/citation-style-language/schema/raw/master/csl-citation.json"}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[10–13]</w:t>
      </w:r>
      <w:r w:rsidR="00EC6668" w:rsidRPr="00DF2968">
        <w:rPr>
          <w:rFonts w:ascii="Book Antiqua" w:hAnsi="Book Antiqua"/>
          <w:vertAlign w:val="superscript"/>
          <w:lang w:val="en-US"/>
        </w:rPr>
        <w:fldChar w:fldCharType="end"/>
      </w:r>
      <w:r w:rsidRPr="00DF2968">
        <w:rPr>
          <w:rFonts w:ascii="Book Antiqua" w:hAnsi="Book Antiqua"/>
          <w:lang w:val="en-US"/>
        </w:rPr>
        <w:t>. The underlying mechanisms are complex and seem to be mediated by effective survival signals that prevent TRAIL-induced apoptosis (</w:t>
      </w:r>
      <w:r w:rsidRPr="00AF3519">
        <w:rPr>
          <w:rFonts w:ascii="Book Antiqua" w:hAnsi="Book Antiqua"/>
          <w:i/>
          <w:lang w:val="en-US"/>
        </w:rPr>
        <w:t>e.g.</w:t>
      </w:r>
      <w:r w:rsidRPr="00DF2968">
        <w:rPr>
          <w:rFonts w:ascii="Book Antiqua" w:hAnsi="Book Antiqua"/>
          <w:lang w:val="en-US"/>
        </w:rPr>
        <w:t>, upregulation of anti-apoptoti</w:t>
      </w:r>
      <w:r w:rsidR="00AF3519">
        <w:rPr>
          <w:rFonts w:ascii="Book Antiqua" w:hAnsi="Book Antiqua"/>
          <w:lang w:val="en-US"/>
        </w:rPr>
        <w:t>c proteins of the Bcl-2 family)</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XyFR9BVW","properties":{"formattedCitation":"[8,14,15]","plainCitation":"[8,14,15]"},"citationItems":[{"id":1545,"uris":["http://zotero.org/users/local/AzZugh3l/items/K6MK7QD7"],"uri":["http://zotero.org/users/local/AzZugh3l/items/K6MK7QD7"],"itemData":{"id":1545,"type":"article-journal","title":"A smac mimetic reduces TNF related apoptosis inducing ligand (TRAIL)-induced invasion and metastasis of cholangiocarcinoma cells","container-title":"Hepatology (Baltimore, Md.)","page":"550-561","volume":"52","issue":"2","source":"PubMed","abstract":"Cholangiocarcinoma (CCA) cells paradoxically express tumor necrosis factor-related apoptosis-inducing ligand (TRAIL), a death ligand that, failing to kill CCA cells, instead promotes their tumorigenicity and especially the metastatic behaviors of cell migration and invasion. Second mitochondria-derived activator of caspase (smac) mimetics are promising cancer therapeutic agents that enhance proapoptotic death receptor signaling by causing cellular degradation of inhibitor of apoptosis (IAP) proteins. Our aim was to examine the in vitro and in vivo effects of the smac mimetic JP1584 in CCA. Despite JP1584-mediated loss of cellular inhibitor of apoptosis-1 (cIAP-1) and cIAP-2, TRAIL failed to induce apoptosis in KMCH-1, TFK-1, and BDEneu CCA cells; a finding consistent with a downstream block in death signaling. Because cIAP-1 and cIAP-2 also promote nuclear factor kappa B (NF-kappaB) activation by the canonical pathway, the effect of JP1584 on this signaling pathway was examined. Treatment with JP1584 inhibited TRAIL-induced NF-kappaB activation as well as TRAIL-mediated up-regulation of the NF-kappaB target gene, matrix metalloproteinase 7 (MMP7). JP1584 also reduced TRAIL-mediated CCA cell migration and invasion in vitro. Finally, in a syngeneic rat orthotopic CCA model, JP1584 administration reduced MMP7 messenger RNA levels and extrahepatic metastases.\nCONCLUSION: : Although the smac mimetic JP1584 does not sensitize cells to apoptosis, it reduces TRAIL-induced CCA cell metastatic behavior. These data support the emerging concept that IAPs are prometastatic and represent targets for antimetastatic therapies.","DOI":"10.1002/hep.23729","ISSN":"1527-3350","note":"PMID: 20683954\nPMCID: PMC2957364","journalAbbreviation":"Hepatology","language":"eng","author":[{"family":"Fingas","given":"Christian D."},{"family":"Blechacz","given":"Boris R. A."},{"family":"Smoot","given":"Rory L."},{"family":"Guicciardi","given":"Maria E."},{"family":"Mott","given":"Justin"},{"family":"Bronk","given":"Steve F."},{"family":"Werneburg","given":"Nathan W."},{"family":"Sirica","given":"Alphonse E."},{"family":"Gores","given":"Gregory J."}],"issued":{"date-parts":[["2010",8]]}}},{"id":1541,"uris":["http://zotero.org/users/local/AzZugh3l/items/F8K2N4ZJ"],"uri":["http://zotero.org/users/local/AzZugh3l/items/F8K2N4ZJ"],"itemData":{"id":1541,"type":"article-journal","title":"Mcl-1 mediates tumor necrosis factor-related apoptosis-inducing ligand resistance in human cholangiocarcinoma cells","container-title":"Cancer Research","page":"3517-3524","volume":"64","issue":"10","source":"PubMed","abstract":"Cholangiocarcinomas are usually fatal neoplasms originating from bile duct epithelia. Tumor necrosis factor-related apoptosis-inducing ligand (TRAIL) is a promising agent for cancer therapy, including cholangiocarcinoma. However, many cholangiocarcinoma cells are resistant to TRAIL-mediated apoptosis. Thus, our aim was to examine the intracellular mechanisms responsible for TRAIL resistance in human cholangiocarcinoma cell lines. Three TRAIL-resistant human cholangiocarcinoma cell lines were identified. All of the cell lines expressed TRAIL receptor 1/death receptor 4 (TRAIL-R1/DR4) and TRAIL-R2/DR5. Expression of TRAIL decoy receptors and the antiapoptotic cellular FLICE-inhibitory protein (cFLIP) was inconsistent across the cell lines. Of the antiapoptotic Bcl-2 family of proteins profiled (Bcl-2, Bcl-x(L), and Mcl-1), Mcl-1 was uniquely overexpressed by the cell lines. When small-interfering-RNA (siRNA) technology was used to knock down expression of Bcl-2, Bcl-x(L), and Mcl-1, only the Mcl-1-siRNA sensitized the cells to TRAIL-mediated apoptosis. In a cell line stably transfected with Mcl-1-small-hairpin-RNA (Mcl-1-shRNA), Mcl-1 depletion sensitized cells to TRAIL-mediated apoptosis despite Bcl-2 expression. TRAIL-mediated apoptosis in the stably transfected cells was associated with mitochondrial depolarization, Bax activation, cytochrome c release from mitochondria, and caspase activation. Finally, flavopiridol, an anticancer drug that rapidly down-regulates Mcl-1, also sensitized cells to TRAIL cytotoxicity. In conclusion, these studies not only demonstrate that Mcl-1 mediates TRAIL resistance in cholangiocarcinoma cells by blocking the mitochondrial pathway of cell death but also identify two strategies for circumventing this resistance.","DOI":"10.1158/0008-5472.CAN-03-2770","ISSN":"0008-5472","note":"PMID: 15150106","journalAbbreviation":"Cancer Res.","language":"eng","author":[{"family":"Taniai","given":"Makiko"},{"family":"Grambihler","given":"Annette"},{"family":"Higuchi","given":"Hajime"},{"family":"Werneburg","given":"Nate"},{"family":"Bronk","given":"Steve F."},{"family":"Farrugia","given":"Daniel J."},{"family":"Kaufmann","given":"Scott H."},{"family":"Gores","given":"Gregory J."}],"issued":{"date-parts":[["2004",5,15]]}}},{"id":230,"uris":["http://zotero.org/users/local/AzZugh3l/items/PJGNIKM7"],"uri":["http://zotero.org/users/local/AzZugh3l/items/PJGNIKM7"],"itemData":{"id":230,"type":"article-journal","title":"Polo-like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[8,14,15]</w:t>
      </w:r>
      <w:r w:rsidR="00EC6668" w:rsidRPr="00DF2968">
        <w:rPr>
          <w:rFonts w:ascii="Book Antiqua" w:hAnsi="Book Antiqua"/>
          <w:vertAlign w:val="superscript"/>
          <w:lang w:val="en-US"/>
        </w:rPr>
        <w:fldChar w:fldCharType="end"/>
      </w:r>
      <w:r w:rsidRPr="00DF2968">
        <w:rPr>
          <w:rFonts w:ascii="Book Antiqua" w:hAnsi="Book Antiqua"/>
          <w:lang w:val="en-US"/>
        </w:rPr>
        <w:t>.</w:t>
      </w:r>
    </w:p>
    <w:p w14:paraId="675A33FD" w14:textId="15412405" w:rsidR="00AF1B28" w:rsidRPr="00DF2968" w:rsidRDefault="000309B1" w:rsidP="00A741A5">
      <w:pPr>
        <w:spacing w:line="360" w:lineRule="auto"/>
        <w:ind w:firstLineChars="100" w:firstLine="240"/>
        <w:jc w:val="both"/>
        <w:rPr>
          <w:rFonts w:ascii="Book Antiqua" w:hAnsi="Book Antiqua"/>
          <w:highlight w:val="green"/>
          <w:lang w:val="en-US"/>
        </w:rPr>
      </w:pPr>
      <w:r w:rsidRPr="00DF2968">
        <w:rPr>
          <w:rFonts w:ascii="Book Antiqua" w:hAnsi="Book Antiqua"/>
          <w:lang w:val="en-US"/>
        </w:rPr>
        <w:t>Polo-like kinases (PLK) represent a highly conserved family of several members of serine/threonine kinases regulating cell cycle division and are often overexpressed in tumor tissue of many</w:t>
      </w:r>
      <w:r w:rsidR="002E23B8">
        <w:rPr>
          <w:rFonts w:ascii="Book Antiqua" w:hAnsi="Book Antiqua"/>
          <w:lang w:val="en-US"/>
        </w:rPr>
        <w:t xml:space="preserve"> different tumors including CCA</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197pbjtqdq","properties":{"formattedCitation":"[16]","plainCitation":"[16]"},"citationItems":[{"id":1435,"uris":["http://zotero.org/users/local/AzZugh3l/items/D9AFXVSS"],"uri":["http://zotero.org/users/local/AzZugh3l/items/D9AFXVSS"],"itemData":{"id":1435,"type":"article-journal","title":"Polo-like kinase 3 is associated with improved overall survival in cholangiocarcinoma","container-title":"Liver International: Official Journal of the International Association for the Study of the Liver","source":"PubMed","abstract":"BACKGROUND &amp; AIMS: Cholangiocarcinomas (CCA) paradoxically express the death ligand TRAIL and thus, are dependent on effective survival signals to circumvent apoptosis. Hedgehog signalling exerts major survival signals in CCA by regulating serine/threonine kinase polo-like kinase (PLK)2. We here aimed to examine the role of PLK1/2/3 expression for CCA tumour biology.\nMETHODS: We employed CCA samples from 73 patients and human HUCCT-1/Mz-CHA1/KMCH-1 CCA cells. Immunohistochemistry for PLK1/2/3 was performed using tissue microarrays from representative tumour areas.\nRESULTS: PLK1/2/3-immunoreactive cancer cells were present in most of the CCA samples. However, only PLK1 and especially PLK3 were expressed in higher amounts within CCA cells as compared to normal liver. Given that fibroblast growth factor (FGF) can induce PLK3 expression and also is present in CCA, we examined the effect of FGF on PLK3 in vitro. Indeed, rhFGF rapidly increased PLK3 mRNA expression all three CCA cell lines giving an explanation for the abundant PLK3 presence in the tissue samples. Clinicopathologically, PLK3 expression was associated with decreased tumour cell migration and lymph/blood vessel infiltration whereas higher levels of PLK1 were correlated with larger tumour sizes. Moreover, strong PLK3 expression was associated with prolonged overall survival.\nCONCLUSIONS: The results suggest that PLK3 predominantly is expressed in CCA cells and that high PLK3 expression correlates with prolonged overall survival. These observations might have implications for prognosis prediction of human CCA as well as the potential therapeutic use of polo-like kinase inhibitors (i.e., PLK1/2 specifity).","DOI":"10.1111/liv.12839","ISSN":"1478-3231","note":"PMID: 25818805","journalAbbreviation":"Liver Int.","language":"ENG","author":[{"family":"Juntermanns","given":"Benjamin"},{"family":"Sydor","given":"Svenja"},{"family":"Kaiser","given":"Gernot M."},{"family":"Jaradat","given":"Derar"},{"family":"Mertens","given":"Joachim C."},{"family":"Sotiropoulos","given":"Georgios C."},{"family":"Swoboda","given":"Sandra"},{"family":"Neuhaus","given":"Jan P."},{"family":"Meng","given":"Wei"},{"family":"Mathé","given":"Zoltan"},{"family":"Baba","given":"Hideo A."},{"family":"Canbay","given":"Ali"},{"family":"Paul","given":"Andreas"},{"family":"Fingas","given":"Christian D."}],"issued":{"date-parts":[["2015",3,28]]}}}],"schema":"https://github.com/citation-style-language/schema/raw/master/csl-citation.json"}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[16]</w:t>
      </w:r>
      <w:r w:rsidR="00EC6668" w:rsidRPr="00DF2968">
        <w:rPr>
          <w:rFonts w:ascii="Book Antiqua" w:hAnsi="Book Antiqua"/>
          <w:vertAlign w:val="superscript"/>
          <w:lang w:val="en-US"/>
        </w:rPr>
        <w:fldChar w:fldCharType="end"/>
      </w:r>
      <w:r w:rsidRPr="00DF2968">
        <w:rPr>
          <w:rFonts w:ascii="Book Antiqua" w:hAnsi="Book Antiqua"/>
          <w:lang w:val="en-US"/>
        </w:rPr>
        <w:t>. PLK 1/2 expression is known to be associated with a poor prognosis and shor</w:t>
      </w:r>
      <w:r w:rsidR="002E23B8">
        <w:rPr>
          <w:rFonts w:ascii="Book Antiqua" w:hAnsi="Book Antiqua"/>
          <w:lang w:val="en-US"/>
        </w:rPr>
        <w:t>t overall survival rates in CCA</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12ha1mfh7n","properties":{"formattedCitation":"[17]","plainCitation":"[17]"},"citationItems":[{"id":1535,"uris":["http://zotero.org/users/local/AzZugh3l/items/MF93E6ES"],"uri":["http://zotero.org/users/local/AzZugh3l/items/MF93E6ES"],"itemData":{"id":1535,"type":"article-journal","title":"Polo-like kinase (PLK) inhibitors in preclinical and early clinical development in oncology","container-title":"The Oncologist","page":"559-570","volume":"14","issue":"6","source":"PubMed","abstract":"Polo-like kinases (PLKs) are a group of highly conserved serine/threonine protein kinases that play a key role in processes such as cell division and checkpoint regulation of mitosis. About 80% of human tumors, of various origins, express high levels of PLK transcripts. However, PLK mRNA is mostly absent in surrounding healthy tissues. Overexpression of PLK is associated with a poor prognosis in several tumor types and a lower overall survival rate. The overexpression of PLKs in human tumors, but not in healthy nondividing cells, makes them an attractive, selective target for cancer drug development. PLK inhibitors interfere with different stages of mitosis, such as centrosome maturation, spindle formation, chromosome separation, and cytokinesis. They induce mitotic chaos and severely perturb cell cycle progression, eventually leading to cancer cell death. Several PLK inhibitors are in development and are undergoing evaluations as potential cancer treatments. This review includes an overview of PLK inhibitors in early clinical development (i.e., BI 2536, BI 6727, GSK461364, ON 019190.Na, and HMN-214) and in advanced preclinical development (i.e., ZK-thiazolidinone, NMS-1, CYC-800, DAP-81, and LC-445). If proof of principle is confirmed in large studies, PLK inhibitors will offer a new targeted antitumor therapy for cancer patients.","DOI":"10.1634/theoncologist.2009-0010","ISSN":"1549-490X","note":"PMID: 19474163","journalAbbreviation":"Oncologist","language":"eng","author":[{"family":"Schöffski","given":"Patrick"}],"issued":{"date-parts":[["2009",6]]}}}],"schema":"https://github.com/citation-style-language/schema/raw/master/csl-citation.json"}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[17]</w:t>
      </w:r>
      <w:r w:rsidR="00EC6668" w:rsidRPr="00DF2968">
        <w:rPr>
          <w:rFonts w:ascii="Book Antiqua" w:hAnsi="Book Antiqua"/>
          <w:vertAlign w:val="superscript"/>
          <w:lang w:val="en-US"/>
        </w:rPr>
        <w:fldChar w:fldCharType="end"/>
      </w:r>
      <w:r w:rsidRPr="00DF2968">
        <w:rPr>
          <w:rFonts w:ascii="Book Antiqua" w:hAnsi="Book Antiqua"/>
          <w:lang w:val="en-US"/>
        </w:rPr>
        <w:t>. PLK2 has been shown to be upregulated by Hedgehog (Hh) signaling - another important</w:t>
      </w:r>
      <w:r w:rsidR="002E23B8">
        <w:rPr>
          <w:rFonts w:ascii="Book Antiqua" w:hAnsi="Book Antiqua"/>
          <w:lang w:val="en-US"/>
        </w:rPr>
        <w:t xml:space="preserve"> survival mechanism in CCA</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DQD5SFG7","properties":{"formattedCitation":"[8,18]","plainCitation":"[8,18]"},"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J"}],"issued":{"date-parts":[["2013",10]]}}},{"id":1644,"uris":["http://zotero.org/users/local/AzZugh3l/items/29M5X4QH"],"uri":["http://zotero.org/users/local/AzZugh3l/items/29M5X4QH"],"itemData":{"id":1644,"type":"article-journal","title":"Hedgehog inhibition promotes a switch from Type II to Type I cell death receptor signaling in cancer cells","container-title":"PloS One","page":"e18330","volume":"6","issue":"3","source":"PubMed","abstract":"TRAIL is a promising therapeutic agent for human malignancies. TRAIL often requires mitochondrial dysfunction, referred to as the Type II death receptor pathway, to promote cytotoxicity. However, numerous malignant cells are TRAIL resistant due to inhibition of this mitochondrial pathway. Using cholangiocarcinoma cells as a model of TRAIL resistance, we found that Hedgehog signaling blockade sensitized these cancer cells to TRAIL cytotoxicity independent of mitochondrial dysfunction, referred to as Type I death receptor signaling. This switch in TRAIL requirement from Type II to Type I death receptor signaling was demonstrated by the lack of functional dependence on Bid/Bim and Bax/Bak, proapoptotic components of the mitochondrial pathway. Hedgehog signaling modulated expression of X-linked inhibitor of apoptosis (XIAP), which serves to repress the Type I death receptor pathway. siRNA targeted knockdown of XIAP mimics sensitization to mitochondria-independent TRAIL killing achieved by Hedgehog inhibition. Regulation of XIAP expression by Hedgehog signaling is mediated by the glioma-associated oncogene 2 (GLI2), a downstream transcription factor of Hedgehog. In conclusion, these data provide additional mechanisms modulating cell death by TRAIL and suggest Hedgehog inhibition as a therapeutic approach for TRAIL-resistant neoplasms.","DOI":"10.1371/journal.pone.0018330","ISSN":"1932-6203","note":"PMID: 21483830\nPMCID: PMC3069071","journalAbbreviation":"PLoS ONE","language":"eng","author":[{"family":"Kurita","given":"Satoshi"},{"family":"Mott","given":"Justin L."},{"family":"Cazanave","given":"Sophie C."},{"family":"Fingas","given":"Christian D."},{"family":"Guicciardi","given":"Maria E."},{"family":"Bronk","given":"Steve F."},{"family":"Roberts","given":"Lewis R."},{"family":"Fernandez-Zapico","given":"Martin E."},{"family":"Gores","given":"Gregory J."}],"issued":{"date-parts":[["2011"]]}}}],"schema":"https://github.com/citation-style-language/schema/raw/master/csl-citation.json"}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[8,18]</w:t>
      </w:r>
      <w:r w:rsidR="00EC6668" w:rsidRPr="00DF2968">
        <w:rPr>
          <w:rFonts w:ascii="Book Antiqua" w:hAnsi="Book Antiqua"/>
          <w:vertAlign w:val="superscript"/>
          <w:lang w:val="en-US"/>
        </w:rPr>
        <w:fldChar w:fldCharType="end"/>
      </w:r>
      <w:r w:rsidRPr="00DF2968">
        <w:rPr>
          <w:rFonts w:ascii="Book Antiqua" w:hAnsi="Book Antiqua"/>
          <w:lang w:val="en-US"/>
        </w:rPr>
        <w:t xml:space="preserve">. </w:t>
      </w:r>
    </w:p>
    <w:p w14:paraId="0A895637" w14:textId="7CDEE8F4" w:rsidR="000309B1" w:rsidRPr="00DF2968" w:rsidRDefault="000309B1" w:rsidP="00A741A5">
      <w:pPr>
        <w:spacing w:line="360" w:lineRule="auto"/>
        <w:ind w:firstLineChars="100" w:firstLine="240"/>
        <w:jc w:val="both"/>
        <w:rPr>
          <w:rFonts w:ascii="Book Antiqua" w:hAnsi="Book Antiqua"/>
          <w:lang w:val="en-US"/>
        </w:rPr>
      </w:pPr>
      <w:r w:rsidRPr="00DF2968">
        <w:rPr>
          <w:rFonts w:ascii="Book Antiqua" w:hAnsi="Book Antiqua"/>
          <w:lang w:val="en-US"/>
        </w:rPr>
        <w:t xml:space="preserve">Thus, PLK2 appears to be an important mediator of Hh survival signaling as its expression is reduced </w:t>
      </w:r>
      <w:r w:rsidR="00947030" w:rsidRPr="00DF2968">
        <w:rPr>
          <w:rFonts w:ascii="Book Antiqua" w:hAnsi="Book Antiqua"/>
          <w:lang w:val="en-US"/>
        </w:rPr>
        <w:t>when Hh signaling is inhi</w:t>
      </w:r>
      <w:r w:rsidR="002E23B8">
        <w:rPr>
          <w:rFonts w:ascii="Book Antiqua" w:hAnsi="Book Antiqua"/>
          <w:lang w:val="en-US"/>
        </w:rPr>
        <w:t>bited</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267leivhbp","properties":{"formattedCitation":"[8]","plainCitation":"[8]"},"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[8]</w:t>
      </w:r>
      <w:r w:rsidR="00EC6668" w:rsidRPr="00DF2968">
        <w:rPr>
          <w:rFonts w:ascii="Book Antiqua" w:hAnsi="Book Antiqua"/>
          <w:vertAlign w:val="superscript"/>
          <w:lang w:val="en-US"/>
        </w:rPr>
        <w:fldChar w:fldCharType="end"/>
      </w:r>
      <w:r w:rsidRPr="00DF2968">
        <w:rPr>
          <w:rFonts w:ascii="Book Antiqua" w:hAnsi="Book Antiqua"/>
          <w:lang w:val="en-US"/>
        </w:rPr>
        <w:t xml:space="preserve">. In this context, PLK inhibition is discussed as a new potential therapeutical approach for the treatment of different cancers and has been described to decrease </w:t>
      </w:r>
      <w:r w:rsidR="00555851" w:rsidRPr="00DF2968">
        <w:rPr>
          <w:rFonts w:ascii="Book Antiqua" w:hAnsi="Book Antiqua"/>
          <w:lang w:val="en-US"/>
        </w:rPr>
        <w:t>myeloid cell leukemia-1 (</w:t>
      </w:r>
      <w:r w:rsidRPr="00DF2968">
        <w:rPr>
          <w:rFonts w:ascii="Book Antiqua" w:hAnsi="Book Antiqua"/>
          <w:lang w:val="en-US"/>
        </w:rPr>
        <w:t>Mcl-1</w:t>
      </w:r>
      <w:r w:rsidR="00555851" w:rsidRPr="00DF2968">
        <w:rPr>
          <w:rFonts w:ascii="Book Antiqua" w:hAnsi="Book Antiqua"/>
          <w:lang w:val="en-US"/>
        </w:rPr>
        <w:t>)</w:t>
      </w:r>
      <w:r w:rsidRPr="00DF2968">
        <w:rPr>
          <w:rFonts w:ascii="Book Antiqua" w:hAnsi="Book Antiqua"/>
          <w:lang w:val="en-US"/>
        </w:rPr>
        <w:t xml:space="preserve"> - an a</w:t>
      </w:r>
      <w:r w:rsidR="00555851" w:rsidRPr="00DF2968">
        <w:rPr>
          <w:rFonts w:ascii="Book Antiqua" w:hAnsi="Book Antiqua"/>
          <w:lang w:val="en-US"/>
        </w:rPr>
        <w:t>nti-apoptotic member of the Bcl</w:t>
      </w:r>
      <w:r w:rsidR="00555851" w:rsidRPr="00DF2968">
        <w:rPr>
          <w:rFonts w:ascii="Book Antiqua" w:hAnsi="Book Antiqua"/>
          <w:lang w:val="en-US"/>
        </w:rPr>
        <w:noBreakHyphen/>
      </w:r>
      <w:r w:rsidRPr="00DF2968">
        <w:rPr>
          <w:rFonts w:ascii="Book Antiqua" w:hAnsi="Book Antiqua"/>
          <w:lang w:val="en-US"/>
        </w:rPr>
        <w:t>2 protein family that has been identified as an i</w:t>
      </w:r>
      <w:r w:rsidR="002E23B8">
        <w:rPr>
          <w:rFonts w:ascii="Book Antiqua" w:hAnsi="Book Antiqua"/>
          <w:lang w:val="en-US"/>
        </w:rPr>
        <w:t>mportant survival factor in CCA</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{"citationID":"z67HvVTG","properties":{"formattedCitation":"{\\rtf [15,19\\uc0\\u8211{}21]}","plainCitation":"[15,19–21]"},"citationItems":[{"id":1537,"uris":["http://zotero.org/users/local/AzZugh3l/items/CAI6W3W8"],"uri":["http://zotero.org/users/local/AzZugh3l/items/CAI6W3W8"],"itemData":{"id":1537,"type":"article-journal","title":"Interleukin 6 upregulates myeloid cell leukemia-1 expression through a STAT3 pathway in cholangiocarcinoma cells","container-title":"Hepatology (Baltimore, Md.)","page":"1329-1338","volume":"42","issue":"6","source":"PubMed","abstract":"Interleukin 6 (IL-6) contributes to the pathogenesis of cholangiocarcinoma by upregulating myeloid cell leukemia-1 (Mcl-1), a key antiapoptotic Bcl-2 family member protein. IL-6 can alter gene transcription via Janus kinases (JAK) and signal transducer and activator of transcription (STAT) signal cascade. We examined this cascade in IL-6 regulation of Mcl-1 transcription in human cholangiocarcinoma cell lines. STAT3 was constitutively activated (i.e., tyrosine-phosphorylated) in cholangiocarcinoma cells but not in nonmalignant cholangiocytes. Treatment with anti-IL-6 antisera or the JAK inhibitor AG490 or transfection with dominant negative STAT3 diminished Mcl-1 messenger RNA and protein levels. Likewise, these attempts to interrupt the STAT3 cascade also reduced Mcl-1 promoter activity. Site-directed mutagenesis of a putative STAT3 consensus binding sequence decreased Mcl-1 promoter activity. Chromatin immunoprecipitation analysis demonstrated a direct binding of STAT3 to the putative STAT3 binding sequences in the Mcl-1 promoter. Downregulation of Mcl-1 by AG490 sensitized the cells to apoptosis mediated by tumor necrosis factor-related apoptosis-inducing ligand. In conclusion, we have directly demonstrated a STAT3 regulatory element in the Mcl-1 promoter. Downregulation of Mcl-1 transcription by inhibiting this cascade is a potential strategy for the treatment of this cancer.","DOI":"10.1002/hep.20966","ISSN":"0270-9139","note":"PMID: 16317687","journalAbbreviation":"Hepatology","language":"eng","author":[{"family":"Isomoto","given":"Hajime"},{"family":"Kobayashi","given":"Shogo"},{"family":"Werneburg","given":"Nathan W."},{"family":"Bronk","given":"Steve F."},{"family":"Guicciardi","given":"Maria Eugenia"},{"family":"Frank","given":"David A."},{"family":"Gores","given":"Gregory J."}],"issued":{"date-parts":[["2005",12]]}}},{"id":1539,"uris":["http://zotero.org/users/local/AzZugh3l/items/6KG6K5IX"],"uri":["http://zotero.org/users/local/AzZugh3l/items/6KG6K5IX"],"itemData":{"id":1539,"type":"article-journal","title":"The expression of antiapoptotic proteins Bcl-2, Bcl-X(L), and Mcl-1 in benign, dysplastic, and malignant biliary epithelium","container-title":"Journal of Clinical Pathology","page":"927-932","volume":"54","issue":"12","source":"PubMed","abstract":"AIM: Cholangiocarcinoma can be cured by surgery, but only in a minority of cases. The activation of apoptosis is a major mode of action of chemotherapy and radiotherapy, which have limited benefit in the treatment of cholangiocarcinoma. The antiapoptotic members of the Bcl-2 protein family (Bcl-2, Bcl-X(L), and Mcl-1) are important inhibitors of apoptosis, but have not been investigated extensively in cholangiocarcinoma.\nMETHODS: The expression of Bcl-2, Bcl-X(L), and Mcl-1 was investigated in normal biliary epithelium (17), biliary dysplasia (three), and invasive cholangiocarcinoma (51), in addition to three human cholangiocarcinoma cell lines, by immunohistochemistry and immunofluorescence.\nRESULTS: The expression of Bcl-2 was not detected in normal or malignant biliary tissue. In contrast, granular cytoplasmic Bcl-X(L) and Mcl-1 staining was found in 60-100% of cells in all normal, dysplastic, and malignant specimens, including the human cell lines examined in this study.\nCONCLUSION: These findings indicate that Mcl-1 and Bcl-X(L), but not Bcl-2, are involved in the survival of normal and neoplastic cells in the biliary tree. By prolonging survival through blocking apoptosis, these proteins might be reducing the efficacy of cytotoxic anticancer treatments in cholangiocarcinoma.","ISSN":"0021-9746","note":"PMID: 11729212\nPMCID: PMC1731328","journalAbbreviation":"J. Clin. Pathol.","language":"eng","author":[{"family":"Okaro","given":"A. C."},{"family":"Deery","given":"A. R."},{"family":"Hutchins","given":"R. R."},{"family":"Davidson","given":"B. R."}],"issued":{"date-parts":[["2001",12]]}}},{"id":1541,"uris":["http://zotero.org/users/local/AzZugh3l/items/F8K2N4ZJ"],"uri":["http://zotero.org/users/local/AzZugh3l/items/F8K2N4ZJ"],"itemData":{"id":1541,"type":"article-journal","title":"Mcl-1 mediates tumor necrosis factor-related apoptosis-inducing ligand resistance in human cholangiocarcinoma cells","container-title":"Cancer Research","page":"3517-3524","volume":"64","issue":"10","source":"PubMed","abstract":"Cholangiocarcinomas are usually fatal neoplasms originating from bile duct epithelia. Tumor necrosis factor-related apoptosis-inducing ligand (TRAIL) is a promising agent for cancer therapy, including cholangiocarcinoma. However, many cholangiocarcinoma cells are resistant to TRAIL-mediated apoptosis. Thus, our aim was to examine the intracellular mechanisms responsible for TRAIL resistance in human cholangiocarcinoma cell lines. Three TRAIL-resistant human cholangiocarcinoma cell lines were identified. All of the cell lines expressed TRAIL receptor 1/death receptor 4 (TRAIL-R1/DR4) and TRAIL-R2/DR5. Expression of TRAIL decoy receptors and the antiapoptotic cellular FLICE-inhibitory protein (cFLIP) was inconsistent across the cell lines. Of the antiapoptotic Bcl-2 family of proteins profiled (Bcl-2, Bcl-x(L), and Mcl-1), Mcl-1 was uniquely overexpressed by the cell lines. When small-interfering-RNA (siRNA) technology was used to knock down expression of Bcl-2, Bcl-x(L), and Mcl-1, only the Mcl-1-siRNA sensitized the cells to TRAIL-mediated apoptosis. In a cell line stably transfected with Mcl-1-small-hairpin-RNA (Mcl-1-shRNA), Mcl-1 depletion sensitized cells to TRAIL-mediated apoptosis despite Bcl-2 expression. TRAIL-mediated apoptosis in the stably transfected cells was associated with mitochondrial depolarization, Bax activation, cytochrome c release from mitochondria, and caspase activation. Finally, flavopiridol, an anticancer drug that rapidly down-regulates Mcl-1, also sensitized cells to TRAIL cytotoxicity. In conclusion, these studies not only demonstrate that Mcl-1 mediates TRAIL resistance in cholangiocarcinoma cells by blocking the mitochondrial pathway of cell death but also identify two strategies for circumventing this resistance.","DOI":"10.1158/0008-5472.CAN-03-2770","ISSN":"0008-5472","note":"PMID: 15150106","journalAbbreviation":"Cancer Res.","language":"eng","author":[{"family":"Taniai","given":"Makiko"},{"family":"Grambihler","given":"Annette"},{"family":"Higuchi","given":"Hajime"},{"family":"Werneburg","given":"Nate"},{"family":"Bronk","given":"Steve F."},{"family":"Farrugia","given":"Daniel J."},{"family":"Kaufmann","given":"Scott H."},{"family":"Gores","given":"Gregory J."}],"issued":{"date-parts":[["2004",5,15]]}}},{"id":1187,"uris":["http://zotero.org/users/local/AzZugh3l/items/748MNNPU"],"uri":["http://zotero.org/users/local/AzZugh3l/items/748MNNPU"],"itemData":{"id":1187,"type":"article-journal","title":"Prognostic assessment of three single-nucleotide polymorphisms (GNB3 825C&gt;T, BCL2-938C&gt;A, MCL1-386C&gt;G) in extrahepatic cholangiocarcinoma","container-title":"Cancer investigation","page":"472-478","volume":"28","issue":"5","source":"NCBI PubMed","abstract":"BACKGROUND/AIMS\n\nCholangiocellular carcinoma (CCA) has a devastating prognosis and markers enabling a precise prediction of the clinical outcome have long remained scarce. Recently, it has been demonstrated that genotype distribution of several single-nucleotide polymorphisms (SNPs) in genes that modulate G protein-signal transduction and apoptosis can serve as helpful predictive parameters in various carcinomas. We here aimed at extending the panel of SNPs suitable for predicting the outcome of CCA.\n\n\nMETHODOLOGY\n\nForty Caucasian patients with extrahepatic CCA and 40 age- and sex-matched healthy white Caucasians were genotyped to elucidate putative associations between clinical outcome and genotypes of the three following SNPs: G protein beta 3 (GNB3) 825C&gt;T, B-cell-lymphoma-2 (Bcl-2) -938C&gt;A, and myeloid cell leukemia-1 (Mcl-1) -386C&gt;G.\n\n\nRESULTS\n\nPatients homozygous for the C allele of the GNB3 825C&gt;T polymorphism exhibited a significant prolonged overall survival compared with patients displaying the CT or TT genotype (median survival [months]: 31 vs. 13 vs. 7; p &lt; .05) and also showed lower bilirubin serum levels. Additionally, the CC genotype of the BCL2-938C&gt;A polymorphism was associated with higher GLDH serum activities (U/l; 29.8 +/- 7.1 vs. 11.4 +/- 4.3 vs. 5.6 +/- 1.7 comparing CC vs. CA vs. AA; p &lt; .05). Genotype distributions for all SNPs were not significantly different in patients vs. controls.\n\n\nCONCLUSIONS\n\nGNB3 825C&gt;T SNP may be a novel independent prognostic marker for patients suffering from extrahepatic CCA with the CC genotype to be associated with a favorable clinical outcome. Further prospective studies are needed to confirm these results and reveal additional functional SNP effects.","DOI":"10.3109/07357900903095714","ISSN":"1532-4192","journalAbbreviation":"Cancer Invest.","author":[{"family":"Fingas","given":"Christian Dominik"},{"family":"Katsounas","given":"Antonios"},{"family":"Kahraman","given":"Alisan"},{"family":"Siffert","given":"Winfried"},{"family":"Jochum","given":"Christoph"},{"family":"Gerken","given":"Guido"},{"family":"Nückel","given":"Holger"},{"family":"Canbay","given":"Ali"}],"issued":{"date-parts":[["2010",6]]}}}],"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[15,19–21]</w:t>
      </w:r>
      <w:r w:rsidR="00EC6668" w:rsidRPr="00DF2968">
        <w:rPr>
          <w:rFonts w:ascii="Book Antiqua" w:hAnsi="Book Antiqua"/>
          <w:vertAlign w:val="superscript"/>
          <w:lang w:val="en-US"/>
        </w:rPr>
        <w:fldChar w:fldCharType="end"/>
      </w:r>
      <w:r w:rsidRPr="00DF2968">
        <w:rPr>
          <w:rFonts w:ascii="Book Antiqua" w:hAnsi="Book Antiqua"/>
          <w:lang w:val="en-US"/>
        </w:rPr>
        <w:t>. Members of the Bcl-2 family include anti- as well as pro-apoptotic proteins. The anti-apoptotic members Bcl-2 and Mcl-1 can prevent apoptosis induction by inhibition of mitochondrial cytochrome C release while the pro-apoptotic protein Bax can induce apoptosis by st</w:t>
      </w:r>
      <w:r w:rsidR="002E23B8">
        <w:rPr>
          <w:rFonts w:ascii="Book Antiqua" w:hAnsi="Book Antiqua"/>
          <w:lang w:val="en-US"/>
        </w:rPr>
        <w:t>imulating cytochrome C release</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{"citationID":"va8irvsc1","properties":{"formattedCitation":"{\\rtf [22\\uc0\\u8211{}24]}","plainCitation":"[22–24]"},"citationItems":[{"id":1596,"uris":["http://zotero.org/users/local/AzZugh3l/items/8B6K67JH"],"uri":["http://zotero.org/users/local/AzZugh3l/items/8B6K67JH"],"itemData":{"id":1596,"type":"article-journal","title":"Bcl2 family proteins in carcinogenesis and the treatment of cancer","container-title":"Apoptosis: An International Journal on Programmed Cell Death","page":"584-596","volume":"14","issue":"4","source":"PubMed","abstract":"Deregulation of Bcl2 family members is a frequent feature of human malignant diseases and causal for therapy resistance. A number of studies have recently shed light onto the role of pro- and anti-apoptotic Bcl2 family members in tumour-pathogenesis and in mediating the effects of classical as well as novel front-line anticancer agents, allowing the development of more efficient and more precisely targeted treatment regimens. Most excitingly, recent progress in our understanding of how Bcl2-like proteins maintain or perturb mitochondrial integrity has finally enabled the development of rational-design based anticancer therapies that directly target Bcl2 regulated events at the level of mitochondria. This review aims to give an overview on the most recent findings on the role of the Bcl2 family in tumour development in model systems of cancer, to relate these findings with observations made in human pathologies and drug-action.","DOI":"10.1007/s10495-008-0300-z","ISSN":"1573-675X","note":"PMID: 19156528\nPMCID: PMC3272401","journalAbbreviation":"Apoptosis","language":"eng","author":[{"family":"Frenzel","given":"Anna"},{"family":"Grespi","given":"Francesca"},{"family":"Chmelewskij","given":"Waldemar"},{"family":"Villunger","given":"Andreas"}],"issued":{"date-parts":[["2009",4]]}}},{"id":1703,"uris":["http://zotero.org/users/local/AzZugh3l/items/XQJWMFJA"],"uri":["http://zotero.org/users/local/AzZugh3l/items/XQJWMFJA"],"itemData":{"id":1703,"type":"article-journal","title":"Differential targeting of prosurvival Bcl-2 proteins by their BH3-only ligands allows complementary apoptotic function","container-title":"Molecular Cell","page":"393-403","volume":"17","issue":"3","source":"PubMed","abstract":"Apoptosis is initiated when Bcl-2 and its prosurvival relatives are engaged by proapoptotic BH3-only proteins via interaction of its BH3 domain with a groove on the Bcl-2-like proteins. These interactions have been considered promiscuous, but our analysis of the affinity of eight BH3 peptides for five Bcl-2-like proteins has revealed that the interactions vary over 10,000-fold in affinity, and accordingly, only certain protein pairs associate inside cells. Bim and Puma potently engaged all the prosurvival proteins comparably. Bad, however, bound tightly to Bcl-2, Bcl-xL, and Bcl-w but only weakly to A1 and not to Mcl-1. Strikingly, Noxa bound only Mcl-1 and A1. In accord with their complementary binding, Bad and Noxa cooperated to induce potent killing. The results suggest that apoptosis relies on selective interactions between particular subsets of these proteins and that it should be feasible to discover BH3-mimetic drugs that inactivate specific prosurvival targets.","DOI":"10.1016/j.molcel.2004.12.030","ISSN":"1097-2765","note":"PMID: 15694340","journalAbbreviation":"Mol. Cell","language":"eng","author":[{"family":"Chen","given":"Lin"},{"family":"Willis","given":"Simon N."},{"family":"Wei","given":"Andrew"},{"family":"Smith","given":"Brian J."},{"family":"Fletcher","given":"Jamie I."},{"family":"Hinds","given":"Mark G."},{"family":"Colman","given":"Peter M."},{"family":"Day","given":"Catherine L."},{"family":"Adams","given":"Jerry M."},{"family":"Huang","given":"David C. S."}],"issued":{"date-parts":[["2005",2,4]]}}},{"id":317,"uris":["http://zotero.org/users/local/AzZugh3l/items/HA54RW4G"],"uri":["http://zotero.org/users/local/AzZugh3l/items/HA54RW4G"],"itemData":{"id":317,"type":"article-journal","title":"BCL-2 family: regulators of cell death","container-title":"Annual Review of Immunology","page":"395-419","volume":"16","source":"NCBI PubMed","abstract":"An expanding family of BCL-2 related proteins share homology, clustered within four conserved regions, namely BCL-2 homology (BH1-4) domains, which control the ability of these proteins to dimerize and function as regulators of apoptosis. Moreover, BCL-XL, BCL-2, and BAX can form ion-conductive pores in artificial membranes. The BCL-2 family, comprised of both pro-apoptotic and anti-apoptotic members, acts as a checkpoint upstream of CASPASES and mitochondrial dysfunction. BID and BAD possess the minimal death domain BH3, and the phosphorylation of BAD connects proximal survival signals to the BCL-2 family. BCL-2 and BCL-XL display a reciprocal pattern of expression during lymphocyte development. Gain- and loss-of-function models revealed stage-specific roles for BCL-2 and BCL-XL. BCL-2 can rescue maturation at several points of lymphocyte development. The BCL-2 family also reveals evidence for a cell-autonomous coordination between the opposing pathways of proliferation and cell death.","DOI":"10.1146/annurev.immunol.16.1.395","ISSN":"0732-0582","shortTitle":"BCL-2 family","journalAbbreviation":"Annu. Rev. Immunol","author":[{"family":"Chao","given":"D T"},{"family":"Korsmeyer","given":"S J"}],"issued":{"date-parts":[["1998"]]}},"locator":"2"}],"schema":"https://github.com/citation-style-language/schema/raw/master/csl-citation.json"}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[22–24]</w:t>
      </w:r>
      <w:r w:rsidR="00EC6668" w:rsidRPr="00DF2968">
        <w:rPr>
          <w:rFonts w:ascii="Book Antiqua" w:hAnsi="Book Antiqua"/>
          <w:vertAlign w:val="superscript"/>
          <w:lang w:val="en-US"/>
        </w:rPr>
        <w:fldChar w:fldCharType="end"/>
      </w:r>
      <w:r w:rsidRPr="00DF2968">
        <w:rPr>
          <w:rFonts w:ascii="Book Antiqua" w:hAnsi="Book Antiqua"/>
          <w:lang w:val="en-US"/>
        </w:rPr>
        <w:t xml:space="preserve">. We have recently shown that PLK2 inhibition can decrease Mcl-1 levels by proteasomal degradation inducing apoptosis in CCA cells, which finally results in tumor suppression </w:t>
      </w:r>
      <w:r w:rsidRPr="00DF2968">
        <w:rPr>
          <w:rFonts w:ascii="Book Antiqua" w:hAnsi="Book Antiqua"/>
          <w:i/>
          <w:lang w:val="en-US"/>
        </w:rPr>
        <w:t>in vivo</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1ndt2hm17f","properties":{"formattedCitation":"[8]","plainCitation":"[8]"},"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[8]</w:t>
      </w:r>
      <w:r w:rsidR="00EC6668" w:rsidRPr="00DF2968">
        <w:rPr>
          <w:rFonts w:ascii="Book Antiqua" w:hAnsi="Book Antiqua"/>
          <w:vertAlign w:val="superscript"/>
          <w:lang w:val="en-US"/>
        </w:rPr>
        <w:fldChar w:fldCharType="end"/>
      </w:r>
      <w:r w:rsidRPr="00DF2968">
        <w:rPr>
          <w:rFonts w:ascii="Book Antiqua" w:hAnsi="Book Antiqua"/>
          <w:lang w:val="en-US"/>
        </w:rPr>
        <w:t>.</w:t>
      </w:r>
    </w:p>
    <w:p w14:paraId="51BD45A2" w14:textId="01179D63" w:rsidR="000309B1" w:rsidRPr="00DF2968" w:rsidRDefault="000309B1" w:rsidP="00A741A5">
      <w:pPr>
        <w:spacing w:line="360" w:lineRule="auto"/>
        <w:ind w:firstLineChars="100" w:firstLine="240"/>
        <w:jc w:val="both"/>
        <w:rPr>
          <w:rFonts w:ascii="Book Antiqua" w:hAnsi="Book Antiqua"/>
          <w:lang w:val="en-US"/>
        </w:rPr>
      </w:pPr>
      <w:r w:rsidRPr="00DF2968">
        <w:rPr>
          <w:rFonts w:ascii="Book Antiqua" w:hAnsi="Book Antiqua"/>
          <w:lang w:val="en-US"/>
        </w:rPr>
        <w:lastRenderedPageBreak/>
        <w:t>Beside gemcitabine, cisplatin is a conventional chemotherapeutic drug used for CCA treatment that can induce cell death in fast replicating cells by inhibition of DNA replication causing DNA damage and a</w:t>
      </w:r>
      <w:r w:rsidR="008E1351">
        <w:rPr>
          <w:rFonts w:ascii="Book Antiqua" w:hAnsi="Book Antiqua"/>
          <w:lang w:val="en-US"/>
        </w:rPr>
        <w:t>poptosis</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1enn649rkq","properties":{"formattedCitation":"[22,25]","plainCitation":"[22,25]"},"citationItems":[{"id":1648,"uris":["http://zotero.org/users/local/AzZugh3l/items/9C2XS3ZV"],"uri":["http://zotero.org/users/local/AzZugh3l/items/9C2XS3ZV"],"itemData":{"id":1648,"type":"article-journal","title":"Molecular mechanisms of cisplatin resistance","container-title":"Oncogene","page":"1869-1883","volume":"31","issue":"15","source":"PubMed","abstract":"Platinum-based drugs, and in particular cis-diamminedichloroplatinum(II) (best known as cisplatin), are employed for the treatment of a wide array of solid malignancies, including testicular, ovarian, head and neck, colorectal, bladder and lung cancers. Cisplatin exerts anticancer effects via multiple mechanisms, yet its most prominent (and best understood) mode of action involves the generation of DNA lesions followed by the activation of the DNA damage response and the induction of mitochondrial apoptosis. Despite a consistent rate of initial responses, cisplatin treatment often results in the development of chemoresistance, leading to therapeutic failure. An intense research has been conducted during the past 30 years and several mechanisms that account for the cisplatin-resistant phenotype of tumor cells have been described. Here, we provide a systematic discussion of these mechanism by classifying them in alterations (1) that involve steps preceding the binding of cisplatin to DNA (pre-target resistance), (2) that directly relate to DNA-cisplatin adducts (on-target resistance), (3) concerning the lethal signaling pathway(s) elicited by cisplatin-mediated DNA damage (post-target resistance) and (4) affecting molecular circuitries that do not present obvious links with cisplatin-elicited signals (off-target resistance). As in some clinical settings cisplatin constitutes the major therapeutic option, the development of chemosensitization strategies constitute a goal with important clinical implications.","DOI":"10.1038/onc.2011.384","ISSN":"1476-5594","note":"PMID: 21892204","journalAbbreviation":"Oncogene","language":"eng","author":[{"family":"Galluzzi","given":"L."},{"family":"Senovilla","given":"L."},{"family":"Vitale","given":"I."},{"family":"Michels","given":"J."},{"family":"Martins","given":"I."},{"family":"Kepp","given":"O."},{"family":"Castedo","given":"M."},{"family":"Kroemer","given":"G."}],"issued":{"date-parts":[["2012",4,12]]}}},{"id":1596,"uris":["http://zotero.org/users/local/AzZugh3l/items/8B6K67JH"],"uri":["http://zotero.org/users/local/AzZugh3l/items/8B6K67JH"],"itemData":{"id":1596,"type":"article-journal","title":"Bcl2 family proteins in carcinogenesis and the treatment of cancer","container-title":"Apoptosis: An International Journal on Programmed Cell Death","page":"584-596","volume":"14","issue":"4","source":"PubMed","abstract":"Deregulation of Bcl2 family members is a frequent feature of human malignant diseases and causal for therapy resistance. A number of studies have recently shed light onto the role of pro- and anti-apoptotic Bcl2 family members in tumour-pathogenesis and in mediating the effects of classical as well as novel front-line anticancer agents, allowing the development of more efficient and more precisely targeted treatment regimens. Most excitingly, recent progress in our understanding of how Bcl2-like proteins maintain or perturb mitochondrial integrity has finally enabled the development of rational-design based anticancer therapies that directly target Bcl2 regulated events at the level of mitochondria. This review aims to give an overview on the most recent findings on the role of the Bcl2 family in tumour development in model systems of cancer, to relate these findings with observations made in human pathologies and drug-action.","DOI":"10.1007/s10495-008-0300-z","ISSN":"1573-675X","note":"PMID: 19156528\nPMCID: PMC3272401","journalAbbreviation":"Apoptosis","language":"eng","author":[{"family":"Frenzel","given":"Anna"},{"family":"Grespi","given":"Francesca"},{"family":"Chmelewskij","given":"Waldemar"},{"family":"Villunger","given":"Andreas"}],"issued":{"date-parts":[["2009",4]]}}}],"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[22,25]</w:t>
      </w:r>
      <w:r w:rsidR="00EC6668" w:rsidRPr="00DF2968">
        <w:rPr>
          <w:rFonts w:ascii="Book Antiqua" w:hAnsi="Book Antiqua"/>
          <w:vertAlign w:val="superscript"/>
          <w:lang w:val="en-US"/>
        </w:rPr>
        <w:fldChar w:fldCharType="end"/>
      </w:r>
      <w:r w:rsidRPr="00DF2968">
        <w:rPr>
          <w:rFonts w:ascii="Book Antiqua" w:hAnsi="Book Antiqua"/>
          <w:lang w:val="en-US"/>
        </w:rPr>
        <w:t>. However, treatment with cisplatin often results in chemo</w:t>
      </w:r>
      <w:r w:rsidR="002E23B8">
        <w:rPr>
          <w:rFonts w:ascii="Book Antiqua" w:hAnsi="Book Antiqua"/>
          <w:lang w:val="en-US"/>
        </w:rPr>
        <w:t>resistance and therapy failure</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g26hutg9k","properties":{"formattedCitation":"[25]","plainCitation":"[25]"},"citationItems":[{"id":1648,"uris":["http://zotero.org/users/local/AzZugh3l/items/9C2XS3ZV"],"uri":["http://zotero.org/users/local/AzZugh3l/items/9C2XS3ZV"],"itemData":{"id":1648,"type":"article-journal","title":"Molecular mechanisms of cisplatin resistance","container-title":"Oncogene","page":"1869-1883","volume":"31","issue":"15","source":"PubMed","abstract":"Platinum-based drugs, and in particular cis-diamminedichloroplatinum(II) (best known as cisplatin), are employed for the treatment of a wide array of solid malignancies, including testicular, ovarian, head and neck, colorectal, bladder and lung cancers. Cisplatin exerts anticancer effects via multiple mechanisms, yet its most prominent (and best understood) mode of action involves the generation of DNA lesions followed by the activation of the DNA damage response and the induction of mitochondrial apoptosis. Despite a consistent rate of initial responses, cisplatin treatment often results in the development of chemoresistance, leading to therapeutic failure. An intense research has been conducted during the past 30 years and several mechanisms that account for the cisplatin-resistant phenotype of tumor cells have been described. Here, we provide a systematic discussion of these mechanism by classifying them in alterations (1) that involve steps preceding the binding of cisplatin to DNA (pre-target resistance), (2) that directly relate to DNA-cisplatin adducts (on-target resistance), (3) concerning the lethal signaling pathway(s) elicited by cisplatin-mediated DNA damage (post-target resistance) and (4) affecting molecular circuitries that do not present obvious links with cisplatin-elicited signals (off-target resistance). As in some clinical settings cisplatin constitutes the major therapeutic option, the development of chemosensitization strategies constitute a goal with important clinical implications.","DOI":"10.1038/onc.2011.384","ISSN":"1476-5594","note":"PMID: 21892204","journalAbbreviation":"Oncogene","language":"eng","author":[{"family":"Galluzzi","given":"L."},{"family":"Senovilla","given":"L."},{"family":"Vitale","given":"I."},{"family":"Michels","given":"J."},{"family":"Martins","given":"I."},{"family":"Kepp","given":"O."},{"family":"Castedo","given":"M."},{"family":"Kroemer","given":"G."}],"issued":{"date-parts":[["2012",4,12]]}}}],"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[25]</w:t>
      </w:r>
      <w:r w:rsidR="00EC6668" w:rsidRPr="00DF2968">
        <w:rPr>
          <w:rFonts w:ascii="Book Antiqua" w:hAnsi="Book Antiqua"/>
          <w:vertAlign w:val="superscript"/>
          <w:lang w:val="en-US"/>
        </w:rPr>
        <w:fldChar w:fldCharType="end"/>
      </w:r>
      <w:r w:rsidR="009142CE" w:rsidRPr="00DF2968">
        <w:rPr>
          <w:rFonts w:ascii="Book Antiqua" w:hAnsi="Book Antiqua"/>
          <w:lang w:val="en-US"/>
        </w:rPr>
        <w:t>.</w:t>
      </w:r>
      <w:r w:rsidRPr="00DF2968">
        <w:rPr>
          <w:rFonts w:ascii="Book Antiqua" w:hAnsi="Book Antiqua"/>
          <w:lang w:val="en-US"/>
        </w:rPr>
        <w:t xml:space="preserve"> Many different underlying mechanisms have been described in this context such as defective DNA binding, premature degradation, and increased activation of</w:t>
      </w:r>
      <w:r w:rsidR="002E23B8">
        <w:rPr>
          <w:rFonts w:ascii="Book Antiqua" w:hAnsi="Book Antiqua"/>
          <w:lang w:val="en-US"/>
        </w:rPr>
        <w:t xml:space="preserve"> specific transporter proteins</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2enobhj7hh","properties":{"formattedCitation":"[25]","plainCitation":"[25]"},"citationItems":[{"id":1648,"uris":["http://zotero.org/users/local/AzZugh3l/items/9C2XS3ZV"],"uri":["http://zotero.org/users/local/AzZugh3l/items/9C2XS3ZV"],"itemData":{"id":1648,"type":"article-journal","title":"Molecular mechanisms of cisplatin resistance","container-title":"Oncogene","page":"1869-1883","volume":"31","issue":"15","source":"PubMed","abstract":"Platinum-based drugs, and in particular cis-diamminedichloroplatinum(II) (best known as cisplatin), are employed for the treatment of a wide array of solid malignancies, including testicular, ovarian, head and neck, colorectal, bladder and lung cancers. Cisplatin exerts anticancer effects via multiple mechanisms, yet its most prominent (and best understood) mode of action involves the generation of DNA lesions followed by the activation of the DNA damage response and the induction of mitochondrial apoptosis. Despite a consistent rate of initial responses, cisplatin treatment often results in the development of chemoresistance, leading to therapeutic failure. An intense research has been conducted during the past 30 years and several mechanisms that account for the cisplatin-resistant phenotype of tumor cells have been described. Here, we provide a systematic discussion of these mechanism by classifying them in alterations (1) that involve steps preceding the binding of cisplatin to DNA (pre-target resistance), (2) that directly relate to DNA-cisplatin adducts (on-target resistance), (3) concerning the lethal signaling pathway(s) elicited by cisplatin-mediated DNA damage (post-target resistance) and (4) affecting molecular circuitries that do not present obvious links with cisplatin-elicited signals (off-target resistance). As in some clinical settings cisplatin constitutes the major therapeutic option, the development of chemosensitization strategies constitute a goal with important clinical implications.","DOI":"10.1038/onc.2011.384","ISSN":"1476-5594","note":"PMID: 21892204","journalAbbreviation":"Oncogene","language":"eng","author":[{"family":"Galluzzi","given":"L."},{"family":"Senovilla","given":"L."},{"family":"Vitale","given":"I."},{"family":"Michels","given":"J."},{"family":"Martins","given":"I."},{"family":"Kepp","given":"O."},{"family":"Castedo","given":"M."},{"family":"Kroemer","given":"G."}],"issued":{"date-parts":[["2012",4,12]]}}}],"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[25]</w:t>
      </w:r>
      <w:r w:rsidR="00EC6668" w:rsidRPr="00DF2968">
        <w:rPr>
          <w:rFonts w:ascii="Book Antiqua" w:hAnsi="Book Antiqua"/>
          <w:vertAlign w:val="superscript"/>
          <w:lang w:val="en-US"/>
        </w:rPr>
        <w:fldChar w:fldCharType="end"/>
      </w:r>
      <w:r w:rsidR="009142CE" w:rsidRPr="00DF2968">
        <w:rPr>
          <w:rFonts w:ascii="Book Antiqua" w:hAnsi="Book Antiqua"/>
          <w:lang w:val="en-US"/>
        </w:rPr>
        <w:t>.</w:t>
      </w:r>
      <w:r w:rsidRPr="00DF2968">
        <w:rPr>
          <w:rFonts w:ascii="Book Antiqua" w:hAnsi="Book Antiqua"/>
          <w:lang w:val="en-US"/>
        </w:rPr>
        <w:t xml:space="preserve"> </w:t>
      </w:r>
    </w:p>
    <w:p w14:paraId="652546E5" w14:textId="77777777" w:rsidR="00931C55" w:rsidRPr="00DF2968" w:rsidRDefault="000309B1" w:rsidP="00A741A5">
      <w:pPr>
        <w:spacing w:line="360" w:lineRule="auto"/>
        <w:ind w:firstLineChars="100" w:firstLine="240"/>
        <w:jc w:val="both"/>
        <w:rPr>
          <w:rFonts w:ascii="Book Antiqua" w:hAnsi="Book Antiqua"/>
          <w:lang w:val="en-US"/>
        </w:rPr>
      </w:pPr>
      <w:r w:rsidRPr="00DF2968">
        <w:rPr>
          <w:rFonts w:ascii="Book Antiqua" w:hAnsi="Book Antiqua"/>
          <w:lang w:val="en-US"/>
        </w:rPr>
        <w:t xml:space="preserve">In this study, we aimed to investigate the impact of PLK inhibition in cisplatin-treated CCA cell lines and its effect on several Bcl-2 family members (beside Mcl-1) that might be involved in the mechanism of apoptosis resistance in CCA. </w:t>
      </w:r>
    </w:p>
    <w:p w14:paraId="3ED22708" w14:textId="77777777" w:rsidR="002740CB" w:rsidRPr="00DF2968" w:rsidRDefault="002740CB" w:rsidP="00A741A5">
      <w:pPr>
        <w:spacing w:line="360" w:lineRule="auto"/>
        <w:jc w:val="both"/>
        <w:rPr>
          <w:rFonts w:ascii="Book Antiqua" w:hAnsi="Book Antiqua"/>
          <w:lang w:val="en-US"/>
        </w:rPr>
      </w:pPr>
    </w:p>
    <w:p w14:paraId="3768F93E" w14:textId="5C4ADF38" w:rsidR="002740CB" w:rsidRPr="002E23B8" w:rsidRDefault="002740CB" w:rsidP="00A741A5">
      <w:pPr>
        <w:spacing w:line="360" w:lineRule="auto"/>
        <w:jc w:val="both"/>
        <w:rPr>
          <w:rFonts w:ascii="Book Antiqua" w:hAnsi="Book Antiqua"/>
          <w:b/>
          <w:caps/>
          <w:lang w:val="en-US"/>
        </w:rPr>
      </w:pPr>
      <w:r w:rsidRPr="002E23B8">
        <w:rPr>
          <w:rFonts w:ascii="Book Antiqua" w:hAnsi="Book Antiqua"/>
          <w:b/>
          <w:caps/>
          <w:lang w:val="en-US"/>
        </w:rPr>
        <w:t>Material and Methods</w:t>
      </w:r>
    </w:p>
    <w:p w14:paraId="512EA37A" w14:textId="77777777" w:rsidR="002740CB" w:rsidRPr="002E23B8" w:rsidRDefault="002740CB" w:rsidP="00A741A5">
      <w:pPr>
        <w:spacing w:line="360" w:lineRule="auto"/>
        <w:jc w:val="both"/>
        <w:rPr>
          <w:rFonts w:ascii="Book Antiqua" w:hAnsi="Book Antiqua"/>
          <w:b/>
          <w:i/>
          <w:lang w:val="en-US"/>
        </w:rPr>
      </w:pPr>
      <w:r w:rsidRPr="002E23B8">
        <w:rPr>
          <w:rFonts w:ascii="Book Antiqua" w:hAnsi="Book Antiqua"/>
          <w:b/>
          <w:i/>
          <w:lang w:val="en-US"/>
        </w:rPr>
        <w:t>Cell culture</w:t>
      </w:r>
    </w:p>
    <w:p w14:paraId="05426500" w14:textId="06D7ACBE" w:rsidR="002740CB" w:rsidRPr="00DF2968" w:rsidRDefault="002740CB" w:rsidP="00A741A5">
      <w:pPr>
        <w:spacing w:line="360" w:lineRule="auto"/>
        <w:jc w:val="both"/>
        <w:rPr>
          <w:rFonts w:ascii="Book Antiqua" w:hAnsi="Book Antiqua"/>
          <w:lang w:val="en-US"/>
        </w:rPr>
      </w:pPr>
      <w:r w:rsidRPr="00DF2968">
        <w:rPr>
          <w:rFonts w:ascii="Book Antiqua" w:hAnsi="Book Antiqua"/>
          <w:lang w:val="en-US"/>
        </w:rPr>
        <w:t xml:space="preserve">Human CCA cell lines KMCH-1 and Mz-Ch-1 were cultured in Dulbecco’s modified eagle medium/high-glucose medium (Invitrogen, Carlsbad, CA, </w:t>
      </w:r>
      <w:r w:rsidR="002E23B8">
        <w:rPr>
          <w:rFonts w:ascii="Book Antiqua" w:hAnsi="Book Antiqua"/>
          <w:lang w:val="en-US"/>
        </w:rPr>
        <w:t>United States</w:t>
      </w:r>
      <w:r w:rsidRPr="00DF2968">
        <w:rPr>
          <w:rFonts w:ascii="Book Antiqua" w:hAnsi="Book Antiqua"/>
          <w:lang w:val="en-US"/>
        </w:rPr>
        <w:t>) containing 10% fetal bovine serum, 1000 U/m</w:t>
      </w:r>
      <w:r w:rsidRPr="002E23B8">
        <w:rPr>
          <w:rFonts w:ascii="Book Antiqua" w:hAnsi="Book Antiqua"/>
          <w:caps/>
          <w:lang w:val="en-US"/>
        </w:rPr>
        <w:t>l</w:t>
      </w:r>
      <w:r w:rsidRPr="00DF2968">
        <w:rPr>
          <w:rFonts w:ascii="Book Antiqua" w:hAnsi="Book Antiqua"/>
          <w:lang w:val="en-US"/>
        </w:rPr>
        <w:t xml:space="preserve"> Penicillin, 0.1 mg/m</w:t>
      </w:r>
      <w:r w:rsidRPr="002E23B8">
        <w:rPr>
          <w:rFonts w:ascii="Book Antiqua" w:hAnsi="Book Antiqua"/>
          <w:caps/>
          <w:lang w:val="en-US"/>
        </w:rPr>
        <w:t>l</w:t>
      </w:r>
      <w:r w:rsidRPr="00DF2968">
        <w:rPr>
          <w:rFonts w:ascii="Book Antiqua" w:hAnsi="Book Antiqua"/>
          <w:lang w:val="en-US"/>
        </w:rPr>
        <w:t xml:space="preserve"> streptomycin and 2 m</w:t>
      </w:r>
      <w:r w:rsidR="002E23B8">
        <w:rPr>
          <w:rFonts w:ascii="Book Antiqua" w:eastAsia="SimSun" w:hAnsi="Book Antiqua" w:hint="eastAsia"/>
          <w:lang w:val="en-US" w:eastAsia="zh-CN"/>
        </w:rPr>
        <w:t>mol/L</w:t>
      </w:r>
      <w:r w:rsidRPr="00DF2968">
        <w:rPr>
          <w:rFonts w:ascii="Book Antiqua" w:hAnsi="Book Antiqua"/>
          <w:lang w:val="en-US"/>
        </w:rPr>
        <w:t xml:space="preserve"> L-glutamine (PAA, Pasching, Austria) </w:t>
      </w:r>
      <w:r w:rsidRPr="00DF2968">
        <w:rPr>
          <w:rFonts w:ascii="Book Antiqua" w:hAnsi="Book Antiqua" w:cs="Arial"/>
          <w:lang w:val="en-US"/>
        </w:rPr>
        <w:t>at 5% CO</w:t>
      </w:r>
      <w:r w:rsidRPr="00DF2968">
        <w:rPr>
          <w:rFonts w:ascii="Book Antiqua" w:hAnsi="Book Antiqua" w:cs="Arial"/>
          <w:vertAlign w:val="subscript"/>
          <w:lang w:val="en-US"/>
        </w:rPr>
        <w:t>2</w:t>
      </w:r>
      <w:r w:rsidRPr="00DF2968">
        <w:rPr>
          <w:rFonts w:ascii="Book Antiqua" w:hAnsi="Book Antiqua" w:cs="Arial"/>
          <w:lang w:val="en-US"/>
        </w:rPr>
        <w:t xml:space="preserve"> and 37</w:t>
      </w:r>
      <w:r w:rsidR="008E1351">
        <w:rPr>
          <w:rFonts w:ascii="Book Antiqua" w:eastAsia="SimSun" w:hAnsi="Book Antiqua" w:cs="Arial" w:hint="eastAsia"/>
          <w:lang w:val="en-US" w:eastAsia="zh-CN"/>
        </w:rPr>
        <w:t xml:space="preserve"> </w:t>
      </w:r>
      <w:r w:rsidRPr="00DF2968">
        <w:rPr>
          <w:rFonts w:ascii="Book Antiqua" w:hAnsi="Book Antiqua" w:cs="Arial"/>
          <w:lang w:val="en-US"/>
        </w:rPr>
        <w:t>°C</w:t>
      </w:r>
      <w:r w:rsidRPr="00DF2968">
        <w:rPr>
          <w:rFonts w:ascii="Book Antiqua" w:hAnsi="Book Antiqua"/>
          <w:lang w:val="en-US"/>
        </w:rPr>
        <w:t xml:space="preserve">. The selective </w:t>
      </w:r>
      <w:r w:rsidR="008E1351">
        <w:rPr>
          <w:rFonts w:ascii="Book Antiqua" w:hAnsi="Book Antiqua"/>
          <w:lang w:val="en-US"/>
        </w:rPr>
        <w:t>PLK-inhibitor BI6727/Volasertib</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2aje2jq2g4","properties":{"formattedCitation":"[26]","plainCitation":"[26]"},"citationItems":[{"id":1650,"uris":["http://zotero.org/users/local/AzZugh3l/items/CD5ZUPIT"],"uri":["http://zotero.org/users/local/AzZugh3l/items/CD5ZUPIT"],"itemData":{"id":1650,"type":"article-journal","title":"BI 6727, a Polo-like kinase inhibitor with improved pharmacokinetic profile and broad antitumor activity","container-title":"Clinical Cancer Research: An Official Journal of the American Association for Cancer Research","page":"3094-3102","volume":"15","issue":"9","source":"PubMed","abstract":"PURPOSE: Antimitotic chemotherapy remains a cornerstone of multimodality treatment for locally advanced and metastatic cancers. To identify novel mitosis-specific agents with higher selectivity than approved tubulin-binding agents (taxanes, Vinca alkaloids), we have generated inhibitors of Polo-like kinase 1, a target that functions predominantly in mitosis.\nEXPERIMENTAL DESIGN: The first compound in this series, suitable for i.v. administration, has entered clinical development. To fully explore the potential of Polo-like kinase 1 inhibition in oncology, we have profiled additional compounds and now describe a novel clinical candidate.\nRESULTS: BI 6727 is a highly potent (enzyme IC(50) = 0.87 nmol/L, EC(50) = 11-37 nmol/L on a panel of cancer cell lines) and selective dihydropteridinone with distinct properties. First, BI 6727 has a pharmacokinetic profile favoring sustained exposure of tumor tissues with a high volume of distribution and a long terminal half-life in mice (V(ss) = 7.6 L/kg, t(1/2) = 46 h) and rats (V(ss) = 22 L/kg, t(1/2) = 54 h). Second, BI 6727 has physicochemical and pharmacokinetic properties that allow in vivo testing of i.v. as well as oral formulations, adding flexibility to dosing schedules. Finally, BI 6727 shows marked antitumor activity in multiple cancer models, including a model of taxane-resistant colorectal cancer. With oral and i.v. routes of administration, the total weekly dose of BI 6727 is most relevant for efficacy, supporting the use of a variety of well-tolerated dosing schedules.\nCONCLUSION: These findings warrant further investigation of BI 6727 as a tailored antimitotic agent; clinical studies have been initiated.","DOI":"10.1158/1078-0432.CCR-08-2445","ISSN":"1078-0432","note":"PMID: 19383823","journalAbbreviation":"Clin. Cancer Res.","language":"eng","author":[{"family":"Rudolph","given":"Dorothea"},{"family":"Steegmaier","given":"Martin"},{"family":"Hoffmann","given":"Matthias"},{"family":"Grauert","given":"Matthias"},{"family":"Baum","given":"Anke"},{"family":"Quant","given":"Jens"},{"family":"Haslinger","given":"Christian"},{"family":"Garin-Chesa","given":"Pilar"},{"family":"Adolf","given":"Günther R."}],"issued":{"date-parts":[["2009",5,1]]}}}],"schema":"https://github.com/citation-style-language/schema/raw/master/csl-citation.json"}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[26]</w:t>
      </w:r>
      <w:r w:rsidR="00EC6668" w:rsidRPr="00DF2968">
        <w:rPr>
          <w:rFonts w:ascii="Book Antiqua" w:hAnsi="Book Antiqua"/>
          <w:vertAlign w:val="superscript"/>
          <w:lang w:val="en-US"/>
        </w:rPr>
        <w:fldChar w:fldCharType="end"/>
      </w:r>
      <w:r w:rsidRPr="00DF2968">
        <w:rPr>
          <w:rFonts w:ascii="Book Antiqua" w:hAnsi="Book Antiqua"/>
          <w:lang w:val="en-US"/>
        </w:rPr>
        <w:t xml:space="preserve"> (Selleckchem, Houston, TX, </w:t>
      </w:r>
      <w:r w:rsidR="002E23B8">
        <w:rPr>
          <w:rFonts w:ascii="Book Antiqua" w:hAnsi="Book Antiqua"/>
          <w:lang w:val="en-US"/>
        </w:rPr>
        <w:t>United States</w:t>
      </w:r>
      <w:r w:rsidRPr="00DF2968">
        <w:rPr>
          <w:rFonts w:ascii="Book Antiqua" w:hAnsi="Book Antiqua"/>
          <w:lang w:val="en-US"/>
        </w:rPr>
        <w:t xml:space="preserve">) and the proteasome inhibitor MG-132 (Merck, Rockland, MA, </w:t>
      </w:r>
      <w:r w:rsidR="002E23B8">
        <w:rPr>
          <w:rFonts w:ascii="Book Antiqua" w:hAnsi="Book Antiqua"/>
          <w:lang w:val="en-US"/>
        </w:rPr>
        <w:t>United States</w:t>
      </w:r>
      <w:r w:rsidRPr="00DF2968">
        <w:rPr>
          <w:rFonts w:ascii="Book Antiqua" w:hAnsi="Book Antiqua"/>
          <w:lang w:val="en-US"/>
        </w:rPr>
        <w:t xml:space="preserve">) were dissolved in DMSO (Sigma-Aldrich, St. Louis, MO, </w:t>
      </w:r>
      <w:r w:rsidR="002E23B8">
        <w:rPr>
          <w:rFonts w:ascii="Book Antiqua" w:hAnsi="Book Antiqua"/>
          <w:lang w:val="en-US"/>
        </w:rPr>
        <w:t>United States</w:t>
      </w:r>
      <w:r w:rsidRPr="00DF2968">
        <w:rPr>
          <w:rFonts w:ascii="Book Antiqua" w:hAnsi="Book Antiqua"/>
          <w:lang w:val="en-US"/>
        </w:rPr>
        <w:t xml:space="preserve">), Cisplatin (Merck, Rockland, MA, </w:t>
      </w:r>
      <w:r w:rsidR="002E23B8">
        <w:rPr>
          <w:rFonts w:ascii="Book Antiqua" w:hAnsi="Book Antiqua"/>
          <w:lang w:val="en-US"/>
        </w:rPr>
        <w:t>United States</w:t>
      </w:r>
      <w:r w:rsidRPr="00DF2968">
        <w:rPr>
          <w:rFonts w:ascii="Book Antiqua" w:hAnsi="Book Antiqua"/>
          <w:lang w:val="en-US"/>
        </w:rPr>
        <w:t>) was dissolved in PBS, stock solutions of substances or vehicle as control were subsequently diluted in cell culture medium for experiments.</w:t>
      </w:r>
    </w:p>
    <w:p w14:paraId="5F297722" w14:textId="77777777" w:rsidR="002740CB" w:rsidRPr="00DF2968" w:rsidRDefault="002740CB" w:rsidP="00A741A5">
      <w:pPr>
        <w:spacing w:line="360" w:lineRule="auto"/>
        <w:jc w:val="both"/>
        <w:rPr>
          <w:rFonts w:ascii="Book Antiqua" w:hAnsi="Book Antiqua"/>
          <w:lang w:val="en-US"/>
        </w:rPr>
      </w:pPr>
    </w:p>
    <w:p w14:paraId="54CC2DCA" w14:textId="77777777" w:rsidR="002740CB" w:rsidRPr="008E1351" w:rsidRDefault="002740CB" w:rsidP="00A741A5">
      <w:pPr>
        <w:spacing w:line="360" w:lineRule="auto"/>
        <w:jc w:val="both"/>
        <w:rPr>
          <w:rFonts w:ascii="Book Antiqua" w:hAnsi="Book Antiqua"/>
          <w:b/>
          <w:i/>
          <w:lang w:val="en-US"/>
        </w:rPr>
      </w:pPr>
      <w:r w:rsidRPr="008E1351">
        <w:rPr>
          <w:rFonts w:ascii="Book Antiqua" w:hAnsi="Book Antiqua"/>
          <w:b/>
          <w:i/>
          <w:lang w:val="en-US"/>
        </w:rPr>
        <w:t>MTT cell viability assay</w:t>
      </w:r>
    </w:p>
    <w:p w14:paraId="38058170" w14:textId="32E6742E" w:rsidR="002740CB" w:rsidRPr="00DF2968" w:rsidRDefault="008E1351" w:rsidP="00A741A5">
      <w:pPr>
        <w:spacing w:line="360" w:lineRule="auto"/>
        <w:jc w:val="both"/>
        <w:rPr>
          <w:rFonts w:ascii="Book Antiqua" w:hAnsi="Book Antiqua" w:cs="Arial"/>
          <w:lang w:val="en-US"/>
        </w:rPr>
      </w:pPr>
      <w:r>
        <w:rPr>
          <w:rFonts w:ascii="Book Antiqua" w:hAnsi="Book Antiqua" w:cs="Arial"/>
          <w:lang w:val="en-US"/>
        </w:rPr>
        <w:t>For assessing cell viability 5</w:t>
      </w:r>
      <w:r w:rsidR="002740CB" w:rsidRPr="00DF2968">
        <w:rPr>
          <w:rFonts w:ascii="Book Antiqua" w:hAnsi="Book Antiqua" w:cs="Arial"/>
          <w:lang w:val="en-US"/>
        </w:rPr>
        <w:t>×10</w:t>
      </w:r>
      <w:r w:rsidR="002740CB" w:rsidRPr="00DF2968">
        <w:rPr>
          <w:rFonts w:ascii="Book Antiqua" w:hAnsi="Book Antiqua" w:cs="Arial"/>
          <w:vertAlign w:val="superscript"/>
          <w:lang w:val="en-US"/>
        </w:rPr>
        <w:t>4</w:t>
      </w:r>
      <w:r w:rsidR="002740CB" w:rsidRPr="00DF2968">
        <w:rPr>
          <w:rFonts w:ascii="Book Antiqua" w:hAnsi="Book Antiqua" w:cs="Arial"/>
          <w:lang w:val="en-US"/>
        </w:rPr>
        <w:t>cells/well were plated in 96-multiwell plates. 24</w:t>
      </w:r>
      <w:r>
        <w:rPr>
          <w:rFonts w:ascii="Book Antiqua" w:eastAsia="SimSun" w:hAnsi="Book Antiqua" w:cs="Arial" w:hint="eastAsia"/>
          <w:lang w:val="en-US" w:eastAsia="zh-CN"/>
        </w:rPr>
        <w:t xml:space="preserve"> </w:t>
      </w:r>
      <w:r w:rsidR="002740CB" w:rsidRPr="00DF2968">
        <w:rPr>
          <w:rFonts w:ascii="Book Antiqua" w:hAnsi="Book Antiqua" w:cs="Arial"/>
          <w:lang w:val="en-US"/>
        </w:rPr>
        <w:t>h after plating, cells were incubated with 200 n</w:t>
      </w:r>
      <w:r>
        <w:rPr>
          <w:rFonts w:ascii="Book Antiqua" w:eastAsia="SimSun" w:hAnsi="Book Antiqua" w:cs="Arial" w:hint="eastAsia"/>
          <w:lang w:val="en-US" w:eastAsia="zh-CN"/>
        </w:rPr>
        <w:t>mol/L</w:t>
      </w:r>
      <w:r w:rsidR="002740CB" w:rsidRPr="00DF2968">
        <w:rPr>
          <w:rFonts w:ascii="Book Antiqua" w:hAnsi="Book Antiqua" w:cs="Arial"/>
          <w:lang w:val="en-US"/>
        </w:rPr>
        <w:t xml:space="preserve"> BI6727 or 1 mM cisplatin </w:t>
      </w:r>
      <w:r>
        <w:rPr>
          <w:rFonts w:ascii="Book Antiqua" w:hAnsi="Book Antiqua" w:cs="Arial"/>
          <w:lang w:val="en-US"/>
        </w:rPr>
        <w:t>for 24</w:t>
      </w:r>
      <w:r>
        <w:rPr>
          <w:rFonts w:ascii="Book Antiqua" w:eastAsia="SimSun" w:hAnsi="Book Antiqua" w:cs="Arial" w:hint="eastAsia"/>
          <w:lang w:val="en-US" w:eastAsia="zh-CN"/>
        </w:rPr>
        <w:t xml:space="preserve"> </w:t>
      </w:r>
      <w:r>
        <w:rPr>
          <w:rFonts w:ascii="Book Antiqua" w:hAnsi="Book Antiqua" w:cs="Arial"/>
          <w:lang w:val="en-US"/>
        </w:rPr>
        <w:t>h as described previously</w:t>
      </w:r>
      <w:r w:rsidR="00EC6668" w:rsidRPr="00DF2968">
        <w:rPr>
          <w:rFonts w:ascii="Book Antiqua" w:hAnsi="Book Antiqua" w:cs="Arial"/>
          <w:vertAlign w:val="superscript"/>
          <w:lang w:val="en-US"/>
        </w:rPr>
        <w:fldChar w:fldCharType="begin"/>
      </w:r>
      <w:r w:rsidR="00CB3D0C" w:rsidRPr="00DF2968">
        <w:rPr>
          <w:rFonts w:ascii="Book Antiqua" w:hAnsi="Book Antiqua" w:cs="Arial"/>
          <w:vertAlign w:val="superscript"/>
          <w:lang w:val="en-US"/>
        </w:rPr>
        <w:instrText xml:space="preserve"> ADDIN ZOTERO_ITEM CSL_CITATION {"citationID":"27qeio29q1","properties":{"formattedCitation":"[8]","plainCitation":"[8]"},"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cs="Arial"/>
          <w:vertAlign w:val="superscript"/>
          <w:lang w:val="en-US"/>
        </w:rPr>
        <w:fldChar w:fldCharType="separate"/>
      </w:r>
      <w:r w:rsidR="00CB3D0C" w:rsidRPr="00DF2968">
        <w:rPr>
          <w:rFonts w:ascii="Book Antiqua" w:hAnsi="Book Antiqua" w:cs="Arial"/>
          <w:vertAlign w:val="superscript"/>
          <w:lang w:val="en-US"/>
        </w:rPr>
        <w:t>[8]</w:t>
      </w:r>
      <w:r w:rsidR="00EC6668" w:rsidRPr="00DF2968">
        <w:rPr>
          <w:rFonts w:ascii="Book Antiqua" w:hAnsi="Book Antiqua" w:cs="Arial"/>
          <w:vertAlign w:val="superscript"/>
          <w:lang w:val="en-US"/>
        </w:rPr>
        <w:fldChar w:fldCharType="end"/>
      </w:r>
      <w:r w:rsidR="002740CB" w:rsidRPr="00DF2968">
        <w:rPr>
          <w:rFonts w:ascii="Book Antiqua" w:hAnsi="Book Antiqua" w:cs="Arial"/>
          <w:lang w:val="en-US"/>
        </w:rPr>
        <w:t>. Cell viability was measured by MTT assay. The cells incubated with vehicle (DMSO) for 24h were considered 100% viable.</w:t>
      </w:r>
    </w:p>
    <w:p w14:paraId="46438479" w14:textId="77777777" w:rsidR="002740CB" w:rsidRPr="00DF2968" w:rsidRDefault="002740CB" w:rsidP="00A741A5">
      <w:pPr>
        <w:spacing w:line="360" w:lineRule="auto"/>
        <w:jc w:val="both"/>
        <w:rPr>
          <w:rFonts w:ascii="Book Antiqua" w:hAnsi="Book Antiqua" w:cs="Arial"/>
          <w:lang w:val="en-US"/>
        </w:rPr>
      </w:pPr>
    </w:p>
    <w:p w14:paraId="273DE72E" w14:textId="77777777" w:rsidR="002740CB" w:rsidRPr="008E1351" w:rsidRDefault="002740CB" w:rsidP="00A741A5">
      <w:pPr>
        <w:spacing w:line="360" w:lineRule="auto"/>
        <w:jc w:val="both"/>
        <w:rPr>
          <w:rFonts w:ascii="Book Antiqua" w:hAnsi="Book Antiqua" w:cs="Arial"/>
          <w:b/>
          <w:lang w:val="en-US"/>
        </w:rPr>
      </w:pPr>
      <w:r w:rsidRPr="008E1351">
        <w:rPr>
          <w:rFonts w:ascii="Book Antiqua" w:hAnsi="Book Antiqua"/>
          <w:b/>
          <w:i/>
          <w:lang w:val="en-US"/>
        </w:rPr>
        <w:t>Quantitation of apoptosis</w:t>
      </w:r>
    </w:p>
    <w:p w14:paraId="0CDAA5A8" w14:textId="068FC777" w:rsidR="002740CB" w:rsidRPr="00DF2968" w:rsidRDefault="002740CB" w:rsidP="00A741A5">
      <w:pPr>
        <w:spacing w:line="360" w:lineRule="auto"/>
        <w:jc w:val="both"/>
        <w:rPr>
          <w:rFonts w:ascii="Book Antiqua" w:hAnsi="Book Antiqua"/>
          <w:lang w:val="en-US"/>
        </w:rPr>
      </w:pPr>
      <w:r w:rsidRPr="00DF2968">
        <w:rPr>
          <w:rFonts w:ascii="Book Antiqua" w:hAnsi="Book Antiqua"/>
          <w:lang w:val="en-US"/>
        </w:rPr>
        <w:lastRenderedPageBreak/>
        <w:t xml:space="preserve">Apoptosis in CCA cells was quantified by assessing characteristic nuclear changes of apoptosis after staining with 4’, 6-diamino-2-phenylindole dihydrochloride (DAPI; Sigma-Aldrich, St. Louis, MO, </w:t>
      </w:r>
      <w:r w:rsidR="002E23B8">
        <w:rPr>
          <w:rFonts w:ascii="Book Antiqua" w:hAnsi="Book Antiqua"/>
          <w:lang w:val="en-US"/>
        </w:rPr>
        <w:t>United States</w:t>
      </w:r>
      <w:r w:rsidRPr="00DF2968">
        <w:rPr>
          <w:rFonts w:ascii="Book Antiqua" w:hAnsi="Book Antiqua"/>
          <w:lang w:val="en-US"/>
        </w:rPr>
        <w:t>) using fluorescence mic</w:t>
      </w:r>
      <w:r w:rsidR="008E1351">
        <w:rPr>
          <w:rFonts w:ascii="Book Antiqua" w:hAnsi="Book Antiqua"/>
          <w:lang w:val="en-US"/>
        </w:rPr>
        <w:t>roscopy as described previously</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1u02t6o6mr","properties":{"formattedCitation":"[27]","plainCitation":"[27]"},"citationItems":[{"id":221,"uris":["http://zotero.org/users/local/AzZugh3l/items/NG889P66"],"uri":["http://zotero.org/users/local/AzZugh3l/items/NG889P66"],"itemData":{"id":221,"type":"article-journal","title":"Free fatty acids sensitise hepatocytes to TRAIL mediated cytotoxicity","container-title":"Gut","page":"1124-1131","volume":"56","issue":"8","source":"HighWire","abstract":"Background: Elevated circulating free fatty acids (FFA) contribute to the development of hepatic steatosis and promote hepatocyte apoptosis by incompletely defined mechanisms. Although the death ligand TRAIL has been implicated in a variety of pathological liver diseases, the role of TRAIL in mediating apoptosis of FFA induced steatotic hepatocytes is unknown. Aim: We examined TRAIL cytotoxicity in an in vitro model of hepatocyte steatosis induced by FFA. Methods: Hepatocytes (Huh 7 cells, HepG2 cells, and primary rat hepatocytes) were rendered steatotic by incubation with oleic acid. Apoptosis was assessed morphologically and biochemically by caspase activity. TRAIL receptor regulation was examined using immunoblot analysis and siRNA for targeted knockdown. c-jun N-terminal kinase (JNK) inhibition was attained with SP600125. Results: Oleic acid sensitised the cells to TRAIL but not TNF-{alpha} cytotoxicity. FFA sensitisation to TRAIL occurred at much lower concentrations than required for FFA mediated sensitisation to Fas, or FFA induced lipoapoptosis. Oleic acid treatment led to upregulation of the cognate TRAIL receptor death receptor 5 (DR5) but not death receptor 4 (DR4). The upregulation of DR5 was JNK dependent. siRNA targeted knockdown of either DR5 or DR4 demonstrated that DR5 was responsible for FFA sensitisation to TRAIL killing. DR5 expression was enhanced in steatotic human liver samples. Conclusion: Our results suggest that FFA induced hepatocyte steatosis sensitises to TRAIL by a DR5 mediated JNK dependent mechanism.","DOI":"10.1136/gut.2006.118059","author":[{"family":"Malhi","given":"Harmeet"},{"family":"Barreyro","given":"Fernando J"},{"family":"Isomoto","given":"Hajime"},{"family":"Bronk","given":"Steven F"},{"family":"Gores","given":"Gregory J"}],"issued":{"date-parts":[["2007",8,1]]}}}],"schema":"https://github.com/citation-style-language/schema/raw/master/csl-citation.json"}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[27]</w:t>
      </w:r>
      <w:r w:rsidR="00EC6668" w:rsidRPr="00DF2968">
        <w:rPr>
          <w:rFonts w:ascii="Book Antiqua" w:hAnsi="Book Antiqua"/>
          <w:vertAlign w:val="superscript"/>
          <w:lang w:val="en-US"/>
        </w:rPr>
        <w:fldChar w:fldCharType="end"/>
      </w:r>
      <w:r w:rsidRPr="00DF2968">
        <w:rPr>
          <w:rFonts w:ascii="Book Antiqua" w:hAnsi="Book Antiqua"/>
          <w:lang w:val="en-US"/>
        </w:rPr>
        <w:t xml:space="preserve">. Caspase-3/-7 activity was assessed by Caspas-3/-7 assay (Promega, Madison, WI, </w:t>
      </w:r>
      <w:r w:rsidR="002E23B8">
        <w:rPr>
          <w:rFonts w:ascii="Book Antiqua" w:hAnsi="Book Antiqua"/>
          <w:lang w:val="en-US"/>
        </w:rPr>
        <w:t>United States</w:t>
      </w:r>
      <w:r w:rsidRPr="00DF2968">
        <w:rPr>
          <w:rFonts w:ascii="Book Antiqua" w:hAnsi="Book Antiqua"/>
          <w:lang w:val="en-US"/>
        </w:rPr>
        <w:t xml:space="preserve">) according to manufacturer’s recommendations. </w:t>
      </w:r>
    </w:p>
    <w:p w14:paraId="3B11DE9F" w14:textId="77777777" w:rsidR="002740CB" w:rsidRPr="008E1351" w:rsidRDefault="002740CB" w:rsidP="00A741A5">
      <w:pPr>
        <w:spacing w:line="360" w:lineRule="auto"/>
        <w:jc w:val="both"/>
        <w:rPr>
          <w:rFonts w:ascii="Book Antiqua" w:hAnsi="Book Antiqua"/>
          <w:b/>
          <w:lang w:val="en-US"/>
        </w:rPr>
      </w:pPr>
    </w:p>
    <w:p w14:paraId="37964344" w14:textId="77777777" w:rsidR="002740CB" w:rsidRPr="00DF2968" w:rsidRDefault="002740CB" w:rsidP="00A741A5">
      <w:pPr>
        <w:spacing w:line="360" w:lineRule="auto"/>
        <w:jc w:val="both"/>
        <w:rPr>
          <w:rFonts w:ascii="Book Antiqua" w:hAnsi="Book Antiqua"/>
          <w:i/>
          <w:lang w:val="en-US"/>
        </w:rPr>
      </w:pPr>
      <w:r w:rsidRPr="008E1351">
        <w:rPr>
          <w:rFonts w:ascii="Book Antiqua" w:hAnsi="Book Antiqua"/>
          <w:b/>
          <w:i/>
          <w:lang w:val="en-US"/>
        </w:rPr>
        <w:t>RNA isolation and qRT-PCR</w:t>
      </w:r>
    </w:p>
    <w:p w14:paraId="1A9F68D0" w14:textId="1C388706" w:rsidR="002740CB" w:rsidRPr="00DF2968" w:rsidRDefault="002740CB" w:rsidP="00A741A5">
      <w:pPr>
        <w:spacing w:line="360" w:lineRule="auto"/>
        <w:jc w:val="both"/>
        <w:rPr>
          <w:rFonts w:ascii="Book Antiqua" w:hAnsi="Book Antiqua"/>
          <w:lang w:val="en-US"/>
        </w:rPr>
      </w:pPr>
      <w:r w:rsidRPr="00DF2968">
        <w:rPr>
          <w:rFonts w:ascii="Book Antiqua" w:hAnsi="Book Antiqua" w:cs="Arial"/>
          <w:lang w:val="en-US"/>
        </w:rPr>
        <w:t xml:space="preserve">Cells were seeded </w:t>
      </w:r>
      <w:r w:rsidRPr="00DF2968">
        <w:rPr>
          <w:rFonts w:ascii="Book Antiqua" w:hAnsi="Book Antiqua"/>
          <w:lang w:val="en-US"/>
        </w:rPr>
        <w:t>at a density of approx.1x10</w:t>
      </w:r>
      <w:r w:rsidRPr="00DF2968">
        <w:rPr>
          <w:rFonts w:ascii="Book Antiqua" w:hAnsi="Book Antiqua"/>
          <w:vertAlign w:val="superscript"/>
          <w:lang w:val="en-US"/>
        </w:rPr>
        <w:t>6</w:t>
      </w:r>
      <w:r w:rsidRPr="00DF2968">
        <w:rPr>
          <w:rFonts w:ascii="Book Antiqua" w:hAnsi="Book Antiqua"/>
          <w:lang w:val="en-US"/>
        </w:rPr>
        <w:t xml:space="preserve"> cells/cm</w:t>
      </w:r>
      <w:r w:rsidRPr="00DF2968">
        <w:rPr>
          <w:rFonts w:ascii="Book Antiqua" w:hAnsi="Book Antiqua"/>
          <w:vertAlign w:val="superscript"/>
          <w:lang w:val="en-US"/>
        </w:rPr>
        <w:t xml:space="preserve">2 </w:t>
      </w:r>
      <w:r w:rsidRPr="00DF2968">
        <w:rPr>
          <w:rFonts w:ascii="Book Antiqua" w:hAnsi="Book Antiqua"/>
          <w:lang w:val="en-US"/>
        </w:rPr>
        <w:t xml:space="preserve">for </w:t>
      </w:r>
      <w:r w:rsidR="00943B13" w:rsidRPr="00943B13">
        <w:rPr>
          <w:rFonts w:ascii="Book Antiqua" w:hAnsi="Book Antiqua"/>
          <w:i/>
          <w:lang w:val="en-US"/>
        </w:rPr>
        <w:t>in vitro</w:t>
      </w:r>
      <w:r w:rsidRPr="00DF2968">
        <w:rPr>
          <w:rFonts w:ascii="Book Antiqua" w:hAnsi="Book Antiqua"/>
          <w:lang w:val="en-US"/>
        </w:rPr>
        <w:t xml:space="preserve"> experiments. </w:t>
      </w:r>
      <w:r w:rsidRPr="00DF2968">
        <w:rPr>
          <w:rFonts w:ascii="Book Antiqua" w:hAnsi="Book Antiqua" w:cs="Arial"/>
          <w:lang w:val="en-US"/>
        </w:rPr>
        <w:t>At the end of the stimulation period total RNA extraction and purification was performed using RNeasy Mini Kit (Qiagen, Hilden, Germany) following manufacturer instructions. Reverse transcription was performed with the QuantiTect RT kit (Qiagen; Hilden, Germany) using 1</w:t>
      </w:r>
      <w:r w:rsidRPr="00DF2968">
        <w:rPr>
          <w:rFonts w:ascii="Book Antiqua" w:hAnsi="Book Antiqua" w:cs="Arial"/>
        </w:rPr>
        <w:t>μ</w:t>
      </w:r>
      <w:r w:rsidRPr="00DF2968">
        <w:rPr>
          <w:rFonts w:ascii="Book Antiqua" w:hAnsi="Book Antiqua" w:cs="Arial"/>
          <w:lang w:val="en-US"/>
        </w:rPr>
        <w:t xml:space="preserve">g of total RNA. Quantitative realtime PCR (qRT-PCR) for specific mRNA sequences was performed on a CFX96 Touch Real-Time PCR Detection System (Bio-Rad, Hercules, CA, </w:t>
      </w:r>
      <w:r w:rsidR="002E23B8">
        <w:rPr>
          <w:rFonts w:ascii="Book Antiqua" w:hAnsi="Book Antiqua" w:cs="Arial"/>
          <w:lang w:val="en-US"/>
        </w:rPr>
        <w:t>United States</w:t>
      </w:r>
      <w:r w:rsidRPr="00DF2968">
        <w:rPr>
          <w:rFonts w:ascii="Book Antiqua" w:hAnsi="Book Antiqua" w:cs="Arial"/>
          <w:lang w:val="en-US"/>
        </w:rPr>
        <w:t>) using QuantiTect SYBR Green Kit (Qiagen, Hilden, Germany) in a final volume of 15</w:t>
      </w:r>
      <w:r w:rsidRPr="00DF2968">
        <w:rPr>
          <w:rFonts w:ascii="Book Antiqua" w:hAnsi="Book Antiqua" w:cs="Arial"/>
        </w:rPr>
        <w:t>μ</w:t>
      </w:r>
      <w:r w:rsidRPr="00DF2968">
        <w:rPr>
          <w:rFonts w:ascii="Book Antiqua" w:hAnsi="Book Antiqua" w:cs="Arial"/>
          <w:lang w:val="en-US"/>
        </w:rPr>
        <w:t>l including 2</w:t>
      </w:r>
      <w:r w:rsidRPr="00DF2968">
        <w:rPr>
          <w:rFonts w:ascii="Book Antiqua" w:hAnsi="Book Antiqua" w:cs="Arial"/>
        </w:rPr>
        <w:t>μ</w:t>
      </w:r>
      <w:r w:rsidRPr="00DF2968">
        <w:rPr>
          <w:rFonts w:ascii="Book Antiqua" w:hAnsi="Book Antiqua" w:cs="Arial"/>
          <w:lang w:val="en-US"/>
        </w:rPr>
        <w:t xml:space="preserve">l of cDNA. Oligonucleotide sequences for Bax primers were used as follows: Bax forward: 5´-TCTGACGGCAACTTCAACTG-3´; Bax reverse: 5´-GGAGGAAGTCCAATGTCCAG-3´. Melting curves were collected to ascertain specificity of PCR products. Changes in mRNA expression were calculated by the </w:t>
      </w:r>
      <w:r w:rsidRPr="00DF2968">
        <w:rPr>
          <w:rFonts w:ascii="Book Antiqua" w:hAnsi="Book Antiqua" w:cs="Arial"/>
        </w:rPr>
        <w:t>ΔΔ</w:t>
      </w:r>
      <w:r w:rsidRPr="00DF2968">
        <w:rPr>
          <w:rFonts w:ascii="Book Antiqua" w:hAnsi="Book Antiqua" w:cs="Arial"/>
          <w:lang w:val="en-US"/>
        </w:rPr>
        <w:t>-ct method and are presented as foldchanges in relation to expression of a reference gene (hypoxanthine-guanine phosphoribosyltransferase, HPRT) in vehicle-treated cells.</w:t>
      </w:r>
    </w:p>
    <w:p w14:paraId="7084B69F" w14:textId="77777777" w:rsidR="002740CB" w:rsidRPr="00DF2968" w:rsidRDefault="002740CB" w:rsidP="00A741A5">
      <w:pPr>
        <w:spacing w:line="360" w:lineRule="auto"/>
        <w:jc w:val="both"/>
        <w:rPr>
          <w:rFonts w:ascii="Book Antiqua" w:hAnsi="Book Antiqua"/>
          <w:lang w:val="en-US"/>
        </w:rPr>
      </w:pPr>
    </w:p>
    <w:p w14:paraId="2E5EE168" w14:textId="45FAF8DF" w:rsidR="002740CB" w:rsidRPr="008E1351" w:rsidRDefault="002740CB" w:rsidP="00A741A5">
      <w:pPr>
        <w:spacing w:line="360" w:lineRule="auto"/>
        <w:jc w:val="both"/>
        <w:rPr>
          <w:rFonts w:ascii="Book Antiqua" w:hAnsi="Book Antiqua"/>
          <w:b/>
          <w:i/>
          <w:lang w:val="en-US"/>
        </w:rPr>
      </w:pPr>
      <w:r w:rsidRPr="008E1351">
        <w:rPr>
          <w:rFonts w:ascii="Book Antiqua" w:hAnsi="Book Antiqua"/>
          <w:b/>
          <w:i/>
          <w:lang w:val="en-US"/>
        </w:rPr>
        <w:t>Protein isolation a</w:t>
      </w:r>
      <w:r w:rsidR="008E1351" w:rsidRPr="008E1351">
        <w:rPr>
          <w:rFonts w:ascii="Book Antiqua" w:hAnsi="Book Antiqua"/>
          <w:b/>
          <w:i/>
          <w:lang w:val="en-US"/>
        </w:rPr>
        <w:t>nd western blot</w:t>
      </w:r>
    </w:p>
    <w:p w14:paraId="08FA1F23" w14:textId="3016D387" w:rsidR="002740CB" w:rsidRPr="00DF2968" w:rsidRDefault="002740CB" w:rsidP="00A741A5">
      <w:pPr>
        <w:spacing w:line="360" w:lineRule="auto"/>
        <w:jc w:val="both"/>
        <w:rPr>
          <w:rFonts w:ascii="Book Antiqua" w:hAnsi="Book Antiqua" w:cs="Arial"/>
          <w:lang w:val="en-US"/>
        </w:rPr>
      </w:pPr>
      <w:r w:rsidRPr="00DF2968">
        <w:rPr>
          <w:rFonts w:ascii="Book Antiqua" w:hAnsi="Book Antiqua" w:cs="Arial"/>
          <w:lang w:val="en-US"/>
        </w:rPr>
        <w:t xml:space="preserve">Cells were seeded </w:t>
      </w:r>
      <w:r w:rsidRPr="00DF2968">
        <w:rPr>
          <w:rFonts w:ascii="Book Antiqua" w:hAnsi="Book Antiqua"/>
          <w:lang w:val="en-US"/>
        </w:rPr>
        <w:t>at a density of approx.1x10</w:t>
      </w:r>
      <w:r w:rsidRPr="00DF2968">
        <w:rPr>
          <w:rFonts w:ascii="Book Antiqua" w:hAnsi="Book Antiqua"/>
          <w:vertAlign w:val="superscript"/>
          <w:lang w:val="en-US"/>
        </w:rPr>
        <w:t>6</w:t>
      </w:r>
      <w:r w:rsidRPr="00DF2968">
        <w:rPr>
          <w:rFonts w:ascii="Book Antiqua" w:hAnsi="Book Antiqua"/>
          <w:lang w:val="en-US"/>
        </w:rPr>
        <w:t xml:space="preserve"> cells/cm</w:t>
      </w:r>
      <w:r w:rsidRPr="00DF2968">
        <w:rPr>
          <w:rFonts w:ascii="Book Antiqua" w:hAnsi="Book Antiqua"/>
          <w:vertAlign w:val="superscript"/>
          <w:lang w:val="en-US"/>
        </w:rPr>
        <w:t xml:space="preserve">2 </w:t>
      </w:r>
      <w:r w:rsidRPr="00DF2968">
        <w:rPr>
          <w:rFonts w:ascii="Book Antiqua" w:hAnsi="Book Antiqua"/>
          <w:lang w:val="en-US"/>
        </w:rPr>
        <w:t xml:space="preserve">for </w:t>
      </w:r>
      <w:r w:rsidR="00943B13" w:rsidRPr="00943B13">
        <w:rPr>
          <w:rFonts w:ascii="Book Antiqua" w:hAnsi="Book Antiqua"/>
          <w:i/>
          <w:lang w:val="en-US"/>
        </w:rPr>
        <w:t>in vitro</w:t>
      </w:r>
      <w:r w:rsidRPr="00DF2968">
        <w:rPr>
          <w:rFonts w:ascii="Book Antiqua" w:hAnsi="Book Antiqua"/>
          <w:lang w:val="en-US"/>
        </w:rPr>
        <w:t xml:space="preserve"> experiments, </w:t>
      </w:r>
      <w:r w:rsidRPr="00DF2968">
        <w:rPr>
          <w:rFonts w:ascii="Book Antiqua" w:hAnsi="Book Antiqua" w:cs="Arial"/>
          <w:lang w:val="en-US"/>
        </w:rPr>
        <w:t>at the end of the stimulation period protein lysates were prepared using lysis buffer (50</w:t>
      </w:r>
      <w:r w:rsidRPr="00DF2968">
        <w:rPr>
          <w:rStyle w:val="mb"/>
          <w:rFonts w:ascii="Times New Roman" w:hAnsi="Times New Roman"/>
          <w:lang w:val="en-US"/>
        </w:rPr>
        <w:t> </w:t>
      </w:r>
      <w:r w:rsidRPr="00DF2968">
        <w:rPr>
          <w:rFonts w:ascii="Book Antiqua" w:hAnsi="Book Antiqua" w:cs="Arial"/>
          <w:lang w:val="en-US"/>
        </w:rPr>
        <w:t>m</w:t>
      </w:r>
      <w:r w:rsidR="0036465E">
        <w:rPr>
          <w:rFonts w:ascii="Book Antiqua" w:eastAsia="SimSun" w:hAnsi="Book Antiqua" w:cs="Arial" w:hint="eastAsia"/>
          <w:lang w:val="en-US" w:eastAsia="zh-CN"/>
        </w:rPr>
        <w:t>mol/L</w:t>
      </w:r>
      <w:r w:rsidRPr="00DF2968">
        <w:rPr>
          <w:rFonts w:ascii="Book Antiqua" w:hAnsi="Book Antiqua" w:cs="Arial"/>
          <w:lang w:val="en-US"/>
        </w:rPr>
        <w:t xml:space="preserve"> Tris-HCl; 150</w:t>
      </w:r>
      <w:r w:rsidRPr="00DF2968">
        <w:rPr>
          <w:rStyle w:val="mb"/>
          <w:rFonts w:ascii="Times New Roman" w:hAnsi="Times New Roman"/>
          <w:lang w:val="en-US"/>
        </w:rPr>
        <w:t> </w:t>
      </w:r>
      <w:r w:rsidRPr="00DF2968">
        <w:rPr>
          <w:rFonts w:ascii="Book Antiqua" w:hAnsi="Book Antiqua" w:cs="Arial"/>
          <w:lang w:val="en-US"/>
        </w:rPr>
        <w:t>n</w:t>
      </w:r>
      <w:r w:rsidR="00911458">
        <w:rPr>
          <w:rFonts w:ascii="Book Antiqua" w:eastAsia="SimSun" w:hAnsi="Book Antiqua" w:cs="Arial" w:hint="eastAsia"/>
          <w:lang w:val="en-US" w:eastAsia="zh-CN"/>
        </w:rPr>
        <w:t>mol/L</w:t>
      </w:r>
      <w:r w:rsidRPr="00DF2968">
        <w:rPr>
          <w:rFonts w:ascii="Book Antiqua" w:hAnsi="Book Antiqua" w:cs="Arial"/>
          <w:lang w:val="en-US"/>
        </w:rPr>
        <w:t xml:space="preserve"> NaCl; 0.1</w:t>
      </w:r>
      <w:r w:rsidRPr="00DF2968">
        <w:rPr>
          <w:rStyle w:val="mb"/>
          <w:rFonts w:ascii="Book Antiqua" w:hAnsi="Book Antiqua" w:cs="Arial"/>
          <w:lang w:val="en-US"/>
        </w:rPr>
        <w:t>%</w:t>
      </w:r>
      <w:r w:rsidRPr="00DF2968">
        <w:rPr>
          <w:rFonts w:ascii="Book Antiqua" w:hAnsi="Book Antiqua" w:cs="Arial"/>
          <w:lang w:val="en-US"/>
        </w:rPr>
        <w:t xml:space="preserve"> NP-40; 1</w:t>
      </w:r>
      <w:r w:rsidRPr="00DF2968">
        <w:rPr>
          <w:rStyle w:val="mb"/>
          <w:rFonts w:ascii="Book Antiqua" w:hAnsi="Book Antiqua" w:cs="Arial"/>
          <w:lang w:val="en-US"/>
        </w:rPr>
        <w:t>%</w:t>
      </w:r>
      <w:r w:rsidRPr="00DF2968">
        <w:rPr>
          <w:rFonts w:ascii="Book Antiqua" w:hAnsi="Book Antiqua" w:cs="Arial"/>
          <w:lang w:val="en-US"/>
        </w:rPr>
        <w:t xml:space="preserve"> desoxycholic acid) containing complete mini EDTA-free protease inhibitor cocktail and phosphostop (Roche, Mannheim, Germany). In all, 30</w:t>
      </w:r>
      <w:r w:rsidRPr="00DF2968">
        <w:rPr>
          <w:rStyle w:val="mb"/>
          <w:rFonts w:ascii="Times New Roman" w:hAnsi="Times New Roman"/>
          <w:lang w:val="en-US"/>
        </w:rPr>
        <w:t> </w:t>
      </w:r>
      <w:r w:rsidR="000632DC">
        <w:rPr>
          <w:rStyle w:val="mb"/>
          <w:rFonts w:ascii="Times New Roman" w:eastAsia="SimSun" w:hAnsi="Times New Roman" w:hint="eastAsia"/>
          <w:lang w:val="en-US" w:eastAsia="zh-CN"/>
        </w:rPr>
        <w:t xml:space="preserve"> </w:t>
      </w:r>
      <w:r w:rsidRPr="00DF2968">
        <w:rPr>
          <w:rFonts w:ascii="Book Antiqua" w:hAnsi="Book Antiqua" w:cs="Arial"/>
          <w:iCs/>
          <w:lang w:val="en-US"/>
        </w:rPr>
        <w:t>μ</w:t>
      </w:r>
      <w:r w:rsidRPr="00DF2968">
        <w:rPr>
          <w:rFonts w:ascii="Book Antiqua" w:hAnsi="Book Antiqua" w:cs="Arial"/>
          <w:lang w:val="en-US"/>
        </w:rPr>
        <w:t>g of total protein were separated using SDS-PAGE, immunoblotting was performed using standard procedures with the following primary antibodies (incubation: overnight at 4</w:t>
      </w:r>
      <w:r w:rsidR="00657AD2">
        <w:rPr>
          <w:rFonts w:ascii="Book Antiqua" w:eastAsia="SimSun" w:hAnsi="Book Antiqua" w:cs="Arial" w:hint="eastAsia"/>
          <w:lang w:val="en-US" w:eastAsia="zh-CN"/>
        </w:rPr>
        <w:t xml:space="preserve"> </w:t>
      </w:r>
      <w:r w:rsidRPr="00DF2968">
        <w:rPr>
          <w:rFonts w:ascii="Book Antiqua" w:hAnsi="Book Antiqua" w:cs="Arial"/>
          <w:lang w:val="en-US"/>
        </w:rPr>
        <w:t xml:space="preserve">C): Actin (1/1000; #5125; </w:t>
      </w:r>
      <w:r w:rsidRPr="00DF2968">
        <w:rPr>
          <w:rFonts w:ascii="Book Antiqua" w:hAnsi="Book Antiqua" w:cs="Arial"/>
          <w:lang w:val="en-US"/>
        </w:rPr>
        <w:lastRenderedPageBreak/>
        <w:t>Cell Signaling, Cambridge, United Kingdom), Bax (1/1000; #2772; Cell Signaling) and Bcl-2 (1/1000; #2876; Cell Signaling)</w:t>
      </w:r>
      <w:r w:rsidR="007B2C8D" w:rsidRPr="00DF2968">
        <w:rPr>
          <w:rFonts w:ascii="Book Antiqua" w:hAnsi="Book Antiqua" w:cs="Arial"/>
          <w:lang w:val="en-US"/>
        </w:rPr>
        <w:t>,</w:t>
      </w:r>
      <w:r w:rsidR="007B2C8D" w:rsidRPr="000632DC">
        <w:rPr>
          <w:rFonts w:ascii="Book Antiqua" w:hAnsi="Book Antiqua" w:cs="Arial"/>
          <w:lang w:val="en-US"/>
        </w:rPr>
        <w:t xml:space="preserve"> cleaved PARP (1/1000; #5625, Cell Signaling)</w:t>
      </w:r>
      <w:r w:rsidRPr="000632DC">
        <w:rPr>
          <w:rFonts w:ascii="Book Antiqua" w:hAnsi="Book Antiqua" w:cs="Arial"/>
          <w:lang w:val="en-US"/>
        </w:rPr>
        <w:t xml:space="preserve">. </w:t>
      </w:r>
      <w:r w:rsidRPr="00DF2968">
        <w:rPr>
          <w:rFonts w:ascii="Book Antiqua" w:hAnsi="Book Antiqua" w:cs="Arial"/>
          <w:lang w:val="en-US"/>
        </w:rPr>
        <w:t>After incubation with the appropriate horseradish peroxidase-conjugated secondary antibody, bound antibodies were visualized using chemiluminescence reagent ECL</w:t>
      </w:r>
      <w:r w:rsidRPr="00DF2968">
        <w:rPr>
          <w:rFonts w:ascii="Book Antiqua" w:hAnsi="Book Antiqua" w:cs="Arial"/>
          <w:lang w:val="en-US"/>
        </w:rPr>
        <w:noBreakHyphen/>
        <w:t xml:space="preserve">Prime reagent (GE Healthcare, Chalfont St. Giles, United Kingdom) according to the supplier’s protocol. Blotting images and densitometric quantification of protein bands was generated using Fusion detection system (PeqLab Biotechnology, Erlangen, Germany). </w:t>
      </w:r>
    </w:p>
    <w:p w14:paraId="7E8938B5" w14:textId="77777777" w:rsidR="002740CB" w:rsidRPr="00DF2968" w:rsidRDefault="002740CB" w:rsidP="00A741A5">
      <w:pPr>
        <w:spacing w:line="360" w:lineRule="auto"/>
        <w:jc w:val="both"/>
        <w:rPr>
          <w:rFonts w:ascii="Book Antiqua" w:hAnsi="Book Antiqua" w:cs="Arial"/>
          <w:lang w:val="en-US"/>
        </w:rPr>
      </w:pPr>
    </w:p>
    <w:p w14:paraId="71518464" w14:textId="51BF1892" w:rsidR="002740CB" w:rsidRPr="000632DC" w:rsidRDefault="000632DC" w:rsidP="00A741A5">
      <w:pPr>
        <w:spacing w:line="360" w:lineRule="auto"/>
        <w:jc w:val="both"/>
        <w:rPr>
          <w:rFonts w:ascii="Book Antiqua" w:hAnsi="Book Antiqua"/>
          <w:b/>
          <w:i/>
          <w:lang w:val="en-US"/>
        </w:rPr>
      </w:pPr>
      <w:r w:rsidRPr="000632DC">
        <w:rPr>
          <w:rFonts w:ascii="Book Antiqua" w:hAnsi="Book Antiqua"/>
          <w:b/>
          <w:i/>
          <w:lang w:val="en-US"/>
        </w:rPr>
        <w:t>Statistical</w:t>
      </w:r>
      <w:r w:rsidR="002740CB" w:rsidRPr="000632DC">
        <w:rPr>
          <w:rFonts w:ascii="Book Antiqua" w:hAnsi="Book Antiqua"/>
          <w:b/>
          <w:i/>
          <w:lang w:val="en-US"/>
        </w:rPr>
        <w:t xml:space="preserve"> analysis</w:t>
      </w:r>
    </w:p>
    <w:p w14:paraId="2FEA567D" w14:textId="53E85796" w:rsidR="000370C7" w:rsidRPr="00DF2968" w:rsidRDefault="002740CB" w:rsidP="00A741A5">
      <w:pPr>
        <w:spacing w:line="360" w:lineRule="auto"/>
        <w:jc w:val="both"/>
        <w:rPr>
          <w:rFonts w:ascii="Book Antiqua" w:hAnsi="Book Antiqua"/>
          <w:lang w:val="en-US"/>
        </w:rPr>
      </w:pPr>
      <w:r w:rsidRPr="00DF2968">
        <w:rPr>
          <w:rFonts w:ascii="Book Antiqua" w:hAnsi="Book Antiqua" w:cs="Arial"/>
          <w:lang w:val="en-US"/>
        </w:rPr>
        <w:t xml:space="preserve">Statistical significance for </w:t>
      </w:r>
      <w:r w:rsidR="00943B13" w:rsidRPr="00943B13">
        <w:rPr>
          <w:rStyle w:val="Emphasis"/>
          <w:rFonts w:ascii="Book Antiqua" w:hAnsi="Book Antiqua" w:cs="Arial"/>
          <w:lang w:val="en-US"/>
        </w:rPr>
        <w:t>in vitro</w:t>
      </w:r>
      <w:r w:rsidRPr="00DF2968">
        <w:rPr>
          <w:rFonts w:ascii="Book Antiqua" w:hAnsi="Book Antiqua" w:cs="Arial"/>
          <w:lang w:val="en-US"/>
        </w:rPr>
        <w:t xml:space="preserve"> experiments was determined by one-way ANOVA (with Tukey’s post-hoc test for individual experimental conditions) and by a two-tailed unpaired Student t test performed with Prism 5 (GraphPad Software, Inc.; San Diego, CA, </w:t>
      </w:r>
      <w:r w:rsidR="002E23B8">
        <w:rPr>
          <w:rFonts w:ascii="Book Antiqua" w:hAnsi="Book Antiqua" w:cs="Arial"/>
          <w:lang w:val="en-US"/>
        </w:rPr>
        <w:t>United States</w:t>
      </w:r>
      <w:r w:rsidRPr="00DF2968">
        <w:rPr>
          <w:rFonts w:ascii="Book Antiqua" w:hAnsi="Book Antiqua" w:cs="Arial"/>
          <w:lang w:val="en-US"/>
        </w:rPr>
        <w:t xml:space="preserve">). Data are presented as mean </w:t>
      </w:r>
      <w:r w:rsidR="000632DC">
        <w:rPr>
          <w:rFonts w:ascii="Book Antiqua" w:hAnsi="Book Antiqua" w:cs="Arial"/>
          <w:lang w:val="en-US"/>
        </w:rPr>
        <w:t>± SE</w:t>
      </w:r>
      <w:r w:rsidRPr="00DF2968">
        <w:rPr>
          <w:rFonts w:ascii="Book Antiqua" w:hAnsi="Book Antiqua" w:cs="Arial"/>
          <w:lang w:val="en-US"/>
        </w:rPr>
        <w:t xml:space="preserve">. Differences were considered significant at </w:t>
      </w:r>
      <w:r w:rsidRPr="000632DC">
        <w:rPr>
          <w:rStyle w:val="Emphasis"/>
          <w:rFonts w:ascii="Book Antiqua" w:hAnsi="Book Antiqua" w:cs="Arial"/>
          <w:caps/>
          <w:lang w:val="en-US"/>
        </w:rPr>
        <w:t>p</w:t>
      </w:r>
      <w:r w:rsidR="000632DC">
        <w:rPr>
          <w:rFonts w:ascii="Book Antiqua" w:eastAsia="SimSun" w:hAnsi="Book Antiqua" w:cs="Arial" w:hint="eastAsia"/>
          <w:lang w:val="en-US" w:eastAsia="zh-CN"/>
        </w:rPr>
        <w:t xml:space="preserve"> </w:t>
      </w:r>
      <w:r w:rsidRPr="00DF2968">
        <w:rPr>
          <w:rFonts w:ascii="Book Antiqua" w:hAnsi="Book Antiqua" w:cs="Arial"/>
          <w:lang w:val="en-US"/>
        </w:rPr>
        <w:t>&lt;</w:t>
      </w:r>
      <w:r w:rsidR="000632DC">
        <w:rPr>
          <w:rFonts w:ascii="Book Antiqua" w:eastAsia="SimSun" w:hAnsi="Book Antiqua" w:cs="Arial" w:hint="eastAsia"/>
          <w:lang w:val="en-US" w:eastAsia="zh-CN"/>
        </w:rPr>
        <w:t xml:space="preserve"> </w:t>
      </w:r>
      <w:r w:rsidRPr="00DF2968">
        <w:rPr>
          <w:rFonts w:ascii="Book Antiqua" w:hAnsi="Book Antiqua" w:cs="Arial"/>
          <w:lang w:val="en-US"/>
        </w:rPr>
        <w:t>0.05.</w:t>
      </w:r>
    </w:p>
    <w:p w14:paraId="7017D0B2" w14:textId="77777777" w:rsidR="000370C7" w:rsidRPr="00DF2968" w:rsidRDefault="000370C7" w:rsidP="00A741A5">
      <w:pPr>
        <w:spacing w:line="360" w:lineRule="auto"/>
        <w:jc w:val="both"/>
        <w:rPr>
          <w:rFonts w:ascii="Book Antiqua" w:hAnsi="Book Antiqua"/>
          <w:lang w:val="en-US"/>
        </w:rPr>
      </w:pPr>
    </w:p>
    <w:p w14:paraId="259E4CE8" w14:textId="4C04D2CD" w:rsidR="000309B1" w:rsidRPr="000632DC" w:rsidRDefault="000309B1" w:rsidP="00A741A5">
      <w:pPr>
        <w:spacing w:line="360" w:lineRule="auto"/>
        <w:jc w:val="both"/>
        <w:rPr>
          <w:rFonts w:ascii="Book Antiqua" w:hAnsi="Book Antiqua"/>
          <w:b/>
          <w:caps/>
          <w:lang w:val="en-US"/>
        </w:rPr>
      </w:pPr>
      <w:r w:rsidRPr="000632DC">
        <w:rPr>
          <w:rFonts w:ascii="Book Antiqua" w:hAnsi="Book Antiqua"/>
          <w:b/>
          <w:caps/>
          <w:lang w:val="en-US"/>
        </w:rPr>
        <w:t>Results</w:t>
      </w:r>
    </w:p>
    <w:p w14:paraId="44F92571" w14:textId="77777777" w:rsidR="000309B1" w:rsidRPr="00DF2968" w:rsidRDefault="000309B1" w:rsidP="00A741A5">
      <w:pPr>
        <w:spacing w:line="360" w:lineRule="auto"/>
        <w:jc w:val="both"/>
        <w:rPr>
          <w:rFonts w:ascii="Book Antiqua" w:hAnsi="Book Antiqua"/>
          <w:b/>
          <w:i/>
          <w:lang w:val="en-US"/>
        </w:rPr>
      </w:pPr>
      <w:r w:rsidRPr="00DF2968">
        <w:rPr>
          <w:rFonts w:ascii="Book Antiqua" w:hAnsi="Book Antiqua"/>
          <w:b/>
          <w:i/>
          <w:lang w:val="en-US"/>
        </w:rPr>
        <w:t>Cytotoxic effects of cisplatin are enhanced by co-treatment with PLK inhibitor BI6727</w:t>
      </w:r>
    </w:p>
    <w:p w14:paraId="251E2CA1" w14:textId="4F51AAD8" w:rsidR="000309B1" w:rsidRPr="009A1CE5" w:rsidRDefault="000309B1" w:rsidP="00A741A5">
      <w:pPr>
        <w:spacing w:line="360" w:lineRule="auto"/>
        <w:jc w:val="both"/>
        <w:rPr>
          <w:rFonts w:ascii="Book Antiqua" w:hAnsi="Book Antiqua"/>
          <w:i/>
          <w:lang w:val="en-US"/>
        </w:rPr>
      </w:pPr>
      <w:r w:rsidRPr="00DF2968">
        <w:rPr>
          <w:rFonts w:ascii="Book Antiqua" w:hAnsi="Book Antiqua"/>
          <w:lang w:val="en-US"/>
        </w:rPr>
        <w:t>In previous studies, we demonstrated that the PLK inhibitor BI6727 had a pro-apoptotic effect in</w:t>
      </w:r>
      <w:r w:rsidR="0097133F" w:rsidRPr="00DF2968">
        <w:rPr>
          <w:rFonts w:ascii="Book Antiqua" w:hAnsi="Book Antiqua"/>
          <w:lang w:val="en-US"/>
        </w:rPr>
        <w:t xml:space="preserve"> CCA</w:t>
      </w:r>
      <w:r w:rsidRPr="00DF2968">
        <w:rPr>
          <w:rFonts w:ascii="Book Antiqua" w:hAnsi="Book Antiqua"/>
          <w:lang w:val="en-US"/>
        </w:rPr>
        <w:t xml:space="preserve"> cell lines and could exacerbate TRAIL-induced cell death</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5n4lfbkeq","properties":{"formattedCitation":"[8]","plainCitation":"[8]"},"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[8]</w:t>
      </w:r>
      <w:r w:rsidR="00EC6668" w:rsidRPr="00DF2968">
        <w:rPr>
          <w:rFonts w:ascii="Book Antiqua" w:hAnsi="Book Antiqua"/>
          <w:vertAlign w:val="superscript"/>
          <w:lang w:val="en-US"/>
        </w:rPr>
        <w:fldChar w:fldCharType="end"/>
      </w:r>
      <w:r w:rsidRPr="00DF2968">
        <w:rPr>
          <w:rFonts w:ascii="Book Antiqua" w:hAnsi="Book Antiqua"/>
          <w:lang w:val="en-US"/>
        </w:rPr>
        <w:t>. Cisplatin is one of the conventional cytostatic drugs that are used for the chemo</w:t>
      </w:r>
      <w:r w:rsidR="0097133F" w:rsidRPr="00DF2968">
        <w:rPr>
          <w:rFonts w:ascii="Book Antiqua" w:hAnsi="Book Antiqua"/>
          <w:lang w:val="en-US"/>
        </w:rPr>
        <w:t>therapy of CCA</w:t>
      </w:r>
      <w:r w:rsidRPr="00DF2968">
        <w:rPr>
          <w:rFonts w:ascii="Book Antiqua" w:hAnsi="Book Antiqua"/>
          <w:lang w:val="en-US"/>
        </w:rPr>
        <w:t>. Here, we aimed to further investigate the effect of the PLK inhibitor BI6727 on cell death i</w:t>
      </w:r>
      <w:r w:rsidR="0097133F" w:rsidRPr="00DF2968">
        <w:rPr>
          <w:rFonts w:ascii="Book Antiqua" w:hAnsi="Book Antiqua"/>
          <w:lang w:val="en-US"/>
        </w:rPr>
        <w:t>n CCA</w:t>
      </w:r>
      <w:r w:rsidRPr="00DF2968">
        <w:rPr>
          <w:rFonts w:ascii="Book Antiqua" w:hAnsi="Book Antiqua"/>
          <w:lang w:val="en-US"/>
        </w:rPr>
        <w:t xml:space="preserve"> cell lines in the presence or absence of cisplatin. We measured viabil</w:t>
      </w:r>
      <w:r w:rsidR="0097133F" w:rsidRPr="00DF2968">
        <w:rPr>
          <w:rFonts w:ascii="Book Antiqua" w:hAnsi="Book Antiqua"/>
          <w:lang w:val="en-US"/>
        </w:rPr>
        <w:t>ity in the CCA</w:t>
      </w:r>
      <w:r w:rsidRPr="00DF2968">
        <w:rPr>
          <w:rFonts w:ascii="Book Antiqua" w:hAnsi="Book Antiqua"/>
          <w:lang w:val="en-US"/>
        </w:rPr>
        <w:t xml:space="preserve"> cell lines KMCH-1 and Mz-ChA-1 treated with cisplatin and BI6727 for 24</w:t>
      </w:r>
      <w:r w:rsidR="000632DC">
        <w:rPr>
          <w:rFonts w:ascii="Book Antiqua" w:eastAsia="SimSun" w:hAnsi="Book Antiqua" w:hint="eastAsia"/>
          <w:lang w:val="en-US" w:eastAsia="zh-CN"/>
        </w:rPr>
        <w:t xml:space="preserve"> </w:t>
      </w:r>
      <w:r w:rsidRPr="00DF2968">
        <w:rPr>
          <w:rFonts w:ascii="Book Antiqua" w:hAnsi="Book Antiqua"/>
          <w:lang w:val="en-US"/>
        </w:rPr>
        <w:t xml:space="preserve">h </w:t>
      </w:r>
      <w:r w:rsidRPr="000632DC">
        <w:rPr>
          <w:rFonts w:ascii="Book Antiqua" w:hAnsi="Book Antiqua"/>
          <w:i/>
          <w:lang w:val="en-US"/>
        </w:rPr>
        <w:t>via</w:t>
      </w:r>
      <w:r w:rsidRPr="00DF2968">
        <w:rPr>
          <w:rFonts w:ascii="Book Antiqua" w:hAnsi="Book Antiqua"/>
          <w:lang w:val="en-US"/>
        </w:rPr>
        <w:t xml:space="preserve"> a MTT viability assay. Cell viability was reduced in all treatment conditions compared to vehicle-treated KMCH-1 (</w:t>
      </w:r>
      <w:r w:rsidR="002A1AA0">
        <w:rPr>
          <w:rFonts w:ascii="Book Antiqua" w:hAnsi="Book Antiqua"/>
          <w:lang w:val="en-US"/>
        </w:rPr>
        <w:t>Figure</w:t>
      </w:r>
      <w:r w:rsidRPr="00DF2968">
        <w:rPr>
          <w:rFonts w:ascii="Book Antiqua" w:hAnsi="Book Antiqua"/>
          <w:lang w:val="en-US"/>
        </w:rPr>
        <w:t xml:space="preserve"> 1A) and Mz-Ch-1 cells (</w:t>
      </w:r>
      <w:r w:rsidR="002A1AA0">
        <w:rPr>
          <w:rFonts w:ascii="Book Antiqua" w:hAnsi="Book Antiqua"/>
          <w:lang w:val="en-US"/>
        </w:rPr>
        <w:t>Figure</w:t>
      </w:r>
      <w:r w:rsidRPr="00DF2968">
        <w:rPr>
          <w:rFonts w:ascii="Book Antiqua" w:hAnsi="Book Antiqua"/>
          <w:lang w:val="en-US"/>
        </w:rPr>
        <w:t xml:space="preserve"> 1D). Co-treatment with BI6727 and cisplatin could even enhance the cytotoxic effect of cisplatin single treatment. By means of the MTT viability assay, we could demonstrate that cell viability was reduced under different treatment conditions in these two cell lines; however, with this assay the type of cell death cannot be determined. To assess apoptosis induction caused by the different </w:t>
      </w:r>
      <w:r w:rsidRPr="00DF2968">
        <w:rPr>
          <w:rFonts w:ascii="Book Antiqua" w:hAnsi="Book Antiqua"/>
          <w:lang w:val="en-US"/>
        </w:rPr>
        <w:lastRenderedPageBreak/>
        <w:t>treatments, we performed DAPI staining with quantitation of apoptotic nuclei by fluorescence microscopy as well as fluorescent analysis of caspase-3/-7 activity. In KMCH-1 cells treated with BI6727, cisplatin and the combination of BI6727 and cisplatin, some apoptotic nuclei were found (</w:t>
      </w:r>
      <w:r w:rsidR="002A1AA0">
        <w:rPr>
          <w:rFonts w:ascii="Book Antiqua" w:hAnsi="Book Antiqua"/>
          <w:lang w:val="en-US"/>
        </w:rPr>
        <w:t>Figure</w:t>
      </w:r>
      <w:r w:rsidRPr="00DF2968">
        <w:rPr>
          <w:rFonts w:ascii="Book Antiqua" w:hAnsi="Book Antiqua"/>
          <w:lang w:val="en-US"/>
        </w:rPr>
        <w:t xml:space="preserve"> 1B). Moreover, caspase-3/-7 activity was slightly induced in BI6727-treated KMCH-1 cells (</w:t>
      </w:r>
      <w:r w:rsidR="002A1AA0">
        <w:rPr>
          <w:rFonts w:ascii="Book Antiqua" w:hAnsi="Book Antiqua"/>
          <w:lang w:val="en-US"/>
        </w:rPr>
        <w:t>Figure</w:t>
      </w:r>
      <w:r w:rsidRPr="00DF2968">
        <w:rPr>
          <w:rFonts w:ascii="Book Antiqua" w:hAnsi="Book Antiqua"/>
          <w:lang w:val="en-US"/>
        </w:rPr>
        <w:t xml:space="preserve"> 1C). In KMCH-1 cells treated with the cytotoxic drug cisplatin, caspase-3/-7 activity was reduced compared to vehicle-treated cells whereas co-treatment with BI6727 a</w:t>
      </w:r>
      <w:r w:rsidR="009A1CE5">
        <w:rPr>
          <w:rFonts w:ascii="Book Antiqua" w:hAnsi="Book Antiqua"/>
          <w:lang w:val="en-US"/>
        </w:rPr>
        <w:t>nd cisplatin induced caspase -3</w:t>
      </w:r>
      <w:r w:rsidRPr="00DF2968">
        <w:rPr>
          <w:rFonts w:ascii="Book Antiqua" w:hAnsi="Book Antiqua"/>
          <w:lang w:val="en-US"/>
        </w:rPr>
        <w:t>/-7 activitiy as compared to cisplatin only-treated cells. In KMCH-1 cells, viability was reduced by treatment with BI6727 or cisplatin and the combination of BI6727 with cisplatin could even exacerbate this effect (which does not appear to be mediated by apoptosis induction). In Mz-Ch-1 cells, we could observe a similar effect as co</w:t>
      </w:r>
      <w:r w:rsidRPr="00DF2968">
        <w:rPr>
          <w:rFonts w:ascii="Book Antiqua" w:hAnsi="Book Antiqua"/>
          <w:lang w:val="en-US"/>
        </w:rPr>
        <w:noBreakHyphen/>
        <w:t>treatment of BI6727 and cisplatin could slightly enhance the cytotoxic effect of both single agents (</w:t>
      </w:r>
      <w:r w:rsidR="002A1AA0">
        <w:rPr>
          <w:rFonts w:ascii="Book Antiqua" w:hAnsi="Book Antiqua"/>
          <w:lang w:val="en-US"/>
        </w:rPr>
        <w:t>Figure</w:t>
      </w:r>
      <w:r w:rsidRPr="00DF2968">
        <w:rPr>
          <w:rFonts w:ascii="Book Antiqua" w:hAnsi="Book Antiqua"/>
          <w:lang w:val="en-US"/>
        </w:rPr>
        <w:t xml:space="preserve"> 1D). Quantification of apoptotic nuclei demonstrated that BI6727 or cisplatin treatment increased the number of apoptotic nuclei. The number of apoptotic nuclei was increased in BI6727-treated cells as compared to cisplatin-treated cells while the combination of these substances enhanced the apoptotic effect of cisplatin single treatment (</w:t>
      </w:r>
      <w:r w:rsidR="002A1AA0">
        <w:rPr>
          <w:rFonts w:ascii="Book Antiqua" w:hAnsi="Book Antiqua"/>
          <w:lang w:val="en-US"/>
        </w:rPr>
        <w:t>Figure</w:t>
      </w:r>
      <w:r w:rsidRPr="00DF2968">
        <w:rPr>
          <w:rFonts w:ascii="Book Antiqua" w:hAnsi="Book Antiqua"/>
          <w:lang w:val="en-US"/>
        </w:rPr>
        <w:t xml:space="preserve"> 1E). Caspase-3/-7 activity was induced in BI6727-treated as compared to vehicle-treated cells whereas cisplatin treatment did not enhance caspase activity (</w:t>
      </w:r>
      <w:r w:rsidR="002A1AA0">
        <w:rPr>
          <w:rFonts w:ascii="Book Antiqua" w:hAnsi="Book Antiqua"/>
          <w:lang w:val="en-US"/>
        </w:rPr>
        <w:t>Figure</w:t>
      </w:r>
      <w:r w:rsidRPr="00DF2968">
        <w:rPr>
          <w:rFonts w:ascii="Book Antiqua" w:hAnsi="Book Antiqua"/>
          <w:lang w:val="en-US"/>
        </w:rPr>
        <w:t xml:space="preserve"> 1F). Under co-treatment conditions with BI6727 and cisplatin, caspase-3/-7 activity could be stronger induced as compared to cisplatin single treatment. </w:t>
      </w:r>
      <w:r w:rsidR="001F3EED" w:rsidRPr="009A1CE5">
        <w:rPr>
          <w:rFonts w:ascii="Book Antiqua" w:hAnsi="Book Antiqua"/>
          <w:lang w:val="en-US"/>
        </w:rPr>
        <w:t xml:space="preserve">In order to confirm apoptosis induction we also checked cleavage of the chromatin-associated enzyme PARP </w:t>
      </w:r>
      <w:r w:rsidR="009A1CE5">
        <w:rPr>
          <w:rFonts w:ascii="Book Antiqua" w:eastAsia="SimSun" w:hAnsi="Book Antiqua" w:hint="eastAsia"/>
          <w:lang w:val="en-US" w:eastAsia="zh-CN"/>
        </w:rPr>
        <w:t>[</w:t>
      </w:r>
      <w:r w:rsidR="001F3EED" w:rsidRPr="009A1CE5">
        <w:rPr>
          <w:rFonts w:ascii="Book Antiqua" w:hAnsi="Book Antiqua"/>
          <w:lang w:val="en-US"/>
        </w:rPr>
        <w:t>poly (ADP-ribose) polymerase 1</w:t>
      </w:r>
      <w:r w:rsidR="009A1CE5">
        <w:rPr>
          <w:rFonts w:ascii="Book Antiqua" w:eastAsia="SimSun" w:hAnsi="Book Antiqua" w:hint="eastAsia"/>
          <w:lang w:val="en-US" w:eastAsia="zh-CN"/>
        </w:rPr>
        <w:t>]</w:t>
      </w:r>
      <w:r w:rsidR="001F3EED" w:rsidRPr="009A1CE5">
        <w:rPr>
          <w:rFonts w:ascii="Book Antiqua" w:hAnsi="Book Antiqua"/>
          <w:lang w:val="en-US"/>
        </w:rPr>
        <w:t>. PARP is involved in DNA repair and replication but PARP cleavage has been described to be an early event duri</w:t>
      </w:r>
      <w:r w:rsidR="009A1CE5">
        <w:rPr>
          <w:rFonts w:ascii="Book Antiqua" w:hAnsi="Book Antiqua"/>
          <w:lang w:val="en-US"/>
        </w:rPr>
        <w:t>ng apoptosis</w:t>
      </w:r>
      <w:r w:rsidR="00E17EE7" w:rsidRPr="009A1CE5">
        <w:rPr>
          <w:rFonts w:ascii="Book Antiqua" w:hAnsi="Book Antiqua"/>
          <w:vertAlign w:val="superscript"/>
          <w:lang w:val="en-US"/>
        </w:rPr>
        <w:fldChar w:fldCharType="begin"/>
      </w:r>
      <w:r w:rsidR="00E17EE7" w:rsidRPr="009A1CE5">
        <w:rPr>
          <w:rFonts w:ascii="Book Antiqua" w:hAnsi="Book Antiqua"/>
          <w:vertAlign w:val="superscript"/>
          <w:lang w:val="en-US"/>
        </w:rPr>
        <w:instrText xml:space="preserve"> ADDIN ZOTERO_ITEM CSL_CITATION {"citationID":"1156hsfqj2","properties":{"formattedCitation":"[28]","plainCitation":"[28]"},"citationItems":[{"id":1851,"uris":["http://zotero.org/users/local/AzZugh3l/items/K2KJDRD9"],"uri":["http://zotero.org/users/local/AzZugh3l/items/K2KJDRD9"],"itemData":{"id":1851,"type":"article-journal","title":"Involvement of PARP and poly(ADP-ribosyl)ation in the early stages of apoptosis and DNA replication","container-title":"Molecular and Cellular Biochemistry","page":"137-148","volume":"193","issue":"1-2","source":"PubMed","abstract":"We have focused on the roles of PARP and poly(ADP-ribosyl)ation early in apoptosis, as well as during the early stages of differentiation-linked DNA replication. In both nuclear processes, a transient burst of PAR synthesis and PARP expression occurs early, prior to internucleosomal DNA cleavage before commitment to apoptosis as well as at the round of DNA replication prior to the onset of terminal differentiation. In intact human osteosarcoma cells undergoing spontaneous apoptosis, both PARP and PAR decreased after this early peak, concomitant with the inactivation and cleavage of PARP by caspase-3 and the onset of substantial DNA and nuclear fragmentation. Whereas 3T3-L1, osteosarcoma cells, and immortalized PARP +/+ fibroblasts exhibited this early burst of PAR synthesis during Fas-mediated apoptosis, neither PARP-depleted 3T3-L1 PARP-antisense cells nor PARP -/- fibroblasts showed this response. Consequently, whereas control cells progressed into apoptosis, as indicated by induction of caspase-3-like PARP-cleavage activity, PARP-antisense cells and PARP -/- fibroblasts did not, indicating a requirement for PARP and poly(ADP-ribosyl)ation of nuclear proteins at an early reversible stage of apoptosis. In parallel experiments, a transient increase in PARP expression and activity were also noted in 3T3-L1 preadipocytes 24 h after induction of differentiation, a stage at which approximately 95% of the cells were in S-phase, but not in PARP-depleted antisense cells, which were consequently unable to complete the round of DNA replication required for differentiation. PARP, a component of the multiprotein DNA replication complex (MRC) that catalyzes viral DNA replication in vitro, poly(ADP-ribosyl)ates 15 of approximately 40 MRC proteins, including DNA pol alpha, DNA topo I, and PCNA. Depletion of endogenous PARP by antisense RNA expression in 3T3-L1 cells results in MRCs devoid of any DNA pol alpha and DNA pol delta activities. Surprisingly, there was no new expression of PCNA and DNA pol alpha, as well as the transcription factor E2F-1 in PARP-antisense cells during entry into S-phase, suggesting that PARP may play a role in the expression of these proteins, perhaps by interacting with a site in the promoters for these genes.","ISSN":"0300-8177","note":"PMID: 10331650","journalAbbreviation":"Mol. Cell. Biochem.","language":"eng","author":[{"family":"Simbulan-Rosenthal","given":"C. M."},{"family":"Rosenthal","given":"D. S."},{"family":"Iyer","given":"S."},{"family":"Boulares","given":"H."},{"family":"Smulson","given":"M. E."}],"issued":{"date-parts":[["1999",3]]}}}],"schema":"https://github.com/citation-style-language/schema/raw/master/csl-citation.json"} </w:instrText>
      </w:r>
      <w:r w:rsidR="00E17EE7" w:rsidRPr="009A1CE5">
        <w:rPr>
          <w:rFonts w:ascii="Book Antiqua" w:hAnsi="Book Antiqua"/>
          <w:vertAlign w:val="superscript"/>
          <w:lang w:val="en-US"/>
        </w:rPr>
        <w:fldChar w:fldCharType="separate"/>
      </w:r>
      <w:r w:rsidR="00E17EE7" w:rsidRPr="009A1CE5">
        <w:rPr>
          <w:rFonts w:ascii="Book Antiqua" w:hAnsi="Book Antiqua"/>
          <w:noProof/>
          <w:vertAlign w:val="superscript"/>
          <w:lang w:val="en-US"/>
        </w:rPr>
        <w:t>[28]</w:t>
      </w:r>
      <w:r w:rsidR="00E17EE7" w:rsidRPr="009A1CE5">
        <w:rPr>
          <w:rFonts w:ascii="Book Antiqua" w:hAnsi="Book Antiqua"/>
          <w:vertAlign w:val="superscript"/>
          <w:lang w:val="en-US"/>
        </w:rPr>
        <w:fldChar w:fldCharType="end"/>
      </w:r>
      <w:r w:rsidR="001F3EED" w:rsidRPr="009A1CE5">
        <w:rPr>
          <w:rFonts w:ascii="Book Antiqua" w:hAnsi="Book Antiqua"/>
          <w:lang w:val="en-US"/>
        </w:rPr>
        <w:t xml:space="preserve"> while cleavage may diminish DNA-repair and rep</w:t>
      </w:r>
      <w:r w:rsidR="009A1CE5">
        <w:rPr>
          <w:rFonts w:ascii="Book Antiqua" w:hAnsi="Book Antiqua"/>
          <w:lang w:val="en-US"/>
        </w:rPr>
        <w:t>lication processes</w:t>
      </w:r>
      <w:r w:rsidR="00E17EE7" w:rsidRPr="009A1CE5">
        <w:rPr>
          <w:rFonts w:ascii="Book Antiqua" w:hAnsi="Book Antiqua"/>
          <w:vertAlign w:val="superscript"/>
          <w:lang w:val="en-US"/>
        </w:rPr>
        <w:fldChar w:fldCharType="begin"/>
      </w:r>
      <w:r w:rsidR="00E17EE7" w:rsidRPr="009A1CE5">
        <w:rPr>
          <w:rFonts w:ascii="Book Antiqua" w:hAnsi="Book Antiqua"/>
          <w:vertAlign w:val="superscript"/>
          <w:lang w:val="en-US"/>
        </w:rPr>
        <w:instrText xml:space="preserve"> ADDIN ZOTERO_ITEM CSL_CITATION {"citationID":"1apbmtffr9","properties":{"formattedCitation":"[29]","plainCitation":"[29]"},"citationItems":[{"id":1853,"uris":["http://zotero.org/users/local/AzZugh3l/items/CSR26V5I"],"uri":["http://zotero.org/users/local/AzZugh3l/items/CSR26V5I"],"itemData":{"id":1853,"type":"article-journal","title":"Specific proteolytic cleavage of poly(ADP-ribose) polymerase: an early marker of chemotherapy-induced apoptosis","container-title":"Cancer Research","page":"3976-3985","volume":"53","issue":"17","source":"PubMed","abstract":"Apoptosis is a morphologically and biochemically distinct form of cell death that occurs under a variety of physiological and pathological conditions. In the present study, the proteolytic cleavage of poly(ADP-ribose) polymerase (pADPRp) during the course of chemotherapy-induced apoptosis was examined. Treatment of HL-60 human leukemia cells with the topoisomerase II-directed anticancer agent etoposide resulted in morphological changes characteristic of apoptosis. Endonucleolytic degradation of DNA to generate nucleosomal fragments occurred simultaneously. Western blotting with epitope-specific monoclonal and polyclonal antibodies revealed that these characteristic apoptotic changes were accompanied by early, quantitative cleavage of the M(r) 116,000 pADPRp polypeptide to an M(r) approximately 25,000 fragment containing the amino-terminal DNA-binding domain of pADPRp and an M(r) approximately 85,000 fragment containing the automodification and catalytic domains. Activity blotting revealed that the M(r) approximately 85,000 fragment retained basal pADPRp activity but was not activated by exogenous nicked DNA. Similar cleavage of pADPRp was observed after exposure of HL-60 cells to a variety of chemotherapeutic agents including cis-diaminedichloroplatinum(II), colcemid, 1-beta-D-arabinofuranosylcytosine, and methotrexate; to gamma-irradiation; or to the protein synthesis inhibitors puromycin or cycloheximide. Similar changes were observed in MDA-MB-468 human breast cancer cells treated with trifluorothymidine or 5-fluoro-2'-deoxyuridine and in gamma-irradiated or glucocorticoid-treated rat thymocytes undergoing apoptosis. Treatment with several compounds (tosyl-L-lysine chloromethyl ketone, tosyl-L-phenylalanine chloromethyl ketone, N-ethylmaleimide, iodoacetamide) prevented both the proteolytic cleavage of pADPRp and the internucleosomal fragmentation of DNA. The results suggest that proteolytic cleavage of pADPRp, in addition to being an early marker of chemotherapy-induced apoptosis, might reflect more widespread proteolysis that is a critical biochemical event early during the process of physiological cell death.","ISSN":"0008-5472","note":"PMID: 8358726","shortTitle":"Specific proteolytic cleavage of poly(ADP-ribose) polymerase","journalAbbreviation":"Cancer Res.","language":"eng","author":[{"family":"Kaufmann","given":"S. H."},{"family":"Desnoyers","given":"S."},{"family":"Ottaviano","given":"Y."},{"family":"Davidson","given":"N. E."},{"family":"Poirier","given":"G. G."}],"issued":{"date-parts":[["1993",9,1]]}}}],"schema":"https://github.com/citation-style-language/schema/raw/master/csl-citation.json"} </w:instrText>
      </w:r>
      <w:r w:rsidR="00E17EE7" w:rsidRPr="009A1CE5">
        <w:rPr>
          <w:rFonts w:ascii="Book Antiqua" w:hAnsi="Book Antiqua"/>
          <w:vertAlign w:val="superscript"/>
          <w:lang w:val="en-US"/>
        </w:rPr>
        <w:fldChar w:fldCharType="separate"/>
      </w:r>
      <w:r w:rsidR="00E17EE7" w:rsidRPr="009A1CE5">
        <w:rPr>
          <w:rFonts w:ascii="Book Antiqua" w:hAnsi="Book Antiqua"/>
          <w:noProof/>
          <w:vertAlign w:val="superscript"/>
          <w:lang w:val="en-US"/>
        </w:rPr>
        <w:t>[29]</w:t>
      </w:r>
      <w:r w:rsidR="00E17EE7" w:rsidRPr="009A1CE5">
        <w:rPr>
          <w:rFonts w:ascii="Book Antiqua" w:hAnsi="Book Antiqua"/>
          <w:vertAlign w:val="superscript"/>
          <w:lang w:val="en-US"/>
        </w:rPr>
        <w:fldChar w:fldCharType="end"/>
      </w:r>
      <w:r w:rsidR="001F3EED" w:rsidRPr="009A1CE5">
        <w:rPr>
          <w:rFonts w:ascii="Book Antiqua" w:hAnsi="Book Antiqua"/>
          <w:lang w:val="en-US"/>
        </w:rPr>
        <w:t>. In KMCH-1 cells PARP cleavage was not detected (data not shown) while in Mz-Ch-1 cells, protein levels of cleaved PARP were slightly induced after BI6727 single treatment and cisplatin/BI6727 combination treatment</w:t>
      </w:r>
      <w:r w:rsidR="00B2604C" w:rsidRPr="009A1CE5">
        <w:rPr>
          <w:rFonts w:ascii="Book Antiqua" w:hAnsi="Book Antiqua"/>
          <w:lang w:val="en-US"/>
        </w:rPr>
        <w:t xml:space="preserve"> (</w:t>
      </w:r>
      <w:r w:rsidR="002A1AA0" w:rsidRPr="009A1CE5">
        <w:rPr>
          <w:rFonts w:ascii="Book Antiqua" w:hAnsi="Book Antiqua"/>
          <w:lang w:val="en-US"/>
        </w:rPr>
        <w:t>Figure</w:t>
      </w:r>
      <w:r w:rsidR="00B2604C" w:rsidRPr="009A1CE5">
        <w:rPr>
          <w:rFonts w:ascii="Book Antiqua" w:hAnsi="Book Antiqua"/>
          <w:lang w:val="en-US"/>
        </w:rPr>
        <w:t xml:space="preserve"> 2</w:t>
      </w:r>
      <w:r w:rsidR="001F3EED" w:rsidRPr="009A1CE5">
        <w:rPr>
          <w:rFonts w:ascii="Book Antiqua" w:hAnsi="Book Antiqua"/>
          <w:lang w:val="en-US"/>
        </w:rPr>
        <w:t xml:space="preserve"> </w:t>
      </w:r>
      <w:r w:rsidR="00B2604C" w:rsidRPr="009A1CE5">
        <w:rPr>
          <w:rFonts w:ascii="Book Antiqua" w:hAnsi="Book Antiqua"/>
          <w:lang w:val="en-US"/>
        </w:rPr>
        <w:t>A</w:t>
      </w:r>
      <w:r w:rsidR="00C033CD">
        <w:rPr>
          <w:rFonts w:ascii="Book Antiqua" w:eastAsia="SimSun" w:hAnsi="Book Antiqua" w:hint="eastAsia"/>
          <w:lang w:val="en-US" w:eastAsia="zh-CN"/>
        </w:rPr>
        <w:t xml:space="preserve"> and </w:t>
      </w:r>
      <w:r w:rsidR="00B2604C" w:rsidRPr="009A1CE5">
        <w:rPr>
          <w:rFonts w:ascii="Book Antiqua" w:hAnsi="Book Antiqua"/>
          <w:lang w:val="en-US"/>
        </w:rPr>
        <w:t>B</w:t>
      </w:r>
      <w:r w:rsidR="001F3EED" w:rsidRPr="009A1CE5">
        <w:rPr>
          <w:rFonts w:ascii="Book Antiqua" w:hAnsi="Book Antiqua"/>
          <w:lang w:val="en-US"/>
        </w:rPr>
        <w:t>).</w:t>
      </w:r>
    </w:p>
    <w:p w14:paraId="11A2E865" w14:textId="77777777" w:rsidR="000309B1" w:rsidRPr="00DF2968" w:rsidRDefault="000309B1" w:rsidP="00A741A5">
      <w:pPr>
        <w:spacing w:line="360" w:lineRule="auto"/>
        <w:ind w:firstLineChars="100" w:firstLine="240"/>
        <w:jc w:val="both"/>
        <w:rPr>
          <w:rFonts w:ascii="Book Antiqua" w:hAnsi="Book Antiqua"/>
          <w:lang w:val="en-US"/>
        </w:rPr>
      </w:pPr>
      <w:r w:rsidRPr="00DF2968">
        <w:rPr>
          <w:rFonts w:ascii="Book Antiqua" w:hAnsi="Book Antiqua"/>
          <w:lang w:val="en-US"/>
        </w:rPr>
        <w:t xml:space="preserve">Thus, co-treatment of cisplatin with the PLK-inhibitor BI6727 could (slightly) enhance the cytotoxic effect of the cytostatic drug cisplatin in both cell lines whereas there was evidence of increased apoptosis induction solely in Mz-Ch-1 cells as compared to KMCH-1 cells. </w:t>
      </w:r>
    </w:p>
    <w:p w14:paraId="31BA1E3E" w14:textId="77777777" w:rsidR="000309B1" w:rsidRPr="00DF2968" w:rsidRDefault="000309B1" w:rsidP="00A741A5">
      <w:pPr>
        <w:spacing w:line="360" w:lineRule="auto"/>
        <w:jc w:val="both"/>
        <w:rPr>
          <w:rFonts w:ascii="Book Antiqua" w:hAnsi="Book Antiqua"/>
          <w:lang w:val="en-US"/>
        </w:rPr>
      </w:pPr>
    </w:p>
    <w:p w14:paraId="4C27092A" w14:textId="77777777" w:rsidR="000309B1" w:rsidRPr="00DF2968" w:rsidRDefault="000309B1" w:rsidP="00A741A5">
      <w:pPr>
        <w:spacing w:line="360" w:lineRule="auto"/>
        <w:jc w:val="both"/>
        <w:rPr>
          <w:rFonts w:ascii="Book Antiqua" w:hAnsi="Book Antiqua"/>
          <w:b/>
          <w:i/>
          <w:lang w:val="en-US"/>
        </w:rPr>
      </w:pPr>
      <w:r w:rsidRPr="00DF2968">
        <w:rPr>
          <w:rFonts w:ascii="Book Antiqua" w:hAnsi="Book Antiqua"/>
          <w:b/>
          <w:i/>
          <w:lang w:val="en-US"/>
        </w:rPr>
        <w:t>PLK Inhibition by BI6727 alters Bcl-2 but not Bax expression</w:t>
      </w:r>
    </w:p>
    <w:p w14:paraId="10976588" w14:textId="0616A8D6" w:rsidR="000309B1" w:rsidRPr="00DF2968" w:rsidRDefault="000309B1" w:rsidP="00A741A5">
      <w:pPr>
        <w:spacing w:line="360" w:lineRule="auto"/>
        <w:jc w:val="both"/>
        <w:rPr>
          <w:rFonts w:ascii="Book Antiqua" w:hAnsi="Book Antiqua"/>
          <w:lang w:val="en-US"/>
        </w:rPr>
      </w:pPr>
      <w:r w:rsidRPr="00DF2968">
        <w:rPr>
          <w:rFonts w:ascii="Book Antiqua" w:hAnsi="Book Antiqua"/>
          <w:lang w:val="en-US"/>
        </w:rPr>
        <w:t>As shown previously, pro-apoptotic effects of BI6727 treatment are in part mediated by Mcl-1 down regulation</w:t>
      </w:r>
      <w:r w:rsidR="00EC6668" w:rsidRPr="00690B6F">
        <w:rPr>
          <w:rFonts w:ascii="Book Antiqua" w:hAnsi="Book Antiqua"/>
          <w:vertAlign w:val="superscript"/>
          <w:lang w:val="en-US"/>
        </w:rPr>
        <w:fldChar w:fldCharType="begin"/>
      </w:r>
      <w:r w:rsidR="00CB3D0C" w:rsidRPr="00690B6F">
        <w:rPr>
          <w:rFonts w:ascii="Book Antiqua" w:hAnsi="Book Antiqua"/>
          <w:vertAlign w:val="superscript"/>
          <w:lang w:val="en-US"/>
        </w:rPr>
        <w:instrText xml:space="preserve"> ADDIN ZOTERO_ITEM CSL_CITATION {"citationID":"2ha8g816m1","properties":{"formattedCitation":"[8]","plainCitation":"[8]"},"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690B6F">
        <w:rPr>
          <w:rFonts w:ascii="Book Antiqua" w:hAnsi="Book Antiqua"/>
          <w:vertAlign w:val="superscript"/>
          <w:lang w:val="en-US"/>
        </w:rPr>
        <w:fldChar w:fldCharType="separate"/>
      </w:r>
      <w:r w:rsidR="00CB3D0C" w:rsidRPr="00690B6F">
        <w:rPr>
          <w:rFonts w:ascii="Book Antiqua" w:hAnsi="Book Antiqua" w:cs="Arial"/>
          <w:vertAlign w:val="superscript"/>
          <w:lang w:val="en-US"/>
        </w:rPr>
        <w:t>[8]</w:t>
      </w:r>
      <w:r w:rsidR="00EC6668" w:rsidRPr="00690B6F">
        <w:rPr>
          <w:rFonts w:ascii="Book Antiqua" w:hAnsi="Book Antiqua"/>
          <w:vertAlign w:val="superscript"/>
          <w:lang w:val="en-US"/>
        </w:rPr>
        <w:fldChar w:fldCharType="end"/>
      </w:r>
      <w:r w:rsidRPr="00DF2968">
        <w:rPr>
          <w:rFonts w:ascii="Book Antiqua" w:hAnsi="Book Antiqua"/>
          <w:lang w:val="en-US"/>
        </w:rPr>
        <w:t xml:space="preserve">. As other important regulators of apoptosis, we here aimed to investigate the effect of BI6727 on the anti-apoptotic protein Bcl-2 as well as the pro-apoptotic Bcl-2 family member Bax. We determined </w:t>
      </w:r>
      <w:r w:rsidRPr="00DF2968">
        <w:rPr>
          <w:rFonts w:ascii="Book Antiqua" w:hAnsi="Book Antiqua"/>
          <w:i/>
          <w:lang w:val="en-US"/>
        </w:rPr>
        <w:t>Bax</w:t>
      </w:r>
      <w:r w:rsidRPr="00DF2968">
        <w:rPr>
          <w:rFonts w:ascii="Book Antiqua" w:hAnsi="Book Antiqua"/>
          <w:lang w:val="en-US"/>
        </w:rPr>
        <w:t xml:space="preserve"> mRNA expression levels in KMCH-1 and Mz-Ch-1 cells by qRT-PCR treated with BI6727, cisplatin or both substances. In KMCH-1 cells, BI6727 treatment induced </w:t>
      </w:r>
      <w:r w:rsidRPr="00DF2968">
        <w:rPr>
          <w:rFonts w:ascii="Book Antiqua" w:hAnsi="Book Antiqua"/>
          <w:i/>
          <w:lang w:val="en-US"/>
        </w:rPr>
        <w:t>Bax</w:t>
      </w:r>
      <w:r w:rsidRPr="00DF2968">
        <w:rPr>
          <w:rFonts w:ascii="Book Antiqua" w:hAnsi="Book Antiqua"/>
          <w:lang w:val="en-US"/>
        </w:rPr>
        <w:t xml:space="preserve"> expression and this effect was also present in cells co-treated with BI6727 and cisplatin. Interestingly, cisplatin as a single agent did not induce </w:t>
      </w:r>
      <w:r w:rsidRPr="00DF2968">
        <w:rPr>
          <w:rFonts w:ascii="Book Antiqua" w:hAnsi="Book Antiqua"/>
          <w:i/>
          <w:lang w:val="en-US"/>
        </w:rPr>
        <w:t>Bax</w:t>
      </w:r>
      <w:r w:rsidRPr="00DF2968">
        <w:rPr>
          <w:rFonts w:ascii="Book Antiqua" w:hAnsi="Book Antiqua"/>
          <w:lang w:val="en-US"/>
        </w:rPr>
        <w:t xml:space="preserve"> expression (</w:t>
      </w:r>
      <w:r w:rsidR="002A1AA0">
        <w:rPr>
          <w:rFonts w:ascii="Book Antiqua" w:hAnsi="Book Antiqua"/>
          <w:lang w:val="en-US"/>
        </w:rPr>
        <w:t>Figure</w:t>
      </w:r>
      <w:r w:rsidRPr="00DF2968">
        <w:rPr>
          <w:rFonts w:ascii="Book Antiqua" w:hAnsi="Book Antiqua"/>
          <w:lang w:val="en-US"/>
        </w:rPr>
        <w:t xml:space="preserve"> </w:t>
      </w:r>
      <w:r w:rsidR="00B2604C" w:rsidRPr="00145DC2">
        <w:rPr>
          <w:rFonts w:ascii="Book Antiqua" w:hAnsi="Book Antiqua"/>
          <w:lang w:val="en-US"/>
        </w:rPr>
        <w:t>3</w:t>
      </w:r>
      <w:r w:rsidRPr="00DF2968">
        <w:rPr>
          <w:rFonts w:ascii="Book Antiqua" w:hAnsi="Book Antiqua"/>
          <w:lang w:val="en-US"/>
        </w:rPr>
        <w:t xml:space="preserve">A). In contrast, Bax protein levels, determined </w:t>
      </w:r>
      <w:r w:rsidRPr="00145DC2">
        <w:rPr>
          <w:rFonts w:ascii="Book Antiqua" w:hAnsi="Book Antiqua"/>
          <w:i/>
          <w:lang w:val="en-US"/>
        </w:rPr>
        <w:t>via</w:t>
      </w:r>
      <w:r w:rsidRPr="00DF2968">
        <w:rPr>
          <w:rFonts w:ascii="Book Antiqua" w:hAnsi="Book Antiqua"/>
          <w:lang w:val="en-US"/>
        </w:rPr>
        <w:t xml:space="preserve"> western blot analysis and quantified by densitometric measurement, were not changed in KMCH-1 cells treated with BI6727 and/or cisplatin (</w:t>
      </w:r>
      <w:r w:rsidR="002A1AA0">
        <w:rPr>
          <w:rFonts w:ascii="Book Antiqua" w:hAnsi="Book Antiqua"/>
          <w:lang w:val="en-US"/>
        </w:rPr>
        <w:t>Figure</w:t>
      </w:r>
      <w:r w:rsidRPr="00DF2968">
        <w:rPr>
          <w:rFonts w:ascii="Book Antiqua" w:hAnsi="Book Antiqua"/>
          <w:lang w:val="en-US"/>
        </w:rPr>
        <w:t xml:space="preserve"> </w:t>
      </w:r>
      <w:r w:rsidR="00B2604C" w:rsidRPr="00145DC2">
        <w:rPr>
          <w:rFonts w:ascii="Book Antiqua" w:hAnsi="Book Antiqua"/>
          <w:lang w:val="en-US"/>
        </w:rPr>
        <w:t>3</w:t>
      </w:r>
      <w:r w:rsidRPr="00DF2968">
        <w:rPr>
          <w:rFonts w:ascii="Book Antiqua" w:hAnsi="Book Antiqua"/>
          <w:lang w:val="en-US"/>
        </w:rPr>
        <w:t>B</w:t>
      </w:r>
      <w:r w:rsidR="00145DC2">
        <w:rPr>
          <w:rFonts w:ascii="Book Antiqua" w:eastAsia="SimSun" w:hAnsi="Book Antiqua" w:hint="eastAsia"/>
          <w:lang w:val="en-US" w:eastAsia="zh-CN"/>
        </w:rPr>
        <w:t xml:space="preserve"> and </w:t>
      </w:r>
      <w:r w:rsidRPr="00DF2968">
        <w:rPr>
          <w:rFonts w:ascii="Book Antiqua" w:hAnsi="Book Antiqua"/>
          <w:lang w:val="en-US"/>
        </w:rPr>
        <w:t xml:space="preserve">C). In Mz-Ch-1 cells, </w:t>
      </w:r>
      <w:r w:rsidRPr="00DF2968">
        <w:rPr>
          <w:rFonts w:ascii="Book Antiqua" w:hAnsi="Book Antiqua"/>
          <w:i/>
          <w:lang w:val="en-US"/>
        </w:rPr>
        <w:t>Bax</w:t>
      </w:r>
      <w:r w:rsidRPr="00DF2968">
        <w:rPr>
          <w:rFonts w:ascii="Book Antiqua" w:hAnsi="Book Antiqua"/>
          <w:lang w:val="en-US"/>
        </w:rPr>
        <w:t xml:space="preserve"> expression was significantly induced by cisplatin treatment whereas BI6727 treatment had no effect on </w:t>
      </w:r>
      <w:r w:rsidRPr="00DF2968">
        <w:rPr>
          <w:rFonts w:ascii="Book Antiqua" w:hAnsi="Book Antiqua"/>
          <w:i/>
          <w:lang w:val="en-US"/>
        </w:rPr>
        <w:t>Bax.</w:t>
      </w:r>
      <w:r w:rsidRPr="00DF2968">
        <w:rPr>
          <w:rFonts w:ascii="Book Antiqua" w:hAnsi="Book Antiqua"/>
          <w:lang w:val="en-US"/>
        </w:rPr>
        <w:t xml:space="preserve"> Following combination treatment of BI6727 with cisplatin, </w:t>
      </w:r>
      <w:r w:rsidRPr="00DF2968">
        <w:rPr>
          <w:rFonts w:ascii="Book Antiqua" w:hAnsi="Book Antiqua"/>
          <w:i/>
          <w:lang w:val="en-US"/>
        </w:rPr>
        <w:t>Bax</w:t>
      </w:r>
      <w:r w:rsidRPr="00DF2968">
        <w:rPr>
          <w:rFonts w:ascii="Book Antiqua" w:hAnsi="Book Antiqua"/>
          <w:lang w:val="en-US"/>
        </w:rPr>
        <w:t xml:space="preserve"> was not further induced (</w:t>
      </w:r>
      <w:r w:rsidR="002A1AA0">
        <w:rPr>
          <w:rFonts w:ascii="Book Antiqua" w:hAnsi="Book Antiqua"/>
          <w:lang w:val="en-US"/>
        </w:rPr>
        <w:t>Figure</w:t>
      </w:r>
      <w:r w:rsidR="008310A8">
        <w:rPr>
          <w:rFonts w:ascii="Book Antiqua" w:eastAsia="SimSun" w:hAnsi="Book Antiqua" w:hint="eastAsia"/>
          <w:lang w:val="en-US" w:eastAsia="zh-CN"/>
        </w:rPr>
        <w:t xml:space="preserve"> </w:t>
      </w:r>
      <w:r w:rsidR="00B2604C" w:rsidRPr="008310A8">
        <w:rPr>
          <w:rFonts w:ascii="Book Antiqua" w:hAnsi="Book Antiqua"/>
          <w:lang w:val="en-US"/>
        </w:rPr>
        <w:t>3</w:t>
      </w:r>
      <w:r w:rsidRPr="00DF2968">
        <w:rPr>
          <w:rFonts w:ascii="Book Antiqua" w:hAnsi="Book Antiqua"/>
          <w:lang w:val="en-US"/>
        </w:rPr>
        <w:t>D). Western blot analyses did not show alterations regarding the Bax expression levels in Mz-Ch-1 cells after treatment with one of the components or after combination treatment (</w:t>
      </w:r>
      <w:r w:rsidR="002A1AA0">
        <w:rPr>
          <w:rFonts w:ascii="Book Antiqua" w:hAnsi="Book Antiqua"/>
          <w:lang w:val="en-US"/>
        </w:rPr>
        <w:t>Figure</w:t>
      </w:r>
      <w:r w:rsidRPr="00DF2968">
        <w:rPr>
          <w:rFonts w:ascii="Book Antiqua" w:hAnsi="Book Antiqua"/>
          <w:lang w:val="en-US"/>
        </w:rPr>
        <w:t xml:space="preserve"> </w:t>
      </w:r>
      <w:r w:rsidR="00B2604C" w:rsidRPr="008310A8">
        <w:rPr>
          <w:rFonts w:ascii="Book Antiqua" w:hAnsi="Book Antiqua"/>
          <w:lang w:val="en-US"/>
        </w:rPr>
        <w:t>3</w:t>
      </w:r>
      <w:r w:rsidRPr="00DF2968">
        <w:rPr>
          <w:rFonts w:ascii="Book Antiqua" w:hAnsi="Book Antiqua"/>
          <w:lang w:val="en-US"/>
        </w:rPr>
        <w:t>E</w:t>
      </w:r>
      <w:r w:rsidR="008310A8">
        <w:rPr>
          <w:rFonts w:ascii="Book Antiqua" w:eastAsia="SimSun" w:hAnsi="Book Antiqua" w:hint="eastAsia"/>
          <w:lang w:val="en-US" w:eastAsia="zh-CN"/>
        </w:rPr>
        <w:t xml:space="preserve"> and </w:t>
      </w:r>
      <w:r w:rsidRPr="00DF2968">
        <w:rPr>
          <w:rFonts w:ascii="Book Antiqua" w:hAnsi="Book Antiqua"/>
          <w:lang w:val="en-US"/>
        </w:rPr>
        <w:t>F).</w:t>
      </w:r>
    </w:p>
    <w:p w14:paraId="1B1EBAA5" w14:textId="5FD72174" w:rsidR="000309B1" w:rsidRPr="00DF2968" w:rsidRDefault="000309B1" w:rsidP="00A741A5">
      <w:pPr>
        <w:spacing w:line="360" w:lineRule="auto"/>
        <w:ind w:firstLineChars="100" w:firstLine="240"/>
        <w:jc w:val="both"/>
        <w:rPr>
          <w:rFonts w:ascii="Book Antiqua" w:hAnsi="Book Antiqua"/>
          <w:lang w:val="en-US"/>
        </w:rPr>
      </w:pPr>
      <w:r w:rsidRPr="00DF2968">
        <w:rPr>
          <w:rFonts w:ascii="Book Antiqua" w:hAnsi="Book Antiqua"/>
          <w:lang w:val="en-US"/>
        </w:rPr>
        <w:t>In Mz-Ch-1 cells, protein levels of Bcl-2 were reduced after treatment with cisplatin single treatment, cisplatin/BI6727 combination treatment, and especially BI6727 single treatment (</w:t>
      </w:r>
      <w:r w:rsidR="002A1AA0">
        <w:rPr>
          <w:rFonts w:ascii="Book Antiqua" w:hAnsi="Book Antiqua"/>
          <w:lang w:val="en-US"/>
        </w:rPr>
        <w:t>Figure</w:t>
      </w:r>
      <w:r w:rsidRPr="00DF2968">
        <w:rPr>
          <w:rFonts w:ascii="Book Antiqua" w:hAnsi="Book Antiqua"/>
          <w:lang w:val="en-US"/>
        </w:rPr>
        <w:t xml:space="preserve"> 3</w:t>
      </w:r>
      <w:r w:rsidR="00B2604C" w:rsidRPr="008310A8">
        <w:rPr>
          <w:rFonts w:ascii="Book Antiqua" w:hAnsi="Book Antiqua"/>
          <w:lang w:val="en-US"/>
        </w:rPr>
        <w:t>G</w:t>
      </w:r>
      <w:r w:rsidR="008310A8">
        <w:rPr>
          <w:rFonts w:ascii="Book Antiqua" w:eastAsia="SimSun" w:hAnsi="Book Antiqua" w:hint="eastAsia"/>
          <w:lang w:val="en-US" w:eastAsia="zh-CN"/>
        </w:rPr>
        <w:t xml:space="preserve"> and </w:t>
      </w:r>
      <w:r w:rsidR="00B2604C" w:rsidRPr="008310A8">
        <w:rPr>
          <w:rFonts w:ascii="Book Antiqua" w:hAnsi="Book Antiqua"/>
          <w:lang w:val="en-US"/>
        </w:rPr>
        <w:t>H</w:t>
      </w:r>
      <w:r w:rsidRPr="00DF2968">
        <w:rPr>
          <w:rFonts w:ascii="Book Antiqua" w:hAnsi="Book Antiqua"/>
          <w:lang w:val="en-US"/>
        </w:rPr>
        <w:t>). To assess whether the Bcl-2 decrease is a result of proteasomal degradation, cells were co-treated with the potent proteasome inhibitor MG-132. Indeed, inhibition of proteasomal degradation by co-treatment of BI6727 with MG-132 restored Bcl-2 to normal levels similar to the vehicle control.</w:t>
      </w:r>
    </w:p>
    <w:p w14:paraId="3B9A7721" w14:textId="77777777" w:rsidR="004A0FB6" w:rsidRDefault="000309B1" w:rsidP="00A741A5">
      <w:pPr>
        <w:spacing w:line="360" w:lineRule="auto"/>
        <w:ind w:firstLineChars="100" w:firstLine="240"/>
        <w:jc w:val="both"/>
        <w:rPr>
          <w:rFonts w:ascii="Book Antiqua" w:eastAsia="SimSun" w:hAnsi="Book Antiqua"/>
          <w:lang w:val="en-US" w:eastAsia="zh-CN"/>
        </w:rPr>
      </w:pPr>
      <w:r w:rsidRPr="00DF2968">
        <w:rPr>
          <w:rFonts w:ascii="Book Antiqua" w:hAnsi="Book Antiqua"/>
          <w:lang w:val="en-US"/>
        </w:rPr>
        <w:t>Thus, PLK inhibition reduces Bcl-2 protein levels in a posttranslational manner by proteasomal degradation resulting in enhanced apoptosis (</w:t>
      </w:r>
      <w:r w:rsidR="002A1AA0">
        <w:rPr>
          <w:rFonts w:ascii="Book Antiqua" w:hAnsi="Book Antiqua"/>
          <w:lang w:val="en-US"/>
        </w:rPr>
        <w:t>Figure</w:t>
      </w:r>
      <w:r w:rsidRPr="004A0FB6">
        <w:rPr>
          <w:rFonts w:ascii="Book Antiqua" w:hAnsi="Book Antiqua"/>
          <w:lang w:val="en-US"/>
        </w:rPr>
        <w:t xml:space="preserve"> 3</w:t>
      </w:r>
      <w:r w:rsidR="00B2604C" w:rsidRPr="004A0FB6">
        <w:rPr>
          <w:rFonts w:ascii="Book Antiqua" w:hAnsi="Book Antiqua"/>
          <w:lang w:val="en-US"/>
        </w:rPr>
        <w:t>G</w:t>
      </w:r>
      <w:r w:rsidR="004A0FB6" w:rsidRPr="004A0FB6">
        <w:rPr>
          <w:rFonts w:ascii="Book Antiqua" w:eastAsia="SimSun" w:hAnsi="Book Antiqua" w:hint="eastAsia"/>
          <w:lang w:val="en-US" w:eastAsia="zh-CN"/>
        </w:rPr>
        <w:t xml:space="preserve"> and </w:t>
      </w:r>
      <w:r w:rsidR="00B2604C" w:rsidRPr="004A0FB6">
        <w:rPr>
          <w:rFonts w:ascii="Book Antiqua" w:hAnsi="Book Antiqua"/>
          <w:lang w:val="en-US"/>
        </w:rPr>
        <w:t>H</w:t>
      </w:r>
      <w:r w:rsidRPr="004A0FB6">
        <w:rPr>
          <w:rFonts w:ascii="Book Antiqua" w:hAnsi="Book Antiqua"/>
          <w:lang w:val="en-US"/>
        </w:rPr>
        <w:t>).</w:t>
      </w:r>
    </w:p>
    <w:p w14:paraId="32034AB3" w14:textId="77777777" w:rsidR="004A0FB6" w:rsidRDefault="004A0FB6" w:rsidP="00A741A5">
      <w:pPr>
        <w:spacing w:line="360" w:lineRule="auto"/>
        <w:jc w:val="both"/>
        <w:rPr>
          <w:rFonts w:ascii="Book Antiqua" w:eastAsia="SimSun" w:hAnsi="Book Antiqua"/>
          <w:b/>
          <w:caps/>
          <w:lang w:val="en-US" w:eastAsia="zh-CN"/>
        </w:rPr>
      </w:pPr>
    </w:p>
    <w:p w14:paraId="4971B9B8" w14:textId="33BCA6A1" w:rsidR="000309B1" w:rsidRPr="00DF2968" w:rsidRDefault="000309B1" w:rsidP="00A741A5">
      <w:pPr>
        <w:spacing w:line="360" w:lineRule="auto"/>
        <w:jc w:val="both"/>
        <w:rPr>
          <w:rFonts w:ascii="Book Antiqua" w:hAnsi="Book Antiqua"/>
          <w:b/>
          <w:lang w:val="en-US"/>
        </w:rPr>
      </w:pPr>
      <w:r w:rsidRPr="004A0FB6">
        <w:rPr>
          <w:rFonts w:ascii="Book Antiqua" w:hAnsi="Book Antiqua"/>
          <w:b/>
          <w:caps/>
          <w:lang w:val="en-US"/>
        </w:rPr>
        <w:t>Discussion</w:t>
      </w:r>
    </w:p>
    <w:p w14:paraId="2AEEAA9A" w14:textId="43558F3E" w:rsidR="000309B1" w:rsidRPr="00DF2968" w:rsidRDefault="000309B1" w:rsidP="00A741A5">
      <w:pPr>
        <w:spacing w:line="360" w:lineRule="auto"/>
        <w:jc w:val="both"/>
        <w:rPr>
          <w:rFonts w:ascii="Book Antiqua" w:hAnsi="Book Antiqua" w:cs="Arial"/>
          <w:lang w:val="en-US"/>
        </w:rPr>
      </w:pPr>
      <w:r w:rsidRPr="00DF2968">
        <w:rPr>
          <w:rFonts w:ascii="Book Antiqua" w:hAnsi="Book Antiqua" w:cs="Arial"/>
          <w:lang w:val="en-US"/>
        </w:rPr>
        <w:t xml:space="preserve">This study reveals </w:t>
      </w:r>
      <w:r w:rsidRPr="00DF2968">
        <w:rPr>
          <w:rFonts w:ascii="Book Antiqua" w:hAnsi="Book Antiqua"/>
          <w:lang w:val="en-US"/>
        </w:rPr>
        <w:t>an additional pro-apoptotic effect of polo-like kinase inhibition in CCA cell lines. The findings indicate that the cytotoxic effect of cisplatin can be enhanced by co-treatment with the PLK inhibitor BI6727 and tha</w:t>
      </w:r>
      <w:r w:rsidR="009F68B7" w:rsidRPr="00DF2968">
        <w:rPr>
          <w:rFonts w:ascii="Book Antiqua" w:hAnsi="Book Antiqua"/>
          <w:lang w:val="en-US"/>
        </w:rPr>
        <w:t xml:space="preserve">t PLK inhibition (beside Mcl-1) </w:t>
      </w:r>
      <w:r w:rsidRPr="00DF2968">
        <w:rPr>
          <w:rFonts w:ascii="Book Antiqua" w:hAnsi="Book Antiqua"/>
          <w:lang w:val="en-US"/>
        </w:rPr>
        <w:t>decreases Bcl-2 via its proteasomal degradation</w:t>
      </w:r>
      <w:r w:rsidR="00EC6668" w:rsidRPr="00DF2968">
        <w:rPr>
          <w:rFonts w:ascii="Book Antiqua" w:hAnsi="Book Antiqua"/>
          <w:vertAlign w:val="superscript"/>
          <w:lang w:val="en-US"/>
        </w:rPr>
        <w:fldChar w:fldCharType="begin"/>
      </w:r>
      <w:r w:rsidR="00CB3D0C" w:rsidRPr="00DF2968">
        <w:rPr>
          <w:rFonts w:ascii="Book Antiqua" w:hAnsi="Book Antiqua"/>
          <w:vertAlign w:val="superscript"/>
          <w:lang w:val="en-US"/>
        </w:rPr>
        <w:instrText xml:space="preserve"> ADDIN ZOTERO_ITEM CSL_CITATION {"citationID":"1sdlrlvslt","properties":{"formattedCitation":"[8]","plainCitation":"[8]"},"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vertAlign w:val="superscript"/>
          <w:lang w:val="en-US"/>
        </w:rPr>
        <w:fldChar w:fldCharType="separate"/>
      </w:r>
      <w:r w:rsidR="00CB3D0C" w:rsidRPr="00DF2968">
        <w:rPr>
          <w:rFonts w:ascii="Book Antiqua" w:hAnsi="Book Antiqua" w:cs="Arial"/>
          <w:vertAlign w:val="superscript"/>
          <w:lang w:val="en-US"/>
        </w:rPr>
        <w:t>[8]</w:t>
      </w:r>
      <w:r w:rsidR="00EC6668" w:rsidRPr="00DF2968">
        <w:rPr>
          <w:rFonts w:ascii="Book Antiqua" w:hAnsi="Book Antiqua"/>
          <w:vertAlign w:val="superscript"/>
          <w:lang w:val="en-US"/>
        </w:rPr>
        <w:fldChar w:fldCharType="end"/>
      </w:r>
      <w:r w:rsidRPr="00DF2968">
        <w:rPr>
          <w:rFonts w:ascii="Book Antiqua" w:hAnsi="Book Antiqua"/>
          <w:lang w:val="en-US"/>
        </w:rPr>
        <w:t>.</w:t>
      </w:r>
    </w:p>
    <w:p w14:paraId="211398DC" w14:textId="5B2B3EE7" w:rsidR="000309B1" w:rsidRPr="00DF2968" w:rsidRDefault="000309B1" w:rsidP="00A741A5">
      <w:pPr>
        <w:spacing w:line="360" w:lineRule="auto"/>
        <w:ind w:firstLineChars="100" w:firstLine="240"/>
        <w:jc w:val="both"/>
        <w:rPr>
          <w:rFonts w:ascii="Book Antiqua" w:hAnsi="Book Antiqua" w:cs="Arial"/>
          <w:lang w:val="en-US"/>
        </w:rPr>
      </w:pPr>
      <w:r w:rsidRPr="00DF2968">
        <w:rPr>
          <w:rFonts w:ascii="Book Antiqua" w:hAnsi="Book Antiqua" w:cs="Arial"/>
          <w:lang w:val="en-US"/>
        </w:rPr>
        <w:lastRenderedPageBreak/>
        <w:t>Cholangiocellular carcinoma represents a deadly disease with rising prevalence in Western countries and its pathogenesis is understood insufficiently. Effective treatment options are still rare due to missing understanding of pathogenic mechanisms. TRAIL has been discussed as an effective agent to target tumor cell growth and to support existing therapy option</w:t>
      </w:r>
      <w:r w:rsidR="004A0FB6">
        <w:rPr>
          <w:rFonts w:ascii="Book Antiqua" w:hAnsi="Book Antiqua" w:cs="Arial"/>
          <w:lang w:val="en-US"/>
        </w:rPr>
        <w:t>s in different types of cancers</w:t>
      </w:r>
      <w:r w:rsidR="00EC6668" w:rsidRPr="004A0FB6">
        <w:rPr>
          <w:rFonts w:ascii="Book Antiqua" w:hAnsi="Book Antiqua" w:cs="Arial"/>
          <w:vertAlign w:val="superscript"/>
          <w:lang w:val="en-US"/>
        </w:rPr>
        <w:fldChar w:fldCharType="begin"/>
      </w:r>
      <w:r w:rsidR="00E17EE7" w:rsidRPr="004A0FB6">
        <w:rPr>
          <w:rFonts w:ascii="Book Antiqua" w:hAnsi="Book Antiqua" w:cs="Arial"/>
          <w:vertAlign w:val="superscript"/>
          <w:lang w:val="en-US"/>
        </w:rPr>
        <w:instrText xml:space="preserve"> ADDIN ZOTERO_ITEM CSL_CITATION {"citationID":"241h0adf7r","properties":{"formattedCitation":"{\\rtf [30\\uc0\\u8211{}32]}","plainCitation":"[30–32]"},"citationItems":[{"id":1072,"uris":["http://zotero.org/users/local/AzZugh3l/items/3JNHH86W"],"uri":["http://zotero.org/users/local/AzZugh3l/items/3JNHH86W"],"itemData":{"id":1072,"type":"article-journal","title":"Oxidative Stress Sensitizes Bladder Cancer Cells to TRAIL Mediated Apoptosis by Down-Regulating Anti-Apoptotic Proteins","container-title":"The Journal of Urology","volume":"In Press, Corrected Proof","source":"ScienceDirect","abstract":"Purpose\nTRAIL, an endogenous protein involved in immunosurveillance and a novel drug in clinical trials, is of particular interest as cancer therapy because it can induce apoptosis in cancer cells but not in normal cells. Since some cancers develop resistance to TRAIL, safe and effective methods of TRAIL sensitization are of clinical interest. We explored how chemotherapy and oxidative stress affect TRAIL sensitivity and expression of proteins in the apoptotic pathway.Materials and Methods\nSensitivity to TRAIL was assessed in viability assays. Apoptosis was measured by caspase-3/7 activity and/or nuclear condensation using Hoechst staining. Western blotting was used to determine cleavage, phosphorylation or alterations in protein expression.Results\nTRAIL decreased the viability of 5637 but not of J82 or T24 bladder carcinoma cells (ATCC®). Chemotherapy with doxorubicin or cisplatin (Ben Venue Laboratories, Bedford, Ohio) decreased the expression of the anti-apoptotic protein cFLIPS and increased caspase-8 cleavage, reversing TRAIL resistance in T24 cells. Specific targeting of cFLIPS by siRNA was insufficient for sensitization to TRAIL in T24 cells. However, chemotherapy mediated TRAIL sensitization was mimicked by low concentrations of H2O2, which resulted in the phosphorylation of translation EF2 and decreased the expression of several short half-life, anti-apoptotic proteins, including FLIPS, XIAP and survivin.Conclusions\nInducing oxidative stress by low H2O2 concentrations may reverse TRAIL resistance. This warrants the further exploration of H2O2 as an adjuvant intravesical treatment to lower the apoptotic threshold of bladder cancer cells.","URL":"http://www.sciencedirect.com/science/article/B7XMT-4WTHB7S-4/2/b1108009e5e809d9a194bc8f7309b24e","DOI":"10.1016/j.juro.2009.05.005","ISSN":"0022-5347","author":[{"family":"White-Gilbertson","given":"Shai J."},{"family":"Kasman","given":"Laura"},{"family":"McKillop","given":"John"},{"family":"Tirodkar","given":"Tejas"},{"family":"Lu","given":"Ping"},{"family":"Voelkel-Johnson","given":"Christina"}],"issued":{"date-parts":[["2009",8,7]]},"accessed":{"date-parts":[["2009",8,7]]}}},{"id":1565,"uris":["http://zotero.org/users/local/AzZugh3l/items/5B43SFWK"],"uri":["http://zotero.org/users/local/AzZugh3l/items/5B43SFWK"],"itemData":{"id":1565,"type":"article-journal","title":"Critical roles of TRAIL in hepatic cell death and hepatic inflammation","container-title":"The Journal of Clinical Investigation","page":"58-64","volume":"113","issue":"1","source":"PubMed","abstract":"The TNF-related apoptosis-inducing ligand (TRAIL) induces apoptosis of tumor cells but not most normal cells. Its role in hepatic cell death and hepatic diseases is not clear. In vitro studies suggest that murine hepatocytes are not sensitive to TRAIL-induced apoptosis, indicating that TRAIL may not mediate hepatic cell death. Using two experimental models of hepatitis, we found that hepatic cell death in vivo was dramatically reduced in TRAIL-deficient mice and mice treated with a blocking TRAIL receptor. Although both TRAIL and its death receptor 5 were constitutively expressed in the liver, TRAIL expression by immune cells alone was sufficient to restore the sensitivity of TRAIL-deficient mice to hepatitis. Thus, TRAIL plays a crucial role in hepatic cell death and hepatic inflammation.","DOI":"10.1172/JCI19255","ISSN":"0021-9738","note":"PMID: 14702109\nPMCID: PMC300768","journalAbbreviation":"J. Clin. Invest.","language":"eng","author":[{"family":"Zheng","given":"Shi-Jun"},{"family":"Wang","given":"Pu"},{"family":"Tsabary","given":"Galit"},{"family":"Chen","given":"Youhai H."}],"issued":{"date-parts":[["2004",1]]}}},{"id":1563,"uris":["http://zotero.org/users/local/AzZugh3l/items/ZBTH7XFA"],"uri":["http://zotero.org/users/local/AzZugh3l/items/ZBTH7XFA"],"itemData":{"id":1563,"type":"article-journal","title":"Combined effect of tumor necrosis factor-related apoptosis-inducing ligand and ionizing radiation in breast cancer therapy","container-title":"Proceedings of the National Academy of Sciences of the United States of America","page":"1754-1759","volume":"97","issue":"4","source":"PubMed","abstract":"Tumor necrosis factor-related apoptosis-inducing ligand (TRAIL) is a potent endogenous activator of the cell death pathway and functions by activating the cell surface death receptors 4 and 5 (DR4 and DR5). TRAIL is nontoxic in vivo and preferentially kills neoplastically transformed cells over normal cells by an undefined mechanism. Radiotherapy is a common treatment for breast cancer as well as many other cancers. Here we demonstrate that ionizing radiation can sensitize breast carcinoma cells to TRAIL-induced apoptosis. This synergistic effect is p53-dependent and may be the result of radiation-induced up-regulation of the TRAIL-receptor DR5. Importantly, TRAIL and ionizing radiation have a synergistic effect in the regression of established breast cancer xenografts. Changes in tumor cellularity and extracellular space were monitored in vivo by diffusion-weighted magnetic resonance imaging (diffusion MRI), a noninvasive technique to produce quantitative images of the apparent mobility of water within a tissue. Increased water mobility was observed in combined TRAIL- and radiation-treated tumors but not in tumors treated with TRAIL or radiation alone. Histological analysis confirmed the loss of cellularity and increased numbers of apoptotic cells in TRAIL- and radiation-treated tumors. Taken together, our results provide support for combining radiation with TRAIL to improve tumor eradication and suggest that efficacy of apoptosis-inducing cancer therapies may be monitored noninvasively, using diffusion MRI.","DOI":"10.1073/pnas.030545097","ISSN":"0027-8424","note":"PMID: 10677530\nPMCID: PMC26508","journalAbbreviation":"Proc. Natl. Acad. Sci. U.S.A.","language":"eng","author":[{"family":"Chinnaiyan","given":"A. M."},{"family":"Prasad","given":"U."},{"family":"Shankar","given":"S."},{"family":"Hamstra","given":"D. A."},{"family":"Shanaiah","given":"M."},{"family":"Chenevert","given":"T. L."},{"family":"Ross","given":"B. D."},{"family":"Rehemtulla","given":"A."}],"issued":{"date-parts":[["2000",2,15]]}}}],"schema":"https://github.com/citation-style-language/schema/raw/master/csl-citation.json"} </w:instrText>
      </w:r>
      <w:r w:rsidR="00EC6668" w:rsidRPr="004A0FB6">
        <w:rPr>
          <w:rFonts w:ascii="Book Antiqua" w:hAnsi="Book Antiqua" w:cs="Arial"/>
          <w:vertAlign w:val="superscript"/>
          <w:lang w:val="en-US"/>
        </w:rPr>
        <w:fldChar w:fldCharType="separate"/>
      </w:r>
      <w:r w:rsidR="00E17EE7" w:rsidRPr="004A0FB6">
        <w:rPr>
          <w:rFonts w:ascii="Book Antiqua" w:hAnsi="Book Antiqua" w:cs="Arial"/>
          <w:vertAlign w:val="superscript"/>
          <w:lang w:val="en-US"/>
        </w:rPr>
        <w:t>[30–32]</w:t>
      </w:r>
      <w:r w:rsidR="00EC6668" w:rsidRPr="004A0FB6">
        <w:rPr>
          <w:rFonts w:ascii="Book Antiqua" w:hAnsi="Book Antiqua" w:cs="Arial"/>
          <w:vertAlign w:val="superscript"/>
          <w:lang w:val="en-US"/>
        </w:rPr>
        <w:fldChar w:fldCharType="end"/>
      </w:r>
      <w:r w:rsidRPr="00DF2968">
        <w:rPr>
          <w:rFonts w:ascii="Book Antiqua" w:hAnsi="Book Antiqua" w:cs="Arial"/>
          <w:lang w:val="en-US"/>
        </w:rPr>
        <w:t xml:space="preserve">. However CCA tumor cells already express TRAIL and its cognate receptor </w:t>
      </w:r>
      <w:r w:rsidRPr="00DF2968">
        <w:rPr>
          <w:rFonts w:ascii="Book Antiqua" w:hAnsi="Book Antiqua" w:cs="Arial"/>
          <w:i/>
          <w:lang w:val="en-US"/>
        </w:rPr>
        <w:t>in vivo</w:t>
      </w:r>
      <w:r w:rsidR="004A0FB6">
        <w:rPr>
          <w:rFonts w:ascii="Book Antiqua" w:hAnsi="Book Antiqua" w:cs="Arial"/>
          <w:lang w:val="en-US"/>
        </w:rPr>
        <w:t xml:space="preserve"> but are resistant to TRAIL</w:t>
      </w:r>
      <w:r w:rsidR="00EC6668" w:rsidRPr="00DF2968">
        <w:rPr>
          <w:rFonts w:ascii="Book Antiqua" w:hAnsi="Book Antiqua" w:cs="Arial"/>
          <w:vertAlign w:val="superscript"/>
          <w:lang w:val="en-US"/>
        </w:rPr>
        <w:fldChar w:fldCharType="begin"/>
      </w:r>
      <w:r w:rsidR="00CB3D0C" w:rsidRPr="00DF2968">
        <w:rPr>
          <w:rFonts w:ascii="Book Antiqua" w:hAnsi="Book Antiqua" w:cs="Arial"/>
          <w:vertAlign w:val="superscript"/>
          <w:lang w:val="en-US"/>
        </w:rPr>
        <w:instrText xml:space="preserve"> ADDIN ZOTERO_ITEM CSL_CITATION {"citationID":"1a0kvh3u38","properties":{"formattedCitation":"[14]","plainCitation":"[14]"},"citationItems":[{"id":1545,"uris":["http://zotero.org/users/local/AzZugh3l/items/K6MK7QD7"],"uri":["http://zotero.org/users/local/AzZugh3l/items/K6MK7QD7"],"itemData":{"id":1545,"type":"article-journal","title":"A smac mimetic reduces TNF related apoptosis inducing ligand (TRAIL)-induced invasion and metastasis of cholangiocarcinoma cells","container-title":"Hepatology (Baltimore, Md.)","page":"550-561","volume":"52","issue":"2","source":"PubMed","abstract":"Cholangiocarcinoma (CCA) cells paradoxically express tumor necrosis factor-related apoptosis-inducing ligand (TRAIL), a death ligand that, failing to kill CCA cells, instead promotes their tumorigenicity and especially the metastatic behaviors of cell migration and invasion. Second mitochondria-derived activator of caspase (smac) mimetics are promising cancer therapeutic agents that enhance proapoptotic death receptor signaling by causing cellular degradation of inhibitor of apoptosis (IAP) proteins. Our aim was to examine the in vitro and in vivo effects of the smac mimetic JP1584 in CCA. Despite JP1584-mediated loss of cellular inhibitor of apoptosis-1 (cIAP-1) and cIAP-2, TRAIL failed to induce apoptosis in KMCH-1, TFK-1, and BDEneu CCA cells; a finding consistent with a downstream block in death signaling. Because cIAP-1 and cIAP-2 also promote nuclear factor kappa B (NF-kappaB) activation by the canonical pathway, the effect of JP1584 on this signaling pathway was examined. Treatment with JP1584 inhibited TRAIL-induced NF-kappaB activation as well as TRAIL-mediated up-regulation of the NF-kappaB target gene, matrix metalloproteinase 7 (MMP7). JP1584 also reduced TRAIL-mediated CCA cell migration and invasion in vitro. Finally, in a syngeneic rat orthotopic CCA model, JP1584 administration reduced MMP7 messenger RNA levels and extrahepatic metastases.\nCONCLUSION: : Although the smac mimetic JP1584 does not sensitize cells to apoptosis, it reduces TRAIL-induced CCA cell metastatic behavior. These data support the emerging concept that IAPs are prometastatic and represent targets for antimetastatic therapies.","DOI":"10.1002/hep.23729","ISSN":"1527-3350","note":"PMID: 20683954\nPMCID: PMC2957364","journalAbbreviation":"Hepatology","language":"eng","author":[{"family":"Fingas","given":"Christian D."},{"family":"Blechacz","given":"Boris R. A."},{"family":"Smoot","given":"Rory L."},{"family":"Guicciardi","given":"Maria E."},{"family":"Mott","given":"Justin"},{"family":"Bronk","given":"Steve F."},{"family":"Werneburg","given":"Nathan W."},{"family":"Sirica","given":"Alphonse E."},{"family":"Gores","given":"Gregory J."}],"issued":{"date-parts":[["2010",8]]}}}],"schema":"https://github.com/citation-style-language/schema/raw/master/csl-citation.json"} </w:instrText>
      </w:r>
      <w:r w:rsidR="00EC6668" w:rsidRPr="00DF2968">
        <w:rPr>
          <w:rFonts w:ascii="Book Antiqua" w:hAnsi="Book Antiqua" w:cs="Arial"/>
          <w:vertAlign w:val="superscript"/>
          <w:lang w:val="en-US"/>
        </w:rPr>
        <w:fldChar w:fldCharType="separate"/>
      </w:r>
      <w:r w:rsidR="00CB3D0C" w:rsidRPr="00DF2968">
        <w:rPr>
          <w:rFonts w:ascii="Book Antiqua" w:hAnsi="Book Antiqua" w:cs="Arial"/>
          <w:vertAlign w:val="superscript"/>
          <w:lang w:val="en-US"/>
        </w:rPr>
        <w:t>[14]</w:t>
      </w:r>
      <w:r w:rsidR="00EC6668" w:rsidRPr="00DF2968">
        <w:rPr>
          <w:rFonts w:ascii="Book Antiqua" w:hAnsi="Book Antiqua" w:cs="Arial"/>
          <w:vertAlign w:val="superscript"/>
          <w:lang w:val="en-US"/>
        </w:rPr>
        <w:fldChar w:fldCharType="end"/>
      </w:r>
      <w:r w:rsidRPr="00DF2968">
        <w:rPr>
          <w:rFonts w:ascii="Book Antiqua" w:hAnsi="Book Antiqua" w:cs="Arial"/>
          <w:lang w:val="en-US"/>
        </w:rPr>
        <w:t xml:space="preserve">. Many other pathways and factors regulating cell growth, migration and invasion have become potential targets in cancer therapy, such as the </w:t>
      </w:r>
      <w:r w:rsidR="00856222" w:rsidRPr="00DF2968">
        <w:rPr>
          <w:rFonts w:ascii="Book Antiqua" w:hAnsi="Book Antiqua" w:cs="Arial"/>
          <w:lang w:val="en-US"/>
        </w:rPr>
        <w:t>W</w:t>
      </w:r>
      <w:r w:rsidRPr="00DF2968">
        <w:rPr>
          <w:rFonts w:ascii="Book Antiqua" w:hAnsi="Book Antiqua" w:cs="Arial"/>
          <w:lang w:val="en-US"/>
        </w:rPr>
        <w:t xml:space="preserve">nt, </w:t>
      </w:r>
      <w:r w:rsidR="00856222" w:rsidRPr="00DF2968">
        <w:rPr>
          <w:rFonts w:ascii="Book Antiqua" w:hAnsi="Book Antiqua" w:cs="Arial"/>
          <w:lang w:val="en-US"/>
        </w:rPr>
        <w:t>N</w:t>
      </w:r>
      <w:r w:rsidRPr="00DF2968">
        <w:rPr>
          <w:rFonts w:ascii="Book Antiqua" w:hAnsi="Book Antiqua" w:cs="Arial"/>
          <w:lang w:val="en-US"/>
        </w:rPr>
        <w:t>otch or Hh pathway (which has already bee</w:t>
      </w:r>
      <w:r w:rsidR="004A0FB6">
        <w:rPr>
          <w:rFonts w:ascii="Book Antiqua" w:hAnsi="Book Antiqua" w:cs="Arial"/>
          <w:lang w:val="en-US"/>
        </w:rPr>
        <w:t>n associated to PLK)</w:t>
      </w:r>
      <w:r w:rsidR="00EC6668" w:rsidRPr="00DF2968">
        <w:rPr>
          <w:rFonts w:ascii="Book Antiqua" w:hAnsi="Book Antiqua" w:cs="Arial"/>
          <w:vertAlign w:val="superscript"/>
          <w:lang w:val="en-US"/>
        </w:rPr>
        <w:fldChar w:fldCharType="begin"/>
      </w:r>
      <w:r w:rsidR="00E17EE7" w:rsidRPr="00DF2968">
        <w:rPr>
          <w:rFonts w:ascii="Book Antiqua" w:hAnsi="Book Antiqua" w:cs="Arial"/>
          <w:vertAlign w:val="superscript"/>
          <w:lang w:val="en-US"/>
        </w:rPr>
        <w:instrText xml:space="preserve"> ADDIN ZOTERO_ITEM CSL_CITATION {"citationID":"2iqmnjro0j","properties":{"formattedCitation":"{\\rtf [8,33\\uc0\\u8211{}35]}","plainCitation":"[8,33–35]"},"citationItems":[{"id":1567,"uris":["http://zotero.org/users/local/AzZugh3l/items/AM3Z4VHN"],"uri":["http://zotero.org/users/local/AzZugh3l/items/AM3Z4VHN"],"itemData":{"id":1567,"type":"article-journal","title":"WNT signaling drives cholangiocarcinoma growth and can be pharmacologically inhibited","container-title":"The Journal of Clinical Investigation","page":"1269-1285","volume":"125","issue":"3","source":"PubMed","abstract":"Cholangiocarcinoma (CC) is typically diagnosed at an advanced stage and is refractory to surgical intervention and chemotherapy. Despite a global increase in the incidence of CC, little progress has been made toward the development of treatments for this cancer. Here we utilized human tissue; CC cell xenografts; a p53-deficient transgenic mouse model; and a non-transgenic, chemically induced rat model of CC that accurately reflects both the inflammatory and regenerative background associated with human CC pathology. Using these systems, we determined that the WNT pathway is highly activated in CCs and that inflammatory macrophages are required to establish this WNT-high state in vivo. Moreover, depletion of macrophages or inhibition of WNT signaling with one of two small molecule WNT inhibitors in mouse and rat CC models markedly reduced CC proliferation and increased apoptosis, resulting in tumor regression. Together, these results demonstrate that enhanced WNT signaling is a characteristic of CC and suggest that targeting WNT signaling pathways has potential as a therapeutic strategy for CC.","DOI":"10.1172/JCI76452","ISSN":"1558-8238","note":"PMID: 25689248\nPMCID: PMC4362247","journalAbbreviation":"J. Clin. Invest.","language":"eng","author":[{"family":"Boulter","given":"Luke"},{"family":"Guest","given":"Rachel V."},{"family":"Kendall","given":"Timothy J."},{"family":"Wilson","given":"David H."},{"family":"Wojtacha","given":"Davina"},{"family":"Robson","given":"Andrew J."},{"family":"Ridgway","given":"Rachel A."},{"family":"Samuel","given":"Kay"},{"family":"Van Rooijen","given":"Nico"},{"family":"Barry","given":"Simon T."},{"family":"Wigmore","given":"Stephen J."},{"family":"Sansom","given":"Owen J."},{"family":"Forbes","given":"Stuart J."}],"issued":{"date-parts":[["2015",3,2]]}}},{"id":1569,"uris":["http://zotero.org/users/local/AzZugh3l/items/RZ8GN447"],"uri":["http://zotero.org/users/local/AzZugh3l/items/RZ8GN447"],"itemData":{"id":1569,"type":"article-journal","title":"A critical role for notch signaling in the formation of cholangiocellular carcinomas","container-title":"Cancer Cell","page":"784-795","volume":"23","issue":"6","source":"PubMed","abstract":"The incidence of cholangiocellular carcinoma (CCC) is increasing worldwide. Using a transgenic mouse model, we found that expression of the intracellular domain of Notch 1 (NICD) in mouse livers results in the formation of intrahepatic CCCs. These tumors display features of bipotential hepatic progenitor cells, indicating that intrahepatic CCC can originate from this cell type. We show that human and mouse CCCs are characterized by high expression of the cyclin E protein and identified the cyclin E gene as a direct transcriptional target of the Notch signaling pathway. Intriguingly, blocking γ-secretase activity in human CCC xenotransplants results in downregulation of cyclin E expression, induction of apoptosis, and tumor remission in vivo.","DOI":"10.1016/j.ccr.2013.04.019","ISSN":"1878-3686","note":"PMID: 23727022","journalAbbreviation":"Cancer Cell","language":"eng","author":[{"family":"Zender","given":"Steffen"},{"family":"Nickeleit","given":"Irina"},{"family":"Wuestefeld","given":"Torsten"},{"family":"Sörensen","given":"Inga"},{"family":"Dauch","given":"Daniel"},{"family":"Bozko","given":"Przemyslaw"},{"family":"El-Khatib","given":"Mona"},{"family":"Geffers","given":"Robert"},{"family":"Bektas","given":"Hueseyin"},{"family":"Manns","given":"Michael P."},{"family":"Gossler","given":"Achim"},{"family":"Wilkens","given":"Ludwig"},{"family":"Plentz","given":"Ruben"},{"family":"Zender","given":"Lars"},{"family":"Malek","given":"Nisar P."}],"issued":{"date-parts":[["2013",6,10]]}}},{"id":230,"uris":["http://zotero.org/users/local/AzZugh3l/items/PJGNIKM7"],"uri":["http://zotero.org/users/local/AzZugh3l/items/PJGNIKM7"],"itemData":{"id":230,"type":"article-journal","title":"Polo-like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J"}],"issued":{"date-parts":[["2013",10]]}}},{"id":1300,"uris":["http://zotero.org/users/local/AzZugh3l/items/CN9NRM9P"],"uri":["http://zotero.org/users/local/AzZugh3l/items/CN9NRM9P"],"itemData":{"id":1300,"type":"article-journal","title":"Hedgehog inhibition reduces angiogenesis by downregulation of tumoral VEGF-A expression in hepatocellular carcinoma","container-title":"United European Gastroenterology Journal","page":"265-275","volume":"1","issue":"4","source":"NCBI PubMed","abstract":"BACKGROUND: Dysregulation and activation of Hedgehog (Hh) signalling may contribute to tumorigenesis, angiogenesis, and metastatic seeding in several solid tumours.\nOBJECTIVE: We investigated the impact of Hh inhibition on tumour growth and angiogenesis using in-vitro and in-vivo models of hepatocellular carcinoma (HCC).\nMETHODS: The effect of the Hh pathway inhibitor GDC-0449 on tumour growth was investigated using an orthotopic rat model. Effects on angiogenesis were determined by immunohistochemical staining of von Willebrand factor antigen and by assessing the mRNA expression of several angiogenic factors. In vitro, HCC cell lines were treated with GDC-0449 and evaluated for viability and expression of vascular endothelial growth factor (VEGF). Endothelial cells were evaluated for viability, migration, and tube formation.\nRESULTS: In the orthotopic HCC model, GDC-0449 significantly decreased tumoral VEGF expression which was accompanied by a significant reduction of microvessel density and tumour growth. In HCC cells, GDC-0449 had no effect on cell growth but significantly reduced target gene regulation and VEGF expression while having no direct effect on endothelial cell viability, migration, and tube formation.\nCONCLUSIONS: Hh inhibition with GDC-0449 downregulates tumoral VEGF production in vitro and reduces tumoral VEGF expression, angiogenesis, and tumour growth in an orthotopic HCC model.","DOI":"10.1177/2050640613496605","ISSN":"2050-6406","journalAbbreviation":"United European Gastroenterol J","language":"eng","author":[{"family":"Pinter","given":"Matthias"},{"family":"Sieghart","given":"Wolfgang"},{"family":"Schmid","given":"Monika"},{"family":"Dauser","given":"Bernhard"},{"family":"Prager","given":"Gerald"},{"family":"Dienes","given":"Hans Peter"},{"family":"Trauner","given":"Michael"},{"family":"Peck-Radosavljevic","given":"Markus"}],"issued":{"date-parts":[["2013",8]]}}}],"schema":"https://github.com/citation-style-language/schema/raw/master/csl-citation.json"} </w:instrText>
      </w:r>
      <w:r w:rsidR="00EC6668" w:rsidRPr="00DF2968">
        <w:rPr>
          <w:rFonts w:ascii="Book Antiqua" w:hAnsi="Book Antiqua" w:cs="Arial"/>
          <w:vertAlign w:val="superscript"/>
          <w:lang w:val="en-US"/>
        </w:rPr>
        <w:fldChar w:fldCharType="separate"/>
      </w:r>
      <w:r w:rsidR="00E17EE7" w:rsidRPr="00026A8A">
        <w:rPr>
          <w:rFonts w:ascii="Book Antiqua" w:hAnsi="Book Antiqua" w:cs="Arial"/>
          <w:vertAlign w:val="superscript"/>
          <w:lang w:val="en-US"/>
        </w:rPr>
        <w:t>[8,33–35]</w:t>
      </w:r>
      <w:r w:rsidR="00EC6668" w:rsidRPr="00DF2968">
        <w:rPr>
          <w:rFonts w:ascii="Book Antiqua" w:hAnsi="Book Antiqua" w:cs="Arial"/>
          <w:vertAlign w:val="superscript"/>
          <w:lang w:val="en-US"/>
        </w:rPr>
        <w:fldChar w:fldCharType="end"/>
      </w:r>
      <w:r w:rsidRPr="00DF2968">
        <w:rPr>
          <w:rFonts w:ascii="Book Antiqua" w:hAnsi="Book Antiqua" w:cs="Arial"/>
          <w:lang w:val="en-US"/>
        </w:rPr>
        <w:t xml:space="preserve">. Various specific inhibitors are tested in different studies for their usability as potent anti-cancer drugs or </w:t>
      </w:r>
      <w:r w:rsidR="004A0FB6">
        <w:rPr>
          <w:rFonts w:ascii="Book Antiqua" w:hAnsi="Book Antiqua" w:cs="Arial"/>
          <w:lang w:val="en-US"/>
        </w:rPr>
        <w:t>additives to existing therapies</w:t>
      </w:r>
      <w:r w:rsidR="00EC6668" w:rsidRPr="00DF2968">
        <w:rPr>
          <w:rFonts w:ascii="Book Antiqua" w:hAnsi="Book Antiqua" w:cs="Arial"/>
          <w:vertAlign w:val="superscript"/>
          <w:lang w:val="en-US"/>
        </w:rPr>
        <w:fldChar w:fldCharType="begin"/>
      </w:r>
      <w:r w:rsidR="00E17EE7" w:rsidRPr="00DF2968">
        <w:rPr>
          <w:rFonts w:ascii="Book Antiqua" w:hAnsi="Book Antiqua" w:cs="Arial"/>
          <w:vertAlign w:val="superscript"/>
          <w:lang w:val="en-US"/>
        </w:rPr>
        <w:instrText xml:space="preserve"> ADDIN ZOTERO_ITEM CSL_CITATION {"citationID":"2fua6u5dl5","properties":{"formattedCitation":"[8,36]","plainCitation":"[8,36]"},"citationItems":[{"id":1581,"uris":["http://zotero.org/users/local/AzZugh3l/items/NCBUB337"],"uri":["http://zotero.org/users/local/AzZugh3l/items/NCBUB337"],"itemData":{"id":1581,"type":"article-journal","title":"BI 2536, a potent and selective inhibitor of polo-like kinase 1, inhibits tumor growth in vivo","container-title":"Current biology: CB","page":"316-322","volume":"17","issue":"4","source":"PubMed","abstract":"Fine-mapping of the cell-division cycle, notably the identification of mitotic kinase signaling pathways, provides novel opportunities for cancer-drug discovery. As a key regulator of multiple steps during mitotic progression across eukaryotic species, the serine/threonine-specific Polo-like kinase 1 (Plk1) is highly expressed in malignant cells and serves as a negative prognostic marker in specific human cancer types . Here, we report the discovery of a potent small-molecule inhibitor of mammalian Plk1, BI 2536, which inhibits Plk1 enzyme activity at low nanomolar concentrations. The compound potently causes a mitotic arrest and induces apoptosis in human cancer cell lines of diverse tissue origin and oncogenome signature. BI 2536 inhibits growth of human tumor xenografts in nude mice and induces regression of large tumors with well-tolerated intravenous dose regimens. In treated tumors, cells arrest in prometaphase, accumulate phosphohistone H3, and contain aberrant mitotic spindles. This mitotic arrest is followed by a surge in apoptosis, detectable by immunohistochemistry and noninvasive optical and magnetic resonance imaging. For addressing the therapeutic potential of Plk1 inhibition, BI 2536 has progressed into clinical studies in patients with locally advanced or metastatic cancers.","DOI":"10.1016/j.cub.2006.12.037","ISSN":"0960-9822","note":"PMID: 17291758","journalAbbreviation":"Curr. Biol.","language":"eng","author":[{"family":"Steegmaier","given":"Martin"},{"family":"Hoffmann","given":"Matthias"},{"family":"Baum","given":"Anke"},{"family":"Lénárt","given":"Péter"},{"family":"Petronczki","given":"Mark"},{"family":"Krssák","given":"Martin"},{"family":"Gürtler","given":"Ulrich"},{"family":"Garin-Chesa","given":"Pilar"},{"family":"Lieb","given":"Simone"},{"family":"Quant","given":"Jens"},{"family":"Grauert","given":"Matthias"},{"family":"Adolf","given":"Günther R."},{"family":"Kraut","given":"Norbert"},{"family":"Peters","given":"Jan-Michael"},{"family":"Rettig","given":"Wolfgang J."}],"issued":{"date-parts":[["2007",2,20]]}}},{"id":230,"uris":["http://zotero.org/users/local/AzZugh3l/items/PJGNIKM7"],"uri":["http://zotero.org/users/local/AzZugh3l/items/PJGNIKM7"],"itemData":{"id":230,"type":"article-journal","title":"Polo-like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cs="Arial"/>
          <w:vertAlign w:val="superscript"/>
          <w:lang w:val="en-US"/>
        </w:rPr>
        <w:fldChar w:fldCharType="separate"/>
      </w:r>
      <w:r w:rsidR="00E17EE7" w:rsidRPr="00DF2968">
        <w:rPr>
          <w:rFonts w:ascii="Book Antiqua" w:hAnsi="Book Antiqua" w:cs="Arial"/>
          <w:vertAlign w:val="superscript"/>
          <w:lang w:val="en-US"/>
        </w:rPr>
        <w:t>[8,36]</w:t>
      </w:r>
      <w:r w:rsidR="00EC6668" w:rsidRPr="00DF2968">
        <w:rPr>
          <w:rFonts w:ascii="Book Antiqua" w:hAnsi="Book Antiqua" w:cs="Arial"/>
          <w:vertAlign w:val="superscript"/>
          <w:lang w:val="en-US"/>
        </w:rPr>
        <w:fldChar w:fldCharType="end"/>
      </w:r>
      <w:r w:rsidRPr="00DF2968">
        <w:rPr>
          <w:rFonts w:ascii="Book Antiqua" w:hAnsi="Book Antiqua" w:cs="Arial"/>
          <w:lang w:val="en-US"/>
        </w:rPr>
        <w:t>. The potent PLK inhibitor BI6727 (volasertib) has been identified as a promising candidate for cancer therapy as PLK are upregulated in</w:t>
      </w:r>
      <w:r w:rsidR="004A0FB6">
        <w:rPr>
          <w:rFonts w:ascii="Book Antiqua" w:hAnsi="Book Antiqua" w:cs="Arial"/>
          <w:lang w:val="en-US"/>
        </w:rPr>
        <w:t xml:space="preserve"> many different cancers</w:t>
      </w:r>
      <w:r w:rsidR="00EC6668" w:rsidRPr="00DF2968">
        <w:rPr>
          <w:rFonts w:ascii="Book Antiqua" w:hAnsi="Book Antiqua" w:cs="Arial"/>
          <w:vertAlign w:val="superscript"/>
          <w:lang w:val="en-US"/>
        </w:rPr>
        <w:fldChar w:fldCharType="begin"/>
      </w:r>
      <w:r w:rsidR="00E17EE7" w:rsidRPr="00DF2968">
        <w:rPr>
          <w:rFonts w:ascii="Book Antiqua" w:hAnsi="Book Antiqua" w:cs="Arial"/>
          <w:vertAlign w:val="superscript"/>
          <w:lang w:val="en-US"/>
        </w:rPr>
        <w:instrText xml:space="preserve"> ADDIN ZOTERO_ITEM CSL_CITATION {"citationID":"Kl4G2eiE","properties":{"formattedCitation":"{\\rtf [16,17,37\\uc0\\u8211{}39]}","plainCitation":"[16,17,37–39]"},"citationItems":[{"id":1435,"uris":["http://zotero.org/users/local/AzZugh3l/items/D9AFXVSS"],"uri":["http://zotero.org/users/local/AzZugh3l/items/D9AFXVSS"],"itemData":{"id":1435,"type":"article-journal","title":"Polo-like kinase 3 is associated with improved overall survival in cholangiocarcinoma","container-title":"Liver International: Official Journal of the International Association for the Study of the Liver","source":"PubMed","abstract":"BACKGROUND &amp; AIMS: Cholangiocarcinomas (CCA) paradoxically express the death ligand TRAIL and thus, are dependent on effective survival signals to circumvent apoptosis. Hedgehog signalling exerts major survival signals in CCA by regulating serine/threonine kinase polo-like kinase (PLK)2. We here aimed to examine the role of PLK1/2/3 expression for CCA tumour biology.\nMETHODS: We employed CCA samples from 73 patients and human HUCCT-1/Mz-CHA1/KMCH-1 CCA cells. Immunohistochemistry for PLK1/2/3 was performed using tissue microarrays from representative tumour areas.\nRESULTS: PLK1/2/3-immunoreactive cancer cells were present in most of the CCA samples. However, only PLK1 and especially PLK3 were expressed in higher amounts within CCA cells as compared to normal liver. Given that fibroblast growth factor (FGF) can induce PLK3 expression and also is present in CCA, we examined the effect of FGF on PLK3 in vitro. Indeed, rhFGF rapidly increased PLK3 mRNA expression all three CCA cell lines giving an explanation for the abundant PLK3 presence in the tissue samples. Clinicopathologically, PLK3 expression was associated with decreased tumour cell migration and lymph/blood vessel infiltration whereas higher levels of PLK1 were correlated with larger tumour sizes. Moreover, strong PLK3 expression was associated with prolonged overall survival.\nCONCLUSIONS: The results suggest that PLK3 predominantly is expressed in CCA cells and that high PLK3 expression correlates with prolonged overall survival. These observations might have implications for prognosis prediction of human CCA as well as the potential therapeutic use of polo-like kinase inhibitors (i.e., PLK1/2 specifity).","DOI":"10.1111/liv.12839","ISSN":"1478-3231","note":"PMID: 25818805","journalAbbreviation":"Liver Int.","language":"ENG","author":[{"family":"Juntermanns","given":"Benjamin"},{"family":"Sydor","given":"Svenja"},{"family":"Kaiser","given":"Gernot M."},{"family":"Jaradat","given":"Derar"},{"family":"Mertens","given":"Joachim C."},{"family":"Sotiropoulos","given":"Georgios C."},{"family":"Swoboda","given":"Sandra"},{"family":"Neuhaus","given":"Jan P."},{"family":"Meng","given":"Wei"},{"family":"Mathé","given":"Zoltan"},{"family":"Baba","given":"Hideo A."},{"family":"Canbay","given":"Ali"},{"family":"Paul","given":"Andreas"},{"family":"Fingas","given":"Christian D."}],"issued":{"date-parts":[["2015",3,28]]}}},{"id":1535,"uris":["http://zotero.org/users/local/AzZugh3l/items/MF93E6ES"],"uri":["http://zotero.org/users/local/AzZugh3l/items/MF93E6ES"],"itemData":{"id":1535,"type":"article-journal","title":"Polo-like kinase (PLK) inhibitors in preclinical and early clinical development in oncology","container-title":"The Oncologist","page":"559-570","volume":"14","issue":"6","source":"PubMed","abstract":"Polo-like kinases (PLKs) are a group of highly conserved serine/threonine protein kinases that play a key role in processes such as cell division and checkpoint regulation of mitosis. About 80% of human tumors, of various origins, express high levels of PLK transcripts. However, PLK mRNA is mostly absent in surrounding healthy tissues. Overexpression of PLK is associated with a poor prognosis in several tumor types and a lower overall survival rate. The overexpression of PLKs in human tumors, but not in healthy nondividing cells, makes them an attractive, selective target for cancer drug development. PLK inhibitors interfere with different stages of mitosis, such as centrosome maturation, spindle formation, chromosome separation, and cytokinesis. They induce mitotic chaos and severely perturb cell cycle progression, eventually leading to cancer cell death. Several PLK inhibitors are in development and are undergoing evaluations as potential cancer treatments. This review includes an overview of PLK inhibitors in early clinical development (i.e., BI 2536, BI 6727, GSK461364, ON 019190.Na, and HMN-214) and in advanced preclinical development (i.e., ZK-thiazolidinone, NMS-1, CYC-800, DAP-81, and LC-445). If proof of principle is confirmed in large studies, PLK inhibitors will offer a new targeted antitumor therapy for cancer patients.","DOI":"10.1634/theoncologist.2009-0010","ISSN":"1549-490X","note":"PMID: 19474163","journalAbbreviation":"Oncologist","language":"eng","author":[{"family":"Schöffski","given":"Patrick"}],"issued":{"date-parts":[["2009",6]]}}},{"id":1583,"uris":["http://zotero.org/users/local/AzZugh3l/items/URKQUS8H"],"uri":["http://zotero.org/users/local/AzZugh3l/items/URKQUS8H"],"itemData":{"id":1583,"type":"article-journal","title":"Polo-like kinases and oncogenesis","container-title":"Oncogene","page":"267-276","volume":"24","issue":"2","source":"www.nature.com","abstract":"Polo-like kinases (Plks) play pivotal roles in the regulation of cell cycle progression. Plk1, the best characterized family member among mammalian Plks, strongly promotes the progression of cells through mitosis. Furthermore, Plk1 is found to be overexpressed in a variety of human tumors and its expression correlates with cellular proliferation and prognosis of tumor patients. Although all Plks share two conserved elements, the N-terminal Ser/Thr kinase domain and a highly homologues C-terminal region termed the polo-box motif, their functions diverge considerably. While Plk1 is inhibited by different checkpoint pathways, Plk2 and Plk3 are activated by the spindle checkpoint or the DNA damage checkpoint. Thus, Plk2 and Plk3 seem to inhibit oncogenic transformation. Deregulation of Plk1 activity contributes to genetic instability, which in turn leads to oncogenic transformation. In contrast, Plk2 and Plk3 are involved in checkpoint-mediated cell cycle arrest to ensure genetic stability, thereby inhibiting the accumulation of genetic defects. In this review, we shall discuss the roles of Plks in oncogenesis and Plk1 as a target for therapeutic intervention against cancer.","DOI":"10.1038/sj.onc.1208273","ISSN":"0950-9232","journalAbbreviation":"Oncogene","language":"en","author":[{"family":"Eckerdt","given":"Frank"},{"family":"Yuan","given":"Juping"},{"family":"Strebhardt","given":"Klaus"}],"issued":{"date-parts":[["2005",1,10]]}}},{"id":1571,"uris":["http://zotero.org/users/local/AzZugh3l/items/D57CQX4V"],"uri":["http://zotero.org/users/local/AzZugh3l/items/D57CQX4V"],"itemData":{"id":1571,"type":"article-journal","title":"Polo-like kinase (Plk)1 depletion induces apoptosis in cancer cells","container-title":"Proceedings of the National Academy of Sciences of the United States of America","page":"5789-5794","volume":"100","issue":"10","source":"PubMed Central","abstract":"Elevated expression of mammalian polo-like kinase (Plk)1 occurs in many different types of cancers, and Plk1 has been proposed as a novel diagnostic marker for several tumors. We used the recently developed vector-based small interfering RNA technique to specifically deplete Plk1 in cancer cells. We found that Plk1 depletion dramatically inhibited cell proliferation, decreased viability, and resulted in cell-cycle arrest with 4 N DNA content. The formation of dumbbell-like chromatin structure suggests the inability of these cells to completely separate the sister chromatids at the onset of anaphase. Plk1 depletion induced apoptosis, as indicated by the appearance of subgenomic DNA in fluorescence-activated cell-sorter (FACS) profiles, the activation of caspase 3, and the formation of fragmented nuclei. Plk1-depletion-induced apoptosis was partially reversed by cotransfection of nondegradable mouse Plk1 constructs. In addition, the p53 pathway was shown to be involved in Plk1-depletion-induced apoptosis. DNA damage occurred in Plk1-depleted cells and inhibition of ATM strongly potentiated the lethality of Plk1 depletion. Although p53 is stabilized in Plk1-depleted cells, DNA damage also occurs in p53−/− cells. These data support the notion that disruption of Plk1 function could be an important application in cancer therapy.","DOI":"10.1073/pnas.1031523100","ISSN":"0027-8424","note":"PMID: 12732729\nPMCID: PMC156279","journalAbbreviation":"Proc Natl Acad Sci U S A","author":[{"family":"Liu","given":"Xiaoqi"},{"family":"Erikson","given":"Raymond L."}],"issued":{"date-parts":[["2003",5,13]]}}},{"id":1586,"uris":["http://zotero.org/users/local/AzZugh3l/items/CPBG7FQZ"],"uri":["http://zotero.org/users/local/AzZugh3l/items/CPBG7FQZ"],"itemData":{"id":1586,"type":"article-journal","title":"Expression patterns of polo-like kinase 1 in human gastric cancer","container-title":"Cancer Science","page":"271-276","volume":"97","issue":"4","source":"Wiley Online Library","abstract":"Polo-like kinase 1 (PLK1) is centrally involved in the regulation of mitosis in normal and malignant cells. It is known that inhibition of PLK1 expression in vitro and in vivo leads to mitotic arrest, induction of apoptosis and suppression of tumor growth. In the present study, expression of PLK1 was investigated in paraffin tissue of 135 cases of gastric adenocarcinoma and in 46 corresponding lymph node metastases by immunohistochemistry. Expression data were correlated with clinicopathological parameters and patient survival. Seventy-three (54.1%) of 135 carcinomas showed an overexpression of PLK1 compared to normal gastric mucosa. Overexpression of PLK1 correlated positively with tumor stage, nodal status and diffuse growth pattern. PLK1 expression in the primary tumor did not differ from PLK1 expression in the corresponding lymph node metastases. PLK1 expression was a significant prognostic factor in univariate but not in multivariate survival analysis. As a conclusion, upregulated PLK1 expression in gastric cancer correlates with a malignant tumor phenotype and has impact on patient prognosis. These data underscore the importance of PLK1 in gastric carcinogenesis and present a translational link for functional data into potential clinical use by defining PLK1 as an attractive protein for novel targeted chemotherapeutic approaches in gastric cancer. (Cancer Sci 2006; 97: 271 –276)","DOI":"10.1111/j.1349-7006.2006.00170.x","ISSN":"1349-7006","language":"en","author":[{"family":"Weichert","given":"Wilko"},{"family":"Ullrich","given":"Andrea"},{"family":"Schmidt","given":"Mathias"},{"family":"Gekeler","given":"Volker"},{"family":"Noske","given":"Aurelia"},{"family":"Niesporek","given":"Silvia"},{"family":"Buckendahl","given":"Ann-Christin"},{"family":"Dietel","given":"Manfred"},{"family":"Denkert","given":"Carsten"}],"issued":{"date-parts":[["2006",4,1]]}}}],"schema":"https://github.com/citation-style-language/schema/raw/master/csl-citation.json"} </w:instrText>
      </w:r>
      <w:r w:rsidR="00EC6668" w:rsidRPr="00DF2968">
        <w:rPr>
          <w:rFonts w:ascii="Book Antiqua" w:hAnsi="Book Antiqua" w:cs="Arial"/>
          <w:vertAlign w:val="superscript"/>
          <w:lang w:val="en-US"/>
        </w:rPr>
        <w:fldChar w:fldCharType="separate"/>
      </w:r>
      <w:r w:rsidR="00E17EE7" w:rsidRPr="00026A8A">
        <w:rPr>
          <w:rFonts w:ascii="Book Antiqua" w:hAnsi="Book Antiqua" w:cs="Arial"/>
          <w:vertAlign w:val="superscript"/>
          <w:lang w:val="en-US"/>
        </w:rPr>
        <w:t>[16,17,37–39]</w:t>
      </w:r>
      <w:r w:rsidR="00EC6668" w:rsidRPr="00DF2968">
        <w:rPr>
          <w:rFonts w:ascii="Book Antiqua" w:hAnsi="Book Antiqua" w:cs="Arial"/>
          <w:vertAlign w:val="superscript"/>
          <w:lang w:val="en-US"/>
        </w:rPr>
        <w:fldChar w:fldCharType="end"/>
      </w:r>
      <w:r w:rsidRPr="00DF2968">
        <w:rPr>
          <w:rFonts w:ascii="Book Antiqua" w:hAnsi="Book Antiqua" w:cs="Arial"/>
          <w:lang w:val="en-US"/>
        </w:rPr>
        <w:t>. PLK depletion in different stromal cancer cells using small interfering RNA technique resulted in cell cycle</w:t>
      </w:r>
      <w:r w:rsidR="004A0FB6">
        <w:rPr>
          <w:rFonts w:ascii="Book Antiqua" w:hAnsi="Book Antiqua" w:cs="Arial"/>
          <w:lang w:val="en-US"/>
        </w:rPr>
        <w:t xml:space="preserve"> arrest and increased apoptosis</w:t>
      </w:r>
      <w:r w:rsidR="00EC6668" w:rsidRPr="00DF2968">
        <w:rPr>
          <w:rFonts w:ascii="Book Antiqua" w:hAnsi="Book Antiqua" w:cs="Arial"/>
          <w:vertAlign w:val="superscript"/>
          <w:lang w:val="en-US"/>
        </w:rPr>
        <w:fldChar w:fldCharType="begin"/>
      </w:r>
      <w:r w:rsidR="00E17EE7" w:rsidRPr="00DF2968">
        <w:rPr>
          <w:rFonts w:ascii="Book Antiqua" w:hAnsi="Book Antiqua" w:cs="Arial"/>
          <w:vertAlign w:val="superscript"/>
          <w:lang w:val="en-US"/>
        </w:rPr>
        <w:instrText xml:space="preserve"> ADDIN ZOTERO_ITEM CSL_CITATION {"citationID":"1kb2p1scnp","properties":{"formattedCitation":"[38]","plainCitation":"[38]"},"citationItems":[{"id":1571,"uris":["http://zotero.org/users/local/AzZugh3l/items/D57CQX4V"],"uri":["http://zotero.org/users/local/AzZugh3l/items/D57CQX4V"],"itemData":{"id":1571,"type":"article-journal","title":"Polo-like kinase (Plk)1 depletion induces apoptosis in cancer cells","container-title":"Proceedings of the National Academy of Sciences of the United States of America","page":"5789-5794","volume":"100","issue":"10","source":"PubMed Central","abstract":"Elevated expression of mammalian polo-like kinase (Plk)1 occurs in many different types of cancers, and Plk1 has been proposed as a novel diagnostic marker for several tumors. We used the recently developed vector-based small interfering RNA technique to specifically deplete Plk1 in cancer cells. We found that Plk1 depletion dramatically inhibited cell proliferation, decreased viability, and resulted in cell-cycle arrest with 4 N DNA content. The formation of dumbbell-like chromatin structure suggests the inability of these cells to completely separate the sister chromatids at the onset of anaphase. Plk1 depletion induced apoptosis, as indicated by the appearance of subgenomic DNA in fluorescence-activated cell-sorter (FACS) profiles, the activation of caspase 3, and the formation of fragmented nuclei. Plk1-depletion-induced apoptosis was partially reversed by cotransfection of nondegradable mouse Plk1 constructs. In addition, the p53 pathway was shown to be involved in Plk1-depletion-induced apoptosis. DNA damage occurred in Plk1-depleted cells and inhibition of ATM strongly potentiated the lethality of Plk1 depletion. Although p53 is stabilized in Plk1-depleted cells, DNA damage also occurs in p53−/− cells. These data support the notion that disruption of Plk1 function could be an important application in cancer therapy.","DOI":"10.1073/pnas.1031523100","ISSN":"0027-8424","note":"PMID: 12732729\nPMCID: PMC156279","journalAbbreviation":"Proc Natl Acad Sci U S A","author":[{"family":"Liu","given":"Xiaoqi"},{"family":"Erikson","given":"Raymond L."}],"issued":{"date-parts":[["2003",5,13]]}}}],"schema":"https://github.com/citation-style-language/schema/raw/master/csl-citation.json"} </w:instrText>
      </w:r>
      <w:r w:rsidR="00EC6668" w:rsidRPr="00DF2968">
        <w:rPr>
          <w:rFonts w:ascii="Book Antiqua" w:hAnsi="Book Antiqua" w:cs="Arial"/>
          <w:vertAlign w:val="superscript"/>
          <w:lang w:val="en-US"/>
        </w:rPr>
        <w:fldChar w:fldCharType="separate"/>
      </w:r>
      <w:r w:rsidR="00E17EE7" w:rsidRPr="00DF2968">
        <w:rPr>
          <w:rFonts w:ascii="Book Antiqua" w:hAnsi="Book Antiqua" w:cs="Arial"/>
          <w:vertAlign w:val="superscript"/>
          <w:lang w:val="en-US"/>
        </w:rPr>
        <w:t>[38]</w:t>
      </w:r>
      <w:r w:rsidR="00EC6668" w:rsidRPr="00DF2968">
        <w:rPr>
          <w:rFonts w:ascii="Book Antiqua" w:hAnsi="Book Antiqua" w:cs="Arial"/>
          <w:vertAlign w:val="superscript"/>
          <w:lang w:val="en-US"/>
        </w:rPr>
        <w:fldChar w:fldCharType="end"/>
      </w:r>
      <w:r w:rsidRPr="00DF2968">
        <w:rPr>
          <w:rFonts w:ascii="Book Antiqua" w:hAnsi="Book Antiqua" w:cs="Arial"/>
          <w:lang w:val="en-US"/>
        </w:rPr>
        <w:t>. Using KMCH-1 and Mz-Ch-1 CCA cancer cells, we here could demonstrate increased overall cell death and enhanced apoptosis induction following treatment with the PLK-inhibitor BI6727. In combination with the conventional chemotherapeutic drug cisplatin, BI6727 could even (slightly) enhance cell death in KMCH-1 and Mz-Ch-1 cells whereas the pro-apoptotic effect was more potent in Mz</w:t>
      </w:r>
      <w:r w:rsidRPr="00DF2968">
        <w:rPr>
          <w:rFonts w:ascii="Book Antiqua" w:hAnsi="Book Antiqua" w:cs="Arial"/>
          <w:lang w:val="en-US"/>
        </w:rPr>
        <w:noBreakHyphen/>
        <w:t>Ch</w:t>
      </w:r>
      <w:r w:rsidRPr="00DF2968">
        <w:rPr>
          <w:rFonts w:ascii="Book Antiqua" w:hAnsi="Book Antiqua" w:cs="Arial"/>
          <w:lang w:val="en-US"/>
        </w:rPr>
        <w:noBreakHyphen/>
        <w:t>1 as compared to KMCH-1 cells. It is well known that PLK inhibition has an impact on regulation of proteins belonging to the Bcl-2 family as PLK inhibition decreases protein levels of Mcl-1 in esophageal squamous cell carcinomas and osteosarc</w:t>
      </w:r>
      <w:r w:rsidR="004A0FB6">
        <w:rPr>
          <w:rFonts w:ascii="Book Antiqua" w:hAnsi="Book Antiqua" w:cs="Arial"/>
          <w:lang w:val="en-US"/>
        </w:rPr>
        <w:t>omas as well as in KMCH-1 cells</w:t>
      </w:r>
      <w:r w:rsidR="00EC6668" w:rsidRPr="00DF2968">
        <w:rPr>
          <w:rFonts w:ascii="Book Antiqua" w:hAnsi="Book Antiqua" w:cs="Arial"/>
          <w:vertAlign w:val="superscript"/>
          <w:lang w:val="en-US"/>
        </w:rPr>
        <w:fldChar w:fldCharType="begin"/>
      </w:r>
      <w:r w:rsidR="00E17EE7" w:rsidRPr="00DF2968">
        <w:rPr>
          <w:rFonts w:ascii="Book Antiqua" w:hAnsi="Book Antiqua" w:cs="Arial"/>
          <w:vertAlign w:val="superscript"/>
          <w:lang w:val="en-US"/>
        </w:rPr>
        <w:instrText xml:space="preserve"> ADDIN ZOTERO_ITEM CSL_CITATION {"citationID":"1bsc5sc3bn","properties":{"formattedCitation":"[8,38,40]","plainCitation":"[8,38,40]"},"citationItems":[{"id":1592,"uris":["http://zotero.org/users/local/AzZugh3l/items/FMDGZX68"],"uri":["http://zotero.org/users/local/AzZugh3l/items/FMDGZX68"],"itemData":{"id":1592,"type":"article-journal","title":"Overexpression of PLK1 is associated with poor survival by inhibiting apoptosis via enhancement of survivin level in esophageal squamous cell carcinoma","container-title":"International Journal of Cancer","page":"578-588","volume":"124","issue":"3","source":"PubMed","abstract":"PLK1 is essential for the maintenance of genomic stability during mitosis. In our study, we found that overexpression of PLK1 was an independent prognostic factor (RR=4.253, p=0.020) and significantly correlated with survivin, an antiapoptotic protein, in esophageal squamous cell carcinoma (ESCC). Reverse transcription-polymerase chain reaction and fluorescence in situ hybridization (FISH) revealed upregulation of PLK1 mRNA and amplification of PLK1 gene, respectively. Depletion of PLK1 activated the intrinsic apoptotic pathway, which was substantiated by loss of mitochondrial membrane potential, reduction of Mcl-1 and Bcl-2 as well as activation of caspase-9. Coimmunoprecipitation and confocal microscopy displayed that PLK1 was associated with survivin and PLK1 depletion led to downregulation of survivin. Cotransfection of survivin constructs could partially reverse PLK1-depletion-induced apoptosis. These data suggest that PLK1 might be a useful prognostic marker and a potential therapeutic target for ESCC. Survivin is probably involved in antiapoptotic function of PLK1.","DOI":"10.1002/ijc.23990","ISSN":"1097-0215","note":"PMID: 19004025","journalAbbreviation":"Int. J. Cancer","language":"eng","author":[{"family":"Feng","given":"Yan-Bin"},{"family":"Lin","given":"De-Chen"},{"family":"Shi","given":"Zhi-Zhou"},{"family":"Wang","given":"Xiao-Chun"},{"family":"Shen","given":"Xiao-Ming"},{"family":"Zhang","given":"Yu"},{"family":"Du","given":"Xiao-Li"},{"family":"Luo","given":"Man-Li"},{"family":"Xu","given":"Xin"},{"family":"Han","given":"Ya-Ling"},{"family":"Cai","given":"Yan"},{"family":"Zhang","given":"Zi-Qiang"},{"family":"Zhan","given":"Qi-Min"},{"family":"Wang","given":"Ming-Rong"}],"issued":{"date-parts":[["2009",2,1]]}}},{"id":1571,"uris":["http://zotero.org/users/local/AzZugh3l/items/D57CQX4V"],"uri":["http://zotero.org/users/local/AzZugh3l/items/D57CQX4V"],"itemData":{"id":1571,"type":"article-journal","title":"Polo-like kinase (Plk)1 depletion induces apoptosis in cancer cells","container-title":"Proceedings of the National Academy of Sciences of the United States of America","page":"5789-5794","volume":"100","issue":"10","source":"PubMed Central","abstract":"Elevated expression of mammalian polo-like kinase (Plk)1 occurs in many different types of cancers, and Plk1 has been proposed as a novel diagnostic marker for several tumors. We used the recently developed vector-based small interfering RNA technique to specifically deplete Plk1 in cancer cells. We found that Plk1 depletion dramatically inhibited cell proliferation, decreased viability, and resulted in cell-cycle arrest with 4 N DNA content. The formation of dumbbell-like chromatin structure suggests the inability of these cells to completely separate the sister chromatids at the onset of anaphase. Plk1 depletion induced apoptosis, as indicated by the appearance of subgenomic DNA in fluorescence-activated cell-sorter (FACS) profiles, the activation of caspase 3, and the formation of fragmented nuclei. Plk1-depletion-induced apoptosis was partially reversed by cotransfection of nondegradable mouse Plk1 constructs. In addition, the p53 pathway was shown to be involved in Plk1-depletion-induced apoptosis. DNA damage occurred in Plk1-depleted cells and inhibition of ATM strongly potentiated the lethality of Plk1 depletion. Although p53 is stabilized in Plk1-depleted cells, DNA damage also occurs in p53−/− cells. These data support the notion that disruption of Plk1 function could be an important application in cancer therapy.","DOI":"10.1073/pnas.1031523100","ISSN":"0027-8424","note":"PMID: 12732729\nPMCID: PMC156279","journalAbbreviation":"Proc Natl Acad Sci U S A","author":[{"family":"Liu","given":"Xiaoqi"},{"family":"Erikson","given":"Raymond L."}],"issued":{"date-parts":[["2003",5,13]]}}},{"id":230,"uris":["http://zotero.org/users/local/AzZugh3l/items/PJGNIKM7"],"uri":["http://zotero.org/users/local/AzZugh3l/items/PJGNIKM7"],"itemData":{"id":230,"type":"article-journal","title":"Polo-like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cs="Arial"/>
          <w:vertAlign w:val="superscript"/>
          <w:lang w:val="en-US"/>
        </w:rPr>
        <w:fldChar w:fldCharType="separate"/>
      </w:r>
      <w:r w:rsidR="00E17EE7" w:rsidRPr="00DF2968">
        <w:rPr>
          <w:rFonts w:ascii="Book Antiqua" w:hAnsi="Book Antiqua" w:cs="Arial"/>
          <w:vertAlign w:val="superscript"/>
          <w:lang w:val="en-US"/>
        </w:rPr>
        <w:t>[8,38,40]</w:t>
      </w:r>
      <w:r w:rsidR="00EC6668" w:rsidRPr="00DF2968">
        <w:rPr>
          <w:rFonts w:ascii="Book Antiqua" w:hAnsi="Book Antiqua" w:cs="Arial"/>
          <w:vertAlign w:val="superscript"/>
          <w:lang w:val="en-US"/>
        </w:rPr>
        <w:fldChar w:fldCharType="end"/>
      </w:r>
      <w:r w:rsidRPr="00DF2968">
        <w:rPr>
          <w:rFonts w:ascii="Book Antiqua" w:hAnsi="Book Antiqua" w:cs="Arial"/>
          <w:lang w:val="en-US"/>
        </w:rPr>
        <w:t xml:space="preserve">. Here, we focused on the effect of BI6727 on the pro-apoptotic protein Bax and the anti-apoptotic molecule Bcl-2. </w:t>
      </w:r>
      <w:r w:rsidRPr="00DF2968">
        <w:rPr>
          <w:rFonts w:ascii="Book Antiqua" w:hAnsi="Book Antiqua" w:cs="Arial"/>
          <w:i/>
          <w:lang w:val="en-US"/>
        </w:rPr>
        <w:t>Bax</w:t>
      </w:r>
      <w:r w:rsidRPr="00DF2968">
        <w:rPr>
          <w:rFonts w:ascii="Book Antiqua" w:hAnsi="Book Antiqua" w:cs="Arial"/>
          <w:lang w:val="en-US"/>
        </w:rPr>
        <w:t xml:space="preserve"> mRNA levels were slightly induced in KMCH-1 and Mz-Ch-1 cells treated with BI6727 and cisplatin, whereas Bax protein levels were not found to be changed in both cell lines. Moreover, Bcl-2 levels were decreased in Mz-Ch-1 cells treated with BI6727 (and cisplatin). This effect was not enhanced after combination of both components. In a previous study we could demonstrate that BI6727 treatment reduced Mcl-1 levels but not Bcl-2</w:t>
      </w:r>
      <w:r w:rsidR="009F68B7" w:rsidRPr="00DF2968">
        <w:rPr>
          <w:rFonts w:ascii="Book Antiqua" w:hAnsi="Book Antiqua" w:cs="Arial"/>
          <w:lang w:val="en-US"/>
        </w:rPr>
        <w:t xml:space="preserve"> levels after 8</w:t>
      </w:r>
      <w:r w:rsidR="004A0FB6">
        <w:rPr>
          <w:rFonts w:ascii="Book Antiqua" w:eastAsia="SimSun" w:hAnsi="Book Antiqua" w:cs="Arial" w:hint="eastAsia"/>
          <w:lang w:val="en-US" w:eastAsia="zh-CN"/>
        </w:rPr>
        <w:t xml:space="preserve"> </w:t>
      </w:r>
      <w:r w:rsidR="004A0FB6">
        <w:rPr>
          <w:rFonts w:ascii="Book Antiqua" w:hAnsi="Book Antiqua" w:cs="Arial"/>
          <w:lang w:val="en-US"/>
        </w:rPr>
        <w:t>h of incubation</w:t>
      </w:r>
      <w:r w:rsidR="00EC6668" w:rsidRPr="00DF2968">
        <w:rPr>
          <w:rFonts w:ascii="Book Antiqua" w:hAnsi="Book Antiqua" w:cs="Arial"/>
          <w:vertAlign w:val="superscript"/>
          <w:lang w:val="en-US"/>
        </w:rPr>
        <w:fldChar w:fldCharType="begin"/>
      </w:r>
      <w:r w:rsidR="00CB3D0C" w:rsidRPr="00DF2968">
        <w:rPr>
          <w:rFonts w:ascii="Book Antiqua" w:hAnsi="Book Antiqua" w:cs="Arial"/>
          <w:vertAlign w:val="superscript"/>
          <w:lang w:val="en-US"/>
        </w:rPr>
        <w:instrText xml:space="preserve"> ADDIN ZOTERO_ITEM CSL_CITATION {"citationID":"2elevpea9s","properties":{"formattedCitation":"[8]","plainCitation":"[8]"},"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cs="Arial"/>
          <w:vertAlign w:val="superscript"/>
          <w:lang w:val="en-US"/>
        </w:rPr>
        <w:fldChar w:fldCharType="separate"/>
      </w:r>
      <w:r w:rsidR="00CB3D0C" w:rsidRPr="00DF2968">
        <w:rPr>
          <w:rFonts w:ascii="Book Antiqua" w:hAnsi="Book Antiqua" w:cs="Arial"/>
          <w:vertAlign w:val="superscript"/>
          <w:lang w:val="en-US"/>
        </w:rPr>
        <w:t>[8]</w:t>
      </w:r>
      <w:r w:rsidR="00EC6668" w:rsidRPr="00DF2968">
        <w:rPr>
          <w:rFonts w:ascii="Book Antiqua" w:hAnsi="Book Antiqua" w:cs="Arial"/>
          <w:vertAlign w:val="superscript"/>
          <w:lang w:val="en-US"/>
        </w:rPr>
        <w:fldChar w:fldCharType="end"/>
      </w:r>
      <w:r w:rsidRPr="00DF2968">
        <w:rPr>
          <w:rFonts w:ascii="Book Antiqua" w:hAnsi="Book Antiqua" w:cs="Arial"/>
          <w:lang w:val="en-US"/>
        </w:rPr>
        <w:t>. In the present study we observed a significant reduction of Bcl-2 protein levels due to a longer incubation period with BI6727 of 24</w:t>
      </w:r>
      <w:r w:rsidR="004A0FB6">
        <w:rPr>
          <w:rFonts w:ascii="Book Antiqua" w:eastAsia="SimSun" w:hAnsi="Book Antiqua" w:cs="Arial" w:hint="eastAsia"/>
          <w:lang w:val="en-US" w:eastAsia="zh-CN"/>
        </w:rPr>
        <w:t xml:space="preserve"> </w:t>
      </w:r>
      <w:r w:rsidRPr="00DF2968">
        <w:rPr>
          <w:rFonts w:ascii="Book Antiqua" w:hAnsi="Book Antiqua" w:cs="Arial"/>
          <w:lang w:val="en-US"/>
        </w:rPr>
        <w:t>h.</w:t>
      </w:r>
    </w:p>
    <w:p w14:paraId="07DBEB45" w14:textId="76E01991" w:rsidR="002B3E33" w:rsidRPr="00DF2968" w:rsidRDefault="000309B1" w:rsidP="00A741A5">
      <w:pPr>
        <w:spacing w:line="360" w:lineRule="auto"/>
        <w:ind w:firstLineChars="100" w:firstLine="240"/>
        <w:jc w:val="both"/>
        <w:rPr>
          <w:rFonts w:ascii="Book Antiqua" w:hAnsi="Book Antiqua"/>
          <w:lang w:val="en-US"/>
        </w:rPr>
      </w:pPr>
      <w:r w:rsidRPr="00DF2968">
        <w:rPr>
          <w:rFonts w:ascii="Book Antiqua" w:hAnsi="Book Antiqua" w:cs="Arial"/>
          <w:lang w:val="en-US"/>
        </w:rPr>
        <w:lastRenderedPageBreak/>
        <w:t>Thus, the pro-apoptotic effect of BI6727 treatment appears to be mediated by proteasomal degradation not only of Mcl-1 but also of the anti-apoptotic protein Bcl-2 (without affecting Bax protein levels). Overexpression of Bcl-2 is common in many types of human cancer and has been correlated with decreased susceptibil</w:t>
      </w:r>
      <w:r w:rsidR="004A0FB6">
        <w:rPr>
          <w:rFonts w:ascii="Book Antiqua" w:hAnsi="Book Antiqua" w:cs="Arial"/>
          <w:lang w:val="en-US"/>
        </w:rPr>
        <w:t>ity to chemotherapeutical drugs</w:t>
      </w:r>
      <w:r w:rsidR="00EC6668" w:rsidRPr="00DF2968">
        <w:rPr>
          <w:rFonts w:ascii="Book Antiqua" w:hAnsi="Book Antiqua" w:cs="Arial"/>
          <w:vertAlign w:val="superscript"/>
          <w:lang w:val="en-US"/>
        </w:rPr>
        <w:fldChar w:fldCharType="begin"/>
      </w:r>
      <w:r w:rsidR="00CB3D0C" w:rsidRPr="00DF2968">
        <w:rPr>
          <w:rFonts w:ascii="Book Antiqua" w:hAnsi="Book Antiqua" w:cs="Arial"/>
          <w:vertAlign w:val="superscript"/>
          <w:lang w:val="en-US"/>
        </w:rPr>
        <w:instrText xml:space="preserve"> ADDIN ZOTERO_ITEM CSL_CITATION {"citationID":"ss2mkmoo1","properties":{"formattedCitation":"[22]","plainCitation":"[22]"},"citationItems":[{"id":1596,"uris":["http://zotero.org/users/local/AzZugh3l/items/8B6K67JH"],"uri":["http://zotero.org/users/local/AzZugh3l/items/8B6K67JH"],"itemData":{"id":1596,"type":"article-journal","title":"Bcl2 family proteins in carcinogenesis and the treatment of cancer","container-title":"Apoptosis: An International Journal on Programmed Cell Death","page":"584-596","volume":"14","issue":"4","source":"PubMed","abstract":"Deregulation of Bcl2 family members is a frequent feature of human malignant diseases and causal for therapy resistance. A number of studies have recently shed light onto the role of pro- and anti-apoptotic Bcl2 family members in tumour-pathogenesis and in mediating the effects of classical as well as novel front-line anticancer agents, allowing the development of more efficient and more precisely targeted treatment regimens. Most excitingly, recent progress in our understanding of how Bcl2-like proteins maintain or perturb mitochondrial integrity has finally enabled the development of rational-design based anticancer therapies that directly target Bcl2 regulated events at the level of mitochondria. This review aims to give an overview on the most recent findings on the role of the Bcl2 family in tumour development in model systems of cancer, to relate these findings with observations made in human pathologies and drug-action.","DOI":"10.1007/s10495-008-0300-z","ISSN":"1573-675X","note":"PMID: 19156528\nPMCID: PMC3272401","journalAbbreviation":"Apoptosis","language":"eng","author":[{"family":"Frenzel","given":"Anna"},{"family":"Grespi","given":"Francesca"},{"family":"Chmelewskij","given":"Waldemar"},{"family":"Villunger","given":"Andreas"}],"issued":{"date-parts":[["2009",4]]}}}],"schema":"https://github.com/citation-style-language/schema/raw/master/csl-citation.json"} </w:instrText>
      </w:r>
      <w:r w:rsidR="00EC6668" w:rsidRPr="00DF2968">
        <w:rPr>
          <w:rFonts w:ascii="Book Antiqua" w:hAnsi="Book Antiqua" w:cs="Arial"/>
          <w:vertAlign w:val="superscript"/>
          <w:lang w:val="en-US"/>
        </w:rPr>
        <w:fldChar w:fldCharType="separate"/>
      </w:r>
      <w:r w:rsidR="00CB3D0C" w:rsidRPr="00DF2968">
        <w:rPr>
          <w:rFonts w:ascii="Book Antiqua" w:hAnsi="Book Antiqua" w:cs="Arial"/>
          <w:vertAlign w:val="superscript"/>
          <w:lang w:val="en-US"/>
        </w:rPr>
        <w:t>[22]</w:t>
      </w:r>
      <w:r w:rsidR="00EC6668" w:rsidRPr="00DF2968">
        <w:rPr>
          <w:rFonts w:ascii="Book Antiqua" w:hAnsi="Book Antiqua" w:cs="Arial"/>
          <w:vertAlign w:val="superscript"/>
          <w:lang w:val="en-US"/>
        </w:rPr>
        <w:fldChar w:fldCharType="end"/>
      </w:r>
      <w:r w:rsidRPr="00DF2968">
        <w:rPr>
          <w:rFonts w:ascii="Book Antiqua" w:hAnsi="Book Antiqua" w:cs="Arial"/>
          <w:lang w:val="en-US"/>
        </w:rPr>
        <w:t>. However, in CCA, Mcl-1 plays a more pivotal role as tumor c</w:t>
      </w:r>
      <w:r w:rsidR="004A0FB6">
        <w:rPr>
          <w:rFonts w:ascii="Book Antiqua" w:hAnsi="Book Antiqua" w:cs="Arial"/>
          <w:lang w:val="en-US"/>
        </w:rPr>
        <w:t>ell survival factor than Bcl-2</w:t>
      </w:r>
      <w:r w:rsidR="00EC6668" w:rsidRPr="00DF2968">
        <w:rPr>
          <w:rFonts w:ascii="Book Antiqua" w:hAnsi="Book Antiqua" w:cs="Arial"/>
          <w:vertAlign w:val="superscript"/>
          <w:lang w:val="en-US"/>
        </w:rPr>
        <w:fldChar w:fldCharType="begin"/>
      </w:r>
      <w:r w:rsidR="00E17EE7" w:rsidRPr="00DF2968">
        <w:rPr>
          <w:rFonts w:ascii="Book Antiqua" w:hAnsi="Book Antiqua" w:cs="Arial"/>
          <w:vertAlign w:val="superscript"/>
          <w:lang w:val="en-US"/>
        </w:rPr>
        <w:instrText xml:space="preserve"> ADDIN ZOTERO_ITEM CSL_CITATION {"citationID":"Q7QaWYrp","properties":{"formattedCitation":"[19,41]","plainCitation":"[19,41]"},"citationItems":[{"id":1537,"uris":["http://zotero.org/users/local/AzZugh3l/items/CAI6W3W8"],"uri":["http://zotero.org/users/local/AzZugh3l/items/CAI6W3W8"],"itemData":{"id":1537,"type":"article-journal","title":"Interleukin 6 upregulates myeloid cell leukemia-1 expression through a STAT3 pathway in cholangiocarcinoma cells","container-title":"Hepatology (Baltimore, Md.)","page":"1329-1338","volume":"42","issue":"6","source":"PubMed","abstract":"Interleukin 6 (IL-6) contributes to the pathogenesis of cholangiocarcinoma by upregulating myeloid cell leukemia-1 (Mcl-1), a key antiapoptotic Bcl-2 family member protein. IL-6 can alter gene transcription via Janus kinases (JAK) and signal transducer and activator of transcription (STAT) signal cascade. We examined this cascade in IL-6 regulation of Mcl-1 transcription in human cholangiocarcinoma cell lines. STAT3 was constitutively activated (i.e., tyrosine-phosphorylated) in cholangiocarcinoma cells but not in nonmalignant cholangiocytes. Treatment with anti-IL-6 antisera or the JAK inhibitor AG490 or transfection with dominant negative STAT3 diminished Mcl-1 messenger RNA and protein levels. Likewise, these attempts to interrupt the STAT3 cascade also reduced Mcl-1 promoter activity. Site-directed mutagenesis of a putative STAT3 consensus binding sequence decreased Mcl-1 promoter activity. Chromatin immunoprecipitation analysis demonstrated a direct binding of STAT3 to the putative STAT3 binding sequences in the Mcl-1 promoter. Downregulation of Mcl-1 by AG490 sensitized the cells to apoptosis mediated by tumor necrosis factor-related apoptosis-inducing ligand. In conclusion, we have directly demonstrated a STAT3 regulatory element in the Mcl-1 promoter. Downregulation of Mcl-1 transcription by inhibiting this cascade is a potential strategy for the treatment of this cancer.","DOI":"10.1002/hep.20966","ISSN":"0270-9139","note":"PMID: 16317687","journalAbbreviation":"Hepatology","language":"eng","author":[{"family":"Isomoto","given":"Hajime"},{"family":"Kobayashi","given":"Shogo"},{"family":"Werneburg","given":"Nathan W."},{"family":"Bronk","given":"Steve F."},{"family":"Guicciardi","given":"Maria Eugenia"},{"family":"Frank","given":"David A."},{"family":"Gores","given":"Gregory J."}],"issued":{"date-parts":[["2005",12]]}}},{"id":1638,"uris":["http://zotero.org/users/local/AzZugh3l/items/9KR9JQUC"],"uri":["http://zotero.org/users/local/AzZugh3l/items/9KR9JQUC"],"itemData":{"id":1638,"type":"article-journal","title":"Novel immunohistochemical markers differentiate intrahepatic cholangiocarcinoma from benign bile duct lesions","container-title":"Journal of Clinical Pathology","source":"PubMed","abstract":"AIMS: The distinction between intrahepatic cholangiocarcinoma (ICC) and benign bile duct lesions can be challenging. Using our previously identified potential biomarkers for ICC, we examined whether these are useful for the differential diagnosis of ICC, bile duct adenoma and reactive bile duct proliferations in an immunohistochemical approach and identified a diagnostic marker panel including known biomarkers.\nMETHODS: Subjects included samples from 77 patients with ICC, 33 patients with bile duct adenoma and 47 patients with ductular reactions in liver cirrhosis. Our previously identified biomarkers (stress-induced phosphoprotein 1 (STIP1), SerpinH1, 14-3-3Sigma) were tested immunohistochemically following comparison with candidates from the literature (cluster of differentiation 56, heat shock protein (HSP)27, HSP70, B-cell-lymphoma2, p53, ki67).\nRESULTS: The expression of SerpinH1 and 14-3-3Sigma was significantly higher in ICC than in bile duct adenomas and ductular reactions (p&lt;0.05), whereas STIP1 expression was significantly higher (p&lt;0.05) in ICC than in ductular reactions, but the difference to the bile duct adenoma group was not significant. A panel of the biomarker SerpinH1, 14-3-3Sigma and ki67 (≥2 marker positive) showed a high diagnostic accuracy (sensitivity 87.8%, specificity 95.9%, accuracy 91.8%) in the differential diagnosis of ICC versus non-malignant bile duct lesions.\nCONCLUSIONS: This suggests that 14-3-3Sigma and SerpinH1 may be useful in the differential diagnosis of malignant, benign and reactive bile duct lesions in addition to ki67 where a cut-off of &gt;5% might be used for the distinction of malignant and non-malignant lesions.","DOI":"10.1136/jclinpath-2015-203418","ISSN":"1472-4146","note":"PMID: 26729014","journalAbbreviation":"J. Clin. Pathol.","language":"ENG","author":[{"family":"Bertram","given":"Stefanie"},{"family":"Padden","given":"Juliet"},{"family":"Kälsch","given":"Julia"},{"family":"Ahrens","given":"Maike"},{"family":"Pott","given":"Leona"},{"family":"Canbay","given":"Ali"},{"family":"Weber","given":"Frank"},{"family":"Fingas","given":"Christian"},{"family":"Hoffmann","given":"Andreas C."},{"family":"Vietor","given":"Antonie"},{"family":"Schlaak","given":"Joerg F."},{"family":"Eisenacher","given":"Martin"},{"family":"Reis","given":"Henning"},{"family":"Sitek","given":"Barbara"},{"family":"Baba","given":"Hideo A."}],"issued":{"date-parts":[["2016",1,4]]}}}],"schema":"https://github.com/citation-style-language/schema/raw/master/csl-citation.json"} </w:instrText>
      </w:r>
      <w:r w:rsidR="00EC6668" w:rsidRPr="00DF2968">
        <w:rPr>
          <w:rFonts w:ascii="Book Antiqua" w:hAnsi="Book Antiqua" w:cs="Arial"/>
          <w:vertAlign w:val="superscript"/>
          <w:lang w:val="en-US"/>
        </w:rPr>
        <w:fldChar w:fldCharType="separate"/>
      </w:r>
      <w:r w:rsidR="00E17EE7" w:rsidRPr="00DF2968">
        <w:rPr>
          <w:rFonts w:ascii="Book Antiqua" w:hAnsi="Book Antiqua" w:cs="Arial"/>
          <w:vertAlign w:val="superscript"/>
          <w:lang w:val="en-US"/>
        </w:rPr>
        <w:t>[19,41]</w:t>
      </w:r>
      <w:r w:rsidR="00EC6668" w:rsidRPr="00DF2968">
        <w:rPr>
          <w:rFonts w:ascii="Book Antiqua" w:hAnsi="Book Antiqua" w:cs="Arial"/>
          <w:vertAlign w:val="superscript"/>
          <w:lang w:val="en-US"/>
        </w:rPr>
        <w:fldChar w:fldCharType="end"/>
      </w:r>
      <w:r w:rsidRPr="00DF2968">
        <w:rPr>
          <w:rFonts w:ascii="Book Antiqua" w:hAnsi="Book Antiqua" w:cs="Arial"/>
          <w:lang w:val="en-US"/>
        </w:rPr>
        <w:t xml:space="preserve">. </w:t>
      </w:r>
    </w:p>
    <w:p w14:paraId="1ADD6426" w14:textId="46C3A33D" w:rsidR="000309B1" w:rsidRPr="00DF2968" w:rsidRDefault="000309B1" w:rsidP="00A741A5">
      <w:pPr>
        <w:spacing w:line="360" w:lineRule="auto"/>
        <w:ind w:firstLineChars="100" w:firstLine="240"/>
        <w:jc w:val="both"/>
        <w:rPr>
          <w:rFonts w:ascii="Book Antiqua" w:hAnsi="Book Antiqua" w:cs="Arial"/>
          <w:lang w:val="en-US"/>
        </w:rPr>
      </w:pPr>
      <w:r w:rsidRPr="00DF2968">
        <w:rPr>
          <w:rFonts w:ascii="Book Antiqua" w:hAnsi="Book Antiqua" w:cs="Arial"/>
          <w:lang w:val="en-US"/>
        </w:rPr>
        <w:t>Treatment of CCA cells with the PLK</w:t>
      </w:r>
      <w:r w:rsidR="009F68B7" w:rsidRPr="00DF2968">
        <w:rPr>
          <w:rFonts w:ascii="Book Antiqua" w:hAnsi="Book Antiqua" w:cs="Arial"/>
          <w:lang w:val="en-US"/>
        </w:rPr>
        <w:t xml:space="preserve"> inhibitor BI6727 beside Mcl-1 </w:t>
      </w:r>
      <w:r w:rsidR="00EC6668" w:rsidRPr="00DF2968">
        <w:rPr>
          <w:rFonts w:ascii="Book Antiqua" w:hAnsi="Book Antiqua" w:cs="Arial"/>
          <w:vertAlign w:val="superscript"/>
          <w:lang w:val="en-US"/>
        </w:rPr>
        <w:fldChar w:fldCharType="begin"/>
      </w:r>
      <w:r w:rsidR="00CB3D0C" w:rsidRPr="00DF2968">
        <w:rPr>
          <w:rFonts w:ascii="Book Antiqua" w:hAnsi="Book Antiqua" w:cs="Arial"/>
          <w:vertAlign w:val="superscript"/>
          <w:lang w:val="en-US"/>
        </w:rPr>
        <w:instrText xml:space="preserve"> ADDIN ZOTERO_ITEM CSL_CITATION {"citationID":"2m8tr2m45b","properties":{"formattedCitation":"[8]","plainCitation":"[8]"},"citationItems":[{"id":230,"uris":["http://zotero.org/users/local/AzZugh3l/items/PJGNIKM7"],"uri":["http://zotero.org/users/local/AzZugh3l/items/PJGNIKM7"],"itemData":{"id":230,"type":"article-journal","title":"Polo-like kinase 2 is a mediator of hedgehog survival signaling in cholangiocarcinoma","container-title":"Hepatology (Baltimore, Md.)","page":"1362-1374","volume":"58","issue":"4","source":"NCBI PubMed","abstract":"Cholangiocarcinoma (CCA) cells paradoxically express the death ligand tumor necrosis factor-related apoptosis-inducing ligand (TRAIL) and thus rely on potent survival signals to circumvent cell death by TRAIL. Hedgehog (Hh) signaling is an important survival pathway in CCA. Herein, we further examine the mechanisms whereby Hh signaling mediates apoptosis resistance in CCA, revealing a pivotal role for the cell division regulating serine/threonine kinase polo-like kinase 2 (PLK2). We employed 50 human CCA samples (25 intrahepatic and 25 extrahepatic CCA) as well as human KMCH-1, Mz-CHA-1, and HUCCT-1 CCA cells for these studies. In vivo experiments were conducted using a syngeneic rat orthotopic CCA model. In human samples, polo-like kinase (PLK)1/2/3-immunoreactive cancer cells were present in the preponderance of intra- and extrahepatic CCA specimens. Inhibition of Hh signaling by cyclopamine reduced PLK2, but not PLK1 or PLK3, messenger RNA and protein expression in vehicle-treated and sonic Hh-treated CCA cells, confirming our previous microarray study. PLK2 regulation by Hh signaling appears to be direct, because the Hh transcription factors, glioma-associated oncogene 1 and 2, bind to the PLK2 promotor. Moreover, inhibition of PLK2 by the PLK inhibitor, BI 6727 (volasertib), or PLK2 knockdown was proapoptotic in CCA cells. BI 6727 administration or PLK2 knockdown decreased cellular protein levels of antiapoptotic myeloid cell leukemia 1 (Mcl-1), an effect reversed by the proteasome inhibitor, MG-132. Finally, BI 6727 administration reduced Mcl-1 protein expression in CCA cells, resulting in CCA cell apoptosis and tumor suppression in vivo. Conclusion: PLK2 appears to be an important mediator of Hh survival signaling. These results suggest PLK inhibitors to be of therapeutic value for treatment of human CCA. (Hepatology 2013;58:1362-1374).","DOI":"10.1002/hep.26484","ISSN":"1527-3350","journalAbbreviation":"Hepatology","language":"eng","author":[{"family":"Fingas","given":"Christian D"},{"family":"Mertens","given":"Joachim C"},{"family":"Razumilava","given":"Nataliya"},{"family":"Sydor","given":"Svenja"},{"family":"Bronk","given":"Steven F"},{"family":"Christensen","given":"John D"},{"family":"Rizvi","given":"Sumera H"},{"family":"Canbay","given":"Ali"},{"family":"Treckmann","given":"Jürgen W"},{"family":"Paul","given":"Andreas"},{"family":"Sirica","given":"Alphonse E"},{"family":"Gores","given":"Gregory J"}],"issued":{"date-parts":[["2013",10]]}}}],"schema":"https://github.com/citation-style-language/schema/raw/master/csl-citation.json"} </w:instrText>
      </w:r>
      <w:r w:rsidR="00EC6668" w:rsidRPr="00DF2968">
        <w:rPr>
          <w:rFonts w:ascii="Book Antiqua" w:hAnsi="Book Antiqua" w:cs="Arial"/>
          <w:vertAlign w:val="superscript"/>
          <w:lang w:val="en-US"/>
        </w:rPr>
        <w:fldChar w:fldCharType="separate"/>
      </w:r>
      <w:r w:rsidR="00CB3D0C" w:rsidRPr="00DF2968">
        <w:rPr>
          <w:rFonts w:ascii="Book Antiqua" w:hAnsi="Book Antiqua" w:cs="Arial"/>
          <w:vertAlign w:val="superscript"/>
          <w:lang w:val="en-US"/>
        </w:rPr>
        <w:t>[8]</w:t>
      </w:r>
      <w:r w:rsidR="00EC6668" w:rsidRPr="00DF2968">
        <w:rPr>
          <w:rFonts w:ascii="Book Antiqua" w:hAnsi="Book Antiqua" w:cs="Arial"/>
          <w:vertAlign w:val="superscript"/>
          <w:lang w:val="en-US"/>
        </w:rPr>
        <w:fldChar w:fldCharType="end"/>
      </w:r>
      <w:r w:rsidRPr="00DF2968">
        <w:rPr>
          <w:rFonts w:ascii="Book Antiqua" w:hAnsi="Book Antiqua" w:cs="Arial"/>
          <w:lang w:val="en-US"/>
        </w:rPr>
        <w:t xml:space="preserve"> decreases Bcl-2 protein levels thereby reducing cell viability and enhancing apoptosis. In combination with the chemotherapeutical drug cisplatin, BI6727 treatment could even enhance the cytotoxic effect of cisplatin single treatment.</w:t>
      </w:r>
    </w:p>
    <w:p w14:paraId="3A57D47B" w14:textId="77777777" w:rsidR="000309B1" w:rsidRPr="00DF2968" w:rsidRDefault="000309B1" w:rsidP="00A741A5">
      <w:pPr>
        <w:spacing w:line="360" w:lineRule="auto"/>
        <w:ind w:firstLineChars="100" w:firstLine="240"/>
        <w:jc w:val="both"/>
        <w:rPr>
          <w:rFonts w:ascii="Book Antiqua" w:hAnsi="Book Antiqua" w:cs="Arial"/>
          <w:lang w:val="en-US"/>
        </w:rPr>
      </w:pPr>
      <w:r w:rsidRPr="00DF2968">
        <w:rPr>
          <w:rFonts w:ascii="Book Antiqua" w:hAnsi="Book Antiqua" w:cs="Arial"/>
          <w:lang w:val="en-US"/>
        </w:rPr>
        <w:t>In conclusion, BI6727 treatment sensitizes some CCA cell lines to cisplatin-induced apoptosis with proteasomal Bcl-2 degradation as an additional pro-apoptotic effect.</w:t>
      </w:r>
    </w:p>
    <w:p w14:paraId="2B7C5DEF" w14:textId="77777777" w:rsidR="00045E07" w:rsidRPr="004A0FB6" w:rsidRDefault="00045E07" w:rsidP="00A741A5">
      <w:pPr>
        <w:spacing w:line="360" w:lineRule="auto"/>
        <w:jc w:val="both"/>
        <w:rPr>
          <w:rFonts w:ascii="Book Antiqua" w:eastAsia="SimSun" w:hAnsi="Book Antiqua"/>
          <w:b/>
          <w:lang w:val="en-US" w:eastAsia="zh-CN"/>
        </w:rPr>
      </w:pPr>
    </w:p>
    <w:p w14:paraId="0AC49608" w14:textId="5D2C6161" w:rsidR="00045E07" w:rsidRPr="00045E07" w:rsidRDefault="00045E07" w:rsidP="00A741A5">
      <w:pPr>
        <w:spacing w:line="360" w:lineRule="auto"/>
        <w:jc w:val="both"/>
        <w:rPr>
          <w:rFonts w:ascii="Book Antiqua" w:eastAsia="SimSun" w:hAnsi="Book Antiqua" w:cs="Arial"/>
          <w:lang w:val="en-US" w:eastAsia="zh-CN"/>
        </w:rPr>
      </w:pPr>
      <w:r w:rsidRPr="00D3047C">
        <w:rPr>
          <w:rFonts w:ascii="Book Antiqua" w:hAnsi="Book Antiqua"/>
          <w:b/>
          <w:caps/>
          <w:lang w:val="en-US"/>
        </w:rPr>
        <w:t>comments</w:t>
      </w:r>
    </w:p>
    <w:p w14:paraId="6623A836" w14:textId="5EA230A3" w:rsidR="00ED4C2C" w:rsidRPr="008C6D92" w:rsidRDefault="008C6D92" w:rsidP="00A741A5">
      <w:pPr>
        <w:spacing w:line="360" w:lineRule="auto"/>
        <w:jc w:val="both"/>
        <w:rPr>
          <w:rFonts w:ascii="Book Antiqua" w:hAnsi="Book Antiqua" w:cs="Arial"/>
          <w:b/>
          <w:i/>
          <w:lang w:val="en-US"/>
        </w:rPr>
      </w:pPr>
      <w:r>
        <w:rPr>
          <w:rFonts w:ascii="Book Antiqua" w:hAnsi="Book Antiqua" w:cs="Arial"/>
          <w:b/>
          <w:i/>
          <w:lang w:val="en-US"/>
        </w:rPr>
        <w:t>Background</w:t>
      </w:r>
    </w:p>
    <w:p w14:paraId="185FAD83" w14:textId="4ED5EA61" w:rsidR="001D7B21" w:rsidRPr="00937770" w:rsidRDefault="00A83CDC" w:rsidP="00A741A5">
      <w:pPr>
        <w:spacing w:line="360" w:lineRule="auto"/>
        <w:jc w:val="both"/>
        <w:rPr>
          <w:rFonts w:ascii="Book Antiqua" w:hAnsi="Book Antiqua" w:cs="Arial"/>
          <w:lang w:val="en-US"/>
        </w:rPr>
      </w:pPr>
      <w:r w:rsidRPr="00937770">
        <w:rPr>
          <w:rFonts w:ascii="Book Antiqua" w:hAnsi="Book Antiqua" w:cs="Arial"/>
          <w:lang w:val="en-US"/>
        </w:rPr>
        <w:t xml:space="preserve">Most cholangiocarcinoma are chemotherapy-resistant </w:t>
      </w:r>
      <w:r w:rsidR="008C6D92" w:rsidRPr="00937770">
        <w:rPr>
          <w:rFonts w:ascii="Book Antiqua" w:hAnsi="Book Antiqua" w:cs="Arial"/>
          <w:lang w:val="en-US"/>
        </w:rPr>
        <w:t>and these tumors</w:t>
      </w:r>
      <w:r w:rsidRPr="00937770">
        <w:rPr>
          <w:rFonts w:ascii="Book Antiqua" w:hAnsi="Book Antiqua" w:cs="Arial"/>
          <w:lang w:val="en-US"/>
        </w:rPr>
        <w:t xml:space="preserve"> show a poor therapeutic prognosis. Dev</w:t>
      </w:r>
      <w:r w:rsidR="00B90082" w:rsidRPr="00937770">
        <w:rPr>
          <w:rFonts w:ascii="Book Antiqua" w:hAnsi="Book Antiqua" w:cs="Arial"/>
          <w:lang w:val="en-US"/>
        </w:rPr>
        <w:t>elopment and progression of cholangiocarcinoma</w:t>
      </w:r>
      <w:r w:rsidRPr="00937770">
        <w:rPr>
          <w:rFonts w:ascii="Book Antiqua" w:hAnsi="Book Antiqua" w:cs="Arial"/>
          <w:lang w:val="en-US"/>
        </w:rPr>
        <w:t xml:space="preserve"> are in part mediated by complex mechanisms that prevent tumor cell death</w:t>
      </w:r>
      <w:r w:rsidR="007A33D0" w:rsidRPr="00937770">
        <w:rPr>
          <w:rFonts w:ascii="Book Antiqua" w:hAnsi="Book Antiqua" w:cs="Arial"/>
          <w:lang w:val="en-US"/>
        </w:rPr>
        <w:t xml:space="preserve"> by stimulation of death receptors such as </w:t>
      </w:r>
      <w:r w:rsidR="00657AD2" w:rsidRPr="00DF2968">
        <w:rPr>
          <w:rFonts w:ascii="Book Antiqua" w:hAnsi="Book Antiqua"/>
          <w:lang w:val="en-US"/>
        </w:rPr>
        <w:t>tumor necrosis factor-related apoptosis-inducing ligand (TRAIL)</w:t>
      </w:r>
      <w:r w:rsidR="00937770">
        <w:rPr>
          <w:rFonts w:ascii="Book Antiqua" w:hAnsi="Book Antiqua" w:cs="Arial"/>
          <w:lang w:val="en-US"/>
        </w:rPr>
        <w:t>. Polo-like kinases</w:t>
      </w:r>
      <w:r w:rsidRPr="00937770">
        <w:rPr>
          <w:rFonts w:ascii="Book Antiqua" w:hAnsi="Book Antiqua" w:cs="Arial"/>
          <w:lang w:val="en-US"/>
        </w:rPr>
        <w:t xml:space="preserve"> are important regulators of the cell cycle and their inhibition is discussed as a </w:t>
      </w:r>
      <w:r w:rsidR="007A33D0" w:rsidRPr="00937770">
        <w:rPr>
          <w:rFonts w:ascii="Book Antiqua" w:hAnsi="Book Antiqua" w:cs="Arial"/>
          <w:lang w:val="en-US"/>
        </w:rPr>
        <w:t>potential therapeutic</w:t>
      </w:r>
      <w:r w:rsidRPr="00937770">
        <w:rPr>
          <w:rFonts w:ascii="Book Antiqua" w:hAnsi="Book Antiqua" w:cs="Arial"/>
          <w:lang w:val="en-US"/>
        </w:rPr>
        <w:t xml:space="preserve"> appr</w:t>
      </w:r>
      <w:r w:rsidR="00937770">
        <w:rPr>
          <w:rFonts w:ascii="Book Antiqua" w:hAnsi="Book Antiqua" w:cs="Arial"/>
          <w:lang w:val="en-US"/>
        </w:rPr>
        <w:t>oach for cancer treatment as polo-like kinase</w:t>
      </w:r>
      <w:r w:rsidRPr="00937770">
        <w:rPr>
          <w:rFonts w:ascii="Book Antiqua" w:hAnsi="Book Antiqua" w:cs="Arial"/>
          <w:lang w:val="en-US"/>
        </w:rPr>
        <w:t xml:space="preserve"> inhibition can decrease </w:t>
      </w:r>
      <w:r w:rsidR="007A33D0" w:rsidRPr="00937770">
        <w:rPr>
          <w:rFonts w:ascii="Book Antiqua" w:hAnsi="Book Antiqua" w:cs="Arial"/>
          <w:lang w:val="en-US"/>
        </w:rPr>
        <w:t xml:space="preserve">protein levels of anti-apoptotic mediators such as </w:t>
      </w:r>
      <w:r w:rsidR="00657AD2" w:rsidRPr="00DF2968">
        <w:rPr>
          <w:rFonts w:ascii="Book Antiqua" w:hAnsi="Book Antiqua"/>
          <w:lang w:val="en-US"/>
        </w:rPr>
        <w:t>myeloid cell leukemia-1 (Mcl-1)</w:t>
      </w:r>
      <w:r w:rsidRPr="00937770">
        <w:rPr>
          <w:rFonts w:ascii="Book Antiqua" w:hAnsi="Book Antiqua" w:cs="Arial"/>
          <w:lang w:val="en-US"/>
        </w:rPr>
        <w:t>.</w:t>
      </w:r>
      <w:r w:rsidR="007A33D0" w:rsidRPr="00937770">
        <w:rPr>
          <w:rFonts w:ascii="Book Antiqua" w:hAnsi="Book Antiqua" w:cs="Arial"/>
          <w:lang w:val="en-US"/>
        </w:rPr>
        <w:t xml:space="preserve"> </w:t>
      </w:r>
      <w:r w:rsidR="00634C64">
        <w:rPr>
          <w:rFonts w:ascii="Book Antiqua" w:eastAsia="SimSun" w:hAnsi="Book Antiqua" w:cs="Arial" w:hint="eastAsia"/>
          <w:lang w:val="en-US" w:eastAsia="zh-CN"/>
        </w:rPr>
        <w:t>The authors</w:t>
      </w:r>
      <w:r w:rsidRPr="00937770">
        <w:rPr>
          <w:rFonts w:ascii="Book Antiqua" w:hAnsi="Book Antiqua" w:cs="Arial"/>
          <w:lang w:val="en-US"/>
        </w:rPr>
        <w:t xml:space="preserve"> here aimed to study the chemotherapeut</w:t>
      </w:r>
      <w:r w:rsidR="007A33D0" w:rsidRPr="00937770">
        <w:rPr>
          <w:rFonts w:ascii="Book Antiqua" w:hAnsi="Book Antiqua" w:cs="Arial"/>
          <w:lang w:val="en-US"/>
        </w:rPr>
        <w:t>ic</w:t>
      </w:r>
      <w:r w:rsidRPr="00937770">
        <w:rPr>
          <w:rFonts w:ascii="Book Antiqua" w:hAnsi="Book Antiqua" w:cs="Arial"/>
          <w:lang w:val="en-US"/>
        </w:rPr>
        <w:t xml:space="preserve"> effect of </w:t>
      </w:r>
      <w:r w:rsidR="001D7B21" w:rsidRPr="00937770">
        <w:rPr>
          <w:rFonts w:ascii="Book Antiqua" w:hAnsi="Book Antiqua" w:cs="Arial"/>
          <w:lang w:val="en-US"/>
        </w:rPr>
        <w:t>the conventionally used</w:t>
      </w:r>
      <w:r w:rsidR="007A33D0" w:rsidRPr="00937770">
        <w:rPr>
          <w:rFonts w:ascii="Book Antiqua" w:hAnsi="Book Antiqua" w:cs="Arial"/>
          <w:lang w:val="en-US"/>
        </w:rPr>
        <w:t xml:space="preserve"> drug </w:t>
      </w:r>
      <w:r w:rsidR="001D7B21" w:rsidRPr="00937770">
        <w:rPr>
          <w:rFonts w:ascii="Book Antiqua" w:hAnsi="Book Antiqua" w:cs="Arial"/>
          <w:lang w:val="en-US"/>
        </w:rPr>
        <w:t>cisplatin in combination with</w:t>
      </w:r>
      <w:r w:rsidR="00937770">
        <w:rPr>
          <w:rFonts w:ascii="Book Antiqua" w:hAnsi="Book Antiqua" w:cs="Arial"/>
          <w:lang w:val="en-US"/>
        </w:rPr>
        <w:t xml:space="preserve"> polo-like kinase</w:t>
      </w:r>
      <w:r w:rsidRPr="00937770">
        <w:rPr>
          <w:rFonts w:ascii="Book Antiqua" w:hAnsi="Book Antiqua" w:cs="Arial"/>
          <w:lang w:val="en-US"/>
        </w:rPr>
        <w:t xml:space="preserve"> inhibition in </w:t>
      </w:r>
      <w:r w:rsidR="007A33D0" w:rsidRPr="00937770">
        <w:rPr>
          <w:rFonts w:ascii="Book Antiqua" w:hAnsi="Book Antiqua" w:cs="Arial"/>
          <w:lang w:val="en-US"/>
        </w:rPr>
        <w:t xml:space="preserve">cholangiocarcinoma cell lines in order to investigate </w:t>
      </w:r>
      <w:r w:rsidR="001D7B21" w:rsidRPr="00937770">
        <w:rPr>
          <w:rFonts w:ascii="Book Antiqua" w:hAnsi="Book Antiqua" w:cs="Arial"/>
          <w:lang w:val="en-US"/>
        </w:rPr>
        <w:t>mechanisms of drug resistan</w:t>
      </w:r>
      <w:r w:rsidR="00937770">
        <w:rPr>
          <w:rFonts w:ascii="Book Antiqua" w:hAnsi="Book Antiqua" w:cs="Arial"/>
          <w:lang w:val="en-US"/>
        </w:rPr>
        <w:t>ce and potential benefits of polo-like kinase</w:t>
      </w:r>
      <w:r w:rsidR="001D7B21" w:rsidRPr="00937770">
        <w:rPr>
          <w:rFonts w:ascii="Book Antiqua" w:hAnsi="Book Antiqua" w:cs="Arial"/>
          <w:lang w:val="en-US"/>
        </w:rPr>
        <w:t xml:space="preserve"> inhibition</w:t>
      </w:r>
      <w:r w:rsidR="00AE7507" w:rsidRPr="00937770">
        <w:rPr>
          <w:rFonts w:ascii="Book Antiqua" w:hAnsi="Book Antiqua" w:cs="Arial"/>
          <w:lang w:val="en-US"/>
        </w:rPr>
        <w:t xml:space="preserve"> in cancer </w:t>
      </w:r>
      <w:r w:rsidR="000B1BDB" w:rsidRPr="00937770">
        <w:rPr>
          <w:rFonts w:ascii="Book Antiqua" w:hAnsi="Book Antiqua" w:cs="Arial"/>
          <w:lang w:val="en-US"/>
        </w:rPr>
        <w:t>and</w:t>
      </w:r>
      <w:r w:rsidR="00AE7507" w:rsidRPr="00937770">
        <w:rPr>
          <w:rFonts w:ascii="Book Antiqua" w:hAnsi="Book Antiqua" w:cs="Arial"/>
          <w:lang w:val="en-US"/>
        </w:rPr>
        <w:t xml:space="preserve"> especiall</w:t>
      </w:r>
      <w:r w:rsidR="00B90082" w:rsidRPr="00937770">
        <w:rPr>
          <w:rFonts w:ascii="Book Antiqua" w:hAnsi="Book Antiqua" w:cs="Arial"/>
          <w:lang w:val="en-US"/>
        </w:rPr>
        <w:t>y in cholangiocarcinoma</w:t>
      </w:r>
      <w:r w:rsidR="00AE7507" w:rsidRPr="00937770">
        <w:rPr>
          <w:rFonts w:ascii="Book Antiqua" w:hAnsi="Book Antiqua" w:cs="Arial"/>
          <w:lang w:val="en-US"/>
        </w:rPr>
        <w:t xml:space="preserve"> therapy</w:t>
      </w:r>
      <w:r w:rsidR="001D7B21" w:rsidRPr="00937770">
        <w:rPr>
          <w:rFonts w:ascii="Book Antiqua" w:hAnsi="Book Antiqua" w:cs="Arial"/>
          <w:lang w:val="en-US"/>
        </w:rPr>
        <w:t xml:space="preserve">. </w:t>
      </w:r>
    </w:p>
    <w:p w14:paraId="35C80E1B" w14:textId="77777777" w:rsidR="00A83CDC" w:rsidRDefault="00A83CDC" w:rsidP="00A741A5">
      <w:pPr>
        <w:spacing w:line="360" w:lineRule="auto"/>
        <w:jc w:val="both"/>
        <w:rPr>
          <w:rFonts w:ascii="Book Antiqua" w:hAnsi="Book Antiqua" w:cs="Arial"/>
          <w:lang w:val="en-US"/>
        </w:rPr>
      </w:pPr>
    </w:p>
    <w:p w14:paraId="3D073375" w14:textId="5FB10ECB" w:rsidR="00ED4C2C" w:rsidRPr="00ED4C2C" w:rsidRDefault="008C6D92" w:rsidP="00A741A5">
      <w:pPr>
        <w:spacing w:line="360" w:lineRule="auto"/>
        <w:jc w:val="both"/>
        <w:rPr>
          <w:rFonts w:ascii="Book Antiqua" w:hAnsi="Book Antiqua" w:cs="Arial"/>
          <w:b/>
          <w:i/>
          <w:lang w:val="en-US"/>
        </w:rPr>
      </w:pPr>
      <w:r>
        <w:rPr>
          <w:rFonts w:ascii="Book Antiqua" w:hAnsi="Book Antiqua" w:cs="Arial"/>
          <w:b/>
          <w:i/>
          <w:lang w:val="en-US"/>
        </w:rPr>
        <w:t>Research frontiers</w:t>
      </w:r>
    </w:p>
    <w:p w14:paraId="2D34BC44" w14:textId="0AAB00F2" w:rsidR="008144D0" w:rsidRDefault="00ED4C2C" w:rsidP="00A741A5">
      <w:pPr>
        <w:spacing w:line="360" w:lineRule="auto"/>
        <w:jc w:val="both"/>
        <w:rPr>
          <w:rFonts w:ascii="Book Antiqua" w:eastAsia="SimSun" w:hAnsi="Book Antiqua"/>
          <w:lang w:val="en-US" w:eastAsia="zh-CN"/>
        </w:rPr>
      </w:pPr>
      <w:r w:rsidRPr="002F1A08">
        <w:rPr>
          <w:rFonts w:ascii="Book Antiqua" w:hAnsi="Book Antiqua"/>
          <w:lang w:val="en-US"/>
        </w:rPr>
        <w:t>The manuscript addresses t</w:t>
      </w:r>
      <w:r w:rsidR="008C6D92">
        <w:rPr>
          <w:rFonts w:ascii="Book Antiqua" w:hAnsi="Book Antiqua"/>
          <w:lang w:val="en-US"/>
        </w:rPr>
        <w:t>he very timely and topical roles</w:t>
      </w:r>
      <w:r w:rsidRPr="002F1A08">
        <w:rPr>
          <w:rFonts w:ascii="Book Antiqua" w:hAnsi="Book Antiqua"/>
          <w:lang w:val="en-US"/>
        </w:rPr>
        <w:t xml:space="preserve"> of cell cycle/apoptosis modulating enzymes for the tumor biology of human </w:t>
      </w:r>
      <w:r w:rsidR="00B90082" w:rsidRPr="002F1A08">
        <w:rPr>
          <w:rFonts w:ascii="Book Antiqua" w:hAnsi="Book Antiqua"/>
          <w:lang w:val="en-US"/>
        </w:rPr>
        <w:t xml:space="preserve">cancer and especially in </w:t>
      </w:r>
      <w:r w:rsidRPr="002F1A08">
        <w:rPr>
          <w:rFonts w:ascii="Book Antiqua" w:hAnsi="Book Antiqua"/>
          <w:lang w:val="en-US"/>
        </w:rPr>
        <w:t>cholangiocarcinoma. In particular, the d</w:t>
      </w:r>
      <w:r w:rsidR="00937770">
        <w:rPr>
          <w:rFonts w:ascii="Book Antiqua" w:hAnsi="Book Antiqua"/>
          <w:lang w:val="en-US"/>
        </w:rPr>
        <w:t>ata suggest that polo-like kinase</w:t>
      </w:r>
      <w:r w:rsidR="002F1A08" w:rsidRPr="002F1A08">
        <w:rPr>
          <w:rFonts w:ascii="Book Antiqua" w:hAnsi="Book Antiqua"/>
          <w:lang w:val="en-US"/>
        </w:rPr>
        <w:t xml:space="preserve"> i</w:t>
      </w:r>
      <w:r w:rsidR="002F1A08">
        <w:rPr>
          <w:rFonts w:ascii="Book Antiqua" w:hAnsi="Book Antiqua"/>
          <w:lang w:val="en-US"/>
        </w:rPr>
        <w:t xml:space="preserve">nhibition </w:t>
      </w:r>
      <w:r w:rsidR="002F1A08">
        <w:rPr>
          <w:rFonts w:ascii="Book Antiqua" w:hAnsi="Book Antiqua"/>
          <w:lang w:val="en-US"/>
        </w:rPr>
        <w:lastRenderedPageBreak/>
        <w:t>can sensitize</w:t>
      </w:r>
      <w:r w:rsidRPr="002F1A08">
        <w:rPr>
          <w:rFonts w:ascii="Book Antiqua" w:hAnsi="Book Antiqua"/>
          <w:lang w:val="en-US"/>
        </w:rPr>
        <w:t xml:space="preserve"> some cholangioca</w:t>
      </w:r>
      <w:r w:rsidR="00587FCA">
        <w:rPr>
          <w:rFonts w:ascii="Book Antiqua" w:hAnsi="Book Antiqua"/>
          <w:lang w:val="en-US"/>
        </w:rPr>
        <w:t>rcinoma cell lines to cisplatin-</w:t>
      </w:r>
      <w:r w:rsidR="002F1A08">
        <w:rPr>
          <w:rFonts w:ascii="Book Antiqua" w:hAnsi="Book Antiqua"/>
          <w:lang w:val="en-US"/>
        </w:rPr>
        <w:t>induced apoptosis and therefore can address a new mechanism for enhancements of cancer therapies</w:t>
      </w:r>
      <w:r w:rsidRPr="002F1A08">
        <w:rPr>
          <w:rFonts w:ascii="Book Antiqua" w:hAnsi="Book Antiqua"/>
          <w:lang w:val="en-US"/>
        </w:rPr>
        <w:t>.</w:t>
      </w:r>
    </w:p>
    <w:p w14:paraId="128753D7" w14:textId="77777777" w:rsidR="00657AD2" w:rsidRPr="00657AD2" w:rsidRDefault="00657AD2" w:rsidP="00A741A5">
      <w:pPr>
        <w:spacing w:line="360" w:lineRule="auto"/>
        <w:jc w:val="both"/>
        <w:rPr>
          <w:rFonts w:ascii="Book Antiqua" w:eastAsia="SimSun" w:hAnsi="Book Antiqua"/>
          <w:lang w:val="en-US" w:eastAsia="zh-CN"/>
        </w:rPr>
      </w:pPr>
    </w:p>
    <w:p w14:paraId="35A836DF" w14:textId="5F2CC834" w:rsidR="00412E0F" w:rsidRPr="00412E0F" w:rsidRDefault="008144D0" w:rsidP="00A741A5">
      <w:pPr>
        <w:spacing w:line="360" w:lineRule="auto"/>
        <w:jc w:val="both"/>
        <w:rPr>
          <w:rFonts w:ascii="Book Antiqua" w:hAnsi="Book Antiqua" w:cs="Arial"/>
          <w:b/>
          <w:i/>
          <w:lang w:val="en-US"/>
        </w:rPr>
      </w:pPr>
      <w:r w:rsidRPr="008144D0">
        <w:rPr>
          <w:rFonts w:ascii="Book Antiqua" w:hAnsi="Book Antiqua" w:cs="Arial"/>
          <w:b/>
          <w:i/>
          <w:lang w:val="en-US"/>
        </w:rPr>
        <w:t>Innovations and breakthrough</w:t>
      </w:r>
      <w:r w:rsidR="008C6D92">
        <w:rPr>
          <w:rFonts w:ascii="Book Antiqua" w:hAnsi="Book Antiqua" w:cs="Arial"/>
          <w:b/>
          <w:i/>
          <w:lang w:val="en-US"/>
        </w:rPr>
        <w:t>s</w:t>
      </w:r>
    </w:p>
    <w:p w14:paraId="6D73F22F" w14:textId="70E9A539" w:rsidR="00412E0F" w:rsidRDefault="00000617" w:rsidP="00A741A5">
      <w:pPr>
        <w:spacing w:line="360" w:lineRule="auto"/>
        <w:jc w:val="both"/>
        <w:rPr>
          <w:rFonts w:ascii="Book Antiqua" w:hAnsi="Book Antiqua"/>
          <w:lang w:val="en-US"/>
        </w:rPr>
      </w:pPr>
      <w:r>
        <w:rPr>
          <w:rFonts w:ascii="Book Antiqua" w:hAnsi="Book Antiqua"/>
          <w:lang w:val="en-US"/>
        </w:rPr>
        <w:t>It was already known that polo-like kinase inhibition could decrease expression levels of the anti-apoptotic molecule Mcl-1 in cholangiocarcinoma cells. Data of this manuscript reveal another pro-apoptotic mechanism of polo-like kinase inhibition emphasizing the potential therapeutic benefit of polo-like kinase inhibitors for the treatment of cholangiocarcinoma.</w:t>
      </w:r>
      <w:r w:rsidR="00657AD2">
        <w:rPr>
          <w:rFonts w:ascii="Book Antiqua" w:hAnsi="Book Antiqua"/>
          <w:lang w:val="en-US"/>
        </w:rPr>
        <w:t xml:space="preserve"> </w:t>
      </w:r>
      <w:r w:rsidR="00385397">
        <w:rPr>
          <w:rFonts w:ascii="Book Antiqua" w:hAnsi="Book Antiqua"/>
          <w:lang w:val="en-US"/>
        </w:rPr>
        <w:t>Polo-like kinase inhibition</w:t>
      </w:r>
      <w:r w:rsidR="00CF6C28">
        <w:rPr>
          <w:rFonts w:ascii="Book Antiqua" w:hAnsi="Book Antiqua"/>
          <w:lang w:val="en-US"/>
        </w:rPr>
        <w:t xml:space="preserve"> by BI6727 (volasertib) could</w:t>
      </w:r>
      <w:r w:rsidR="00385397">
        <w:rPr>
          <w:rFonts w:ascii="Book Antiqua" w:hAnsi="Book Antiqua"/>
          <w:lang w:val="en-US"/>
        </w:rPr>
        <w:t xml:space="preserve"> enhance cytotoxic effect of cisplatin in cholangiocarcinoma cell lines by reducing expression of the anti-apoptotic molecule Bcl-2 that seems to be mediated via proteasomal degradation. </w:t>
      </w:r>
    </w:p>
    <w:p w14:paraId="2C0A8508" w14:textId="281BFF76" w:rsidR="008144D0" w:rsidRPr="00410438" w:rsidRDefault="008144D0" w:rsidP="00A741A5">
      <w:pPr>
        <w:spacing w:line="360" w:lineRule="auto"/>
        <w:jc w:val="both"/>
        <w:rPr>
          <w:rFonts w:ascii="Book Antiqua" w:hAnsi="Book Antiqua"/>
          <w:lang w:val="en-US"/>
        </w:rPr>
      </w:pPr>
    </w:p>
    <w:p w14:paraId="1693B02D" w14:textId="1C8891C0" w:rsidR="008144D0" w:rsidRPr="00410438" w:rsidRDefault="00410438" w:rsidP="00A741A5">
      <w:pPr>
        <w:spacing w:line="360" w:lineRule="auto"/>
        <w:jc w:val="both"/>
        <w:rPr>
          <w:rFonts w:ascii="Book Antiqua" w:hAnsi="Book Antiqua"/>
          <w:b/>
          <w:i/>
          <w:lang w:val="en-US"/>
        </w:rPr>
      </w:pPr>
      <w:r>
        <w:rPr>
          <w:rFonts w:ascii="Book Antiqua" w:hAnsi="Book Antiqua"/>
          <w:b/>
          <w:i/>
          <w:lang w:val="en-US"/>
        </w:rPr>
        <w:t>Applications</w:t>
      </w:r>
      <w:r w:rsidR="008144D0" w:rsidRPr="00410438">
        <w:rPr>
          <w:rFonts w:ascii="Book Antiqua" w:hAnsi="Book Antiqua"/>
          <w:b/>
          <w:i/>
          <w:lang w:val="en-US"/>
        </w:rPr>
        <w:t xml:space="preserve"> </w:t>
      </w:r>
    </w:p>
    <w:p w14:paraId="795451D3" w14:textId="7273F4EC" w:rsidR="008144D0" w:rsidRPr="00410438" w:rsidRDefault="008D3E91" w:rsidP="00A741A5">
      <w:pPr>
        <w:spacing w:line="360" w:lineRule="auto"/>
        <w:jc w:val="both"/>
        <w:rPr>
          <w:rFonts w:ascii="Book Antiqua" w:hAnsi="Book Antiqua"/>
          <w:lang w:val="en-US"/>
        </w:rPr>
      </w:pPr>
      <w:r>
        <w:rPr>
          <w:rFonts w:ascii="Book Antiqua" w:hAnsi="Book Antiqua"/>
          <w:lang w:val="en-US"/>
        </w:rPr>
        <w:t>T</w:t>
      </w:r>
      <w:r w:rsidR="008144D0" w:rsidRPr="00410438">
        <w:rPr>
          <w:rFonts w:ascii="Book Antiqua" w:hAnsi="Book Antiqua"/>
          <w:lang w:val="en-US"/>
        </w:rPr>
        <w:t>hese data reveal another pro-apoptotic mechanism of polo-like kinase inhibition emphasizing the potential therapeutic benefit of polo-like kinase inhibitors for the treatment of cholangiocarcinoma.</w:t>
      </w:r>
    </w:p>
    <w:p w14:paraId="0AE34D3A" w14:textId="77777777" w:rsidR="008144D0" w:rsidRPr="00410438" w:rsidRDefault="008144D0" w:rsidP="00A741A5">
      <w:pPr>
        <w:spacing w:line="360" w:lineRule="auto"/>
        <w:jc w:val="both"/>
        <w:rPr>
          <w:rFonts w:ascii="Book Antiqua" w:hAnsi="Book Antiqua"/>
          <w:lang w:val="en-US"/>
        </w:rPr>
      </w:pPr>
    </w:p>
    <w:p w14:paraId="4F3751EB" w14:textId="0E1AC5F0" w:rsidR="00A83CDC" w:rsidRPr="00410438" w:rsidRDefault="00410438" w:rsidP="00A741A5">
      <w:pPr>
        <w:spacing w:line="360" w:lineRule="auto"/>
        <w:jc w:val="both"/>
        <w:rPr>
          <w:rFonts w:ascii="Book Antiqua" w:hAnsi="Book Antiqua"/>
          <w:b/>
          <w:i/>
          <w:lang w:val="en-US"/>
        </w:rPr>
      </w:pPr>
      <w:r>
        <w:rPr>
          <w:rFonts w:ascii="Book Antiqua" w:hAnsi="Book Antiqua"/>
          <w:b/>
          <w:i/>
          <w:lang w:val="en-US"/>
        </w:rPr>
        <w:t>Terminology</w:t>
      </w:r>
    </w:p>
    <w:p w14:paraId="113F2A6A" w14:textId="08421FC5" w:rsidR="00ED0610" w:rsidRPr="00657AD2" w:rsidRDefault="008D3E91" w:rsidP="00A741A5">
      <w:pPr>
        <w:spacing w:line="360" w:lineRule="auto"/>
        <w:jc w:val="both"/>
        <w:rPr>
          <w:rFonts w:ascii="Book Antiqua" w:eastAsia="SimSun" w:hAnsi="Book Antiqua"/>
          <w:lang w:val="en-US" w:eastAsia="zh-CN"/>
        </w:rPr>
      </w:pPr>
      <w:r w:rsidRPr="00657AD2">
        <w:rPr>
          <w:rFonts w:ascii="Book Antiqua" w:hAnsi="Book Antiqua"/>
          <w:lang w:val="en-US"/>
        </w:rPr>
        <w:t xml:space="preserve">Polo-like kinases: </w:t>
      </w:r>
      <w:r w:rsidR="001260A1">
        <w:rPr>
          <w:rFonts w:ascii="Book Antiqua" w:hAnsi="Book Antiqua"/>
          <w:lang w:val="en-US"/>
        </w:rPr>
        <w:t xml:space="preserve">Polo-like kinases are important cell cycle regulating enzymes with a conserved </w:t>
      </w:r>
      <w:r w:rsidR="00540513">
        <w:rPr>
          <w:rFonts w:ascii="Book Antiqua" w:hAnsi="Book Antiqua"/>
          <w:lang w:val="en-US"/>
        </w:rPr>
        <w:t>N-terminal kinase domain and a C-terminal polo box domain</w:t>
      </w:r>
      <w:r w:rsidR="00302F46">
        <w:rPr>
          <w:rFonts w:ascii="Book Antiqua" w:hAnsi="Book Antiqua"/>
          <w:lang w:val="en-US"/>
        </w:rPr>
        <w:t xml:space="preserve">. Polo-like kinases are involved in formation of the spindle apparatus in mitosis and may activate cdk/cycline complexes of the cell cycle. </w:t>
      </w:r>
      <w:r w:rsidR="00137843">
        <w:rPr>
          <w:rFonts w:ascii="Book Antiqua" w:hAnsi="Book Antiqua"/>
          <w:lang w:val="en-US"/>
        </w:rPr>
        <w:t xml:space="preserve">In different tumors PLK1 has been described to be up regulated. Due to pro-proliferative effects these tumors are associated with enhanced tumor growth and worse outcome and therefore PLK-inhibition is tested as potential cancer treatment. </w:t>
      </w:r>
    </w:p>
    <w:p w14:paraId="14DFA906" w14:textId="4EF65037" w:rsidR="00ED0610" w:rsidRDefault="00ED0610" w:rsidP="00A741A5">
      <w:pPr>
        <w:spacing w:line="360" w:lineRule="auto"/>
        <w:jc w:val="both"/>
        <w:rPr>
          <w:rFonts w:ascii="Book Antiqua" w:hAnsi="Book Antiqua"/>
          <w:lang w:val="en-US"/>
        </w:rPr>
      </w:pPr>
      <w:r w:rsidRPr="00657AD2">
        <w:rPr>
          <w:rFonts w:ascii="Book Antiqua" w:hAnsi="Book Antiqua"/>
          <w:lang w:val="en-US"/>
        </w:rPr>
        <w:t>T</w:t>
      </w:r>
      <w:r w:rsidR="00A83CDC" w:rsidRPr="00657AD2">
        <w:rPr>
          <w:rFonts w:ascii="Book Antiqua" w:hAnsi="Book Antiqua"/>
          <w:lang w:val="en-US"/>
        </w:rPr>
        <w:t>RAIL</w:t>
      </w:r>
      <w:r w:rsidR="006F3174" w:rsidRPr="00657AD2">
        <w:rPr>
          <w:rFonts w:ascii="Book Antiqua" w:hAnsi="Book Antiqua"/>
          <w:lang w:val="en-US"/>
        </w:rPr>
        <w:t xml:space="preserve">: </w:t>
      </w:r>
      <w:r w:rsidR="00E9513F">
        <w:rPr>
          <w:rFonts w:ascii="Book Antiqua" w:hAnsi="Book Antiqua"/>
          <w:lang w:val="en-US"/>
        </w:rPr>
        <w:t xml:space="preserve">Tumor necrosis factor related </w:t>
      </w:r>
      <w:r>
        <w:rPr>
          <w:rFonts w:ascii="Book Antiqua" w:hAnsi="Book Antiqua"/>
          <w:lang w:val="en-US"/>
        </w:rPr>
        <w:t>apoptosis-inducing</w:t>
      </w:r>
      <w:r w:rsidR="00E9513F">
        <w:rPr>
          <w:rFonts w:ascii="Book Antiqua" w:hAnsi="Book Antiqua"/>
          <w:lang w:val="en-US"/>
        </w:rPr>
        <w:t xml:space="preserve"> ligand </w:t>
      </w:r>
      <w:r>
        <w:rPr>
          <w:rFonts w:ascii="Book Antiqua" w:hAnsi="Book Antiqua"/>
          <w:lang w:val="en-US"/>
        </w:rPr>
        <w:t>belongs to the TNF/TNFR superfamily that</w:t>
      </w:r>
      <w:r w:rsidR="00FC54E5">
        <w:rPr>
          <w:rFonts w:ascii="Book Antiqua" w:hAnsi="Book Antiqua"/>
          <w:lang w:val="en-US"/>
        </w:rPr>
        <w:t xml:space="preserve"> can induce</w:t>
      </w:r>
      <w:r>
        <w:rPr>
          <w:rFonts w:ascii="Book Antiqua" w:hAnsi="Book Antiqua"/>
          <w:lang w:val="en-US"/>
        </w:rPr>
        <w:t xml:space="preserve"> apoptosis in target cells</w:t>
      </w:r>
      <w:r w:rsidR="00FC54E5">
        <w:rPr>
          <w:rFonts w:ascii="Book Antiqua" w:hAnsi="Book Antiqua"/>
          <w:lang w:val="en-US"/>
        </w:rPr>
        <w:t xml:space="preserve"> via binding to special death receptors</w:t>
      </w:r>
      <w:r>
        <w:rPr>
          <w:rFonts w:ascii="Book Antiqua" w:hAnsi="Book Antiqua"/>
          <w:lang w:val="en-US"/>
        </w:rPr>
        <w:t xml:space="preserve">. Important target cells represent tumor cells while </w:t>
      </w:r>
      <w:r w:rsidR="00FC54E5">
        <w:rPr>
          <w:rFonts w:ascii="Book Antiqua" w:hAnsi="Book Antiqua"/>
          <w:lang w:val="en-US"/>
        </w:rPr>
        <w:t>“normal” non-tumorous cells are less susceptible to TRAIL-induced cell death and mainly remain less harmed compared to tumor cells after treatment with TRAIL. Due to these findings in</w:t>
      </w:r>
      <w:r w:rsidR="00DD78D7">
        <w:rPr>
          <w:rFonts w:ascii="Book Antiqua" w:hAnsi="Book Antiqua"/>
          <w:lang w:val="en-US"/>
        </w:rPr>
        <w:t xml:space="preserve"> different</w:t>
      </w:r>
      <w:r w:rsidR="00FC54E5">
        <w:rPr>
          <w:rFonts w:ascii="Book Antiqua" w:hAnsi="Book Antiqua"/>
          <w:lang w:val="en-US"/>
        </w:rPr>
        <w:t xml:space="preserve"> </w:t>
      </w:r>
      <w:r w:rsidR="00943B13" w:rsidRPr="00943B13">
        <w:rPr>
          <w:rFonts w:ascii="Book Antiqua" w:hAnsi="Book Antiqua"/>
          <w:i/>
          <w:lang w:val="en-US"/>
        </w:rPr>
        <w:t>in vitro</w:t>
      </w:r>
      <w:r w:rsidR="00FC54E5">
        <w:rPr>
          <w:rFonts w:ascii="Book Antiqua" w:hAnsi="Book Antiqua"/>
          <w:lang w:val="en-US"/>
        </w:rPr>
        <w:t xml:space="preserve"> and </w:t>
      </w:r>
      <w:r w:rsidR="00FC54E5" w:rsidRPr="00FC54E5">
        <w:rPr>
          <w:rFonts w:ascii="Book Antiqua" w:hAnsi="Book Antiqua"/>
          <w:i/>
          <w:lang w:val="en-US"/>
        </w:rPr>
        <w:t>in vivo</w:t>
      </w:r>
      <w:r w:rsidR="00FC54E5">
        <w:rPr>
          <w:rFonts w:ascii="Book Antiqua" w:hAnsi="Book Antiqua"/>
          <w:lang w:val="en-US"/>
        </w:rPr>
        <w:t xml:space="preserve"> experiments TRAIL</w:t>
      </w:r>
      <w:r w:rsidR="00DD78D7">
        <w:rPr>
          <w:rFonts w:ascii="Book Antiqua" w:hAnsi="Book Antiqua"/>
          <w:lang w:val="en-US"/>
        </w:rPr>
        <w:t xml:space="preserve"> has been discussed </w:t>
      </w:r>
      <w:r w:rsidR="00DD78D7">
        <w:rPr>
          <w:rFonts w:ascii="Book Antiqua" w:hAnsi="Book Antiqua"/>
          <w:lang w:val="en-US"/>
        </w:rPr>
        <w:lastRenderedPageBreak/>
        <w:t>as a potential cancer treatment agent. Interestingly in cholangiocellular carcinoma TRAIL seems to contribute to therapy resistance of tumors.</w:t>
      </w:r>
      <w:r w:rsidR="00657AD2">
        <w:rPr>
          <w:rFonts w:ascii="Book Antiqua" w:hAnsi="Book Antiqua"/>
          <w:lang w:val="en-US"/>
        </w:rPr>
        <w:t xml:space="preserve">   </w:t>
      </w:r>
    </w:p>
    <w:p w14:paraId="41E0EA33" w14:textId="3C5F2589" w:rsidR="00A83CDC" w:rsidRPr="00657AD2" w:rsidRDefault="00A83CDC" w:rsidP="00A741A5">
      <w:pPr>
        <w:spacing w:line="360" w:lineRule="auto"/>
        <w:jc w:val="both"/>
        <w:rPr>
          <w:rFonts w:ascii="Book Antiqua" w:eastAsia="SimSun" w:hAnsi="Book Antiqua"/>
          <w:lang w:val="en-US" w:eastAsia="zh-CN"/>
        </w:rPr>
      </w:pPr>
    </w:p>
    <w:p w14:paraId="6C8572A7" w14:textId="6667EF95" w:rsidR="00A83CDC" w:rsidRPr="00036877" w:rsidRDefault="00036877" w:rsidP="00A741A5">
      <w:pPr>
        <w:spacing w:line="360" w:lineRule="auto"/>
        <w:jc w:val="both"/>
        <w:rPr>
          <w:rFonts w:ascii="Book Antiqua" w:hAnsi="Book Antiqua"/>
          <w:b/>
          <w:i/>
          <w:lang w:val="en-US"/>
        </w:rPr>
      </w:pPr>
      <w:r>
        <w:rPr>
          <w:rFonts w:ascii="Book Antiqua" w:hAnsi="Book Antiqua"/>
          <w:b/>
          <w:i/>
          <w:lang w:val="en-US"/>
        </w:rPr>
        <w:t>Peer</w:t>
      </w:r>
      <w:r w:rsidR="00657AD2">
        <w:rPr>
          <w:rFonts w:ascii="Book Antiqua" w:hAnsi="Book Antiqua"/>
          <w:b/>
          <w:i/>
          <w:lang w:val="en-US"/>
        </w:rPr>
        <w:t>-r</w:t>
      </w:r>
      <w:r>
        <w:rPr>
          <w:rFonts w:ascii="Book Antiqua" w:hAnsi="Book Antiqua"/>
          <w:b/>
          <w:i/>
          <w:lang w:val="en-US"/>
        </w:rPr>
        <w:t>eview</w:t>
      </w:r>
    </w:p>
    <w:p w14:paraId="797D4145" w14:textId="4FA6256D" w:rsidR="00036877" w:rsidRPr="00026A8A" w:rsidRDefault="00314AE1" w:rsidP="00A741A5">
      <w:pPr>
        <w:spacing w:line="360" w:lineRule="auto"/>
        <w:jc w:val="both"/>
        <w:rPr>
          <w:rFonts w:ascii="Book Antiqua" w:hAnsi="Book Antiqua"/>
          <w:lang w:val="en-US"/>
        </w:rPr>
      </w:pPr>
      <w:r w:rsidRPr="00314AE1">
        <w:rPr>
          <w:rFonts w:ascii="Book Antiqua" w:hAnsi="Book Antiqua"/>
          <w:lang w:val="en-US"/>
        </w:rPr>
        <w:t>The manuscript is interesting, but needs more improvements. For example</w:t>
      </w:r>
      <w:r>
        <w:rPr>
          <w:rFonts w:ascii="Book Antiqua" w:eastAsia="SimSun" w:hAnsi="Book Antiqua" w:hint="eastAsia"/>
          <w:lang w:val="en-US" w:eastAsia="zh-CN"/>
        </w:rPr>
        <w:t>,</w:t>
      </w:r>
      <w:r w:rsidRPr="00314AE1">
        <w:rPr>
          <w:rFonts w:ascii="Book Antiqua" w:hAnsi="Book Antiqua"/>
          <w:lang w:val="en-US"/>
        </w:rPr>
        <w:t xml:space="preserve"> the confirmation of apoptosis at the molecular level by the analysis of PARP cleave, or caspase-3 using western blot analysis. Also, the analysis of Bax expression at the protein level.</w:t>
      </w:r>
    </w:p>
    <w:p w14:paraId="262745F2" w14:textId="77777777" w:rsidR="003500A3" w:rsidRPr="00410438" w:rsidRDefault="003500A3" w:rsidP="00A741A5">
      <w:pPr>
        <w:spacing w:line="360" w:lineRule="auto"/>
        <w:jc w:val="both"/>
        <w:rPr>
          <w:rFonts w:ascii="Book Antiqua" w:hAnsi="Book Antiqua"/>
          <w:lang w:val="en-US"/>
        </w:rPr>
      </w:pPr>
    </w:p>
    <w:p w14:paraId="568C5F7C" w14:textId="77777777" w:rsidR="00A83CDC" w:rsidRPr="008144D0" w:rsidRDefault="00A83CDC" w:rsidP="00A741A5">
      <w:pPr>
        <w:spacing w:line="360" w:lineRule="auto"/>
        <w:jc w:val="both"/>
        <w:rPr>
          <w:rFonts w:ascii="Times New Roman" w:hAnsi="Times New Roman"/>
          <w:lang w:val="en-US"/>
        </w:rPr>
      </w:pPr>
    </w:p>
    <w:p w14:paraId="27E61C52" w14:textId="3ADA6F89" w:rsidR="00003D07" w:rsidRPr="00DF2968" w:rsidRDefault="00003D07" w:rsidP="00A741A5">
      <w:pPr>
        <w:spacing w:line="360" w:lineRule="auto"/>
        <w:jc w:val="both"/>
        <w:rPr>
          <w:rFonts w:ascii="Book Antiqua" w:hAnsi="Book Antiqua" w:cs="Arial"/>
          <w:lang w:val="en-US"/>
        </w:rPr>
      </w:pPr>
      <w:r w:rsidRPr="00DF2968">
        <w:rPr>
          <w:rFonts w:ascii="Book Antiqua" w:hAnsi="Book Antiqua" w:cs="Arial"/>
          <w:lang w:val="en-US"/>
        </w:rPr>
        <w:br w:type="page"/>
      </w:r>
    </w:p>
    <w:p w14:paraId="45A7A4FD" w14:textId="77777777" w:rsidR="00053652" w:rsidRDefault="000309B1" w:rsidP="00A741A5">
      <w:pPr>
        <w:pStyle w:val="Literaturverzeichnis3"/>
        <w:spacing w:after="0" w:line="360" w:lineRule="auto"/>
        <w:ind w:left="0" w:firstLine="0"/>
        <w:rPr>
          <w:rFonts w:ascii="Book Antiqua" w:eastAsia="SimSun" w:hAnsi="Book Antiqua"/>
          <w:caps/>
          <w:sz w:val="24"/>
          <w:szCs w:val="24"/>
          <w:lang w:eastAsia="zh-CN"/>
        </w:rPr>
      </w:pPr>
      <w:r w:rsidRPr="00314AE1">
        <w:rPr>
          <w:rFonts w:ascii="Book Antiqua" w:hAnsi="Book Antiqua"/>
          <w:caps/>
          <w:sz w:val="24"/>
          <w:szCs w:val="24"/>
        </w:rPr>
        <w:lastRenderedPageBreak/>
        <w:t>References</w:t>
      </w:r>
    </w:p>
    <w:p w14:paraId="78CA2576"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1 </w:t>
      </w:r>
      <w:r w:rsidRPr="00354295">
        <w:rPr>
          <w:rFonts w:ascii="Book Antiqua" w:eastAsia="SimSun" w:hAnsi="Book Antiqua" w:cs="SimSun"/>
          <w:b/>
          <w:bCs/>
        </w:rPr>
        <w:t>Patel T</w:t>
      </w:r>
      <w:r w:rsidRPr="00354295">
        <w:rPr>
          <w:rFonts w:ascii="Book Antiqua" w:eastAsia="SimSun" w:hAnsi="Book Antiqua" w:cs="SimSun"/>
        </w:rPr>
        <w:t>. Cholangiocarcinoma. </w:t>
      </w:r>
      <w:r w:rsidRPr="00354295">
        <w:rPr>
          <w:rFonts w:ascii="Book Antiqua" w:eastAsia="SimSun" w:hAnsi="Book Antiqua" w:cs="SimSun"/>
          <w:i/>
          <w:iCs/>
        </w:rPr>
        <w:t>Nat Clin Pract Gastroenterol Hepatol</w:t>
      </w:r>
      <w:r w:rsidRPr="00354295">
        <w:rPr>
          <w:rFonts w:ascii="Book Antiqua" w:eastAsia="SimSun" w:hAnsi="Book Antiqua" w:cs="SimSun"/>
        </w:rPr>
        <w:t> 2006; </w:t>
      </w:r>
      <w:r w:rsidRPr="00354295">
        <w:rPr>
          <w:rFonts w:ascii="Book Antiqua" w:eastAsia="SimSun" w:hAnsi="Book Antiqua" w:cs="SimSun"/>
          <w:b/>
          <w:bCs/>
        </w:rPr>
        <w:t>3</w:t>
      </w:r>
      <w:r w:rsidRPr="00354295">
        <w:rPr>
          <w:rFonts w:ascii="Book Antiqua" w:eastAsia="SimSun" w:hAnsi="Book Antiqua" w:cs="SimSun"/>
        </w:rPr>
        <w:t>: 33-42 [PMID: 16397610 DOI: 10.1038/ncpgasthep0389]</w:t>
      </w:r>
    </w:p>
    <w:p w14:paraId="7E0C1BF2"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2 </w:t>
      </w:r>
      <w:r w:rsidRPr="00354295">
        <w:rPr>
          <w:rFonts w:ascii="Book Antiqua" w:eastAsia="SimSun" w:hAnsi="Book Antiqua" w:cs="SimSun"/>
          <w:b/>
          <w:bCs/>
        </w:rPr>
        <w:t>Blechacz B</w:t>
      </w:r>
      <w:r w:rsidRPr="00354295">
        <w:rPr>
          <w:rFonts w:ascii="Book Antiqua" w:eastAsia="SimSun" w:hAnsi="Book Antiqua" w:cs="SimSun"/>
        </w:rPr>
        <w:t>, Gores GJ. Cholangiocarcinoma: advances in pathogenesis, diagnosis, and treatment. </w:t>
      </w:r>
      <w:r w:rsidRPr="00354295">
        <w:rPr>
          <w:rFonts w:ascii="Book Antiqua" w:eastAsia="SimSun" w:hAnsi="Book Antiqua" w:cs="SimSun"/>
          <w:i/>
          <w:iCs/>
        </w:rPr>
        <w:t>Hepatology</w:t>
      </w:r>
      <w:r w:rsidRPr="00354295">
        <w:rPr>
          <w:rFonts w:ascii="Book Antiqua" w:eastAsia="SimSun" w:hAnsi="Book Antiqua" w:cs="SimSun"/>
        </w:rPr>
        <w:t> 2008; </w:t>
      </w:r>
      <w:r w:rsidRPr="00354295">
        <w:rPr>
          <w:rFonts w:ascii="Book Antiqua" w:eastAsia="SimSun" w:hAnsi="Book Antiqua" w:cs="SimSun"/>
          <w:b/>
          <w:bCs/>
        </w:rPr>
        <w:t>48</w:t>
      </w:r>
      <w:r w:rsidRPr="00354295">
        <w:rPr>
          <w:rFonts w:ascii="Book Antiqua" w:eastAsia="SimSun" w:hAnsi="Book Antiqua" w:cs="SimSun"/>
        </w:rPr>
        <w:t>: 308-321 [PMID: 18536057 DOI: 10.1002/hep.22310]</w:t>
      </w:r>
    </w:p>
    <w:p w14:paraId="31990B53"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3 </w:t>
      </w:r>
      <w:r w:rsidRPr="00354295">
        <w:rPr>
          <w:rFonts w:ascii="Book Antiqua" w:eastAsia="SimSun" w:hAnsi="Book Antiqua" w:cs="SimSun"/>
          <w:b/>
          <w:bCs/>
        </w:rPr>
        <w:t>Razumilava N</w:t>
      </w:r>
      <w:r w:rsidRPr="00354295">
        <w:rPr>
          <w:rFonts w:ascii="Book Antiqua" w:eastAsia="SimSun" w:hAnsi="Book Antiqua" w:cs="SimSun"/>
        </w:rPr>
        <w:t>, Gores GJ. Cholangiocarcinoma. </w:t>
      </w:r>
      <w:r w:rsidRPr="00354295">
        <w:rPr>
          <w:rFonts w:ascii="Book Antiqua" w:eastAsia="SimSun" w:hAnsi="Book Antiqua" w:cs="SimSun"/>
          <w:i/>
          <w:iCs/>
        </w:rPr>
        <w:t>Lancet</w:t>
      </w:r>
      <w:r w:rsidRPr="00354295">
        <w:rPr>
          <w:rFonts w:ascii="Book Antiqua" w:eastAsia="SimSun" w:hAnsi="Book Antiqua" w:cs="SimSun"/>
        </w:rPr>
        <w:t> 2014; </w:t>
      </w:r>
      <w:r w:rsidRPr="00354295">
        <w:rPr>
          <w:rFonts w:ascii="Book Antiqua" w:eastAsia="SimSun" w:hAnsi="Book Antiqua" w:cs="SimSun"/>
          <w:b/>
          <w:bCs/>
        </w:rPr>
        <w:t>383</w:t>
      </w:r>
      <w:r w:rsidRPr="00354295">
        <w:rPr>
          <w:rFonts w:ascii="Book Antiqua" w:eastAsia="SimSun" w:hAnsi="Book Antiqua" w:cs="SimSun"/>
        </w:rPr>
        <w:t>: 2168-2179 [PMID: 24581682 DOI: 10.1016/S0140-6736(13)61903-0]</w:t>
      </w:r>
    </w:p>
    <w:p w14:paraId="57544518"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4 </w:t>
      </w:r>
      <w:r w:rsidRPr="00354295">
        <w:rPr>
          <w:rFonts w:ascii="Book Antiqua" w:eastAsia="SimSun" w:hAnsi="Book Antiqua" w:cs="SimSun"/>
          <w:b/>
          <w:bCs/>
        </w:rPr>
        <w:t>von Hahn T</w:t>
      </w:r>
      <w:r w:rsidRPr="00354295">
        <w:rPr>
          <w:rFonts w:ascii="Book Antiqua" w:eastAsia="SimSun" w:hAnsi="Book Antiqua" w:cs="SimSun"/>
        </w:rPr>
        <w:t>, Ciesek S, Wegener G, Plentz RR, Weismüller TJ, Wedemeyer H, Manns MP, Greten TF, Malek NP. Epidemiological trends in incidence and mortality of hepatobiliary cancers in Germany. </w:t>
      </w:r>
      <w:r w:rsidRPr="00354295">
        <w:rPr>
          <w:rFonts w:ascii="Book Antiqua" w:eastAsia="SimSun" w:hAnsi="Book Antiqua" w:cs="SimSun"/>
          <w:i/>
          <w:iCs/>
        </w:rPr>
        <w:t>Scand J Gastroenterol</w:t>
      </w:r>
      <w:r w:rsidRPr="00354295">
        <w:rPr>
          <w:rFonts w:ascii="Book Antiqua" w:eastAsia="SimSun" w:hAnsi="Book Antiqua" w:cs="SimSun"/>
        </w:rPr>
        <w:t> 2011; </w:t>
      </w:r>
      <w:r w:rsidRPr="00354295">
        <w:rPr>
          <w:rFonts w:ascii="Book Antiqua" w:eastAsia="SimSun" w:hAnsi="Book Antiqua" w:cs="SimSun"/>
          <w:b/>
          <w:bCs/>
        </w:rPr>
        <w:t>46</w:t>
      </w:r>
      <w:r w:rsidRPr="00354295">
        <w:rPr>
          <w:rFonts w:ascii="Book Antiqua" w:eastAsia="SimSun" w:hAnsi="Book Antiqua" w:cs="SimSun"/>
        </w:rPr>
        <w:t>: 1092-1098 [PMID: 21692710 DOI: 10.3109/00365521.2011.589472]</w:t>
      </w:r>
    </w:p>
    <w:p w14:paraId="56EB90AB"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5 </w:t>
      </w:r>
      <w:r w:rsidRPr="00354295">
        <w:rPr>
          <w:rFonts w:ascii="Book Antiqua" w:eastAsia="SimSun" w:hAnsi="Book Antiqua" w:cs="SimSun"/>
          <w:b/>
          <w:bCs/>
        </w:rPr>
        <w:t>West J</w:t>
      </w:r>
      <w:r w:rsidRPr="00354295">
        <w:rPr>
          <w:rFonts w:ascii="Book Antiqua" w:eastAsia="SimSun" w:hAnsi="Book Antiqua" w:cs="SimSun"/>
        </w:rPr>
        <w:t>, Wood H, Logan RF, Quinn M, Aithal GP. Trends in the incidence of primary liver and biliary tract cancers in England and Wales 1971-2001. </w:t>
      </w:r>
      <w:r w:rsidRPr="00354295">
        <w:rPr>
          <w:rFonts w:ascii="Book Antiqua" w:eastAsia="SimSun" w:hAnsi="Book Antiqua" w:cs="SimSun"/>
          <w:i/>
          <w:iCs/>
        </w:rPr>
        <w:t>Br J Cancer</w:t>
      </w:r>
      <w:r w:rsidRPr="00354295">
        <w:rPr>
          <w:rFonts w:ascii="Book Antiqua" w:eastAsia="SimSun" w:hAnsi="Book Antiqua" w:cs="SimSun"/>
        </w:rPr>
        <w:t> 2006; </w:t>
      </w:r>
      <w:r w:rsidRPr="00354295">
        <w:rPr>
          <w:rFonts w:ascii="Book Antiqua" w:eastAsia="SimSun" w:hAnsi="Book Antiqua" w:cs="SimSun"/>
          <w:b/>
          <w:bCs/>
        </w:rPr>
        <w:t>94</w:t>
      </w:r>
      <w:r w:rsidRPr="00354295">
        <w:rPr>
          <w:rFonts w:ascii="Book Antiqua" w:eastAsia="SimSun" w:hAnsi="Book Antiqua" w:cs="SimSun"/>
        </w:rPr>
        <w:t>: 1751-1758 [PMID: 16736026 DOI: 10.1038/sj.bjc.6603127]</w:t>
      </w:r>
    </w:p>
    <w:p w14:paraId="2619DFFE"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6 </w:t>
      </w:r>
      <w:r w:rsidRPr="00354295">
        <w:rPr>
          <w:rFonts w:ascii="Book Antiqua" w:eastAsia="SimSun" w:hAnsi="Book Antiqua" w:cs="SimSun"/>
          <w:b/>
          <w:bCs/>
        </w:rPr>
        <w:t>Khan SA</w:t>
      </w:r>
      <w:r w:rsidRPr="00354295">
        <w:rPr>
          <w:rFonts w:ascii="Book Antiqua" w:eastAsia="SimSun" w:hAnsi="Book Antiqua" w:cs="SimSun"/>
        </w:rPr>
        <w:t>, Taylor-Robinson SD, Toledano MB, Beck A, Elliott P, Thomas HC. Changing international trends in mortality rates for liver, biliary and pancreatic tumours. </w:t>
      </w:r>
      <w:r w:rsidRPr="00354295">
        <w:rPr>
          <w:rFonts w:ascii="Book Antiqua" w:eastAsia="SimSun" w:hAnsi="Book Antiqua" w:cs="SimSun"/>
          <w:i/>
          <w:iCs/>
        </w:rPr>
        <w:t>J Hepatol</w:t>
      </w:r>
      <w:r w:rsidRPr="00354295">
        <w:rPr>
          <w:rFonts w:ascii="Book Antiqua" w:eastAsia="SimSun" w:hAnsi="Book Antiqua" w:cs="SimSun"/>
        </w:rPr>
        <w:t> 2002; </w:t>
      </w:r>
      <w:r w:rsidRPr="00354295">
        <w:rPr>
          <w:rFonts w:ascii="Book Antiqua" w:eastAsia="SimSun" w:hAnsi="Book Antiqua" w:cs="SimSun"/>
          <w:b/>
          <w:bCs/>
        </w:rPr>
        <w:t>37</w:t>
      </w:r>
      <w:r w:rsidRPr="00354295">
        <w:rPr>
          <w:rFonts w:ascii="Book Antiqua" w:eastAsia="SimSun" w:hAnsi="Book Antiqua" w:cs="SimSun"/>
        </w:rPr>
        <w:t>: 806-813 [PMID: 12445422]</w:t>
      </w:r>
    </w:p>
    <w:p w14:paraId="49B2CE04"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7 </w:t>
      </w:r>
      <w:r w:rsidRPr="00354295">
        <w:rPr>
          <w:rFonts w:ascii="Book Antiqua" w:eastAsia="SimSun" w:hAnsi="Book Antiqua" w:cs="SimSun"/>
          <w:b/>
          <w:bCs/>
        </w:rPr>
        <w:t>Rizvi S</w:t>
      </w:r>
      <w:r w:rsidRPr="00354295">
        <w:rPr>
          <w:rFonts w:ascii="Book Antiqua" w:eastAsia="SimSun" w:hAnsi="Book Antiqua" w:cs="SimSun"/>
        </w:rPr>
        <w:t>, Gores GJ. Pathogenesis, diagnosis, and management of cholangiocarcinoma. </w:t>
      </w:r>
      <w:r w:rsidRPr="00354295">
        <w:rPr>
          <w:rFonts w:ascii="Book Antiqua" w:eastAsia="SimSun" w:hAnsi="Book Antiqua" w:cs="SimSun"/>
          <w:i/>
          <w:iCs/>
        </w:rPr>
        <w:t>Gastroenterology</w:t>
      </w:r>
      <w:r w:rsidRPr="00354295">
        <w:rPr>
          <w:rFonts w:ascii="Book Antiqua" w:eastAsia="SimSun" w:hAnsi="Book Antiqua" w:cs="SimSun"/>
        </w:rPr>
        <w:t> 2013; </w:t>
      </w:r>
      <w:r w:rsidRPr="00354295">
        <w:rPr>
          <w:rFonts w:ascii="Book Antiqua" w:eastAsia="SimSun" w:hAnsi="Book Antiqua" w:cs="SimSun"/>
          <w:b/>
          <w:bCs/>
        </w:rPr>
        <w:t>145</w:t>
      </w:r>
      <w:r w:rsidRPr="00354295">
        <w:rPr>
          <w:rFonts w:ascii="Book Antiqua" w:eastAsia="SimSun" w:hAnsi="Book Antiqua" w:cs="SimSun"/>
        </w:rPr>
        <w:t>: 1215-1229 [PMID: 24140396 DOI: 10.1053/j.gastro.2013.10.013]</w:t>
      </w:r>
    </w:p>
    <w:p w14:paraId="6B9658E0"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8 </w:t>
      </w:r>
      <w:r w:rsidRPr="00354295">
        <w:rPr>
          <w:rFonts w:ascii="Book Antiqua" w:eastAsia="SimSun" w:hAnsi="Book Antiqua" w:cs="SimSun"/>
          <w:b/>
          <w:bCs/>
        </w:rPr>
        <w:t>Fingas CD</w:t>
      </w:r>
      <w:r w:rsidRPr="00354295">
        <w:rPr>
          <w:rFonts w:ascii="Book Antiqua" w:eastAsia="SimSun" w:hAnsi="Book Antiqua" w:cs="SimSun"/>
        </w:rPr>
        <w:t>, Mertens JC, Razumilava N, Sydor S, Bronk SF, Christensen JD, Rizvi SH, Canbay A, Treckmann JW, Paul A, Sirica AE, Gores GJ. Polo-like kinase 2 is a mediator of hedgehog survival signaling in cholangiocarcinoma. </w:t>
      </w:r>
      <w:r w:rsidRPr="00354295">
        <w:rPr>
          <w:rFonts w:ascii="Book Antiqua" w:eastAsia="SimSun" w:hAnsi="Book Antiqua" w:cs="SimSun"/>
          <w:i/>
          <w:iCs/>
        </w:rPr>
        <w:t>Hepatology</w:t>
      </w:r>
      <w:r w:rsidRPr="00354295">
        <w:rPr>
          <w:rFonts w:ascii="Book Antiqua" w:eastAsia="SimSun" w:hAnsi="Book Antiqua" w:cs="SimSun"/>
        </w:rPr>
        <w:t> 2013; </w:t>
      </w:r>
      <w:r w:rsidRPr="00354295">
        <w:rPr>
          <w:rFonts w:ascii="Book Antiqua" w:eastAsia="SimSun" w:hAnsi="Book Antiqua" w:cs="SimSun"/>
          <w:b/>
          <w:bCs/>
        </w:rPr>
        <w:t>58</w:t>
      </w:r>
      <w:r w:rsidRPr="00354295">
        <w:rPr>
          <w:rFonts w:ascii="Book Antiqua" w:eastAsia="SimSun" w:hAnsi="Book Antiqua" w:cs="SimSun"/>
        </w:rPr>
        <w:t>: 1362-1374 [PMID: 23703673 DOI: 10.1002/hep.26484]</w:t>
      </w:r>
    </w:p>
    <w:p w14:paraId="01DC7906"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9 </w:t>
      </w:r>
      <w:r w:rsidRPr="00354295">
        <w:rPr>
          <w:rFonts w:ascii="Book Antiqua" w:eastAsia="SimSun" w:hAnsi="Book Antiqua" w:cs="SimSun"/>
          <w:b/>
          <w:bCs/>
        </w:rPr>
        <w:t>Ashkenazi A</w:t>
      </w:r>
      <w:r w:rsidRPr="00354295">
        <w:rPr>
          <w:rFonts w:ascii="Book Antiqua" w:eastAsia="SimSun" w:hAnsi="Book Antiqua" w:cs="SimSun"/>
        </w:rPr>
        <w:t>. Directing cancer cells to self-destruct with pro-apoptotic receptor agonists. </w:t>
      </w:r>
      <w:r w:rsidRPr="00354295">
        <w:rPr>
          <w:rFonts w:ascii="Book Antiqua" w:eastAsia="SimSun" w:hAnsi="Book Antiqua" w:cs="SimSun"/>
          <w:i/>
          <w:iCs/>
        </w:rPr>
        <w:t>Nat Rev Drug Discov</w:t>
      </w:r>
      <w:r w:rsidRPr="00354295">
        <w:rPr>
          <w:rFonts w:ascii="Book Antiqua" w:eastAsia="SimSun" w:hAnsi="Book Antiqua" w:cs="SimSun"/>
        </w:rPr>
        <w:t> 2008; </w:t>
      </w:r>
      <w:r w:rsidRPr="00354295">
        <w:rPr>
          <w:rFonts w:ascii="Book Antiqua" w:eastAsia="SimSun" w:hAnsi="Book Antiqua" w:cs="SimSun"/>
          <w:b/>
          <w:bCs/>
        </w:rPr>
        <w:t>7</w:t>
      </w:r>
      <w:r w:rsidRPr="00354295">
        <w:rPr>
          <w:rFonts w:ascii="Book Antiqua" w:eastAsia="SimSun" w:hAnsi="Book Antiqua" w:cs="SimSun"/>
        </w:rPr>
        <w:t>: 1001-1012 [PMID: 18989337 DOI: 10.1038/nrd2637]</w:t>
      </w:r>
    </w:p>
    <w:p w14:paraId="021B8106"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10 </w:t>
      </w:r>
      <w:r w:rsidRPr="00354295">
        <w:rPr>
          <w:rFonts w:ascii="Book Antiqua" w:eastAsia="SimSun" w:hAnsi="Book Antiqua" w:cs="SimSun"/>
          <w:b/>
          <w:bCs/>
        </w:rPr>
        <w:t>Johnstone RW</w:t>
      </w:r>
      <w:r w:rsidRPr="00354295">
        <w:rPr>
          <w:rFonts w:ascii="Book Antiqua" w:eastAsia="SimSun" w:hAnsi="Book Antiqua" w:cs="SimSun"/>
        </w:rPr>
        <w:t>, Frew AJ, Smyth MJ. The TRAIL apoptotic pathway in cancer onset, progression and therapy. </w:t>
      </w:r>
      <w:r w:rsidRPr="00354295">
        <w:rPr>
          <w:rFonts w:ascii="Book Antiqua" w:eastAsia="SimSun" w:hAnsi="Book Antiqua" w:cs="SimSun"/>
          <w:i/>
          <w:iCs/>
        </w:rPr>
        <w:t>Nat Rev Cancer</w:t>
      </w:r>
      <w:r w:rsidRPr="00354295">
        <w:rPr>
          <w:rFonts w:ascii="Book Antiqua" w:eastAsia="SimSun" w:hAnsi="Book Antiqua" w:cs="SimSun"/>
        </w:rPr>
        <w:t> 2008; </w:t>
      </w:r>
      <w:r w:rsidRPr="00354295">
        <w:rPr>
          <w:rFonts w:ascii="Book Antiqua" w:eastAsia="SimSun" w:hAnsi="Book Antiqua" w:cs="SimSun"/>
          <w:b/>
          <w:bCs/>
        </w:rPr>
        <w:t>8</w:t>
      </w:r>
      <w:r w:rsidRPr="00354295">
        <w:rPr>
          <w:rFonts w:ascii="Book Antiqua" w:eastAsia="SimSun" w:hAnsi="Book Antiqua" w:cs="SimSun"/>
        </w:rPr>
        <w:t>: 782-798 [PMID: 18813321 DOI: 10.1038/nrc2465]</w:t>
      </w:r>
    </w:p>
    <w:p w14:paraId="74316C3D"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lastRenderedPageBreak/>
        <w:t>11 </w:t>
      </w:r>
      <w:r w:rsidRPr="00354295">
        <w:rPr>
          <w:rFonts w:ascii="Book Antiqua" w:eastAsia="SimSun" w:hAnsi="Book Antiqua" w:cs="SimSun"/>
          <w:b/>
          <w:bCs/>
        </w:rPr>
        <w:t>Ishimura N</w:t>
      </w:r>
      <w:r w:rsidRPr="00354295">
        <w:rPr>
          <w:rFonts w:ascii="Book Antiqua" w:eastAsia="SimSun" w:hAnsi="Book Antiqua" w:cs="SimSun"/>
        </w:rPr>
        <w:t>, Isomoto H, Bronk SF, Gores GJ. Trail induces cell migration and invasion in apoptosis-resistant cholangiocarcinoma cells. </w:t>
      </w:r>
      <w:r w:rsidRPr="00354295">
        <w:rPr>
          <w:rFonts w:ascii="Book Antiqua" w:eastAsia="SimSun" w:hAnsi="Book Antiqua" w:cs="SimSun"/>
          <w:i/>
          <w:iCs/>
        </w:rPr>
        <w:t>Am J Physiol Gastrointest Liver Physiol</w:t>
      </w:r>
      <w:r w:rsidRPr="00354295">
        <w:rPr>
          <w:rFonts w:ascii="Book Antiqua" w:eastAsia="SimSun" w:hAnsi="Book Antiqua" w:cs="SimSun"/>
        </w:rPr>
        <w:t> 2006; </w:t>
      </w:r>
      <w:r w:rsidRPr="00354295">
        <w:rPr>
          <w:rFonts w:ascii="Book Antiqua" w:eastAsia="SimSun" w:hAnsi="Book Antiqua" w:cs="SimSun"/>
          <w:b/>
          <w:bCs/>
        </w:rPr>
        <w:t>290</w:t>
      </w:r>
      <w:r w:rsidRPr="00354295">
        <w:rPr>
          <w:rFonts w:ascii="Book Antiqua" w:eastAsia="SimSun" w:hAnsi="Book Antiqua" w:cs="SimSun"/>
        </w:rPr>
        <w:t>: G129-G136 [PMID: 16166346 DOI: 10.1152/ajpgi.00242.2005]</w:t>
      </w:r>
    </w:p>
    <w:p w14:paraId="271265AE"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12 </w:t>
      </w:r>
      <w:r w:rsidRPr="00354295">
        <w:rPr>
          <w:rFonts w:ascii="Book Antiqua" w:eastAsia="SimSun" w:hAnsi="Book Antiqua" w:cs="SimSun"/>
          <w:b/>
          <w:bCs/>
        </w:rPr>
        <w:t>Walczak H</w:t>
      </w:r>
      <w:r w:rsidRPr="00354295">
        <w:rPr>
          <w:rFonts w:ascii="Book Antiqua" w:eastAsia="SimSun" w:hAnsi="Book Antiqua" w:cs="SimSun"/>
        </w:rPr>
        <w:t>, Miller RE, Ariail K, Gliniak B, Griffith TS, Kubin M, Chin W, Jones J, Woodward A, Le T, Smith C, Smolak P, Goodwin RG, Rauch CT, Schuh JC, Lynch DH. Tumoricidal activity of tumor necrosis factor-related apoptosis-inducing ligand in vivo. </w:t>
      </w:r>
      <w:r w:rsidRPr="00354295">
        <w:rPr>
          <w:rFonts w:ascii="Book Antiqua" w:eastAsia="SimSun" w:hAnsi="Book Antiqua" w:cs="SimSun"/>
          <w:i/>
          <w:iCs/>
        </w:rPr>
        <w:t>Nat Med</w:t>
      </w:r>
      <w:r w:rsidRPr="00354295">
        <w:rPr>
          <w:rFonts w:ascii="Book Antiqua" w:eastAsia="SimSun" w:hAnsi="Book Antiqua" w:cs="SimSun"/>
        </w:rPr>
        <w:t> 1999; </w:t>
      </w:r>
      <w:r w:rsidRPr="00354295">
        <w:rPr>
          <w:rFonts w:ascii="Book Antiqua" w:eastAsia="SimSun" w:hAnsi="Book Antiqua" w:cs="SimSun"/>
          <w:b/>
          <w:bCs/>
        </w:rPr>
        <w:t>5</w:t>
      </w:r>
      <w:r w:rsidRPr="00354295">
        <w:rPr>
          <w:rFonts w:ascii="Book Antiqua" w:eastAsia="SimSun" w:hAnsi="Book Antiqua" w:cs="SimSun"/>
        </w:rPr>
        <w:t>: 157-163 [PMID: 9930862 DOI: 10.1038/5517]</w:t>
      </w:r>
    </w:p>
    <w:p w14:paraId="07D38A46"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13 </w:t>
      </w:r>
      <w:r w:rsidRPr="00354295">
        <w:rPr>
          <w:rFonts w:ascii="Book Antiqua" w:eastAsia="SimSun" w:hAnsi="Book Antiqua" w:cs="SimSun"/>
          <w:b/>
          <w:bCs/>
        </w:rPr>
        <w:t>Guicciardi ME</w:t>
      </w:r>
      <w:r w:rsidRPr="00354295">
        <w:rPr>
          <w:rFonts w:ascii="Book Antiqua" w:eastAsia="SimSun" w:hAnsi="Book Antiqua" w:cs="SimSun"/>
        </w:rPr>
        <w:t>, Mott JL, Bronk SF, Kurita S, Fingas CD, Gores GJ. Cellular inhibitor of apoptosis 1 (cIAP-1) degradation by caspase 8 during TNF-related apoptosis-inducing ligand (TRAIL)-induced apoptosis. </w:t>
      </w:r>
      <w:r w:rsidRPr="00354295">
        <w:rPr>
          <w:rFonts w:ascii="Book Antiqua" w:eastAsia="SimSun" w:hAnsi="Book Antiqua" w:cs="SimSun"/>
          <w:i/>
          <w:iCs/>
        </w:rPr>
        <w:t>Exp Cell Res</w:t>
      </w:r>
      <w:r w:rsidRPr="00354295">
        <w:rPr>
          <w:rFonts w:ascii="Book Antiqua" w:eastAsia="SimSun" w:hAnsi="Book Antiqua" w:cs="SimSun"/>
        </w:rPr>
        <w:t> 2011; </w:t>
      </w:r>
      <w:r w:rsidRPr="00354295">
        <w:rPr>
          <w:rFonts w:ascii="Book Antiqua" w:eastAsia="SimSun" w:hAnsi="Book Antiqua" w:cs="SimSun"/>
          <w:b/>
          <w:bCs/>
        </w:rPr>
        <w:t>317</w:t>
      </w:r>
      <w:r w:rsidRPr="00354295">
        <w:rPr>
          <w:rFonts w:ascii="Book Antiqua" w:eastAsia="SimSun" w:hAnsi="Book Antiqua" w:cs="SimSun"/>
        </w:rPr>
        <w:t>: 107-116 [PMID: 20951133 DOI: 10.1016/j.yexcr.2010.10.005]</w:t>
      </w:r>
    </w:p>
    <w:p w14:paraId="596C4C89"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14 </w:t>
      </w:r>
      <w:r w:rsidRPr="00354295">
        <w:rPr>
          <w:rFonts w:ascii="Book Antiqua" w:eastAsia="SimSun" w:hAnsi="Book Antiqua" w:cs="SimSun"/>
          <w:b/>
          <w:bCs/>
        </w:rPr>
        <w:t>Fingas CD</w:t>
      </w:r>
      <w:r w:rsidRPr="00354295">
        <w:rPr>
          <w:rFonts w:ascii="Book Antiqua" w:eastAsia="SimSun" w:hAnsi="Book Antiqua" w:cs="SimSun"/>
        </w:rPr>
        <w:t>, Blechacz BR, Smoot RL, Guicciardi ME, Mott J, Bronk SF, Werneburg NW, Sirica AE, Gores GJ. A smac mimetic reduces TNF related apoptosis inducing ligand (TRAIL)-induced invasion and metastasis of cholangiocarcinoma cells. </w:t>
      </w:r>
      <w:r w:rsidRPr="00354295">
        <w:rPr>
          <w:rFonts w:ascii="Book Antiqua" w:eastAsia="SimSun" w:hAnsi="Book Antiqua" w:cs="SimSun"/>
          <w:i/>
          <w:iCs/>
        </w:rPr>
        <w:t>Hepatology</w:t>
      </w:r>
      <w:r w:rsidRPr="00354295">
        <w:rPr>
          <w:rFonts w:ascii="Book Antiqua" w:eastAsia="SimSun" w:hAnsi="Book Antiqua" w:cs="SimSun"/>
        </w:rPr>
        <w:t> 2010; </w:t>
      </w:r>
      <w:r w:rsidRPr="00354295">
        <w:rPr>
          <w:rFonts w:ascii="Book Antiqua" w:eastAsia="SimSun" w:hAnsi="Book Antiqua" w:cs="SimSun"/>
          <w:b/>
          <w:bCs/>
        </w:rPr>
        <w:t>52</w:t>
      </w:r>
      <w:r w:rsidRPr="00354295">
        <w:rPr>
          <w:rFonts w:ascii="Book Antiqua" w:eastAsia="SimSun" w:hAnsi="Book Antiqua" w:cs="SimSun"/>
        </w:rPr>
        <w:t>: 550-561 [PMID: 20683954 DOI: 10.1002/hep.23729]</w:t>
      </w:r>
    </w:p>
    <w:p w14:paraId="2AC10AF3"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15 </w:t>
      </w:r>
      <w:r w:rsidRPr="00354295">
        <w:rPr>
          <w:rFonts w:ascii="Book Antiqua" w:eastAsia="SimSun" w:hAnsi="Book Antiqua" w:cs="SimSun"/>
          <w:b/>
          <w:bCs/>
        </w:rPr>
        <w:t>Taniai M</w:t>
      </w:r>
      <w:r w:rsidRPr="00354295">
        <w:rPr>
          <w:rFonts w:ascii="Book Antiqua" w:eastAsia="SimSun" w:hAnsi="Book Antiqua" w:cs="SimSun"/>
        </w:rPr>
        <w:t>, Grambihler A, Higuchi H, Werneburg N, Bronk SF, Farrugia DJ, Kaufmann SH, Gores GJ. Mcl-1 mediates tumor necrosis factor-related apoptosis-inducing ligand resistance in human cholangiocarcinoma cells. </w:t>
      </w:r>
      <w:r w:rsidRPr="00354295">
        <w:rPr>
          <w:rFonts w:ascii="Book Antiqua" w:eastAsia="SimSun" w:hAnsi="Book Antiqua" w:cs="SimSun"/>
          <w:i/>
          <w:iCs/>
        </w:rPr>
        <w:t>Cancer Res</w:t>
      </w:r>
      <w:r w:rsidRPr="00354295">
        <w:rPr>
          <w:rFonts w:ascii="Book Antiqua" w:eastAsia="SimSun" w:hAnsi="Book Antiqua" w:cs="SimSun"/>
        </w:rPr>
        <w:t> 2004; </w:t>
      </w:r>
      <w:r w:rsidRPr="00354295">
        <w:rPr>
          <w:rFonts w:ascii="Book Antiqua" w:eastAsia="SimSun" w:hAnsi="Book Antiqua" w:cs="SimSun"/>
          <w:b/>
          <w:bCs/>
        </w:rPr>
        <w:t>64</w:t>
      </w:r>
      <w:r w:rsidRPr="00354295">
        <w:rPr>
          <w:rFonts w:ascii="Book Antiqua" w:eastAsia="SimSun" w:hAnsi="Book Antiqua" w:cs="SimSun"/>
        </w:rPr>
        <w:t>: 3517-3524 [PMID: 15150106 DOI: 10.1158/0008-5472.CAN-03-2770]</w:t>
      </w:r>
    </w:p>
    <w:p w14:paraId="4ACDC453"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16 </w:t>
      </w:r>
      <w:r w:rsidRPr="00354295">
        <w:rPr>
          <w:rFonts w:ascii="Book Antiqua" w:eastAsia="SimSun" w:hAnsi="Book Antiqua" w:cs="SimSun"/>
          <w:b/>
          <w:bCs/>
        </w:rPr>
        <w:t>Juntermanns B</w:t>
      </w:r>
      <w:r w:rsidRPr="00354295">
        <w:rPr>
          <w:rFonts w:ascii="Book Antiqua" w:eastAsia="SimSun" w:hAnsi="Book Antiqua" w:cs="SimSun"/>
        </w:rPr>
        <w:t>, Sydor S, Kaiser GM, Jaradat D, Mertens JC, Sotiropoulos GC, Swoboda S, Neuhaus JP, Meng W, Mathé Z, Baba HA, Canbay A, Paul A, Fingas CD. Polo-like kinase 3 is associated with improved overall survival in cholangiocarcinoma. </w:t>
      </w:r>
      <w:r w:rsidRPr="00354295">
        <w:rPr>
          <w:rFonts w:ascii="Book Antiqua" w:eastAsia="SimSun" w:hAnsi="Book Antiqua" w:cs="SimSun"/>
          <w:i/>
          <w:iCs/>
        </w:rPr>
        <w:t>Liver Int</w:t>
      </w:r>
      <w:r w:rsidRPr="00354295">
        <w:rPr>
          <w:rFonts w:ascii="Book Antiqua" w:eastAsia="SimSun" w:hAnsi="Book Antiqua" w:cs="SimSun"/>
        </w:rPr>
        <w:t> 2015; </w:t>
      </w:r>
      <w:r w:rsidRPr="00354295">
        <w:rPr>
          <w:rFonts w:ascii="Book Antiqua" w:eastAsia="SimSun" w:hAnsi="Book Antiqua" w:cs="SimSun"/>
          <w:b/>
          <w:bCs/>
        </w:rPr>
        <w:t>35</w:t>
      </w:r>
      <w:r w:rsidRPr="00354295">
        <w:rPr>
          <w:rFonts w:ascii="Book Antiqua" w:eastAsia="SimSun" w:hAnsi="Book Antiqua" w:cs="SimSun"/>
        </w:rPr>
        <w:t>: 2448-2457 [PMID: 25818805 DOI: 10.1111/liv.12839]</w:t>
      </w:r>
    </w:p>
    <w:p w14:paraId="52F178E5"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17 </w:t>
      </w:r>
      <w:r w:rsidRPr="00354295">
        <w:rPr>
          <w:rFonts w:ascii="Book Antiqua" w:eastAsia="SimSun" w:hAnsi="Book Antiqua" w:cs="SimSun"/>
          <w:b/>
          <w:bCs/>
        </w:rPr>
        <w:t>Schöffski P</w:t>
      </w:r>
      <w:r w:rsidRPr="00354295">
        <w:rPr>
          <w:rFonts w:ascii="Book Antiqua" w:eastAsia="SimSun" w:hAnsi="Book Antiqua" w:cs="SimSun"/>
        </w:rPr>
        <w:t>. Polo-like kinase (PLK) inhibitors in preclinical and early clinical development in oncology. </w:t>
      </w:r>
      <w:r w:rsidRPr="00354295">
        <w:rPr>
          <w:rFonts w:ascii="Book Antiqua" w:eastAsia="SimSun" w:hAnsi="Book Antiqua" w:cs="SimSun"/>
          <w:i/>
          <w:iCs/>
        </w:rPr>
        <w:t>Oncologist</w:t>
      </w:r>
      <w:r w:rsidRPr="00354295">
        <w:rPr>
          <w:rFonts w:ascii="Book Antiqua" w:eastAsia="SimSun" w:hAnsi="Book Antiqua" w:cs="SimSun"/>
        </w:rPr>
        <w:t> 2009; </w:t>
      </w:r>
      <w:r w:rsidRPr="00354295">
        <w:rPr>
          <w:rFonts w:ascii="Book Antiqua" w:eastAsia="SimSun" w:hAnsi="Book Antiqua" w:cs="SimSun"/>
          <w:b/>
          <w:bCs/>
        </w:rPr>
        <w:t>14</w:t>
      </w:r>
      <w:r w:rsidRPr="00354295">
        <w:rPr>
          <w:rFonts w:ascii="Book Antiqua" w:eastAsia="SimSun" w:hAnsi="Book Antiqua" w:cs="SimSun"/>
        </w:rPr>
        <w:t>: 559-570 [PMID: 19474163 DOI: 10.1634/theoncologist.2009-0010]</w:t>
      </w:r>
    </w:p>
    <w:p w14:paraId="14B7D3BE"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18 </w:t>
      </w:r>
      <w:r w:rsidRPr="00354295">
        <w:rPr>
          <w:rFonts w:ascii="Book Antiqua" w:eastAsia="SimSun" w:hAnsi="Book Antiqua" w:cs="SimSun"/>
          <w:b/>
          <w:bCs/>
        </w:rPr>
        <w:t>Kurita S</w:t>
      </w:r>
      <w:r w:rsidRPr="00354295">
        <w:rPr>
          <w:rFonts w:ascii="Book Antiqua" w:eastAsia="SimSun" w:hAnsi="Book Antiqua" w:cs="SimSun"/>
        </w:rPr>
        <w:t>, Mott JL, Cazanave SC, Fingas CD, Guicciardi ME, Bronk SF, Roberts LR, Fernandez-Zapico ME, Gores GJ. Hedgehog inhibition promotes a switch from Type II to Type I cell death receptor signaling in cancer cells. </w:t>
      </w:r>
      <w:r w:rsidRPr="00354295">
        <w:rPr>
          <w:rFonts w:ascii="Book Antiqua" w:eastAsia="SimSun" w:hAnsi="Book Antiqua" w:cs="SimSun"/>
          <w:i/>
          <w:iCs/>
        </w:rPr>
        <w:t>PLoS One</w:t>
      </w:r>
      <w:r w:rsidRPr="00354295">
        <w:rPr>
          <w:rFonts w:ascii="Book Antiqua" w:eastAsia="SimSun" w:hAnsi="Book Antiqua" w:cs="SimSun"/>
        </w:rPr>
        <w:t> 2011; </w:t>
      </w:r>
      <w:r w:rsidRPr="00354295">
        <w:rPr>
          <w:rFonts w:ascii="Book Antiqua" w:eastAsia="SimSun" w:hAnsi="Book Antiqua" w:cs="SimSun"/>
          <w:b/>
          <w:bCs/>
        </w:rPr>
        <w:t>6</w:t>
      </w:r>
      <w:r w:rsidRPr="00354295">
        <w:rPr>
          <w:rFonts w:ascii="Book Antiqua" w:eastAsia="SimSun" w:hAnsi="Book Antiqua" w:cs="SimSun"/>
        </w:rPr>
        <w:t>: e18330 [PMID: 21483830 DOI: 10.1371/journal.pone.0018330]</w:t>
      </w:r>
    </w:p>
    <w:p w14:paraId="6B42DEBC"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lastRenderedPageBreak/>
        <w:t>19 </w:t>
      </w:r>
      <w:r w:rsidRPr="00354295">
        <w:rPr>
          <w:rFonts w:ascii="Book Antiqua" w:eastAsia="SimSun" w:hAnsi="Book Antiqua" w:cs="SimSun"/>
          <w:b/>
          <w:bCs/>
        </w:rPr>
        <w:t>Isomoto H</w:t>
      </w:r>
      <w:r w:rsidRPr="00354295">
        <w:rPr>
          <w:rFonts w:ascii="Book Antiqua" w:eastAsia="SimSun" w:hAnsi="Book Antiqua" w:cs="SimSun"/>
        </w:rPr>
        <w:t>, Kobayashi S, Werneburg NW, Bronk SF, Guicciardi ME, Frank DA, Gores GJ. Interleukin 6 upregulates myeloid cell leukemia-1 expression through a STAT3 pathway in cholangiocarcinoma cells. </w:t>
      </w:r>
      <w:r w:rsidRPr="00354295">
        <w:rPr>
          <w:rFonts w:ascii="Book Antiqua" w:eastAsia="SimSun" w:hAnsi="Book Antiqua" w:cs="SimSun"/>
          <w:i/>
          <w:iCs/>
        </w:rPr>
        <w:t>Hepatology</w:t>
      </w:r>
      <w:r w:rsidRPr="00354295">
        <w:rPr>
          <w:rFonts w:ascii="Book Antiqua" w:eastAsia="SimSun" w:hAnsi="Book Antiqua" w:cs="SimSun"/>
        </w:rPr>
        <w:t> 2005; </w:t>
      </w:r>
      <w:r w:rsidRPr="00354295">
        <w:rPr>
          <w:rFonts w:ascii="Book Antiqua" w:eastAsia="SimSun" w:hAnsi="Book Antiqua" w:cs="SimSun"/>
          <w:b/>
          <w:bCs/>
        </w:rPr>
        <w:t>42</w:t>
      </w:r>
      <w:r w:rsidRPr="00354295">
        <w:rPr>
          <w:rFonts w:ascii="Book Antiqua" w:eastAsia="SimSun" w:hAnsi="Book Antiqua" w:cs="SimSun"/>
        </w:rPr>
        <w:t>: 1329-1338 [PMID: 16317687 DOI: 10.1002/hep.20966]</w:t>
      </w:r>
    </w:p>
    <w:p w14:paraId="7F67D3C5"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20 </w:t>
      </w:r>
      <w:r w:rsidRPr="00354295">
        <w:rPr>
          <w:rFonts w:ascii="Book Antiqua" w:eastAsia="SimSun" w:hAnsi="Book Antiqua" w:cs="SimSun"/>
          <w:b/>
          <w:bCs/>
        </w:rPr>
        <w:t>Okaro AC</w:t>
      </w:r>
      <w:r w:rsidRPr="00354295">
        <w:rPr>
          <w:rFonts w:ascii="Book Antiqua" w:eastAsia="SimSun" w:hAnsi="Book Antiqua" w:cs="SimSun"/>
        </w:rPr>
        <w:t>, Deery AR, Hutchins RR, Davidson BR. The expression of antiapoptotic proteins Bcl-2, Bcl-X(L), and Mcl-1 in benign, dysplastic, and malignant biliary epithelium. </w:t>
      </w:r>
      <w:r w:rsidRPr="00354295">
        <w:rPr>
          <w:rFonts w:ascii="Book Antiqua" w:eastAsia="SimSun" w:hAnsi="Book Antiqua" w:cs="SimSun"/>
          <w:i/>
          <w:iCs/>
        </w:rPr>
        <w:t>J Clin Pathol</w:t>
      </w:r>
      <w:r w:rsidRPr="00354295">
        <w:rPr>
          <w:rFonts w:ascii="Book Antiqua" w:eastAsia="SimSun" w:hAnsi="Book Antiqua" w:cs="SimSun"/>
        </w:rPr>
        <w:t> 2001; </w:t>
      </w:r>
      <w:r w:rsidRPr="00354295">
        <w:rPr>
          <w:rFonts w:ascii="Book Antiqua" w:eastAsia="SimSun" w:hAnsi="Book Antiqua" w:cs="SimSun"/>
          <w:b/>
          <w:bCs/>
        </w:rPr>
        <w:t>54</w:t>
      </w:r>
      <w:r w:rsidRPr="00354295">
        <w:rPr>
          <w:rFonts w:ascii="Book Antiqua" w:eastAsia="SimSun" w:hAnsi="Book Antiqua" w:cs="SimSun"/>
        </w:rPr>
        <w:t>: 927-932 [PMID: 11729212]</w:t>
      </w:r>
    </w:p>
    <w:p w14:paraId="4D3427F9"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21 </w:t>
      </w:r>
      <w:r w:rsidRPr="00354295">
        <w:rPr>
          <w:rFonts w:ascii="Book Antiqua" w:eastAsia="SimSun" w:hAnsi="Book Antiqua" w:cs="SimSun"/>
          <w:b/>
          <w:bCs/>
        </w:rPr>
        <w:t>Fingas CD</w:t>
      </w:r>
      <w:r w:rsidRPr="00354295">
        <w:rPr>
          <w:rFonts w:ascii="Book Antiqua" w:eastAsia="SimSun" w:hAnsi="Book Antiqua" w:cs="SimSun"/>
        </w:rPr>
        <w:t>, Katsounas A, Kahraman A, Siffert W, Jochum C, Gerken G, Nückel H, Canbay A. Prognostic assessment of three single-nucleotide polymorphisms (GNB3 825C&amp; gt; T, BCL2-938C&amp; gt; A, MCL1-386C&amp; gt; G) in extrahepatic cholangiocarcinoma. </w:t>
      </w:r>
      <w:r w:rsidRPr="00354295">
        <w:rPr>
          <w:rFonts w:ascii="Book Antiqua" w:eastAsia="SimSun" w:hAnsi="Book Antiqua" w:cs="SimSun"/>
          <w:i/>
          <w:iCs/>
        </w:rPr>
        <w:t>Cancer Invest</w:t>
      </w:r>
      <w:r w:rsidRPr="00354295">
        <w:rPr>
          <w:rFonts w:ascii="Book Antiqua" w:eastAsia="SimSun" w:hAnsi="Book Antiqua" w:cs="SimSun"/>
        </w:rPr>
        <w:t> 2010; </w:t>
      </w:r>
      <w:r w:rsidRPr="00354295">
        <w:rPr>
          <w:rFonts w:ascii="Book Antiqua" w:eastAsia="SimSun" w:hAnsi="Book Antiqua" w:cs="SimSun"/>
          <w:b/>
          <w:bCs/>
        </w:rPr>
        <w:t>28</w:t>
      </w:r>
      <w:r w:rsidRPr="00354295">
        <w:rPr>
          <w:rFonts w:ascii="Book Antiqua" w:eastAsia="SimSun" w:hAnsi="Book Antiqua" w:cs="SimSun"/>
        </w:rPr>
        <w:t>: 472-478 [PMID: 19968497 DOI: 10.3109/07357900903095714]</w:t>
      </w:r>
    </w:p>
    <w:p w14:paraId="64EE5B97"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22 </w:t>
      </w:r>
      <w:r w:rsidRPr="00354295">
        <w:rPr>
          <w:rFonts w:ascii="Book Antiqua" w:eastAsia="SimSun" w:hAnsi="Book Antiqua" w:cs="SimSun"/>
          <w:b/>
          <w:bCs/>
        </w:rPr>
        <w:t>Frenzel A</w:t>
      </w:r>
      <w:r w:rsidRPr="00354295">
        <w:rPr>
          <w:rFonts w:ascii="Book Antiqua" w:eastAsia="SimSun" w:hAnsi="Book Antiqua" w:cs="SimSun"/>
        </w:rPr>
        <w:t>, Grespi F, Chmelewskij W, Villunger A. Bcl2 family proteins in carcinogenesis and the treatment of cancer. </w:t>
      </w:r>
      <w:r w:rsidRPr="00354295">
        <w:rPr>
          <w:rFonts w:ascii="Book Antiqua" w:eastAsia="SimSun" w:hAnsi="Book Antiqua" w:cs="SimSun"/>
          <w:i/>
          <w:iCs/>
        </w:rPr>
        <w:t>Apoptosis</w:t>
      </w:r>
      <w:r w:rsidRPr="00354295">
        <w:rPr>
          <w:rFonts w:ascii="Book Antiqua" w:eastAsia="SimSun" w:hAnsi="Book Antiqua" w:cs="SimSun"/>
        </w:rPr>
        <w:t> 2009; </w:t>
      </w:r>
      <w:r w:rsidRPr="00354295">
        <w:rPr>
          <w:rFonts w:ascii="Book Antiqua" w:eastAsia="SimSun" w:hAnsi="Book Antiqua" w:cs="SimSun"/>
          <w:b/>
          <w:bCs/>
        </w:rPr>
        <w:t>14</w:t>
      </w:r>
      <w:r w:rsidRPr="00354295">
        <w:rPr>
          <w:rFonts w:ascii="Book Antiqua" w:eastAsia="SimSun" w:hAnsi="Book Antiqua" w:cs="SimSun"/>
        </w:rPr>
        <w:t>: 584-596 [PMID: 19156528 DOI: 10.1007/s10495-008-0300-z]</w:t>
      </w:r>
    </w:p>
    <w:p w14:paraId="273C8B6B"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23 </w:t>
      </w:r>
      <w:r w:rsidRPr="00354295">
        <w:rPr>
          <w:rFonts w:ascii="Book Antiqua" w:eastAsia="SimSun" w:hAnsi="Book Antiqua" w:cs="SimSun"/>
          <w:b/>
          <w:bCs/>
        </w:rPr>
        <w:t>Chen L</w:t>
      </w:r>
      <w:r w:rsidRPr="00354295">
        <w:rPr>
          <w:rFonts w:ascii="Book Antiqua" w:eastAsia="SimSun" w:hAnsi="Book Antiqua" w:cs="SimSun"/>
        </w:rPr>
        <w:t>, Willis SN, Wei A, Smith BJ, Fletcher JI, Hinds MG, Colman PM, Day CL, Adams JM, Huang DC. Differential targeting of prosurvival Bcl-2 proteins by their BH3-only ligands allows complementary apoptotic function. </w:t>
      </w:r>
      <w:r w:rsidRPr="00354295">
        <w:rPr>
          <w:rFonts w:ascii="Book Antiqua" w:eastAsia="SimSun" w:hAnsi="Book Antiqua" w:cs="SimSun"/>
          <w:i/>
          <w:iCs/>
        </w:rPr>
        <w:t>Mol Cell</w:t>
      </w:r>
      <w:r w:rsidRPr="00354295">
        <w:rPr>
          <w:rFonts w:ascii="Book Antiqua" w:eastAsia="SimSun" w:hAnsi="Book Antiqua" w:cs="SimSun"/>
        </w:rPr>
        <w:t> 2005; </w:t>
      </w:r>
      <w:r w:rsidRPr="00354295">
        <w:rPr>
          <w:rFonts w:ascii="Book Antiqua" w:eastAsia="SimSun" w:hAnsi="Book Antiqua" w:cs="SimSun"/>
          <w:b/>
          <w:bCs/>
        </w:rPr>
        <w:t>17</w:t>
      </w:r>
      <w:r w:rsidRPr="00354295">
        <w:rPr>
          <w:rFonts w:ascii="Book Antiqua" w:eastAsia="SimSun" w:hAnsi="Book Antiqua" w:cs="SimSun"/>
        </w:rPr>
        <w:t>: 393-403 [PMID: 15694340 DOI: 10.1016/j.molcel.2004.12.030]</w:t>
      </w:r>
    </w:p>
    <w:p w14:paraId="58BD605C"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24 </w:t>
      </w:r>
      <w:r w:rsidRPr="00354295">
        <w:rPr>
          <w:rFonts w:ascii="Book Antiqua" w:eastAsia="SimSun" w:hAnsi="Book Antiqua" w:cs="SimSun"/>
          <w:b/>
          <w:bCs/>
        </w:rPr>
        <w:t>Chao DT</w:t>
      </w:r>
      <w:r w:rsidRPr="00354295">
        <w:rPr>
          <w:rFonts w:ascii="Book Antiqua" w:eastAsia="SimSun" w:hAnsi="Book Antiqua" w:cs="SimSun"/>
        </w:rPr>
        <w:t>, Korsmeyer SJ. BCL-2 family: regulators of cell death. </w:t>
      </w:r>
      <w:r w:rsidRPr="00354295">
        <w:rPr>
          <w:rFonts w:ascii="Book Antiqua" w:eastAsia="SimSun" w:hAnsi="Book Antiqua" w:cs="SimSun"/>
          <w:i/>
          <w:iCs/>
        </w:rPr>
        <w:t>Annu Rev Immunol</w:t>
      </w:r>
      <w:r w:rsidRPr="00354295">
        <w:rPr>
          <w:rFonts w:ascii="Book Antiqua" w:eastAsia="SimSun" w:hAnsi="Book Antiqua" w:cs="SimSun"/>
        </w:rPr>
        <w:t> 1998; </w:t>
      </w:r>
      <w:r w:rsidRPr="00354295">
        <w:rPr>
          <w:rFonts w:ascii="Book Antiqua" w:eastAsia="SimSun" w:hAnsi="Book Antiqua" w:cs="SimSun"/>
          <w:b/>
          <w:bCs/>
        </w:rPr>
        <w:t>16</w:t>
      </w:r>
      <w:r w:rsidRPr="00354295">
        <w:rPr>
          <w:rFonts w:ascii="Book Antiqua" w:eastAsia="SimSun" w:hAnsi="Book Antiqua" w:cs="SimSun"/>
        </w:rPr>
        <w:t>: 395-419 [PMID: 9597135 DOI: 10.1146/annurev.immunol.16.1.395]</w:t>
      </w:r>
    </w:p>
    <w:p w14:paraId="7426971D"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25 </w:t>
      </w:r>
      <w:r w:rsidRPr="00354295">
        <w:rPr>
          <w:rFonts w:ascii="Book Antiqua" w:eastAsia="SimSun" w:hAnsi="Book Antiqua" w:cs="SimSun"/>
          <w:b/>
          <w:bCs/>
        </w:rPr>
        <w:t>Galluzzi L</w:t>
      </w:r>
      <w:r w:rsidRPr="00354295">
        <w:rPr>
          <w:rFonts w:ascii="Book Antiqua" w:eastAsia="SimSun" w:hAnsi="Book Antiqua" w:cs="SimSun"/>
        </w:rPr>
        <w:t>, Senovilla L, Vitale I, Michels J, Martins I, Kepp O, Castedo M, Kroemer G. Molecular mechanisms of cisplatin resistance. </w:t>
      </w:r>
      <w:r w:rsidRPr="00354295">
        <w:rPr>
          <w:rFonts w:ascii="Book Antiqua" w:eastAsia="SimSun" w:hAnsi="Book Antiqua" w:cs="SimSun"/>
          <w:i/>
          <w:iCs/>
        </w:rPr>
        <w:t>Oncogene</w:t>
      </w:r>
      <w:r w:rsidRPr="00354295">
        <w:rPr>
          <w:rFonts w:ascii="Book Antiqua" w:eastAsia="SimSun" w:hAnsi="Book Antiqua" w:cs="SimSun"/>
        </w:rPr>
        <w:t> 2012; </w:t>
      </w:r>
      <w:r w:rsidRPr="00354295">
        <w:rPr>
          <w:rFonts w:ascii="Book Antiqua" w:eastAsia="SimSun" w:hAnsi="Book Antiqua" w:cs="SimSun"/>
          <w:b/>
          <w:bCs/>
        </w:rPr>
        <w:t>31</w:t>
      </w:r>
      <w:r w:rsidRPr="00354295">
        <w:rPr>
          <w:rFonts w:ascii="Book Antiqua" w:eastAsia="SimSun" w:hAnsi="Book Antiqua" w:cs="SimSun"/>
        </w:rPr>
        <w:t>: 1869-1883 [PMID: 21892204 DOI: 10.1038/onc.2011.384]</w:t>
      </w:r>
    </w:p>
    <w:p w14:paraId="078030BE"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26 </w:t>
      </w:r>
      <w:r w:rsidRPr="00354295">
        <w:rPr>
          <w:rFonts w:ascii="Book Antiqua" w:eastAsia="SimSun" w:hAnsi="Book Antiqua" w:cs="SimSun"/>
          <w:b/>
          <w:bCs/>
        </w:rPr>
        <w:t>Rudolph D</w:t>
      </w:r>
      <w:r w:rsidRPr="00354295">
        <w:rPr>
          <w:rFonts w:ascii="Book Antiqua" w:eastAsia="SimSun" w:hAnsi="Book Antiqua" w:cs="SimSun"/>
        </w:rPr>
        <w:t>, Steegmaier M, Hoffmann M, Grauert M, Baum A, Quant J, Haslinger C, Garin-Chesa P, Adolf GR. BI 6727, a Polo-like kinase inhibitor with improved pharmacokinetic profile and broad antitumor activity. </w:t>
      </w:r>
      <w:r w:rsidRPr="00354295">
        <w:rPr>
          <w:rFonts w:ascii="Book Antiqua" w:eastAsia="SimSun" w:hAnsi="Book Antiqua" w:cs="SimSun"/>
          <w:i/>
          <w:iCs/>
        </w:rPr>
        <w:t>Clin Cancer Res</w:t>
      </w:r>
      <w:r w:rsidRPr="00354295">
        <w:rPr>
          <w:rFonts w:ascii="Book Antiqua" w:eastAsia="SimSun" w:hAnsi="Book Antiqua" w:cs="SimSun"/>
        </w:rPr>
        <w:t> 2009; </w:t>
      </w:r>
      <w:r w:rsidRPr="00354295">
        <w:rPr>
          <w:rFonts w:ascii="Book Antiqua" w:eastAsia="SimSun" w:hAnsi="Book Antiqua" w:cs="SimSun"/>
          <w:b/>
          <w:bCs/>
        </w:rPr>
        <w:t>15</w:t>
      </w:r>
      <w:r w:rsidRPr="00354295">
        <w:rPr>
          <w:rFonts w:ascii="Book Antiqua" w:eastAsia="SimSun" w:hAnsi="Book Antiqua" w:cs="SimSun"/>
        </w:rPr>
        <w:t>: 3094-3102 [PMID: 19383823 DOI: 10.1158/1078-0432.CCR-08-2445]</w:t>
      </w:r>
    </w:p>
    <w:p w14:paraId="5BDAB094"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27 </w:t>
      </w:r>
      <w:r w:rsidRPr="00354295">
        <w:rPr>
          <w:rFonts w:ascii="Book Antiqua" w:eastAsia="SimSun" w:hAnsi="Book Antiqua" w:cs="SimSun"/>
          <w:b/>
          <w:bCs/>
        </w:rPr>
        <w:t>Malhi H</w:t>
      </w:r>
      <w:r w:rsidRPr="00354295">
        <w:rPr>
          <w:rFonts w:ascii="Book Antiqua" w:eastAsia="SimSun" w:hAnsi="Book Antiqua" w:cs="SimSun"/>
        </w:rPr>
        <w:t>, Barreyro FJ, Isomoto H, Bronk SF, Gores GJ. Free fatty acids sensitise hepatocytes to TRAIL mediated cytotoxicity. </w:t>
      </w:r>
      <w:r w:rsidRPr="00354295">
        <w:rPr>
          <w:rFonts w:ascii="Book Antiqua" w:eastAsia="SimSun" w:hAnsi="Book Antiqua" w:cs="SimSun"/>
          <w:i/>
          <w:iCs/>
        </w:rPr>
        <w:t>Gut</w:t>
      </w:r>
      <w:r w:rsidRPr="00354295">
        <w:rPr>
          <w:rFonts w:ascii="Book Antiqua" w:eastAsia="SimSun" w:hAnsi="Book Antiqua" w:cs="SimSun"/>
        </w:rPr>
        <w:t> 2007; </w:t>
      </w:r>
      <w:r w:rsidRPr="00354295">
        <w:rPr>
          <w:rFonts w:ascii="Book Antiqua" w:eastAsia="SimSun" w:hAnsi="Book Antiqua" w:cs="SimSun"/>
          <w:b/>
          <w:bCs/>
        </w:rPr>
        <w:t>56</w:t>
      </w:r>
      <w:r w:rsidRPr="00354295">
        <w:rPr>
          <w:rFonts w:ascii="Book Antiqua" w:eastAsia="SimSun" w:hAnsi="Book Antiqua" w:cs="SimSun"/>
        </w:rPr>
        <w:t>: 1124-1131 [PMID: 17470478 DOI: 10.1136/gut.2006.118059]</w:t>
      </w:r>
    </w:p>
    <w:p w14:paraId="6FB50983"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lastRenderedPageBreak/>
        <w:t>28 </w:t>
      </w:r>
      <w:r w:rsidRPr="00354295">
        <w:rPr>
          <w:rFonts w:ascii="Book Antiqua" w:eastAsia="SimSun" w:hAnsi="Book Antiqua" w:cs="SimSun"/>
          <w:b/>
          <w:bCs/>
        </w:rPr>
        <w:t>Simbulan-Rosenthal CM</w:t>
      </w:r>
      <w:r w:rsidRPr="00354295">
        <w:rPr>
          <w:rFonts w:ascii="Book Antiqua" w:eastAsia="SimSun" w:hAnsi="Book Antiqua" w:cs="SimSun"/>
        </w:rPr>
        <w:t>, Rosenthal DS, Iyer S, Boulares H, Smulson ME. Involvement of PARP and poly(ADP-ribosyl)ation in the early stages of apoptosis and DNA replication. </w:t>
      </w:r>
      <w:r w:rsidRPr="00354295">
        <w:rPr>
          <w:rFonts w:ascii="Book Antiqua" w:eastAsia="SimSun" w:hAnsi="Book Antiqua" w:cs="SimSun"/>
          <w:i/>
          <w:iCs/>
        </w:rPr>
        <w:t>Mol Cell Biochem</w:t>
      </w:r>
      <w:r w:rsidRPr="00354295">
        <w:rPr>
          <w:rFonts w:ascii="Book Antiqua" w:eastAsia="SimSun" w:hAnsi="Book Antiqua" w:cs="SimSun"/>
        </w:rPr>
        <w:t> 1999; </w:t>
      </w:r>
      <w:r w:rsidRPr="00354295">
        <w:rPr>
          <w:rFonts w:ascii="Book Antiqua" w:eastAsia="SimSun" w:hAnsi="Book Antiqua" w:cs="SimSun"/>
          <w:b/>
          <w:bCs/>
        </w:rPr>
        <w:t>193</w:t>
      </w:r>
      <w:r w:rsidRPr="00354295">
        <w:rPr>
          <w:rFonts w:ascii="Book Antiqua" w:eastAsia="SimSun" w:hAnsi="Book Antiqua" w:cs="SimSun"/>
        </w:rPr>
        <w:t>: 137-148 [PMID: 10331650]</w:t>
      </w:r>
    </w:p>
    <w:p w14:paraId="0F3AC813"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29 </w:t>
      </w:r>
      <w:r w:rsidRPr="00354295">
        <w:rPr>
          <w:rFonts w:ascii="Book Antiqua" w:eastAsia="SimSun" w:hAnsi="Book Antiqua" w:cs="SimSun"/>
          <w:b/>
          <w:bCs/>
        </w:rPr>
        <w:t>Kaufmann SH</w:t>
      </w:r>
      <w:r w:rsidRPr="00354295">
        <w:rPr>
          <w:rFonts w:ascii="Book Antiqua" w:eastAsia="SimSun" w:hAnsi="Book Antiqua" w:cs="SimSun"/>
        </w:rPr>
        <w:t>, Desnoyers S, Ottaviano Y, Davidson NE, Poirier GG. Specific proteolytic cleavage of poly(ADP-ribose) polymerase: an early marker of chemotherapy-induced apoptosis. </w:t>
      </w:r>
      <w:r w:rsidRPr="00354295">
        <w:rPr>
          <w:rFonts w:ascii="Book Antiqua" w:eastAsia="SimSun" w:hAnsi="Book Antiqua" w:cs="SimSun"/>
          <w:i/>
          <w:iCs/>
        </w:rPr>
        <w:t>Cancer Res</w:t>
      </w:r>
      <w:r w:rsidRPr="00354295">
        <w:rPr>
          <w:rFonts w:ascii="Book Antiqua" w:eastAsia="SimSun" w:hAnsi="Book Antiqua" w:cs="SimSun"/>
        </w:rPr>
        <w:t> 1993; </w:t>
      </w:r>
      <w:r w:rsidRPr="00354295">
        <w:rPr>
          <w:rFonts w:ascii="Book Antiqua" w:eastAsia="SimSun" w:hAnsi="Book Antiqua" w:cs="SimSun"/>
          <w:b/>
          <w:bCs/>
        </w:rPr>
        <w:t>53</w:t>
      </w:r>
      <w:r w:rsidRPr="00354295">
        <w:rPr>
          <w:rFonts w:ascii="Book Antiqua" w:eastAsia="SimSun" w:hAnsi="Book Antiqua" w:cs="SimSun"/>
        </w:rPr>
        <w:t>: 3976-3985 [PMID: 8358726]</w:t>
      </w:r>
    </w:p>
    <w:p w14:paraId="5D1A4084"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30 </w:t>
      </w:r>
      <w:r w:rsidRPr="00354295">
        <w:rPr>
          <w:rFonts w:ascii="Book Antiqua" w:eastAsia="SimSun" w:hAnsi="Book Antiqua" w:cs="SimSun"/>
          <w:b/>
          <w:bCs/>
        </w:rPr>
        <w:t>White-Gilbertson SJ</w:t>
      </w:r>
      <w:r w:rsidRPr="00354295">
        <w:rPr>
          <w:rFonts w:ascii="Book Antiqua" w:eastAsia="SimSun" w:hAnsi="Book Antiqua" w:cs="SimSun"/>
        </w:rPr>
        <w:t>, Kasman L, McKillop J, Tirodkar T, Lu P, Voelkel-Johnson C. Oxidative stress sensitizes bladder cancer cells to TRAIL mediated apoptosis by down-regulating anti-apoptotic proteins. </w:t>
      </w:r>
      <w:r w:rsidRPr="00354295">
        <w:rPr>
          <w:rFonts w:ascii="Book Antiqua" w:eastAsia="SimSun" w:hAnsi="Book Antiqua" w:cs="SimSun"/>
          <w:i/>
          <w:iCs/>
        </w:rPr>
        <w:t>J Urol</w:t>
      </w:r>
      <w:r w:rsidRPr="00354295">
        <w:rPr>
          <w:rFonts w:ascii="Book Antiqua" w:eastAsia="SimSun" w:hAnsi="Book Antiqua" w:cs="SimSun"/>
        </w:rPr>
        <w:t> 2009; </w:t>
      </w:r>
      <w:r w:rsidRPr="00354295">
        <w:rPr>
          <w:rFonts w:ascii="Book Antiqua" w:eastAsia="SimSun" w:hAnsi="Book Antiqua" w:cs="SimSun"/>
          <w:b/>
          <w:bCs/>
        </w:rPr>
        <w:t>182</w:t>
      </w:r>
      <w:r w:rsidRPr="00354295">
        <w:rPr>
          <w:rFonts w:ascii="Book Antiqua" w:eastAsia="SimSun" w:hAnsi="Book Antiqua" w:cs="SimSun"/>
        </w:rPr>
        <w:t>: 1178-1185 [PMID: 19625063 DOI: 10.1016/j.juro.2009.05.005]</w:t>
      </w:r>
    </w:p>
    <w:p w14:paraId="5329E9F5"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31 </w:t>
      </w:r>
      <w:r w:rsidRPr="00354295">
        <w:rPr>
          <w:rFonts w:ascii="Book Antiqua" w:eastAsia="SimSun" w:hAnsi="Book Antiqua" w:cs="SimSun"/>
          <w:b/>
          <w:bCs/>
        </w:rPr>
        <w:t>Zheng SJ</w:t>
      </w:r>
      <w:r w:rsidRPr="00354295">
        <w:rPr>
          <w:rFonts w:ascii="Book Antiqua" w:eastAsia="SimSun" w:hAnsi="Book Antiqua" w:cs="SimSun"/>
        </w:rPr>
        <w:t>, Wang P, Tsabary G, Chen YH. Critical roles of TRAIL in hepatic cell death and hepatic inflammation. </w:t>
      </w:r>
      <w:r w:rsidRPr="00354295">
        <w:rPr>
          <w:rFonts w:ascii="Book Antiqua" w:eastAsia="SimSun" w:hAnsi="Book Antiqua" w:cs="SimSun"/>
          <w:i/>
          <w:iCs/>
        </w:rPr>
        <w:t>J Clin Invest</w:t>
      </w:r>
      <w:r w:rsidRPr="00354295">
        <w:rPr>
          <w:rFonts w:ascii="Book Antiqua" w:eastAsia="SimSun" w:hAnsi="Book Antiqua" w:cs="SimSun"/>
        </w:rPr>
        <w:t> 2004; </w:t>
      </w:r>
      <w:r w:rsidRPr="00354295">
        <w:rPr>
          <w:rFonts w:ascii="Book Antiqua" w:eastAsia="SimSun" w:hAnsi="Book Antiqua" w:cs="SimSun"/>
          <w:b/>
          <w:bCs/>
        </w:rPr>
        <w:t>113</w:t>
      </w:r>
      <w:r w:rsidRPr="00354295">
        <w:rPr>
          <w:rFonts w:ascii="Book Antiqua" w:eastAsia="SimSun" w:hAnsi="Book Antiqua" w:cs="SimSun"/>
        </w:rPr>
        <w:t>: 58-64 [PMID: 14702109 DOI: 10.1172/JCI19255]</w:t>
      </w:r>
    </w:p>
    <w:p w14:paraId="0A014C53"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32 </w:t>
      </w:r>
      <w:r w:rsidRPr="00354295">
        <w:rPr>
          <w:rFonts w:ascii="Book Antiqua" w:eastAsia="SimSun" w:hAnsi="Book Antiqua" w:cs="SimSun"/>
          <w:b/>
          <w:bCs/>
        </w:rPr>
        <w:t>Chinnaiyan AM</w:t>
      </w:r>
      <w:r w:rsidRPr="00354295">
        <w:rPr>
          <w:rFonts w:ascii="Book Antiqua" w:eastAsia="SimSun" w:hAnsi="Book Antiqua" w:cs="SimSun"/>
        </w:rPr>
        <w:t>, Prasad U, Shankar S, Hamstra DA, Shanaiah M, Chenevert TL, Ross BD, Rehemtulla A. Combined effect of tumor necrosis factor-related apoptosis-inducing ligand and ionizing radiation in breast cancer therapy. </w:t>
      </w:r>
      <w:r w:rsidRPr="00354295">
        <w:rPr>
          <w:rFonts w:ascii="Book Antiqua" w:eastAsia="SimSun" w:hAnsi="Book Antiqua" w:cs="SimSun"/>
          <w:i/>
          <w:iCs/>
        </w:rPr>
        <w:t>Proc Natl Acad Sci USA</w:t>
      </w:r>
      <w:r w:rsidRPr="00354295">
        <w:rPr>
          <w:rFonts w:ascii="Book Antiqua" w:eastAsia="SimSun" w:hAnsi="Book Antiqua" w:cs="SimSun"/>
        </w:rPr>
        <w:t> 2000; </w:t>
      </w:r>
      <w:r w:rsidRPr="00354295">
        <w:rPr>
          <w:rFonts w:ascii="Book Antiqua" w:eastAsia="SimSun" w:hAnsi="Book Antiqua" w:cs="SimSun"/>
          <w:b/>
          <w:bCs/>
        </w:rPr>
        <w:t>97</w:t>
      </w:r>
      <w:r w:rsidRPr="00354295">
        <w:rPr>
          <w:rFonts w:ascii="Book Antiqua" w:eastAsia="SimSun" w:hAnsi="Book Antiqua" w:cs="SimSun"/>
        </w:rPr>
        <w:t>: 1754-1759 [PMID: 10677530 DOI: 10.1073/pnas.030545097]</w:t>
      </w:r>
    </w:p>
    <w:p w14:paraId="6ED9CA57"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33 </w:t>
      </w:r>
      <w:r w:rsidRPr="00354295">
        <w:rPr>
          <w:rFonts w:ascii="Book Antiqua" w:eastAsia="SimSun" w:hAnsi="Book Antiqua" w:cs="SimSun"/>
          <w:b/>
          <w:bCs/>
        </w:rPr>
        <w:t>Boulter L</w:t>
      </w:r>
      <w:r w:rsidRPr="00354295">
        <w:rPr>
          <w:rFonts w:ascii="Book Antiqua" w:eastAsia="SimSun" w:hAnsi="Book Antiqua" w:cs="SimSun"/>
        </w:rPr>
        <w:t>, Guest RV, Kendall TJ, Wilson DH, Wojtacha D, Robson AJ, Ridgway RA, Samuel K, Van Rooijen N, Barry ST, Wigmore SJ, Sansom OJ, Forbes SJ. WNT signaling drives cholangiocarcinoma growth and can be pharmacologically inhibited. </w:t>
      </w:r>
      <w:r w:rsidRPr="00354295">
        <w:rPr>
          <w:rFonts w:ascii="Book Antiqua" w:eastAsia="SimSun" w:hAnsi="Book Antiqua" w:cs="SimSun"/>
          <w:i/>
          <w:iCs/>
        </w:rPr>
        <w:t>J Clin Invest</w:t>
      </w:r>
      <w:r w:rsidRPr="00354295">
        <w:rPr>
          <w:rFonts w:ascii="Book Antiqua" w:eastAsia="SimSun" w:hAnsi="Book Antiqua" w:cs="SimSun"/>
        </w:rPr>
        <w:t> 2015; </w:t>
      </w:r>
      <w:r w:rsidRPr="00354295">
        <w:rPr>
          <w:rFonts w:ascii="Book Antiqua" w:eastAsia="SimSun" w:hAnsi="Book Antiqua" w:cs="SimSun"/>
          <w:b/>
          <w:bCs/>
        </w:rPr>
        <w:t>125</w:t>
      </w:r>
      <w:r w:rsidRPr="00354295">
        <w:rPr>
          <w:rFonts w:ascii="Book Antiqua" w:eastAsia="SimSun" w:hAnsi="Book Antiqua" w:cs="SimSun"/>
        </w:rPr>
        <w:t>: 1269-1285 [PMID: 25689248 DOI: 10.1172/JCI76452]</w:t>
      </w:r>
    </w:p>
    <w:p w14:paraId="343462AB"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34 </w:t>
      </w:r>
      <w:r w:rsidRPr="00354295">
        <w:rPr>
          <w:rFonts w:ascii="Book Antiqua" w:eastAsia="SimSun" w:hAnsi="Book Antiqua" w:cs="SimSun"/>
          <w:b/>
          <w:bCs/>
        </w:rPr>
        <w:t>Zender S</w:t>
      </w:r>
      <w:r w:rsidRPr="00354295">
        <w:rPr>
          <w:rFonts w:ascii="Book Antiqua" w:eastAsia="SimSun" w:hAnsi="Book Antiqua" w:cs="SimSun"/>
        </w:rPr>
        <w:t>, Nickeleit I, Wuestefeld T, Sörensen I, Dauch D, Bozko P, El-Khatib M, Geffers R, Bektas H, Manns MP, Gossler A, Wilkens L, Plentz R, Zender L, Malek NP. A critical role for notch signaling in the formation of cholangiocellular carcinomas. </w:t>
      </w:r>
      <w:r w:rsidRPr="00354295">
        <w:rPr>
          <w:rFonts w:ascii="Book Antiqua" w:eastAsia="SimSun" w:hAnsi="Book Antiqua" w:cs="SimSun"/>
          <w:i/>
          <w:iCs/>
        </w:rPr>
        <w:t>Cancer Cell</w:t>
      </w:r>
      <w:r w:rsidRPr="00354295">
        <w:rPr>
          <w:rFonts w:ascii="Book Antiqua" w:eastAsia="SimSun" w:hAnsi="Book Antiqua" w:cs="SimSun"/>
        </w:rPr>
        <w:t> 2013; </w:t>
      </w:r>
      <w:r w:rsidRPr="00354295">
        <w:rPr>
          <w:rFonts w:ascii="Book Antiqua" w:eastAsia="SimSun" w:hAnsi="Book Antiqua" w:cs="SimSun"/>
          <w:b/>
          <w:bCs/>
        </w:rPr>
        <w:t>23</w:t>
      </w:r>
      <w:r w:rsidRPr="00354295">
        <w:rPr>
          <w:rFonts w:ascii="Book Antiqua" w:eastAsia="SimSun" w:hAnsi="Book Antiqua" w:cs="SimSun"/>
        </w:rPr>
        <w:t>: 784-795 [PMID: 23727022 DOI: 10.1016/j.ccr.2013.04.019]</w:t>
      </w:r>
    </w:p>
    <w:p w14:paraId="58BA05B9"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35 </w:t>
      </w:r>
      <w:r w:rsidRPr="00354295">
        <w:rPr>
          <w:rFonts w:ascii="Book Antiqua" w:eastAsia="SimSun" w:hAnsi="Book Antiqua" w:cs="SimSun"/>
          <w:b/>
          <w:bCs/>
        </w:rPr>
        <w:t>Pinter M</w:t>
      </w:r>
      <w:r w:rsidRPr="00354295">
        <w:rPr>
          <w:rFonts w:ascii="Book Antiqua" w:eastAsia="SimSun" w:hAnsi="Book Antiqua" w:cs="SimSun"/>
        </w:rPr>
        <w:t>, Sieghart W, Schmid M, Dauser B, Prager G, Dienes HP, Trauner M, Peck-Radosavljevic M. Hedgehog inhibition reduces angiogenesis by downregulation of tumoral VEGF-A expression in hepatocellular carcinoma. </w:t>
      </w:r>
      <w:r w:rsidRPr="00354295">
        <w:rPr>
          <w:rFonts w:ascii="Book Antiqua" w:eastAsia="SimSun" w:hAnsi="Book Antiqua" w:cs="SimSun"/>
          <w:i/>
          <w:iCs/>
        </w:rPr>
        <w:t>United European Gastroenterol J</w:t>
      </w:r>
      <w:r w:rsidRPr="00354295">
        <w:rPr>
          <w:rFonts w:ascii="Book Antiqua" w:eastAsia="SimSun" w:hAnsi="Book Antiqua" w:cs="SimSun"/>
        </w:rPr>
        <w:t> 2013; </w:t>
      </w:r>
      <w:r w:rsidRPr="00354295">
        <w:rPr>
          <w:rFonts w:ascii="Book Antiqua" w:eastAsia="SimSun" w:hAnsi="Book Antiqua" w:cs="SimSun"/>
          <w:b/>
          <w:bCs/>
        </w:rPr>
        <w:t>1</w:t>
      </w:r>
      <w:r w:rsidRPr="00354295">
        <w:rPr>
          <w:rFonts w:ascii="Book Antiqua" w:eastAsia="SimSun" w:hAnsi="Book Antiqua" w:cs="SimSun"/>
        </w:rPr>
        <w:t>: 265-275 [PMID: 24917971 DOI: 10.1177/2050640613496605]</w:t>
      </w:r>
    </w:p>
    <w:p w14:paraId="737A6E9C"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lastRenderedPageBreak/>
        <w:t>36 </w:t>
      </w:r>
      <w:r w:rsidRPr="00354295">
        <w:rPr>
          <w:rFonts w:ascii="Book Antiqua" w:eastAsia="SimSun" w:hAnsi="Book Antiqua" w:cs="SimSun"/>
          <w:b/>
          <w:bCs/>
        </w:rPr>
        <w:t>Steegmaier M</w:t>
      </w:r>
      <w:r w:rsidRPr="00354295">
        <w:rPr>
          <w:rFonts w:ascii="Book Antiqua" w:eastAsia="SimSun" w:hAnsi="Book Antiqua" w:cs="SimSun"/>
        </w:rPr>
        <w:t>, Hoffmann M, Baum A, Lénárt P, Petronczki M, Krssák M, Gürtler U, Garin-Chesa P, Lieb S, Quant J, Grauert M, Adolf GR, Kraut N, Peters JM, Rettig WJ. BI 2536, a potent and selective inhibitor of polo-like kinase 1, inhibits tumor growth in vivo. </w:t>
      </w:r>
      <w:r w:rsidRPr="00354295">
        <w:rPr>
          <w:rFonts w:ascii="Book Antiqua" w:eastAsia="SimSun" w:hAnsi="Book Antiqua" w:cs="SimSun"/>
          <w:i/>
          <w:iCs/>
        </w:rPr>
        <w:t>Curr Biol</w:t>
      </w:r>
      <w:r w:rsidRPr="00354295">
        <w:rPr>
          <w:rFonts w:ascii="Book Antiqua" w:eastAsia="SimSun" w:hAnsi="Book Antiqua" w:cs="SimSun"/>
        </w:rPr>
        <w:t> 2007; </w:t>
      </w:r>
      <w:r w:rsidRPr="00354295">
        <w:rPr>
          <w:rFonts w:ascii="Book Antiqua" w:eastAsia="SimSun" w:hAnsi="Book Antiqua" w:cs="SimSun"/>
          <w:b/>
          <w:bCs/>
        </w:rPr>
        <w:t>17</w:t>
      </w:r>
      <w:r w:rsidRPr="00354295">
        <w:rPr>
          <w:rFonts w:ascii="Book Antiqua" w:eastAsia="SimSun" w:hAnsi="Book Antiqua" w:cs="SimSun"/>
        </w:rPr>
        <w:t>: 316-322 [PMID: 17291758 DOI: 10.1016/j.cub.2006.12.037]</w:t>
      </w:r>
    </w:p>
    <w:p w14:paraId="3AF23FCC"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37 </w:t>
      </w:r>
      <w:r w:rsidRPr="00354295">
        <w:rPr>
          <w:rFonts w:ascii="Book Antiqua" w:eastAsia="SimSun" w:hAnsi="Book Antiqua" w:cs="SimSun"/>
          <w:b/>
          <w:bCs/>
        </w:rPr>
        <w:t>Eckerdt F</w:t>
      </w:r>
      <w:r w:rsidRPr="00354295">
        <w:rPr>
          <w:rFonts w:ascii="Book Antiqua" w:eastAsia="SimSun" w:hAnsi="Book Antiqua" w:cs="SimSun"/>
        </w:rPr>
        <w:t>, Yuan J, Strebhardt K. Polo-like kinases and oncogenesis. </w:t>
      </w:r>
      <w:r w:rsidRPr="00354295">
        <w:rPr>
          <w:rFonts w:ascii="Book Antiqua" w:eastAsia="SimSun" w:hAnsi="Book Antiqua" w:cs="SimSun"/>
          <w:i/>
          <w:iCs/>
        </w:rPr>
        <w:t>Oncogene</w:t>
      </w:r>
      <w:r w:rsidRPr="00354295">
        <w:rPr>
          <w:rFonts w:ascii="Book Antiqua" w:eastAsia="SimSun" w:hAnsi="Book Antiqua" w:cs="SimSun"/>
        </w:rPr>
        <w:t> 2005; </w:t>
      </w:r>
      <w:r w:rsidRPr="00354295">
        <w:rPr>
          <w:rFonts w:ascii="Book Antiqua" w:eastAsia="SimSun" w:hAnsi="Book Antiqua" w:cs="SimSun"/>
          <w:b/>
          <w:bCs/>
        </w:rPr>
        <w:t>24</w:t>
      </w:r>
      <w:r w:rsidRPr="00354295">
        <w:rPr>
          <w:rFonts w:ascii="Book Antiqua" w:eastAsia="SimSun" w:hAnsi="Book Antiqua" w:cs="SimSun"/>
        </w:rPr>
        <w:t>: 267-276 [PMID: 15640842 DOI: 10.1038/sj.onc.1208273]</w:t>
      </w:r>
    </w:p>
    <w:p w14:paraId="7A8648F3"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38 </w:t>
      </w:r>
      <w:r w:rsidRPr="00354295">
        <w:rPr>
          <w:rFonts w:ascii="Book Antiqua" w:eastAsia="SimSun" w:hAnsi="Book Antiqua" w:cs="SimSun"/>
          <w:b/>
          <w:bCs/>
        </w:rPr>
        <w:t>Liu X</w:t>
      </w:r>
      <w:r w:rsidRPr="00354295">
        <w:rPr>
          <w:rFonts w:ascii="Book Antiqua" w:eastAsia="SimSun" w:hAnsi="Book Antiqua" w:cs="SimSun"/>
        </w:rPr>
        <w:t>, Erikson RL. Polo-like kinase (Plk)1 depletion induces apoptosis in cancer cells. </w:t>
      </w:r>
      <w:r w:rsidRPr="00354295">
        <w:rPr>
          <w:rFonts w:ascii="Book Antiqua" w:eastAsia="SimSun" w:hAnsi="Book Antiqua" w:cs="SimSun"/>
          <w:i/>
          <w:iCs/>
        </w:rPr>
        <w:t>Proc Natl Acad Sci USA</w:t>
      </w:r>
      <w:r w:rsidRPr="00354295">
        <w:rPr>
          <w:rFonts w:ascii="Book Antiqua" w:eastAsia="SimSun" w:hAnsi="Book Antiqua" w:cs="SimSun"/>
        </w:rPr>
        <w:t> 2003; </w:t>
      </w:r>
      <w:r w:rsidRPr="00354295">
        <w:rPr>
          <w:rFonts w:ascii="Book Antiqua" w:eastAsia="SimSun" w:hAnsi="Book Antiqua" w:cs="SimSun"/>
          <w:b/>
          <w:bCs/>
        </w:rPr>
        <w:t>100</w:t>
      </w:r>
      <w:r w:rsidRPr="00354295">
        <w:rPr>
          <w:rFonts w:ascii="Book Antiqua" w:eastAsia="SimSun" w:hAnsi="Book Antiqua" w:cs="SimSun"/>
        </w:rPr>
        <w:t>: 5789-5794 [PMID: 12732729 DOI: 10.1073/pnas.1031523100]</w:t>
      </w:r>
    </w:p>
    <w:p w14:paraId="0CA99C4C"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39 </w:t>
      </w:r>
      <w:r w:rsidRPr="00354295">
        <w:rPr>
          <w:rFonts w:ascii="Book Antiqua" w:eastAsia="SimSun" w:hAnsi="Book Antiqua" w:cs="SimSun"/>
          <w:b/>
          <w:bCs/>
        </w:rPr>
        <w:t>Weichert W</w:t>
      </w:r>
      <w:r w:rsidRPr="00354295">
        <w:rPr>
          <w:rFonts w:ascii="Book Antiqua" w:eastAsia="SimSun" w:hAnsi="Book Antiqua" w:cs="SimSun"/>
        </w:rPr>
        <w:t>, Ullrich A, Schmidt M, Gekeler V, Noske A, Niesporek S, Buckendahl AC, Dietel M, Denkert C. Expression patterns of polo-like kinase 1 in human gastric cancer. </w:t>
      </w:r>
      <w:r w:rsidRPr="00354295">
        <w:rPr>
          <w:rFonts w:ascii="Book Antiqua" w:eastAsia="SimSun" w:hAnsi="Book Antiqua" w:cs="SimSun"/>
          <w:i/>
          <w:iCs/>
        </w:rPr>
        <w:t>Cancer Sci</w:t>
      </w:r>
      <w:r w:rsidRPr="00354295">
        <w:rPr>
          <w:rFonts w:ascii="Book Antiqua" w:eastAsia="SimSun" w:hAnsi="Book Antiqua" w:cs="SimSun"/>
        </w:rPr>
        <w:t> 2006; </w:t>
      </w:r>
      <w:r w:rsidRPr="00354295">
        <w:rPr>
          <w:rFonts w:ascii="Book Antiqua" w:eastAsia="SimSun" w:hAnsi="Book Antiqua" w:cs="SimSun"/>
          <w:b/>
          <w:bCs/>
        </w:rPr>
        <w:t>97</w:t>
      </w:r>
      <w:r w:rsidRPr="00354295">
        <w:rPr>
          <w:rFonts w:ascii="Book Antiqua" w:eastAsia="SimSun" w:hAnsi="Book Antiqua" w:cs="SimSun"/>
        </w:rPr>
        <w:t>: 271-276 [PMID: 16630118 DOI: 10.1111/j.1349-7006.2006.00170.x]</w:t>
      </w:r>
    </w:p>
    <w:p w14:paraId="61DDD969"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40 </w:t>
      </w:r>
      <w:r w:rsidRPr="00354295">
        <w:rPr>
          <w:rFonts w:ascii="Book Antiqua" w:eastAsia="SimSun" w:hAnsi="Book Antiqua" w:cs="SimSun"/>
          <w:b/>
          <w:bCs/>
        </w:rPr>
        <w:t>Feng YB</w:t>
      </w:r>
      <w:r w:rsidRPr="00354295">
        <w:rPr>
          <w:rFonts w:ascii="Book Antiqua" w:eastAsia="SimSun" w:hAnsi="Book Antiqua" w:cs="SimSun"/>
        </w:rPr>
        <w:t>, Lin DC, Shi ZZ, Wang XC, Shen XM, Zhang Y, Du XL, Luo ML, Xu X, Han YL, Cai Y, Zhang ZQ, Zhan QM, Wang MR. Overexpression of PLK1 is associated with poor survival by inhibiting apoptosis via enhancement of survivin level in esophageal squamous cell carcinoma. </w:t>
      </w:r>
      <w:r w:rsidRPr="00354295">
        <w:rPr>
          <w:rFonts w:ascii="Book Antiqua" w:eastAsia="SimSun" w:hAnsi="Book Antiqua" w:cs="SimSun"/>
          <w:i/>
          <w:iCs/>
        </w:rPr>
        <w:t>Int J Cancer</w:t>
      </w:r>
      <w:r w:rsidRPr="00354295">
        <w:rPr>
          <w:rFonts w:ascii="Book Antiqua" w:eastAsia="SimSun" w:hAnsi="Book Antiqua" w:cs="SimSun"/>
        </w:rPr>
        <w:t> 2009; </w:t>
      </w:r>
      <w:r w:rsidRPr="00354295">
        <w:rPr>
          <w:rFonts w:ascii="Book Antiqua" w:eastAsia="SimSun" w:hAnsi="Book Antiqua" w:cs="SimSun"/>
          <w:b/>
          <w:bCs/>
        </w:rPr>
        <w:t>124</w:t>
      </w:r>
      <w:r w:rsidRPr="00354295">
        <w:rPr>
          <w:rFonts w:ascii="Book Antiqua" w:eastAsia="SimSun" w:hAnsi="Book Antiqua" w:cs="SimSun"/>
        </w:rPr>
        <w:t>: 578-588 [PMID: 19004025 DOI: 10.1002/ijc.23990]</w:t>
      </w:r>
    </w:p>
    <w:p w14:paraId="16EA8E21" w14:textId="77777777" w:rsidR="00C067AC" w:rsidRPr="00354295" w:rsidRDefault="00C067AC" w:rsidP="00A741A5">
      <w:pPr>
        <w:spacing w:line="360" w:lineRule="auto"/>
        <w:jc w:val="both"/>
        <w:rPr>
          <w:rFonts w:ascii="Book Antiqua" w:eastAsia="SimSun" w:hAnsi="Book Antiqua" w:cs="SimSun"/>
        </w:rPr>
      </w:pPr>
      <w:r w:rsidRPr="00354295">
        <w:rPr>
          <w:rFonts w:ascii="Book Antiqua" w:eastAsia="SimSun" w:hAnsi="Book Antiqua" w:cs="SimSun"/>
        </w:rPr>
        <w:t>41 </w:t>
      </w:r>
      <w:r w:rsidRPr="00354295">
        <w:rPr>
          <w:rFonts w:ascii="Book Antiqua" w:eastAsia="SimSun" w:hAnsi="Book Antiqua" w:cs="SimSun"/>
          <w:b/>
          <w:bCs/>
        </w:rPr>
        <w:t>Bertram S</w:t>
      </w:r>
      <w:r w:rsidRPr="00354295">
        <w:rPr>
          <w:rFonts w:ascii="Book Antiqua" w:eastAsia="SimSun" w:hAnsi="Book Antiqua" w:cs="SimSun"/>
        </w:rPr>
        <w:t>, Padden J, Kälsch J, Ahrens M, Pott L, Canbay A, Weber F, Fingas C, Hoffmann AC, Vietor A, Schlaak JF, Eisenacher M, Reis H, Sitek B, Baba HA. Novel immunohistochemical markers differentiate intrahepatic cholangiocarcinoma from benign bile duct lesions. </w:t>
      </w:r>
      <w:r w:rsidRPr="00354295">
        <w:rPr>
          <w:rFonts w:ascii="Book Antiqua" w:eastAsia="SimSun" w:hAnsi="Book Antiqua" w:cs="SimSun"/>
          <w:i/>
          <w:iCs/>
        </w:rPr>
        <w:t>J Clin Pathol</w:t>
      </w:r>
      <w:r w:rsidRPr="00354295">
        <w:rPr>
          <w:rFonts w:ascii="Book Antiqua" w:eastAsia="SimSun" w:hAnsi="Book Antiqua" w:cs="SimSun"/>
        </w:rPr>
        <w:t> 2016; </w:t>
      </w:r>
      <w:r w:rsidRPr="00354295">
        <w:rPr>
          <w:rFonts w:ascii="Book Antiqua" w:eastAsia="SimSun" w:hAnsi="Book Antiqua" w:cs="SimSun"/>
          <w:b/>
          <w:bCs/>
        </w:rPr>
        <w:t>69</w:t>
      </w:r>
      <w:r w:rsidRPr="00354295">
        <w:rPr>
          <w:rFonts w:ascii="Book Antiqua" w:eastAsia="SimSun" w:hAnsi="Book Antiqua" w:cs="SimSun"/>
        </w:rPr>
        <w:t>: 619-626 [PMID: 26729014 DOI: 10.1136/jclinpath-2015-203418]</w:t>
      </w:r>
    </w:p>
    <w:p w14:paraId="3F5B3A91" w14:textId="77777777" w:rsidR="00C067AC" w:rsidRPr="00354295" w:rsidRDefault="00C067AC" w:rsidP="00A741A5">
      <w:pPr>
        <w:spacing w:line="360" w:lineRule="auto"/>
        <w:jc w:val="both"/>
        <w:rPr>
          <w:rFonts w:ascii="Book Antiqua" w:hAnsi="Book Antiqua"/>
        </w:rPr>
      </w:pPr>
    </w:p>
    <w:p w14:paraId="2E4DA7F0" w14:textId="1EA6F49B" w:rsidR="00C067AC" w:rsidRPr="00356DDD" w:rsidRDefault="00C067AC" w:rsidP="00A741A5">
      <w:pPr>
        <w:spacing w:line="360" w:lineRule="auto"/>
        <w:jc w:val="both"/>
        <w:rPr>
          <w:rFonts w:ascii="Book Antiqua" w:hAnsi="Book Antiqua"/>
          <w:b/>
          <w:bCs/>
        </w:rPr>
      </w:pPr>
      <w:bookmarkStart w:id="140" w:name="OLE_LINK62"/>
      <w:bookmarkStart w:id="141" w:name="OLE_LINK63"/>
      <w:r w:rsidRPr="00356DDD">
        <w:rPr>
          <w:rFonts w:ascii="Book Antiqua" w:hAnsi="Book Antiqua"/>
          <w:b/>
          <w:bCs/>
        </w:rPr>
        <w:t xml:space="preserve">P-Reviewer: </w:t>
      </w:r>
      <w:r w:rsidR="002F051A" w:rsidRPr="002F051A">
        <w:rPr>
          <w:rFonts w:ascii="Book Antiqua" w:hAnsi="Book Antiqua"/>
          <w:bCs/>
        </w:rPr>
        <w:t>Hassan</w:t>
      </w:r>
      <w:r w:rsidR="002F051A" w:rsidRPr="002F051A">
        <w:rPr>
          <w:rFonts w:ascii="Book Antiqua" w:eastAsia="SimSun" w:hAnsi="Book Antiqua" w:hint="eastAsia"/>
          <w:bCs/>
          <w:lang w:eastAsia="zh-CN"/>
        </w:rPr>
        <w:t xml:space="preserve"> </w:t>
      </w:r>
      <w:r w:rsidR="002F051A" w:rsidRPr="002F051A">
        <w:rPr>
          <w:rFonts w:ascii="Book Antiqua" w:eastAsia="SimSun" w:hAnsi="Book Antiqua" w:hint="eastAsia"/>
          <w:bCs/>
          <w:caps/>
          <w:lang w:eastAsia="zh-CN"/>
        </w:rPr>
        <w:t>m</w:t>
      </w:r>
      <w:r w:rsidR="002F051A">
        <w:rPr>
          <w:rFonts w:ascii="Book Antiqua" w:hAnsi="Book Antiqua" w:hint="eastAsia"/>
          <w:b/>
          <w:bCs/>
        </w:rPr>
        <w:t xml:space="preserve"> </w:t>
      </w:r>
      <w:r w:rsidRPr="00356DDD">
        <w:rPr>
          <w:rFonts w:ascii="Book Antiqua" w:hAnsi="Book Antiqua"/>
          <w:b/>
          <w:bCs/>
        </w:rPr>
        <w:t>S-Editor:</w:t>
      </w:r>
      <w:r w:rsidRPr="00356DDD">
        <w:rPr>
          <w:rFonts w:ascii="Book Antiqua" w:hAnsi="Book Antiqua"/>
        </w:rPr>
        <w:t xml:space="preserve"> </w:t>
      </w:r>
      <w:r w:rsidRPr="00356DDD">
        <w:rPr>
          <w:rFonts w:ascii="Book Antiqua" w:hAnsi="Book Antiqua" w:hint="eastAsia"/>
        </w:rPr>
        <w:t xml:space="preserve">Ma YJ </w:t>
      </w:r>
      <w:r w:rsidRPr="00356DDD">
        <w:rPr>
          <w:rFonts w:ascii="Book Antiqua" w:hAnsi="Book Antiqua"/>
          <w:b/>
          <w:bCs/>
        </w:rPr>
        <w:t>L-Editor:</w:t>
      </w:r>
      <w:r w:rsidRPr="00356DDD">
        <w:rPr>
          <w:rFonts w:ascii="Book Antiqua" w:hAnsi="Book Antiqua"/>
        </w:rPr>
        <w:t xml:space="preserve"> </w:t>
      </w:r>
      <w:r w:rsidRPr="00356DDD">
        <w:rPr>
          <w:rFonts w:ascii="Book Antiqua" w:hAnsi="Book Antiqua" w:hint="eastAsia"/>
        </w:rPr>
        <w:t xml:space="preserve"> </w:t>
      </w:r>
      <w:r w:rsidRPr="00356DDD">
        <w:rPr>
          <w:rFonts w:ascii="Book Antiqua" w:hAnsi="Book Antiqua"/>
        </w:rPr>
        <w:t xml:space="preserve"> </w:t>
      </w:r>
      <w:r w:rsidRPr="00356DDD">
        <w:rPr>
          <w:rFonts w:ascii="Book Antiqua" w:hAnsi="Book Antiqua"/>
          <w:b/>
          <w:bCs/>
        </w:rPr>
        <w:t>E-Editor:</w:t>
      </w:r>
    </w:p>
    <w:p w14:paraId="743068EB" w14:textId="77777777" w:rsidR="00C067AC" w:rsidRPr="00356DDD" w:rsidRDefault="00C067AC" w:rsidP="00A741A5">
      <w:pPr>
        <w:spacing w:line="360" w:lineRule="auto"/>
        <w:jc w:val="both"/>
        <w:rPr>
          <w:rFonts w:ascii="Arial" w:hAnsi="Arial" w:cs="Arial"/>
          <w:b/>
          <w:bCs/>
          <w:color w:val="2B2B2B"/>
          <w:shd w:val="clear" w:color="auto" w:fill="FAFAFA"/>
        </w:rPr>
      </w:pPr>
    </w:p>
    <w:p w14:paraId="0035EB32" w14:textId="77777777" w:rsidR="00C067AC" w:rsidRPr="00356DDD" w:rsidRDefault="00C067AC" w:rsidP="00A741A5">
      <w:pPr>
        <w:shd w:val="clear" w:color="auto" w:fill="FFFFFF"/>
        <w:snapToGrid w:val="0"/>
        <w:spacing w:line="360" w:lineRule="auto"/>
        <w:jc w:val="both"/>
        <w:rPr>
          <w:rFonts w:ascii="Book Antiqua" w:hAnsi="Book Antiqua" w:cs="Helvetica"/>
          <w:b/>
        </w:rPr>
      </w:pPr>
      <w:r w:rsidRPr="00356DDD">
        <w:rPr>
          <w:rFonts w:ascii="Book Antiqua" w:hAnsi="Book Antiqua" w:cs="Helvetica"/>
          <w:b/>
        </w:rPr>
        <w:t xml:space="preserve">Specialty type: </w:t>
      </w:r>
      <w:r w:rsidRPr="00356DDD">
        <w:rPr>
          <w:rFonts w:ascii="Book Antiqua" w:hAnsi="Book Antiqua" w:cs="Helvetica"/>
        </w:rPr>
        <w:t>Gastroenterology and</w:t>
      </w:r>
      <w:r w:rsidRPr="00356DDD">
        <w:rPr>
          <w:rFonts w:ascii="Book Antiqua" w:hAnsi="Book Antiqua" w:cs="Helvetica" w:hint="eastAsia"/>
        </w:rPr>
        <w:t xml:space="preserve"> </w:t>
      </w:r>
      <w:r w:rsidRPr="00356DDD">
        <w:rPr>
          <w:rFonts w:ascii="Book Antiqua" w:hAnsi="Book Antiqua" w:cs="Helvetica"/>
        </w:rPr>
        <w:t>hepatology</w:t>
      </w:r>
    </w:p>
    <w:p w14:paraId="2F8C9F54" w14:textId="0186D6F8" w:rsidR="00C067AC" w:rsidRPr="00356DDD" w:rsidRDefault="00C067AC" w:rsidP="00A741A5">
      <w:pPr>
        <w:shd w:val="clear" w:color="auto" w:fill="FFFFFF"/>
        <w:snapToGrid w:val="0"/>
        <w:spacing w:line="360" w:lineRule="auto"/>
        <w:jc w:val="both"/>
        <w:rPr>
          <w:rFonts w:ascii="Book Antiqua" w:hAnsi="Book Antiqua" w:cs="Helvetica"/>
        </w:rPr>
      </w:pPr>
      <w:r w:rsidRPr="00356DDD">
        <w:rPr>
          <w:rFonts w:ascii="Book Antiqua" w:hAnsi="Book Antiqua" w:cs="Helvetica"/>
          <w:b/>
        </w:rPr>
        <w:t>Country of origin:</w:t>
      </w:r>
      <w:r w:rsidRPr="00356DDD">
        <w:rPr>
          <w:rFonts w:ascii="Book Antiqua" w:hAnsi="Book Antiqua" w:cs="Helvetica"/>
        </w:rPr>
        <w:t xml:space="preserve"> </w:t>
      </w:r>
      <w:r w:rsidR="005641E0" w:rsidRPr="00DF2968">
        <w:rPr>
          <w:rFonts w:ascii="Book Antiqua" w:hAnsi="Book Antiqua"/>
          <w:lang w:val="en-US"/>
        </w:rPr>
        <w:t>Germany</w:t>
      </w:r>
    </w:p>
    <w:p w14:paraId="40C91BE7" w14:textId="77777777" w:rsidR="00C067AC" w:rsidRPr="00356DDD" w:rsidRDefault="00C067AC" w:rsidP="00A741A5">
      <w:pPr>
        <w:shd w:val="clear" w:color="auto" w:fill="FFFFFF"/>
        <w:snapToGrid w:val="0"/>
        <w:spacing w:line="360" w:lineRule="auto"/>
        <w:jc w:val="both"/>
        <w:rPr>
          <w:rFonts w:ascii="Book Antiqua" w:hAnsi="Book Antiqua" w:cs="Helvetica"/>
          <w:b/>
        </w:rPr>
      </w:pPr>
      <w:r w:rsidRPr="00356DDD">
        <w:rPr>
          <w:rFonts w:ascii="Book Antiqua" w:hAnsi="Book Antiqua" w:cs="Helvetica"/>
          <w:b/>
        </w:rPr>
        <w:t>Peer-review report classification</w:t>
      </w:r>
    </w:p>
    <w:p w14:paraId="7E405298" w14:textId="77777777" w:rsidR="00C067AC" w:rsidRPr="00356DDD" w:rsidRDefault="00C067AC" w:rsidP="00A741A5">
      <w:pPr>
        <w:shd w:val="clear" w:color="auto" w:fill="FFFFFF"/>
        <w:snapToGrid w:val="0"/>
        <w:spacing w:line="360" w:lineRule="auto"/>
        <w:jc w:val="both"/>
        <w:rPr>
          <w:rFonts w:ascii="Book Antiqua" w:hAnsi="Book Antiqua" w:cs="Helvetica"/>
        </w:rPr>
      </w:pPr>
      <w:r w:rsidRPr="00356DDD">
        <w:rPr>
          <w:rFonts w:ascii="Book Antiqua" w:hAnsi="Book Antiqua" w:cs="Helvetica"/>
        </w:rPr>
        <w:t xml:space="preserve">Grade A (Excellent): </w:t>
      </w:r>
      <w:r w:rsidRPr="00356DDD">
        <w:rPr>
          <w:rFonts w:ascii="Book Antiqua" w:hAnsi="Book Antiqua" w:cs="Helvetica" w:hint="eastAsia"/>
        </w:rPr>
        <w:t>0</w:t>
      </w:r>
    </w:p>
    <w:p w14:paraId="04AD7DB8" w14:textId="07762AD0" w:rsidR="00C067AC" w:rsidRPr="00356DDD" w:rsidRDefault="00C067AC" w:rsidP="00A741A5">
      <w:pPr>
        <w:shd w:val="clear" w:color="auto" w:fill="FFFFFF"/>
        <w:snapToGrid w:val="0"/>
        <w:spacing w:line="360" w:lineRule="auto"/>
        <w:jc w:val="both"/>
        <w:rPr>
          <w:rFonts w:ascii="Book Antiqua" w:hAnsi="Book Antiqua" w:cs="Helvetica"/>
        </w:rPr>
      </w:pPr>
      <w:r w:rsidRPr="00356DDD">
        <w:rPr>
          <w:rFonts w:ascii="Book Antiqua" w:hAnsi="Book Antiqua" w:cs="Helvetica"/>
        </w:rPr>
        <w:lastRenderedPageBreak/>
        <w:t xml:space="preserve">Grade B (Very good): </w:t>
      </w:r>
      <w:r w:rsidR="002F051A" w:rsidRPr="00356DDD">
        <w:rPr>
          <w:rFonts w:ascii="Book Antiqua" w:hAnsi="Book Antiqua" w:cs="Helvetica" w:hint="eastAsia"/>
        </w:rPr>
        <w:t>0</w:t>
      </w:r>
    </w:p>
    <w:p w14:paraId="0EBCAFEC" w14:textId="5080252A" w:rsidR="00C067AC" w:rsidRPr="00356DDD" w:rsidRDefault="00C067AC" w:rsidP="00A741A5">
      <w:pPr>
        <w:shd w:val="clear" w:color="auto" w:fill="FFFFFF"/>
        <w:snapToGrid w:val="0"/>
        <w:spacing w:line="360" w:lineRule="auto"/>
        <w:jc w:val="both"/>
        <w:rPr>
          <w:rFonts w:ascii="Book Antiqua" w:hAnsi="Book Antiqua" w:cs="Helvetica"/>
        </w:rPr>
      </w:pPr>
      <w:r w:rsidRPr="00356DDD">
        <w:rPr>
          <w:rFonts w:ascii="Book Antiqua" w:hAnsi="Book Antiqua" w:cs="Helvetica"/>
        </w:rPr>
        <w:t xml:space="preserve">Grade C (Good): </w:t>
      </w:r>
      <w:r w:rsidR="002F051A" w:rsidRPr="00356DDD">
        <w:rPr>
          <w:rFonts w:ascii="Book Antiqua" w:hAnsi="Book Antiqua" w:cs="Helvetica"/>
        </w:rPr>
        <w:t>C</w:t>
      </w:r>
    </w:p>
    <w:p w14:paraId="77B5AD6C" w14:textId="77777777" w:rsidR="00C067AC" w:rsidRPr="00356DDD" w:rsidRDefault="00C067AC" w:rsidP="00A741A5">
      <w:pPr>
        <w:shd w:val="clear" w:color="auto" w:fill="FFFFFF"/>
        <w:snapToGrid w:val="0"/>
        <w:spacing w:line="360" w:lineRule="auto"/>
        <w:jc w:val="both"/>
        <w:rPr>
          <w:rFonts w:ascii="Book Antiqua" w:hAnsi="Book Antiqua" w:cs="Helvetica"/>
        </w:rPr>
      </w:pPr>
      <w:r w:rsidRPr="00356DDD">
        <w:rPr>
          <w:rFonts w:ascii="Book Antiqua" w:hAnsi="Book Antiqua" w:cs="Helvetica"/>
        </w:rPr>
        <w:t xml:space="preserve">Grade D (Fair): </w:t>
      </w:r>
      <w:r w:rsidRPr="00356DDD">
        <w:rPr>
          <w:rFonts w:ascii="Book Antiqua" w:hAnsi="Book Antiqua" w:cs="Helvetica" w:hint="eastAsia"/>
        </w:rPr>
        <w:t>0</w:t>
      </w:r>
    </w:p>
    <w:p w14:paraId="0FCB0D63" w14:textId="77777777" w:rsidR="00C067AC" w:rsidRPr="00356DDD" w:rsidRDefault="00C067AC" w:rsidP="00A741A5">
      <w:pPr>
        <w:spacing w:line="360" w:lineRule="auto"/>
        <w:jc w:val="both"/>
        <w:rPr>
          <w:rFonts w:ascii="Book Antiqua" w:hAnsi="Book Antiqua" w:cs="Helvetica"/>
        </w:rPr>
      </w:pPr>
      <w:r w:rsidRPr="00356DDD">
        <w:rPr>
          <w:rFonts w:ascii="Book Antiqua" w:hAnsi="Book Antiqua" w:cs="Helvetica"/>
        </w:rPr>
        <w:t xml:space="preserve">Grade E (Poor): </w:t>
      </w:r>
      <w:r w:rsidRPr="00356DDD">
        <w:rPr>
          <w:rFonts w:ascii="Book Antiqua" w:hAnsi="Book Antiqua" w:cs="Helvetica" w:hint="eastAsia"/>
        </w:rPr>
        <w:t>0</w:t>
      </w:r>
    </w:p>
    <w:bookmarkEnd w:id="140"/>
    <w:bookmarkEnd w:id="141"/>
    <w:p w14:paraId="7BCD39E5" w14:textId="4D51518C" w:rsidR="005641E0" w:rsidRDefault="005641E0" w:rsidP="00A741A5">
      <w:pPr>
        <w:spacing w:line="360" w:lineRule="auto"/>
        <w:jc w:val="both"/>
        <w:rPr>
          <w:lang w:val="en-AU"/>
        </w:rPr>
      </w:pPr>
      <w:r>
        <w:rPr>
          <w:lang w:val="en-AU"/>
        </w:rPr>
        <w:br w:type="page"/>
      </w:r>
    </w:p>
    <w:p w14:paraId="7DF40FFB" w14:textId="46E665B7" w:rsidR="00A17D27" w:rsidRPr="005641E0" w:rsidRDefault="000A3C86" w:rsidP="00A741A5">
      <w:pPr>
        <w:spacing w:line="360" w:lineRule="auto"/>
        <w:jc w:val="both"/>
        <w:rPr>
          <w:rFonts w:ascii="Book Antiqua" w:eastAsia="SimSun" w:hAnsi="Book Antiqua"/>
          <w:b/>
          <w:lang w:val="en-US" w:eastAsia="zh-CN"/>
        </w:rPr>
      </w:pPr>
      <w:r>
        <w:rPr>
          <w:rFonts w:ascii="Book Antiqua" w:hAnsi="Book Antiqua"/>
          <w:noProof/>
          <w:lang w:val="en-US" w:eastAsia="zh-CN"/>
        </w:rPr>
        <w:lastRenderedPageBreak/>
        <mc:AlternateContent>
          <mc:Choice Requires="wps">
            <w:drawing>
              <wp:anchor distT="0" distB="0" distL="114300" distR="114300" simplePos="0" relativeHeight="251698176" behindDoc="0" locked="0" layoutInCell="1" allowOverlap="1" wp14:anchorId="5103C972" wp14:editId="12698CE5">
                <wp:simplePos x="0" y="0"/>
                <wp:positionH relativeFrom="column">
                  <wp:posOffset>4802505</wp:posOffset>
                </wp:positionH>
                <wp:positionV relativeFrom="paragraph">
                  <wp:posOffset>2084705</wp:posOffset>
                </wp:positionV>
                <wp:extent cx="698500" cy="215900"/>
                <wp:effectExtent l="0" t="0" r="25400" b="12700"/>
                <wp:wrapNone/>
                <wp:docPr id="23" name="文本框 23"/>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958DD4"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5103C972" id="_x0000_t202" coordsize="21600,21600" o:spt="202" path="m,l,21600r21600,l21600,xe">
                <v:stroke joinstyle="miter"/>
                <v:path gradientshapeok="t" o:connecttype="rect"/>
              </v:shapetype>
              <v:shape id="文本框 23" o:spid="_x0000_s1026" type="#_x0000_t202" style="position:absolute;left:0;text-align:left;margin-left:378.15pt;margin-top:164.15pt;width:55pt;height:17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yPr0owIAALQFAAAOAAAAZHJzL2Uyb0RvYy54bWysVM1OGzEQvlfqO1i+l00CoRCxQSmIqhIC&#10;1FBxdrw2sbA9ru1kN30A+gY99dJ7n4vn6Ni7CYFyoepld+z55u/zzBwdN0aTpfBBgS1pf6dHibAc&#10;KmVvS/rl+uzdASUhMlsxDVaUdCUCPR6/fXNUu5EYwBx0JTxBJzaMalfSeYxuVBSBz4VhYQecsKiU&#10;4A2LePS3ReVZjd6NLga93n5Rg6+cBy5CwNvTVknH2b+UgsdLKYOIRJcUc4v56/N3lr7F+IiNbj1z&#10;c8W7NNg/ZGGYshh04+qURUYWXv3lyijuIYCMOxxMAVIqLnINWE2/96ya6Zw5kWtBcoLb0BT+n1t+&#10;sbzyRFUlHexSYpnBN3r48f3h5++HX/cE75Cg2oUR4qYOkbH5AA0+9Po+4GWqu5HepD9WRFCPVK82&#10;9IomEo6X+4cHwx5qOKoG/eEhyui9eDR2PsSPAgxJQkk9vl4mlS3PQ2yha0iKFUCr6kxpnQ+pY8SJ&#10;9mTJ8K11zCmi8ycobUmNiewOe9nxE11yvbGfacbvuvS2UOhP2xRO5N7q0koEtURkKa60SBhtPwuJ&#10;3GY+XsiRcS7sJs+MTiiJFb3GsMM/ZvUa47YOtMiRwcaNsVEWfMvSU2qruzW1ssXjG27VncTYzJqu&#10;cWZQrbBvPLSjFxw/U0j0OQvxinmcNWwI3B/xEj9SA74OdBIlc/DfXrpPeBwB1FJS4+yWNHxdMC8o&#10;0Z8sDsdhf28vDXs+7A3fD/DgtzWzbY1dmBPAlunjpnI8iwkf9VqUHswNrplJiooqZjnGLmlciyex&#10;3Si4priYTDIIx9uxeG6njifXid7UYNfNDfOua/CIk3EB6ylno2d93mKTpYXJIoJUeQgSwS2rHfG4&#10;GvIYdWss7Z7tc0Y9LtvxHwAAAP//AwBQSwMEFAAGAAgAAAAhAKB/2kDdAAAACwEAAA8AAABkcnMv&#10;ZG93bnJldi54bWxMj8FOwzAQRO9I/IO1SNyoQyKCCXEqQIULpxbE2Y1d2yJeR7Gbhr9ne4Lb7sxo&#10;9m27XsLAZjMlH1HC7aoAZrCP2qOV8PnxeiOApaxQqyGikfBjEqy7y4tWNTqecGvmXbaMSjA1SoLL&#10;eWw4T70zQaVVHA2Sd4hTUJnWyXI9qROVh4GXRVHzoDzSBadG8+JM/707BgmbZ/tge6EmtxHa+3n5&#10;OrzbNymvr5anR2DZLPkvDGd8QoeOmPbxiDqxQcL9XV1RVEJVChooIeqzsielLivgXcv//9D9AgAA&#10;//8DAFBLAQItABQABgAIAAAAIQC2gziS/gAAAOEBAAATAAAAAAAAAAAAAAAAAAAAAABbQ29udGVu&#10;dF9UeXBlc10ueG1sUEsBAi0AFAAGAAgAAAAhADj9If/WAAAAlAEAAAsAAAAAAAAAAAAAAAAALwEA&#10;AF9yZWxzLy5yZWxzUEsBAi0AFAAGAAgAAAAhAEvI+vSjAgAAtAUAAA4AAAAAAAAAAAAAAAAALgIA&#10;AGRycy9lMm9Eb2MueG1sUEsBAi0AFAAGAAgAAAAhAKB/2kDdAAAACwEAAA8AAAAAAAAAAAAAAAAA&#10;/QQAAGRycy9kb3ducmV2LnhtbFBLBQYAAAAABAAEAPMAAAAHBgAAAAA=&#10;" fillcolor="white [3201]" strokeweight=".5pt">
                <v:textbox>
                  <w:txbxContent>
                    <w:p w14:paraId="56958DD4"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96128" behindDoc="0" locked="0" layoutInCell="1" allowOverlap="1" wp14:anchorId="2F9E6A00" wp14:editId="627FA97A">
                <wp:simplePos x="0" y="0"/>
                <wp:positionH relativeFrom="column">
                  <wp:posOffset>4211955</wp:posOffset>
                </wp:positionH>
                <wp:positionV relativeFrom="paragraph">
                  <wp:posOffset>1773555</wp:posOffset>
                </wp:positionV>
                <wp:extent cx="698500" cy="215900"/>
                <wp:effectExtent l="0" t="0" r="25400" b="12700"/>
                <wp:wrapNone/>
                <wp:docPr id="22" name="文本框 22"/>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247D43"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9E6A00" id="文本框 22" o:spid="_x0000_s1027" type="#_x0000_t202" style="position:absolute;left:0;text-align:left;margin-left:331.65pt;margin-top:139.65pt;width:55pt;height:17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zhWIpQIAALsFAAAOAAAAZHJzL2Uyb0RvYy54bWysVM1OGzEQvlfqO1i+l01SQiFig1IQVSUE&#10;qFBxdrw2sbA9ru1kN32A9g166qX3PhfP0bF3swTKhaqX3bHnm7/PM3N41BhNVsIHBbakw50BJcJy&#10;qJS9Lenn69M3+5SEyGzFNFhR0rUI9Gj6+tVh7SZiBAvQlfAEndgwqV1JFzG6SVEEvhCGhR1wwqJS&#10;gjcs4tHfFpVnNXo3uhgNBntFDb5yHrgIAW9PWiWdZv9SCh4vpAwiEl1SzC3mr8/fefoW00M2ufXM&#10;LRTv0mD/kIVhymLQ3tUJi4wsvfrLlVHcQwAZdziYAqRUXOQasJrh4Ek1VwvmRK4FyQmupyn8P7f8&#10;fHXpiapKOhpRYpnBN7r/8f3+5+/7X98I3iFBtQsTxF05RMbmPTT40Jv7gJep7kZ6k/5YEUE9Ur3u&#10;6RVNJBwv9w72xwPUcFSNhuMDlNF78WDsfIgfBBiShJJ6fL1MKludhdhCN5AUK4BW1anSOh9Sx4hj&#10;7cmK4VvrmFNE549Q2pIaE3k7HmTHj3TJdW8/14zfdeltodCftimcyL3VpZUIaonIUlxrkTDafhIS&#10;uc18PJMj41zYPs+MTiiJFb3EsMM/ZPUS47YOtMiRwcbe2CgLvmXpMbXV3YZa2eLxDbfqTmJs5k1u&#10;qr5P5lCtsX08tBMYHD9VyPcZC/GSeRw57AtcI/ECP1IDPhJ0EiUL8F+fu094nATUUlLjCJc0fFky&#10;LyjRHy3OyMFwdzfNfD7sjt+N8OC3NfNtjV2aY8DOGeLCcjyLCR/1RpQezA1um1mKiipmOcYuadyI&#10;x7FdLLituJjNMgin3LF4Zq8cT64Ty6nPrpsb5l3X5xEH5Bw2w84mT9q9xSZLC7NlBKnyLCSeW1Y7&#10;/nFD5GnqtllaQdvnjHrYudM/AAAA//8DAFBLAwQUAAYACAAAACEA0jCtSN4AAAALAQAADwAAAGRy&#10;cy9kb3ducmV2LnhtbEyPwU7DMBBE70j8g7VI3KjTRkrSNE4FqHDhRIs4b2PXthrbUeym4e/ZnuA2&#10;uzOafdtsZ9ezSY3RBi9guciAKd8Fab0W8HV4e6qAxYReYh+8EvCjImzb+7sGaxmu/lNN+6QZlfhY&#10;owCT0lBzHjujHMZFGJQn7xRGh4nGUXM54pXKXc9XWVZwh9bTBYODejWqO+8vTsDuRa91V+FodpW0&#10;dpq/Tx/6XYjHh/l5AyypOf2F4YZP6NAS0zFcvIysF1AUeU5RAatyTYISZXnbHAXkSxK8bfj/H9pf&#10;AAAA//8DAFBLAQItABQABgAIAAAAIQC2gziS/gAAAOEBAAATAAAAAAAAAAAAAAAAAAAAAABbQ29u&#10;dGVudF9UeXBlc10ueG1sUEsBAi0AFAAGAAgAAAAhADj9If/WAAAAlAEAAAsAAAAAAAAAAAAAAAAA&#10;LwEAAF9yZWxzLy5yZWxzUEsBAi0AFAAGAAgAAAAhAKPOFYilAgAAuwUAAA4AAAAAAAAAAAAAAAAA&#10;LgIAAGRycy9lMm9Eb2MueG1sUEsBAi0AFAAGAAgAAAAhANIwrUjeAAAACwEAAA8AAAAAAAAAAAAA&#10;AAAA/wQAAGRycy9kb3ducmV2LnhtbFBLBQYAAAAABAAEAPMAAAAKBgAAAAA=&#10;" fillcolor="white [3201]" strokeweight=".5pt">
                <v:textbox>
                  <w:txbxContent>
                    <w:p w14:paraId="11247D43"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94080" behindDoc="0" locked="0" layoutInCell="1" allowOverlap="1" wp14:anchorId="6B457CE0" wp14:editId="687FFD47">
                <wp:simplePos x="0" y="0"/>
                <wp:positionH relativeFrom="column">
                  <wp:posOffset>2605405</wp:posOffset>
                </wp:positionH>
                <wp:positionV relativeFrom="paragraph">
                  <wp:posOffset>1602105</wp:posOffset>
                </wp:positionV>
                <wp:extent cx="698500" cy="215900"/>
                <wp:effectExtent l="0" t="0" r="25400" b="12700"/>
                <wp:wrapNone/>
                <wp:docPr id="21" name="文本框 21"/>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6AED0EE"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B457CE0" id="文本框 21" o:spid="_x0000_s1028" type="#_x0000_t202" style="position:absolute;left:0;text-align:left;margin-left:205.15pt;margin-top:126.15pt;width:55pt;height:17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JkpQIAALsFAAAOAAAAZHJzL2Uyb0RvYy54bWysVM1OGzEQvlfqO1i+l01SQiFig1IQVSUE&#10;qFBxdrw2WeG1XdvJbvoA7Rv01EvvfS6eo5+9uyFQLlS97I493/x9npnDo6ZSZCWcL43O6XBnQInQ&#10;3BSlvs3p5+vTN/uU+MB0wZTRIqdr4enR9PWrw9pOxMgsjCqEI3Ci/aS2OV2EYCdZ5vlCVMzvGCs0&#10;lNK4igUc3W1WOFbDe6Wy0WCwl9XGFdYZLrzH7UmrpNPkX0rBw4WUXgSicorcQvq69J3HbzY9ZJNb&#10;x+yi5F0a7B+yqFipEXTj6oQFRpau/MtVVXJnvJFhh5sqM1KWXKQaUM1w8KSaqwWzItUCcrzd0OT/&#10;n1t+vrp0pCxyOhpSolmFN7r/8f3+5+/7X98I7kBQbf0EuCsLZGjemwYP3d97XMa6G+mq+EdFBHpQ&#10;vd7QK5pAOC73DvbHA2g4VKPh+AAyvGcPxtb58EGYikQhpw6vl0hlqzMfWmgPibG8UWVxWiqVDrFj&#10;xLFyZMXw1iqkFOH8EUppUiORt+NBcvxIF11v7OeK8bsuvS0U/Ckdw4nUW11akaCWiCSFtRIRo/Qn&#10;IcFt4uOZHBnnQm/yTOiIkqjoJYYd/iGrlxi3dcAiRTY6bIyrUhvXsvSY2uKup1a2eLzhVt1RDM28&#10;aZuq75O5KdZoH2faCfSWn5bg+4z5cMkcRg59gTUSLvCRyuCRTCdRsjDu63P3EY9JgJaSGiOcU/9l&#10;yZygRH3UmJGD4e5unPl02B2/G+HgtjXzbY1eVscGnYMxQHZJjPigelE6U91g28xiVKiY5oid09CL&#10;x6FdLNhWXMxmCYQptyyc6SvLo+vIcuyz6+aGOdv1ecCAnJt+2NnkSbu32GipzWwZjCzTLESeW1Y7&#10;/rEh0jR12yyuoO1zQj3s3OkfAAAA//8DAFBLAwQUAAYACAAAACEAfPXHEt4AAAALAQAADwAAAGRy&#10;cy9kb3ducmV2LnhtbEyPwU7DMBBE70j8g7VI3KjTlFZpGqcCVLhwoiDO29i1LWI7st00/D3bE73t&#10;zoxm3zbbyfVsVDHZ4AXMZwUw5bsgrdcCvj5fHypgKaOX2AevBPyqBNv29qbBWoaz/1DjPmtGJT7V&#10;KMDkPNScp84oh2kWBuXJO4boMNMaNZcRz1Tuel4WxYo7tJ4uGBzUi1Hdz/7kBOye9Vp3FUazq6S1&#10;4/R9fNdvQtzfTU8bYFlN+T8MF3xCh5aYDuHkZWK9gMd5saCogHJZ0kCJZXlRDqRUqwXwtuHXP7R/&#10;AAAA//8DAFBLAQItABQABgAIAAAAIQC2gziS/gAAAOEBAAATAAAAAAAAAAAAAAAAAAAAAABbQ29u&#10;dGVudF9UeXBlc10ueG1sUEsBAi0AFAAGAAgAAAAhADj9If/WAAAAlAEAAAsAAAAAAAAAAAAAAAAA&#10;LwEAAF9yZWxzLy5yZWxzUEsBAi0AFAAGAAgAAAAhAD8ycmSlAgAAuwUAAA4AAAAAAAAAAAAAAAAA&#10;LgIAAGRycy9lMm9Eb2MueG1sUEsBAi0AFAAGAAgAAAAhAHz1xxLeAAAACwEAAA8AAAAAAAAAAAAA&#10;AAAA/wQAAGRycy9kb3ducmV2LnhtbFBLBQYAAAAABAAEAPMAAAAKBgAAAAA=&#10;" fillcolor="white [3201]" strokeweight=".5pt">
                <v:textbox>
                  <w:txbxContent>
                    <w:p w14:paraId="06AED0EE"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92032" behindDoc="0" locked="0" layoutInCell="1" allowOverlap="1" wp14:anchorId="36F39925" wp14:editId="21BA6484">
                <wp:simplePos x="0" y="0"/>
                <wp:positionH relativeFrom="column">
                  <wp:posOffset>2783205</wp:posOffset>
                </wp:positionH>
                <wp:positionV relativeFrom="paragraph">
                  <wp:posOffset>1824355</wp:posOffset>
                </wp:positionV>
                <wp:extent cx="698500" cy="215900"/>
                <wp:effectExtent l="0" t="0" r="25400" b="12700"/>
                <wp:wrapNone/>
                <wp:docPr id="20" name="文本框 20"/>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753C3D0"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F39925" id="文本框 20" o:spid="_x0000_s1029" type="#_x0000_t202" style="position:absolute;left:0;text-align:left;margin-left:219.15pt;margin-top:143.65pt;width:55pt;height:17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q8/pgIAALsFAAAOAAAAZHJzL2Uyb0RvYy54bWysVMFOGzEQvVfqP1i+l00CoRCxQSmIqhIq&#10;qFBxdrw2WeG1XdvJbvoB7R/01Evv/S6+o8/e3RAoF6pedsee5+eZ55k5Om4qRVbC+dLonA53BpQI&#10;zU1R6tucfr4+e3NAiQ9MF0wZLXK6Fp4eT1+/OqrtRIzMwqhCOAIS7Se1zekiBDvJMs8XomJ+x1ih&#10;4ZTGVSxg6W6zwrEa7JXKRoPBflYbV1hnuPAeu6etk04Tv5SChwspvQhE5RSxhfR16TuP32x6xCa3&#10;jtlFybsw2D9EUbFS49IN1SkLjCxd+RdVVXJnvJFhh5sqM1KWXKQckM1w8CSbqwWzIuUCcbzdyOT/&#10;Hy3/uLp0pCxyOoI8mlV4o/sf3+9//r7/9Y1gDwLV1k+Au7JAhuadafDQ/b7HZsy7ka6Kf2RE4AfX&#10;eiOvaALh2Nw/PBgP4OFwjYbjQ9hgzx4OW+fDe2EqEo2cOrxeEpWtzn1ooT0k3uWNKouzUqm0iBUj&#10;TpQjK4a3ViGFCPJHKKVJjUB2x4NE/MgXqTfn54rxuy68LRT4lI7XiVRbXVhRoFaIZIW1EhGj9Cch&#10;oW3S45kYGedCb+JM6IiSyOglBzv8Q1QvOdzmgRPpZqPD5nBVauNalR5LW9z10soWjzfcyjuaoZk3&#10;qah2+zqZm2KN8nGm7UBv+VkJvc+ZD5fMoeVQFxgj4QIfqQweyXQWJQvjvj63H/HoBHgpqdHCOfVf&#10;lswJStQHjR45HO7tgTakxd74baxwt+2Zb3v0sjoxqJwhBpblyYz4oHpTOlPdYNrM4q1wMc1xd05D&#10;b56EdrBgWnExmyUQutyycK6vLI/UUeVYZ9fNDXO2q/OABvlo+mZnkyfl3mLjSW1my2BkmXoh6tyq&#10;2umPCZG6qZtmcQRtrxPqYeZO/wAAAP//AwBQSwMEFAAGAAgAAAAhAMpKdeTeAAAACwEAAA8AAABk&#10;cnMvZG93bnJldi54bWxMjz1PwzAQhnck/oN1SGzUaVLAhDgVoMLSiYKY3fhqW8R2FLtp+PdcJ9ju&#10;49F7zzXr2fdswjG5GCQsFwUwDF3ULhgJnx+vNwJYyipo1ceAEn4wwbq9vGhUreMpvOO0y4ZRSEi1&#10;kmBzHmrOU2fRq7SIAwbaHeLoVaZ2NFyP6kThvudlUdxxr1ygC1YN+GKx+94dvYTNs3kwnVCj3Qjt&#10;3DR/HbbmTcrrq/npEVjGOf/BcNYndWjJaR+PQSfWS1hVoiJUQinuqSDidnWe7CVU5bIC3jb8/w/t&#10;LwAAAP//AwBQSwECLQAUAAYACAAAACEAtoM4kv4AAADhAQAAEwAAAAAAAAAAAAAAAAAAAAAAW0Nv&#10;bnRlbnRfVHlwZXNdLnhtbFBLAQItABQABgAIAAAAIQA4/SH/1gAAAJQBAAALAAAAAAAAAAAAAAAA&#10;AC8BAABfcmVscy8ucmVsc1BLAQItABQABgAIAAAAIQBLZq8/pgIAALsFAAAOAAAAAAAAAAAAAAAA&#10;AC4CAABkcnMvZTJvRG9jLnhtbFBLAQItABQABgAIAAAAIQDKSnXk3gAAAAsBAAAPAAAAAAAAAAAA&#10;AAAAAAAFAABkcnMvZG93bnJldi54bWxQSwUGAAAAAAQABADzAAAACwYAAAAA&#10;" fillcolor="white [3201]" strokeweight=".5pt">
                <v:textbox>
                  <w:txbxContent>
                    <w:p w14:paraId="1753C3D0"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89984" behindDoc="0" locked="0" layoutInCell="1" allowOverlap="1" wp14:anchorId="27656811" wp14:editId="64FB4A06">
                <wp:simplePos x="0" y="0"/>
                <wp:positionH relativeFrom="column">
                  <wp:posOffset>2230755</wp:posOffset>
                </wp:positionH>
                <wp:positionV relativeFrom="paragraph">
                  <wp:posOffset>1773555</wp:posOffset>
                </wp:positionV>
                <wp:extent cx="698500" cy="215900"/>
                <wp:effectExtent l="0" t="0" r="25400" b="12700"/>
                <wp:wrapNone/>
                <wp:docPr id="19" name="文本框 19"/>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4B8E937"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7656811" id="文本框 19" o:spid="_x0000_s1030" type="#_x0000_t202" style="position:absolute;left:0;text-align:left;margin-left:175.65pt;margin-top:139.65pt;width:55pt;height:17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a2Q7pQIAALsFAAAOAAAAZHJzL2Uyb0RvYy54bWysVM1OGzEQvlfqO1i+l03ShJKIDUpBVJUQ&#10;oELF2fHaZIXXdm0nu+kDtG/QUy+997l4jn72bkKgXKh62R17vvn7PDOHR02lyEo4Xxqd0/5ejxKh&#10;uSlKfZvTz9enbw4o8YHpgimjRU7XwtOj6etXh7WdiIFZGFUIR+BE+0ltc7oIwU6yzPOFqJjfM1Zo&#10;KKVxFQs4utuscKyG90plg15vP6uNK6wzXHiP25NWSafJv5SChwspvQhE5RS5hfR16TuP32x6yCa3&#10;jtlFybs02D9kUbFSI+jW1QkLjCxd+ZerquTOeCPDHjdVZqQsuUg1oJp+70k1VwtmRaoF5Hi7pcn/&#10;P7f8fHXpSFng7caUaFbhje5/fL//+fv+1zeCOxBUWz8B7soCGZr3pgF4c+9xGetupKviHxUR6EH1&#10;ekuvaALhuNwfH4x60HCoBv3RGDK8Zw/G1vnwQZiKRCGnDq+XSGWrMx9a6AYSY3mjyuK0VCodYseI&#10;Y+XIiuGtVUgpwvkjlNKkRiJvR73k+JEuut7azxXjd116Oyj4UzqGE6m3urQiQS0RSQprJSJG6U9C&#10;gtvExzM5Ms6F3uaZ0BElUdFLDDv8Q1YvMW7rgEWKbHTYGlelNq5l6TG1xd2GWtni8YY7dUcxNPMm&#10;NdVw0ydzU6zRPs60E+gtPy3B9xnz4ZI5jBz6AmskXOAjlcEjmU6iZGHc1+fuIx6TAC0lNUY4p/7L&#10;kjlBifqoMSPj/nAYZz4dhqN3Axzcrma+q9HL6tigc/pYWJYnMeKD2ojSmeoG22YWo0LFNEfsnIaN&#10;eBzaxYJtxcVslkCYcsvCmb6yPLqOLMc+u25umLNdnwcMyLnZDDubPGn3FhsttZktg5FlmoXIc8tq&#10;xz82RJqmbpvFFbR7TqiHnTv9AwAA//8DAFBLAwQUAAYACAAAACEA0+Jh6t4AAAALAQAADwAAAGRy&#10;cy9kb3ducmV2LnhtbEyPwU7DMBBE70j8g7VI3KiTBkoa4lSAChdOFMTZjV3bIl5HtpuGv2d7gtvu&#10;zmj2TbuZ/cAmHZMLKKBcFMA09kE5NAI+P15uamApS1RyCKgF/OgEm+7yopWNCid819MuG0YhmBop&#10;wOY8Npyn3mov0yKMGkk7hOhlpjUarqI8Ubgf+LIoVtxLh/TBylE/W91/745ewPbJrE1fy2i3tXJu&#10;mr8Ob+ZViOur+fEBWNZz/jPDGZ/QoSOmfTiiSmwQUN2VFVkFLO/XNJDjdnW+7Ekqqwp41/L/Hbpf&#10;AAAA//8DAFBLAQItABQABgAIAAAAIQC2gziS/gAAAOEBAAATAAAAAAAAAAAAAAAAAAAAAABbQ29u&#10;dGVudF9UeXBlc10ueG1sUEsBAi0AFAAGAAgAAAAhADj9If/WAAAAlAEAAAsAAAAAAAAAAAAAAAAA&#10;LwEAAF9yZWxzLy5yZWxzUEsBAi0AFAAGAAgAAAAhANNrZDulAgAAuwUAAA4AAAAAAAAAAAAAAAAA&#10;LgIAAGRycy9lMm9Eb2MueG1sUEsBAi0AFAAGAAgAAAAhANPiYereAAAACwEAAA8AAAAAAAAAAAAA&#10;AAAA/wQAAGRycy9kb3ducmV2LnhtbFBLBQYAAAAABAAEAPMAAAAKBgAAAAA=&#10;" fillcolor="white [3201]" strokeweight=".5pt">
                <v:textbox>
                  <w:txbxContent>
                    <w:p w14:paraId="44B8E937"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87936" behindDoc="0" locked="0" layoutInCell="1" allowOverlap="1" wp14:anchorId="378A7744" wp14:editId="738EB4BF">
                <wp:simplePos x="0" y="0"/>
                <wp:positionH relativeFrom="column">
                  <wp:posOffset>1087755</wp:posOffset>
                </wp:positionH>
                <wp:positionV relativeFrom="paragraph">
                  <wp:posOffset>1824355</wp:posOffset>
                </wp:positionV>
                <wp:extent cx="698500" cy="215900"/>
                <wp:effectExtent l="0" t="0" r="25400" b="12700"/>
                <wp:wrapNone/>
                <wp:docPr id="18" name="文本框 18"/>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3C2253D"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78A7744" id="文本框 18" o:spid="_x0000_s1031" type="#_x0000_t202" style="position:absolute;left:0;text-align:left;margin-left:85.65pt;margin-top:143.65pt;width:55pt;height:17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7lgpQIAALsFAAAOAAAAZHJzL2Uyb0RvYy54bWysVM1OGzEQvlfqO1i+l01SQiFig1IQVSUE&#10;qFBxdrw2WeG1XdvJbvoA7Rv01EvvfS6eo5+9uyFQLlS97I4934xnvvk5PGoqRVbC+dLonA53BpQI&#10;zU1R6tucfr4+fbNPiQ9MF0wZLXK6Fp4eTV+/OqztRIzMwqhCOAIn2k9qm9NFCHaSZZ4vRMX8jrFC&#10;QymNq1jA0d1mhWM1vFcqGw0Ge1ltXGGd4cJ73J60SjpN/qUUPFxI6UUgKqeILaSvS995/GbTQza5&#10;dcwuSt6Fwf4hioqVGo9uXJ2wwMjSlX+5qkrujDcy7HBTZUbKkouUA7IZDp5kc7VgVqRcQI63G5r8&#10;/3PLz1eXjpQFaodKaVahRvc/vt///H3/6xvBHQiqrZ8Ad2WBDM170wDc33tcxrwb6ar4R0YEelC9&#10;3tArmkA4LvcO9scDaDhUo+H4ADK8Zw/G1vnwQZiKRCGnDtVLpLLVmQ8ttIfEt7xRZXFaKpUOsWPE&#10;sXJkxVBrFVKIcP4IpTSpEcjb8SA5fqSLrjf2c8X4XRfeFgr+lI7PidRbXViRoJaIJIW1EhGj9Cch&#10;wW3i45kYGedCb+JM6IiSyOglhh3+IaqXGLd5wCK9bHTYGFelNq5l6TG1xV1PrWzxqOFW3lEMzbxJ&#10;TTXu+2RuijXax5l2Ar3lpyX4PmM+XDKHkUNfYI2EC3ykMiiS6SRKFsZ9fe4+4jEJ0FJSY4Rz6r8s&#10;mROUqI8aM3Iw3N2NM58Ou+N3Ixzctma+rdHL6tigc4ZYWJYnMeKD6kXpTHWDbTOLr0LFNMfbOQ29&#10;eBzaxYJtxcVslkCYcsvCmb6yPLqOLMc+u25umLNdnwcMyLnph51NnrR7i42W2syWwcgyzULkuWW1&#10;4x8bIk1Tt83iCto+J9TDzp3+AQAA//8DAFBLAwQUAAYACAAAACEAeSjTddwAAAALAQAADwAAAGRy&#10;cy9kb3ducmV2LnhtbEyPwU7DMBBE70j8g7VI3KjTVKImxKkAFS6caBFnN3Zti3gd2W4a/p7tCW4z&#10;u6PZt+1mDgObTMo+ooTlogJmsI/ao5XwuX+9E8ByUajVENFI+DEZNt31VasaHc/4YaZdsYxKMDdK&#10;gitlbDjPvTNB5UUcDdLuGFNQhWyyXCd1pvIw8Lqq7nlQHumCU6N5cab/3p2ChO2zfbC9UMlthfZ+&#10;mr+O7/ZNytub+ekRWDFz+QvDBZ/QoSOmQzyhzmwgv16uKCqhFmsSlKjFZXKQsKpJ8K7l/3/ofgEA&#10;AP//AwBQSwECLQAUAAYACAAAACEAtoM4kv4AAADhAQAAEwAAAAAAAAAAAAAAAAAAAAAAW0NvbnRl&#10;bnRfVHlwZXNdLnhtbFBLAQItABQABgAIAAAAIQA4/SH/1gAAAJQBAAALAAAAAAAAAAAAAAAAAC8B&#10;AABfcmVscy8ucmVsc1BLAQItABQABgAIAAAAIQCnP7lgpQIAALsFAAAOAAAAAAAAAAAAAAAAAC4C&#10;AABkcnMvZTJvRG9jLnhtbFBLAQItABQABgAIAAAAIQB5KNN13AAAAAsBAAAPAAAAAAAAAAAAAAAA&#10;AP8EAABkcnMvZG93bnJldi54bWxQSwUGAAAAAAQABADzAAAACAYAAAAA&#10;" fillcolor="white [3201]" strokeweight=".5pt">
                <v:textbox>
                  <w:txbxContent>
                    <w:p w14:paraId="63C2253D"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85888" behindDoc="0" locked="0" layoutInCell="1" allowOverlap="1" wp14:anchorId="576D3C03" wp14:editId="71F1C93D">
                <wp:simplePos x="0" y="0"/>
                <wp:positionH relativeFrom="column">
                  <wp:posOffset>846455</wp:posOffset>
                </wp:positionH>
                <wp:positionV relativeFrom="paragraph">
                  <wp:posOffset>1608455</wp:posOffset>
                </wp:positionV>
                <wp:extent cx="698500" cy="215900"/>
                <wp:effectExtent l="0" t="0" r="25400" b="12700"/>
                <wp:wrapNone/>
                <wp:docPr id="17" name="文本框 17"/>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691A5BE"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6D3C03" id="文本框 17" o:spid="_x0000_s1032" type="#_x0000_t202" style="position:absolute;left:0;text-align:left;margin-left:66.65pt;margin-top:126.65pt;width:55pt;height:17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dLd0pQIAALsFAAAOAAAAZHJzL2Uyb0RvYy54bWysVM1OGzEQvlfqO1i+l01SQiFig1IQVSUE&#10;qFBxdrw2WeG1XdvJbvoA7Rv01EvvfS6eo5+9uyFQLlS97I493/x9npnDo6ZSZCWcL43O6XBnQInQ&#10;3BSlvs3p5+vTN/uU+MB0wZTRIqdr4enR9PWrw9pOxMgsjCqEI3Ci/aS2OV2EYCdZ5vlCVMzvGCs0&#10;lNK4igUc3W1WOFbDe6Wy0WCwl9XGFdYZLrzH7UmrpNPkX0rBw4WUXgSicorcQvq69J3HbzY9ZJNb&#10;x+yi5F0a7B+yqFipEXTj6oQFRpau/MtVVXJnvJFhh5sqM1KWXKQaUM1w8KSaqwWzItUCcrzd0OT/&#10;n1t+vrp0pCzwdu8o0azCG93/+H7/8/f9r28EdyCotn4C3JUFMjTvTQNwf+9xGetupKviHxUR6EH1&#10;ekOvaALhuNw72B8PoOFQjYbjA8jwnj0YW+fDB2EqEoWcOrxeIpWtznxooT0kxvJGlcVpqVQ6xI4R&#10;x8qRFcNbq5BShPNHKKVJjUTejgfJ8SNddL2xnyvG77r0tlDwp3QMJ1JvdWlFgloikhTWSkSM0p+E&#10;BLeJj2dyZJwLvckzoSNKoqKXGHb4h6xeYtzWAYsU2eiwMa5KbVzL0mNqi7ueWtni8YZbdUcxNPMm&#10;NdVe3ydzU6zRPs60E+gtPy3B9xnz4ZI5jBz6AmskXOAjlcEjmU6iZGHc1+fuIx6TAC0lNUY4p/7L&#10;kjlBifqoMSMHw93dOPPpsDt+N8LBbWvm2xq9rI4NOmeIhWV5EiM+qF6UzlQ32DazGBUqpjli5zT0&#10;4nFoFwu2FRezWQJhyi0LZ/rK8ug6shz77Lq5Yc52fR4wIOemH3Y2edLuLTZaajNbBiPLNAuR55bV&#10;jn9siDRN3TaLK2j7nFAPO3f6BwAA//8DAFBLAwQUAAYACAAAACEAONWW4dwAAAALAQAADwAAAGRy&#10;cy9kb3ducmV2LnhtbEyPzU7DMBCE70i8g7VI3KhDwk8IcSpAhUtPFMTZjbe2RWxHtpuGt2dzgtuM&#10;djT7Tbue3cAmjMkGL+B6VQBD3wdlvRbw+fF6VQNLWXolh+BRwA8mWHfnZ61sVDj5d5x2WTMq8amR&#10;AkzOY8N56g06mVZhRE+3Q4hOZrJRcxXlicrdwMuiuONOWk8fjBzxxWD/vTs6AZtn/aD7WkazqZW1&#10;0/x12Oo3IS4v5qdHYBnn/BeGBZ/QoSOmfTh6ldhAvqoqigoobxdBifJmEXsS9X0FvGv5/w3dLwAA&#10;AP//AwBQSwECLQAUAAYACAAAACEAtoM4kv4AAADhAQAAEwAAAAAAAAAAAAAAAAAAAAAAW0NvbnRl&#10;bnRfVHlwZXNdLnhtbFBLAQItABQABgAIAAAAIQA4/SH/1gAAAJQBAAALAAAAAAAAAAAAAAAAAC8B&#10;AABfcmVscy8ucmVsc1BLAQItABQABgAIAAAAIQAKdLd0pQIAALsFAAAOAAAAAAAAAAAAAAAAAC4C&#10;AABkcnMvZTJvRG9jLnhtbFBLAQItABQABgAIAAAAIQA41Zbh3AAAAAsBAAAPAAAAAAAAAAAAAAAA&#10;AP8EAABkcnMvZG93bnJldi54bWxQSwUGAAAAAAQABADzAAAACAYAAAAA&#10;" fillcolor="white [3201]" strokeweight=".5pt">
                <v:textbox>
                  <w:txbxContent>
                    <w:p w14:paraId="5691A5BE"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83840" behindDoc="0" locked="0" layoutInCell="1" allowOverlap="1" wp14:anchorId="79BD49F6" wp14:editId="4F890500">
                <wp:simplePos x="0" y="0"/>
                <wp:positionH relativeFrom="column">
                  <wp:posOffset>433705</wp:posOffset>
                </wp:positionH>
                <wp:positionV relativeFrom="paragraph">
                  <wp:posOffset>1710055</wp:posOffset>
                </wp:positionV>
                <wp:extent cx="698500" cy="215900"/>
                <wp:effectExtent l="0" t="0" r="25400" b="12700"/>
                <wp:wrapNone/>
                <wp:docPr id="16" name="文本框 16"/>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252394"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9BD49F6" id="文本框 16" o:spid="_x0000_s1033" type="#_x0000_t202" style="position:absolute;left:0;text-align:left;margin-left:34.15pt;margin-top:134.65pt;width:55pt;height:17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ovpQIAALsFAAAOAAAAZHJzL2Uyb0RvYy54bWysVM1OGzEQvlfqO1i+l01SQiFig1IQVSUE&#10;qFBxdrw2WeG1XdvJbvoA7Rv01EvvfS6eo5+9uyFQLlS97I493/x9npnDo6ZSZCWcL43O6XBnQInQ&#10;3BSlvs3p5+vTN/uU+MB0wZTRIqdr4enR9PWrw9pOxMgsjCqEI3Ci/aS2OV2EYCdZ5vlCVMzvGCs0&#10;lNK4igUc3W1WOFbDe6Wy0WCwl9XGFdYZLrzH7UmrpNPkX0rBw4WUXgSicorcQvq69J3HbzY9ZJNb&#10;x+yi5F0a7B+yqFipEXTj6oQFRpau/MtVVXJnvJFhh5sqM1KWXKQaUM1w8KSaqwWzItUCcrzd0OT/&#10;n1t+vrp0pCzwdnuUaFbhje5/fL//+fv+1zeCOxBUWz8B7soCGZr3pgG4v/e4jHU30lXxj4oI9KB6&#10;vaFXNIFwXO4d7I8H0HCoRsPxAWR4zx6MrfPhgzAViUJOHV4vkcpWZz600B4SY3mjyuK0VCodYseI&#10;Y+XIiuGtVUgpwvkjlNKkRiJvx4Pk+JEuut7YzxXjd116Wyj4UzqGE6m3urQiQS0RSQprJSJG6U9C&#10;gtvExzM5Ms6F3uSZ0BElUdFLDDv8Q1YvMW7rgEWKbHTYGFelNq5l6TG1xV1PrWzxeMOtuqMYmnmT&#10;mupd3ydzU6zRPs60E+gtPy3B9xnz4ZI5jBz6AmskXOAjlcEjmU6iZGHc1+fuIx6TAC0lNUY4p/7L&#10;kjlBifqoMSMHw93dOPPpsDt+N8LBbWvm2xq9rI4NOmeIhWV5EiM+qF6UzlQ32DazGBUqpjli5zT0&#10;4nFoFwu2FRezWQJhyi0LZ/rK8ug6shz77Lq5Yc52fR4wIOemH3Y2edLuLTZaajNbBiPLNAuR55bV&#10;jn9siDRN3TaLK2j7nFAPO3f6BwAA//8DAFBLAwQUAAYACAAAACEAAzVir9wAAAAKAQAADwAAAGRy&#10;cy9kb3ducmV2LnhtbEyPPU/DMBCGdyT+g3VIbNShkUIa4lSACgsTLWK+xlfbIrYj203Dv8eZYLuP&#10;R+89125nO7CJQjTeCbhfFcDI9V4apwR8Hl7vamAxoZM4eEcCfijCtru+arGR/uI+aNonxXKIiw0K&#10;0CmNDeex12QxrvxILu9OPlhMuQ2Ky4CXHG4Hvi6Kils0Ll/QONKLpv57f7YCds9qo/oag97V0php&#10;/jq9qzchbm/mp0dgieb0B8Oin9Why05Hf3YyskFAVZeZFLCuNrlYgIdlchRQFmUJvGv5/xe6XwAA&#10;AP//AwBQSwECLQAUAAYACAAAACEAtoM4kv4AAADhAQAAEwAAAAAAAAAAAAAAAAAAAAAAW0NvbnRl&#10;bnRfVHlwZXNdLnhtbFBLAQItABQABgAIAAAAIQA4/SH/1gAAAJQBAAALAAAAAAAAAAAAAAAAAC8B&#10;AABfcmVscy8ucmVsc1BLAQItABQABgAIAAAAIQB+IGovpQIAALsFAAAOAAAAAAAAAAAAAAAAAC4C&#10;AABkcnMvZTJvRG9jLnhtbFBLAQItABQABgAIAAAAIQADNWKv3AAAAAoBAAAPAAAAAAAAAAAAAAAA&#10;AP8EAABkcnMvZG93bnJldi54bWxQSwUGAAAAAAQABADzAAAACAYAAAAA&#10;" fillcolor="white [3201]" strokeweight=".5pt">
                <v:textbox>
                  <w:txbxContent>
                    <w:p w14:paraId="3D252394"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81792" behindDoc="0" locked="0" layoutInCell="1" allowOverlap="1" wp14:anchorId="5C6559A2" wp14:editId="30475F70">
                <wp:simplePos x="0" y="0"/>
                <wp:positionH relativeFrom="column">
                  <wp:posOffset>4986655</wp:posOffset>
                </wp:positionH>
                <wp:positionV relativeFrom="paragraph">
                  <wp:posOffset>668655</wp:posOffset>
                </wp:positionV>
                <wp:extent cx="698500" cy="215900"/>
                <wp:effectExtent l="0" t="0" r="25400" b="12700"/>
                <wp:wrapNone/>
                <wp:docPr id="15" name="文本框 15"/>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B97192B"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C6559A2" id="文本框 15" o:spid="_x0000_s1034" type="#_x0000_t202" style="position:absolute;left:0;text-align:left;margin-left:392.65pt;margin-top:52.65pt;width:55pt;height:17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lRk8pQIAALsFAAAOAAAAZHJzL2Uyb0RvYy54bWysVM1OGzEQvlfqO1i+l01SQiFig1IQVSUE&#10;qFBxdrw2WeG1XdvJbvoA7Rv01EvvfS6eo5+9uyFQLlS97I493/x9npnDo6ZSZCWcL43O6XBnQInQ&#10;3BSlvs3p5+vTN/uU+MB0wZTRIqdr4enR9PWrw9pOxMgsjCqEI3Ci/aS2OV2EYCdZ5vlCVMzvGCs0&#10;lNK4igUc3W1WOFbDe6Wy0WCwl9XGFdYZLrzH7UmrpNPkX0rBw4WUXgSicorcQvq69J3HbzY9ZJNb&#10;x+yi5F0a7B+yqFipEXTj6oQFRpau/MtVVXJnvJFhh5sqM1KWXKQaUM1w8KSaqwWzItUCcrzd0OT/&#10;n1t+vrp0pCzwdmNKNKvwRvc/vt///H3/6xvBHQiqrZ8Ad2WBDM170wDc33tcxrob6ar4R0UEelC9&#10;3tArmkA4LvcO9scDaDhUo+H4ADK8Zw/G1vnwQZiKRCGnDq+XSGWrMx9aaA+JsbxRZXFaKpUOsWPE&#10;sXJkxfDWKqQU4fwRSmlSI5G340Fy/EgXXW/s54rxuy69LRT8KR3DidRbXVqRoJaIJIW1EhGj9Cch&#10;wW3i45kcGedCb/JM6IiSqOglhh3+IauXGLd1wCJFNjpsjKtSG9ey9Jja4q6nVrZ4vOFW3VEMzbxJ&#10;TbXf98ncFGu0jzPtBHrLT0vwfcZ8uGQOI4e+wBoJF/hIZfBIppMoWRj39bn7iMckQEtJjRHOqf+y&#10;ZE5Qoj5qzMjBcHc3znw67I7fjXBw25r5tkYvq2ODzhliYVmexIgPqhelM9UNts0sRoWKaY7YOQ29&#10;eBzaxYJtxcVslkCYcsvCmb6yPLqOLMc+u25umLNdnwcMyLnph51NnrR7i42W2syWwcgyzULkuWW1&#10;4x8bIk1Tt83iCto+J9TDzp3+AQAA//8DAFBLAwQUAAYACAAAACEAKJs3xtwAAAALAQAADwAAAGRy&#10;cy9kb3ducmV2LnhtbEyPwU7DMBBE70j8g7VI3KgDEeCkcSpAhQsnCurZjV3HIl5HtpuGv2dzgtvs&#10;zmj2bbOZ/cAmE5MLKOF2VQAz2AXt0Er4+ny9EcBSVqjVENBI+DEJNu3lRaNqHc74YaZdtoxKMNVK&#10;Qp/zWHOeut54lVZhNEjeMUSvMo3Rch3Vmcr9wO+K4oF75ZAu9Go0L73pvncnL2H7bCvbCRX7rdDO&#10;TfP++G7fpLy+mp/WwLKZ818YFnxCh5aYDuGEOrFBwqO4LylKRrEISohqEQfalFUJvG34/x/aXwAA&#10;AP//AwBQSwECLQAUAAYACAAAACEAtoM4kv4AAADhAQAAEwAAAAAAAAAAAAAAAAAAAAAAW0NvbnRl&#10;bnRfVHlwZXNdLnhtbFBLAQItABQABgAIAAAAIQA4/SH/1gAAAJQBAAALAAAAAAAAAAAAAAAAAC8B&#10;AABfcmVscy8ucmVsc1BLAQItABQABgAIAAAAIQAhlRk8pQIAALsFAAAOAAAAAAAAAAAAAAAAAC4C&#10;AABkcnMvZTJvRG9jLnhtbFBLAQItABQABgAIAAAAIQAomzfG3AAAAAsBAAAPAAAAAAAAAAAAAAAA&#10;AP8EAABkcnMvZG93bnJldi54bWxQSwUGAAAAAAQABADzAAAACAYAAAAA&#10;" fillcolor="white [3201]" strokeweight=".5pt">
                <v:textbox>
                  <w:txbxContent>
                    <w:p w14:paraId="3B97192B"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79744" behindDoc="0" locked="0" layoutInCell="1" allowOverlap="1" wp14:anchorId="451CD8DE" wp14:editId="7F8C11E2">
                <wp:simplePos x="0" y="0"/>
                <wp:positionH relativeFrom="column">
                  <wp:posOffset>4211955</wp:posOffset>
                </wp:positionH>
                <wp:positionV relativeFrom="paragraph">
                  <wp:posOffset>306705</wp:posOffset>
                </wp:positionV>
                <wp:extent cx="698500" cy="215900"/>
                <wp:effectExtent l="0" t="0" r="25400" b="12700"/>
                <wp:wrapNone/>
                <wp:docPr id="14" name="文本框 14"/>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BCC961"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1CD8DE" id="文本框 14" o:spid="_x0000_s1035" type="#_x0000_t202" style="position:absolute;left:0;text-align:left;margin-left:331.65pt;margin-top:24.15pt;width:55pt;height:17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wcRnpQIAALsFAAAOAAAAZHJzL2Uyb0RvYy54bWysVM1OGzEQvlfqO1i+l03ShJKIDUpBVJUQ&#10;oELF2fHaZIXXdm0nu+kDtG/QUy+997l4jn72bkKgXKh62R17vvn7PDOHR02lyEo4Xxqd0/5ejxKh&#10;uSlKfZvTz9enbw4o8YHpgimjRU7XwtOj6etXh7WdiIFZGFUIR+BE+0ltc7oIwU6yzPOFqJjfM1Zo&#10;KKVxFQs4utuscKyG90plg15vP6uNK6wzXHiP25NWSafJv5SChwspvQhE5RS5hfR16TuP32x6yCa3&#10;jtlFybs02D9kUbFSI+jW1QkLjCxd+ZerquTOeCPDHjdVZqQsuUg1oJp+70k1VwtmRaoF5Hi7pcn/&#10;P7f8fHXpSFng7YaUaFbhje5/fL//+fv+1zeCOxBUWz8B7soCGZr3pgF4c+9xGetupKviHxUR6EH1&#10;ekuvaALhuNwfH4x60HCoBv3RGDK8Zw/G1vnwQZiKRCGnDq+XSGWrMx9a6AYSY3mjyuK0VCodYseI&#10;Y+XIiuGtVUgpwvkjlNKkRiJvR73k+JEuut7azxXjd116Oyj4UzqGE6m3urQiQS0RSQprJSJG6U9C&#10;gtvExzM5Ms6F3uaZ0BElUdFLDDv8Q1YvMW7rgEWKbHTYGlelNq5l6TG1xd2GWtni8YY7dUcxNPMm&#10;NdV40ydzU6zRPs60E+gtPy3B9xnz4ZI5jBz6AmskXOAjlcEjmU6iZGHc1+fuIx6TAC0lNUY4p/7L&#10;kjlBifqoMSPj/nAYZz4dhqN3Axzcrma+q9HL6tigc/pYWJYnMeKD2ojSmeoG22YWo0LFNEfsnIaN&#10;eBzaxYJtxcVslkCYcsvCmb6yPLqOLMc+u25umLNdnwcMyLnZDDubPGn3FhsttZktg5FlmoXIc8tq&#10;xz82RJqmbpvFFbR7TqiHnTv9AwAA//8DAFBLAwQUAAYACAAAACEAR+K2RNwAAAAJAQAADwAAAGRy&#10;cy9kb3ducmV2LnhtbEyPwU7DMAyG70i8Q2QkbixlRV1Wmk6ABhdODLRz1nhJRONUTdaVtyc7wcmy&#10;/en352Yz+55NOEYXSML9ogCG1AXtyEj4+ny9E8BiUqRVHwgl/GCETXt91ahahzN94LRLhuUQirWS&#10;YFMaas5jZ9GruAgDUt4dw+hVyu1ouB7VOYf7ni+LouJeOcoXrBrwxWL3vTt5CdtnszadUKPdCu3c&#10;NO+P7+ZNytub+ekRWMI5/cFw0c/q0GanQziRjqyXUFVlmVEJDyLXDKxWl8FBgliWwNuG//+g/QUA&#10;AP//AwBQSwECLQAUAAYACAAAACEAtoM4kv4AAADhAQAAEwAAAAAAAAAAAAAAAAAAAAAAW0NvbnRl&#10;bnRfVHlwZXNdLnhtbFBLAQItABQABgAIAAAAIQA4/SH/1gAAAJQBAAALAAAAAAAAAAAAAAAAAC8B&#10;AABfcmVscy8ucmVsc1BLAQItABQABgAIAAAAIQBVwcRnpQIAALsFAAAOAAAAAAAAAAAAAAAAAC4C&#10;AABkcnMvZTJvRG9jLnhtbFBLAQItABQABgAIAAAAIQBH4rZE3AAAAAkBAAAPAAAAAAAAAAAAAAAA&#10;AP8EAABkcnMvZG93bnJldi54bWxQSwUGAAAAAAQABADzAAAACAYAAAAA&#10;" fillcolor="white [3201]" strokeweight=".5pt">
                <v:textbox>
                  <w:txbxContent>
                    <w:p w14:paraId="78BCC961"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77696" behindDoc="0" locked="0" layoutInCell="1" allowOverlap="1" wp14:anchorId="78D4BCA3" wp14:editId="3BEFC747">
                <wp:simplePos x="0" y="0"/>
                <wp:positionH relativeFrom="column">
                  <wp:posOffset>4421505</wp:posOffset>
                </wp:positionH>
                <wp:positionV relativeFrom="paragraph">
                  <wp:posOffset>90805</wp:posOffset>
                </wp:positionV>
                <wp:extent cx="698500" cy="215900"/>
                <wp:effectExtent l="0" t="0" r="25400" b="12700"/>
                <wp:wrapNone/>
                <wp:docPr id="13" name="文本框 13"/>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110A6075"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D4BCA3" id="文本框 13" o:spid="_x0000_s1036" type="#_x0000_t202" style="position:absolute;left:0;text-align:left;margin-left:348.15pt;margin-top:7.15pt;width:55pt;height:17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u4YApAIAALwFAAAOAAAAZHJzL2Uyb0RvYy54bWysVM1OGzEQvlfqO1i+l00CoRCxQSmIqhIC&#10;VKg4O16brPDaru1kN30A+gY99dJ7n4vn6Gfv5gfKhaqX3bHnm/HMNz9Hx02lyEI4Xxqd0/5OjxKh&#10;uSlKfZfTLzdn7w4o8YHpgimjRU6XwtPj8ds3R7UdiYGZGVUIR+BE+1FtczoLwY6yzPOZqJjfMVZo&#10;KKVxFQs4uruscKyG90plg15vP6uNK6wzXHiP29NWScfJv5SCh0spvQhE5RSxhfR16TuN32x8xEZ3&#10;jtlZybsw2D9EUbFS49G1q1MWGJm78i9XVcmd8UaGHW6qzEhZcpFyQDb93rNsrmfMipQLyPF2TZP/&#10;f275xeLKkbJA7XYp0axCjR5/fH/8+fvx1wPBHQiqrR8Bd22BDM0H0wC8uve4jHk30lXxj4wI9KB6&#10;uaZXNIFwXO4fHgx70HCoBv3hIWR4zzbG1vnwUZiKRCGnDtVLpLLFuQ8tdAWJb3mjyuKsVCodYseI&#10;E+XIgqHWKqQQ4fwJSmlSI5DdYS85fqKLrtf2U8X4fRfeFgr+lI7PidRbXViRoJaIJIWlEhGj9Gch&#10;wW3i44UYGedCr+NM6IiSyOg1hh1+E9VrjNs8YJFeNjqsjatSG9ey9JTa4n5FrWzxqOFW3lEMzbRp&#10;myqVOF5NTbFE/zjTjqC3/KwE4efMhyvmMHNoDOyRcImPVAZVMp1Eycy4by/dRzxGAVpKasxwTv3X&#10;OXOCEvVJY0gO+3t7cejTYW/4foCD29ZMtzV6Xp0YtE4fG8vyJEZ8UCtROlPdYt1M4qtQMc3xdk7D&#10;SjwJ7WbBuuJiMkkgjLll4VxfWx5dR5pjo900t8zZrtEDJuTCrKadjZ71e4uNltpM5sHIMg3DhtWu&#10;AFgRaZy6dRZ30PY5oTZLd/wHAAD//wMAUEsDBBQABgAIAAAAIQAslMuU3AAAAAkBAAAPAAAAZHJz&#10;L2Rvd25yZXYueG1sTI/BTsMwEETvSPyDtUjcqAOtIjfEqQAVLpxoEWc33toWsR3Zbhr+nu0JTqvd&#10;Gc2+aTezH9iEKbsYJNwvKmAY+qhdMBI+9693AlguKmg1xIASfjDDpru+alWj4zl84LQrhlFIyI2S&#10;YEsZG85zb9GrvIgjBtKOMXlVaE2G66TOFO4H/lBVNffKBfpg1YgvFvvv3clL2D6btemFSnYrtHPT&#10;/HV8N29S3t7MT4/ACs7lzwwXfEKHjpgO8RR0ZoOEel0vyUrCiiYZRHU5HCSsxBJ41/L/DbpfAAAA&#10;//8DAFBLAQItABQABgAIAAAAIQC2gziS/gAAAOEBAAATAAAAAAAAAAAAAAAAAAAAAABbQ29udGVu&#10;dF9UeXBlc10ueG1sUEsBAi0AFAAGAAgAAAAhADj9If/WAAAAlAEAAAsAAAAAAAAAAAAAAAAALwEA&#10;AF9yZWxzLy5yZWxzUEsBAi0AFAAGAAgAAAAhAIq7hgCkAgAAvAUAAA4AAAAAAAAAAAAAAAAALgIA&#10;AGRycy9lMm9Eb2MueG1sUEsBAi0AFAAGAAgAAAAhACyUy5TcAAAACQEAAA8AAAAAAAAAAAAAAAAA&#10;/gQAAGRycy9kb3ducmV2LnhtbFBLBQYAAAAABAAEAPMAAAAHBgAAAAA=&#10;" fillcolor="white [3201]" strokeweight=".5pt">
                <v:textbox>
                  <w:txbxContent>
                    <w:p w14:paraId="110A6075"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75648" behindDoc="0" locked="0" layoutInCell="1" allowOverlap="1" wp14:anchorId="46B9E8C3" wp14:editId="339FB5B3">
                <wp:simplePos x="0" y="0"/>
                <wp:positionH relativeFrom="column">
                  <wp:posOffset>4662805</wp:posOffset>
                </wp:positionH>
                <wp:positionV relativeFrom="paragraph">
                  <wp:posOffset>287655</wp:posOffset>
                </wp:positionV>
                <wp:extent cx="698500" cy="215900"/>
                <wp:effectExtent l="0" t="0" r="25400" b="12700"/>
                <wp:wrapNone/>
                <wp:docPr id="12" name="文本框 12"/>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146C1B4"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B9E8C3" id="文本框 12" o:spid="_x0000_s1037" type="#_x0000_t202" style="position:absolute;left:0;text-align:left;margin-left:367.15pt;margin-top:22.65pt;width:55pt;height:17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QpVCpQIAALwFAAAOAAAAZHJzL2Uyb0RvYy54bWysVM1OGzEQvlfqO1i+l01SQiFig1IQVSUE&#10;qFBxdrw2WeG1XdvJbvoA7Rv01EvvfS6eo5+9myVQLlS97I4934xnvvk5PGoqRVbC+dLonA53BpQI&#10;zU1R6tucfr4+fbNPiQ9MF0wZLXK6Fp4eTV+/OqztRIzMwqhCOAIn2k9qm9NFCHaSZZ4vRMX8jrFC&#10;QymNq1jA0d1mhWM1vFcqGw0Ge1ltXGGd4cJ73J60SjpN/qUUPFxI6UUgKqeILaSvS995/GbTQza5&#10;dcwuSt6Fwf4hioqVGo/2rk5YYGTpyr9cVSV3xhsZdripMiNlyUXKAdkMB0+yuVowK1IuIMfbnib/&#10;/9zy89WlI2WB2o0o0axCje5/fL//+fv+1zeCOxBUWz8B7soCGZr3pgF4c+9xGfNupKviHxkR6EH1&#10;uqdXNIFwXO4d7I8H0HCoRsPxAWR4zx6MrfPhgzAViUJOHaqXSGWrMx9a6AYS3/JGlcVpqVQ6xI4R&#10;x8qRFUOtVUghwvkjlNKkRiBvx4Pk+JEuuu7t54rxuy68LRT8KR2fE6m3urAiQS0RSQprJSJG6U9C&#10;gtvExzMxMs6F7uNM6IiSyOglhh3+IaqXGLd5wCK9bHTojatSG9ey9Jja4m5DrWzxqOFW3lEMzbxp&#10;m6pvlLkp1ugfZ9oR9JafliD8jPlwyRxmDo2BPRIu8JHKoEqmkyhZGPf1ufuIxyhAS0mNGc6p/7Jk&#10;TlCiPmoMycFwdzcOfTrsjt+NcHDbmvm2Ri+rY4PWGWJjWZ7EiA9qI0pnqhusm1l8FSqmOd7OadiI&#10;x6HdLFhXXMxmCYQxtyyc6SvLo+tIc2y06+aGOds1esCEnJvNtLPJk35vsdFSm9kyGFmmYYhEt6x2&#10;BcCKSOPUrbO4g7bPCfWwdKd/AAAA//8DAFBLAwQUAAYACAAAACEAVBhmytwAAAAJAQAADwAAAGRy&#10;cy9kb3ducmV2LnhtbEyPwU7DMBBE70j8g7VI3KgDCZCmcSpAhQsnCup5G7u2RWxHtpuGv2d7gtNq&#10;d0azb9r17AY2qZhs8AJuFwUw5fsgrdcCvj5fb2pgKaOXOASvBPyoBOvu8qLFRoaT/1DTNmtGIT41&#10;KMDkPDacp94oh2kRRuVJO4ToMNMaNZcRTxTuBn5XFA/cofX0weCoXozqv7dHJ2DzrJe6rzGaTS2t&#10;nebd4V2/CXF9NT+tgGU15z8znPEJHTpi2oejl4kNAh7LqiSrgOqeJhnq6nzYk7IsgXct/9+g+wUA&#10;AP//AwBQSwECLQAUAAYACAAAACEAtoM4kv4AAADhAQAAEwAAAAAAAAAAAAAAAAAAAAAAW0NvbnRl&#10;bnRfVHlwZXNdLnhtbFBLAQItABQABgAIAAAAIQA4/SH/1gAAAJQBAAALAAAAAAAAAAAAAAAAAC8B&#10;AABfcmVscy8ucmVsc1BLAQItABQABgAIAAAAIQCbQpVCpQIAALwFAAAOAAAAAAAAAAAAAAAAAC4C&#10;AABkcnMvZTJvRG9jLnhtbFBLAQItABQABgAIAAAAIQBUGGbK3AAAAAkBAAAPAAAAAAAAAAAAAAAA&#10;AP8EAABkcnMvZG93bnJldi54bWxQSwUGAAAAAAQABADzAAAACAYAAAAA&#10;" fillcolor="white [3201]" strokeweight=".5pt">
                <v:textbox>
                  <w:txbxContent>
                    <w:p w14:paraId="3146C1B4"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73600" behindDoc="0" locked="0" layoutInCell="1" allowOverlap="1" wp14:anchorId="248CFDCF" wp14:editId="6DD8CD3E">
                <wp:simplePos x="0" y="0"/>
                <wp:positionH relativeFrom="column">
                  <wp:posOffset>3964305</wp:posOffset>
                </wp:positionH>
                <wp:positionV relativeFrom="paragraph">
                  <wp:posOffset>294005</wp:posOffset>
                </wp:positionV>
                <wp:extent cx="698500" cy="215900"/>
                <wp:effectExtent l="0" t="0" r="25400" b="12700"/>
                <wp:wrapNone/>
                <wp:docPr id="11" name="文本框 11"/>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E3C6296"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48CFDCF" id="文本框 11" o:spid="_x0000_s1038" type="#_x0000_t202" style="position:absolute;left:0;text-align:left;margin-left:312.15pt;margin-top:23.15pt;width:55pt;height:17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SaGEpQIAALwFAAAOAAAAZHJzL2Uyb0RvYy54bWysVM1OGzEQvlfqO1i+l01SQiFig1IQVSUE&#10;qFBxdrw2WeG1XdvJbvoA7Rv01EvvfS6eo5+9uyFQLlS97I4934xnvvk5PGoqRVbC+dLonA53BpQI&#10;zU1R6tucfr4+fbNPiQ9MF0wZLXK6Fp4eTV+/OqztRIzMwqhCOAIn2k9qm9NFCHaSZZ4vRMX8jrFC&#10;QymNq1jA0d1mhWM1vFcqGw0Ge1ltXGGd4cJ73J60SjpN/qUUPFxI6UUgKqeILaSvS995/GbTQza5&#10;dcwuSt6Fwf4hioqVGo9uXJ2wwMjSlX+5qkrujDcy7HBTZUbKkouUA7IZDp5kc7VgVqRcQI63G5r8&#10;/3PLz1eXjpQFajekRLMKNbr/8f3+5+/7X98I7kBQbf0EuCsLZGjemwbg/t7jMubdSFfFPzIi0IPq&#10;9YZe0QTCcbl3sD8eQMOhGg3HB5DhPXswts6HD8JUJAo5daheIpWtznxooT0kvuWNKovTUql0iB0j&#10;jpUjK4Zaq5BChPNHKKVJjUDejgfJ8SNddL2xnyvG77rwtlDwp3R8TqTe6sKKBLVEJCmslYgYpT8J&#10;CW4TH8/EyDgXehNnQkeUREYvMezwD1G9xLjNAxbpZaPDxrgqtXEtS4+pLe56amWLRw238o5iaOZN&#10;21SjvlHmplijf5xpR9BbflqC8DPmwyVzmDk0BvZIuMBHKoMqmU6iZGHc1+fuIx6jAC0lNWY4p/7L&#10;kjlBifqoMSQHw93dOPTpsDt+N8LBbWvm2xq9rI4NWgdzgOiSGPFB9aJ0prrBupnFV6FimuPtnIZe&#10;PA7tZsG64mI2SyCMuWXhTF9ZHl1HmmOjXTc3zNmu0QMm5Nz0084mT/q9xUZLbWbLYGSZhiES3bLa&#10;FQArIo1Tt87iDto+J9TD0p3+AQAA//8DAFBLAwQUAAYACAAAACEAnGssTdwAAAAJAQAADwAAAGRy&#10;cy9kb3ducmV2LnhtbEyPwU7DMAyG70i8Q2QkbixlnUpXmk6ABhdODLSz13hJRJNUSdaVtyc7wcmy&#10;/en353Yz24FNFKLxTsD9ogBGrvfSOCXg6/P1rgYWEzqJg3ck4IcibLrrqxYb6c/ug6ZdUiyHuNig&#10;AJ3S2HAee00W48KP5PLu6IPFlNuguAx4zuF24MuiqLhF4/IFjSO9aOq/dycrYPus1qqvMehtLY2Z&#10;5v3xXb0JcXszPz0CSzSnPxgu+lkduux08CcnIxsEVMtVmVEBqyrXDDyUl8FBQF2UwLuW//+g+wUA&#10;AP//AwBQSwECLQAUAAYACAAAACEAtoM4kv4AAADhAQAAEwAAAAAAAAAAAAAAAAAAAAAAW0NvbnRl&#10;bnRfVHlwZXNdLnhtbFBLAQItABQABgAIAAAAIQA4/SH/1gAAAJQBAAALAAAAAAAAAAAAAAAAAC8B&#10;AABfcmVscy8ucmVsc1BLAQItABQABgAIAAAAIQCoSaGEpQIAALwFAAAOAAAAAAAAAAAAAAAAAC4C&#10;AABkcnMvZTJvRG9jLnhtbFBLAQItABQABgAIAAAAIQCcayxN3AAAAAkBAAAPAAAAAAAAAAAAAAAA&#10;AP8EAABkcnMvZG93bnJldi54bWxQSwUGAAAAAAQABADzAAAACAYAAAAA&#10;" fillcolor="white [3201]" strokeweight=".5pt">
                <v:textbox>
                  <w:txbxContent>
                    <w:p w14:paraId="2E3C6296"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71552" behindDoc="0" locked="0" layoutInCell="1" allowOverlap="1" wp14:anchorId="75361971" wp14:editId="4E870E4C">
                <wp:simplePos x="0" y="0"/>
                <wp:positionH relativeFrom="column">
                  <wp:posOffset>2840355</wp:posOffset>
                </wp:positionH>
                <wp:positionV relativeFrom="paragraph">
                  <wp:posOffset>376555</wp:posOffset>
                </wp:positionV>
                <wp:extent cx="698500" cy="215900"/>
                <wp:effectExtent l="0" t="0" r="25400" b="12700"/>
                <wp:wrapNone/>
                <wp:docPr id="8" name="文本框 8"/>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52D530D0"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361971" id="文本框 8" o:spid="_x0000_s1039" type="#_x0000_t202" style="position:absolute;left:0;text-align:left;margin-left:223.65pt;margin-top:29.65pt;width:55pt;height:17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FeMQpgIAALoFAAAOAAAAZHJzL2Uyb0RvYy54bWysVM1OGzEQvlfqO1i+l00CoRCxQSmIqhIq&#10;qFBxdrw2sbA9ru1kN32A9g166qX3PhfP0bF3NwTKhaqX3bHnm/HMNz9Hx43RZCV8UGBLOtwZUCIs&#10;h0rZ25J+vj57c0BJiMxWTIMVJV2LQI+nr18d1W4iRrAAXQlP0IkNk9qVdBGjmxRF4AthWNgBJywq&#10;JXjDIh79bVF5VqN3o4vRYLBf1OAr54GLEPD2tFXSafYvpeDxQsogItElxdhi/vr8nadvMT1ik1vP&#10;3ELxLgz2D1EYpiw+unF1yiIjS6/+cmUU9xBAxh0OpgApFRc5B8xmOHiSzdWCOZFzQXKC29AU/p9b&#10;/nF16YmqSoqFssxgie5/fL//+fv+1zdykOipXZgg6sohLjbvoMEy9/cBL1PWjfQm/TEfgnoker0h&#10;VzSRcLzcPzwYD1DDUTUajg9RRu/Fg7HzIb4XYEgSSuqxdplStjoPsYX2kPRWAK2qM6V1PqR+ESfa&#10;kxXDSuuYQ0Tnj1DakhoD2R0PsuNHuuR6Yz/XjN914W2h0J+26TmRO6sLKxHUEpGluNYiYbT9JCQy&#10;m/l4JkbGubCbODM6oSRm9BLDDv8Q1UuM2zzQIr8MNm6MjbLgW5YeU1vd9dTKFo813Mo7ibGZN7ml&#10;hrt9o8yhWmP/eGgHMDh+ppDwcxbiJfM4cdgYuEXiBX6kBqwSdBIlC/Bfn7tPeBwE1FJS4wSXNHxZ&#10;Mi8o0R8sjsjhcG8vjXw+7I3fjvDgtzXzbY1dmhPA1hnivnI8iwkfdS9KD+YGl80svYoqZjm+XdLY&#10;iyex3Su4rLiYzTIIh9yxeG6vHE+uE82p0a6bG+Zd1+gRJ+Qj9LPOJk/6vcUmSwuzZQSp8jAkoltW&#10;uwLggsjj1C2ztIG2zxn1sHKnfwAAAP//AwBQSwMEFAAGAAgAAAAhAFG6wMXdAAAACQEAAA8AAABk&#10;cnMvZG93bnJldi54bWxMj8FOwzAMhu9IvENkJG4sha7QlroToMFlJ8a0s9dkSUWTVEnWlbcnO8HJ&#10;sv3p9+dmNZuBTdKH3lmE+0UGTNrOid4qhN3X+10JLESyggZnJcKPDLBqr68aqoU72085baNiKcSG&#10;mhB0jGPNeei0NBQWbpQ27Y7OG4qp9YoLT+cUbgb+kGWP3FBv0wVNo3zTsvvengzC+lVVqivJ63Up&#10;+n6a98eN+kC8vZlfnoFFOcc/GC76SR3a5HRwJysCGxCWy6c8oQhFlWoCiuIyOCBUeQ68bfj/D9pf&#10;AAAA//8DAFBLAQItABQABgAIAAAAIQC2gziS/gAAAOEBAAATAAAAAAAAAAAAAAAAAAAAAABbQ29u&#10;dGVudF9UeXBlc10ueG1sUEsBAi0AFAAGAAgAAAAhADj9If/WAAAAlAEAAAsAAAAAAAAAAAAAAAAA&#10;LwEAAF9yZWxzLy5yZWxzUEsBAi0AFAAGAAgAAAAhABQV4xCmAgAAugUAAA4AAAAAAAAAAAAAAAAA&#10;LgIAAGRycy9lMm9Eb2MueG1sUEsBAi0AFAAGAAgAAAAhAFG6wMXdAAAACQEAAA8AAAAAAAAAAAAA&#10;AAAAAAUAAGRycy9kb3ducmV2LnhtbFBLBQYAAAAABAAEAPMAAAAKBgAAAAA=&#10;" fillcolor="white [3201]" strokeweight=".5pt">
                <v:textbox>
                  <w:txbxContent>
                    <w:p w14:paraId="52D530D0"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69504" behindDoc="0" locked="0" layoutInCell="1" allowOverlap="1" wp14:anchorId="55134E09" wp14:editId="14E93CFB">
                <wp:simplePos x="0" y="0"/>
                <wp:positionH relativeFrom="column">
                  <wp:posOffset>2541905</wp:posOffset>
                </wp:positionH>
                <wp:positionV relativeFrom="paragraph">
                  <wp:posOffset>509905</wp:posOffset>
                </wp:positionV>
                <wp:extent cx="698500" cy="215900"/>
                <wp:effectExtent l="0" t="0" r="25400" b="12700"/>
                <wp:wrapNone/>
                <wp:docPr id="7" name="文本框 7"/>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9C97B06"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134E09" id="文本框 7" o:spid="_x0000_s1040" type="#_x0000_t202" style="position:absolute;left:0;text-align:left;margin-left:200.15pt;margin-top:40.15pt;width:55pt;height:17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X7KjpwIAALoFAAAOAAAAZHJzL2Uyb0RvYy54bWysVM1OGzEQvlfqO1i+l03ShJ+IDUpBVJUQ&#10;oELF2fHayQrb49pOdtMHoG/QUy+997l4jo69uyGhXKh62R17vhnPfPNzfFJrRVbC+RJMTvt7PUqE&#10;4VCUZp7TL7fn7w4p8YGZgikwIqdr4enJ5O2b48qOxQAWoArhCDoxflzZnC5CsOMs83whNPN7YIVB&#10;pQSnWcCjm2eFYxV61yob9Hr7WQWusA648B5vzxolnST/UgoerqT0IhCVU4wtpK9L31n8ZpNjNp47&#10;Zhclb8Ng/xCFZqXBRzeuzlhgZOnKv1zpkjvwIMMeB52BlCUXKQfMpt97ls3NglmRckFyvN3Q5P+f&#10;W365unakLHJ6QIlhGkv0+OP748/fj78eyEGkp7J+jKgbi7hQf4Aay9zde7yMWdfS6fjHfAjqkej1&#10;hlxRB8Lxcv/ocNRDDUfVoD86Qhm9Z0/G1vnwUYAmUcipw9olStnqwocG2kHiWx5UWZyXSqVD7Bdx&#10;qhxZMay0CilEdL6DUoZUGMj7US853tFF1xv7mWL8vg1vC4X+lInPidRZbViRoIaIJIW1EhGjzGch&#10;kdnExwsxMs6F2cSZ0BElMaPXGLb4p6heY9zkgRbpZTBhY6xLA65haZfa4r6jVjZ4rOFW3lEM9axO&#10;LdUfdo0yg2KN/eOgGUBv+XmJhF8wH66Zw4nDxsAtEq7wIxVglaCVKFmA+/bSfcTjIKCWkgonOKf+&#10;65I5QYn6ZHBEjvrDYRz5dBiODgZ4cNua2bbGLPUpYOv0cV9ZnsSID6oTpQN9h8tmGl9FFTMc385p&#10;6MTT0OwVXFZcTKcJhENuWbgwN5ZH15Hm2Gi39R1ztm30gBNyCd2ss/Gzfm+w0dLAdBlAlmkYItEN&#10;q20BcEGkcWqXWdxA2+eEelq5kz8AAAD//wMAUEsDBBQABgAIAAAAIQBeTfBO3AAAAAoBAAAPAAAA&#10;ZHJzL2Rvd25yZXYueG1sTI/BTsMwDIbvSLxDZCRuLCkbqOuaToAGF04biLPXZElE41RN1pW3Jz3B&#10;ybb86ffnejv5jo16iC6QhGIhgGlqg3JkJHx+vN6VwGJCUtgF0hJ+dIRtc31VY6XChfZ6PCTDcgjF&#10;CiXYlPqK89ha7TEuQq8p705h8JjyOBiuBrzkcN/xeyEeuUdH+YLFXr9Y3X4fzl7C7tmsTVviYHel&#10;cm6cvk7v5k3K25vpaQMs6Sn9wTDrZ3VostMxnElF1klYCbHMqIRyrhl4KObmmMlitQTe1Pz/C80v&#10;AAAA//8DAFBLAQItABQABgAIAAAAIQC2gziS/gAAAOEBAAATAAAAAAAAAAAAAAAAAAAAAABbQ29u&#10;dGVudF9UeXBlc10ueG1sUEsBAi0AFAAGAAgAAAAhADj9If/WAAAAlAEAAAsAAAAAAAAAAAAAAAAA&#10;LwEAAF9yZWxzLy5yZWxzUEsBAi0AFAAGAAgAAAAhAE5fsqOnAgAAugUAAA4AAAAAAAAAAAAAAAAA&#10;LgIAAGRycy9lMm9Eb2MueG1sUEsBAi0AFAAGAAgAAAAhAF5N8E7cAAAACgEAAA8AAAAAAAAAAAAA&#10;AAAAAQUAAGRycy9kb3ducmV2LnhtbFBLBQYAAAAABAAEAPMAAAAKBgAAAAA=&#10;" fillcolor="white [3201]" strokeweight=".5pt">
                <v:textbox>
                  <w:txbxContent>
                    <w:p w14:paraId="49C97B06"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67456" behindDoc="0" locked="0" layoutInCell="1" allowOverlap="1" wp14:anchorId="1AFA6B3A" wp14:editId="67FC0144">
                <wp:simplePos x="0" y="0"/>
                <wp:positionH relativeFrom="column">
                  <wp:posOffset>2230755</wp:posOffset>
                </wp:positionH>
                <wp:positionV relativeFrom="paragraph">
                  <wp:posOffset>592455</wp:posOffset>
                </wp:positionV>
                <wp:extent cx="698500" cy="215900"/>
                <wp:effectExtent l="0" t="0" r="25400" b="12700"/>
                <wp:wrapNone/>
                <wp:docPr id="6" name="文本框 6"/>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67C5BF06"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FA6B3A" id="文本框 6" o:spid="_x0000_s1041" type="#_x0000_t202" style="position:absolute;left:0;text-align:left;margin-left:175.65pt;margin-top:46.65pt;width:55pt;height: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4ebQpwIAALoFAAAOAAAAZHJzL2Uyb0RvYy54bWysVM1uEzEQviPxDpbvdJPQhCbqpgqtipCq&#10;tiJFPTteu7Hq9RjbyW54AHgDTly481x9Dsbe3TQpvRRx2R17vhnPfPNzfFKXmqyF8wpMTvsHPUqE&#10;4VAoc5fTzzfnb44o8YGZgmkwIqcb4enJ9PWr48pOxACWoAvhCDoxflLZnC5DsJMs83wpSuYPwAqD&#10;SgmuZAGP7i4rHKvQe6mzQa83yipwhXXAhfd4e9Yo6TT5l1LwcCWlF4HonGJsIX1d+i7iN5ses8md&#10;Y3apeBsG+4coSqYMPrp1dcYCIyun/nJVKu7AgwwHHMoMpFRcpBwwm37vSTbzJbMi5YLkeLulyf8/&#10;t/xyfe2IKnI6osSwEkv08OP7w8/fD7++kVGkp7J+gqi5RVyo30ONZe7uPV7GrGvpyvjHfAjqkejN&#10;llxRB8LxcjQ+GvZQw1E16A/HKKP37NHYOh8+CChJFHLqsHaJUra+8KGBdpD4lgetinOldTrEfhGn&#10;2pE1w0rrkEJE53sobUiFgbwd9pLjPV10vbVfaMbv2/B2UOhPm/icSJ3VhhUJaohIUthoETHafBIS&#10;mU18PBMj41yYbZwJHVESM3qJYYt/jOolxk0eaJFeBhO2xqUy4BqW9qkt7jtqZYPHGu7kHcVQL+rU&#10;Uv1h1ygLKDbYPw6aAfSWnysk/IL5cM0cThw2Bm6RcIUfqQGrBK1EyRLc1+fuIx4HAbWUVDjBOfVf&#10;VswJSvRHgyMy7h8expFPh8PhuwEe3K5msasxq/IUsHX6uK8sT2LEB92J0kF5i8tmFl9FFTMc385p&#10;6MTT0OwVXFZczGYJhENuWbgwc8uj60hzbLSb+pY52zZ6wAm5hG7W2eRJvzfYaGlgtgogVRqGSHTD&#10;alsAXBBpnNplFjfQ7jmhHlfu9A8AAAD//wMAUEsDBBQABgAIAAAAIQBDLNSZ3QAAAAoBAAAPAAAA&#10;ZHJzL2Rvd25yZXYueG1sTI/BTsMwDIbvSLxDZCRuLN0KoytNJ0CDCyfGtHPWZElE41RJ1pW3xzvB&#10;ybL96ffnZj35no06JhdQwHxWANPYBeXQCNh9vd1VwFKWqGQfUAv40QnW7fVVI2sVzvipx202jEIw&#10;1VKAzXmoOU+d1V6mWRg00u4YopeZ2mi4ivJM4b7ni6JYci8d0gUrB/1qdfe9PXkBmxezMl0lo91U&#10;yrlx2h8/zLsQtzfT8xOwrKf8B8NFn9ShJadDOKFKrBdQPsxLQgWsSqoE3C8vgwORi8cSeNvw/y+0&#10;vwAAAP//AwBQSwECLQAUAAYACAAAACEAtoM4kv4AAADhAQAAEwAAAAAAAAAAAAAAAAAAAAAAW0Nv&#10;bnRlbnRfVHlwZXNdLnhtbFBLAQItABQABgAIAAAAIQA4/SH/1gAAAJQBAAALAAAAAAAAAAAAAAAA&#10;AC8BAABfcmVscy8ucmVsc1BLAQItABQABgAIAAAAIQDi4ebQpwIAALoFAAAOAAAAAAAAAAAAAAAA&#10;AC4CAABkcnMvZTJvRG9jLnhtbFBLAQItABQABgAIAAAAIQBDLNSZ3QAAAAoBAAAPAAAAAAAAAAAA&#10;AAAAAAEFAABkcnMvZG93bnJldi54bWxQSwUGAAAAAAQABADzAAAACwYAAAAA&#10;" fillcolor="white [3201]" strokeweight=".5pt">
                <v:textbox>
                  <w:txbxContent>
                    <w:p w14:paraId="67C5BF06"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65408" behindDoc="0" locked="0" layoutInCell="1" allowOverlap="1" wp14:anchorId="5BCF4EB6" wp14:editId="7D3EA826">
                <wp:simplePos x="0" y="0"/>
                <wp:positionH relativeFrom="column">
                  <wp:posOffset>1132205</wp:posOffset>
                </wp:positionH>
                <wp:positionV relativeFrom="paragraph">
                  <wp:posOffset>592455</wp:posOffset>
                </wp:positionV>
                <wp:extent cx="698500" cy="215900"/>
                <wp:effectExtent l="0" t="0" r="25400" b="12700"/>
                <wp:wrapNone/>
                <wp:docPr id="5" name="文本框 5"/>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78F300C6"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BCF4EB6" id="文本框 5" o:spid="_x0000_s1042" type="#_x0000_t202" style="position:absolute;left:0;text-align:left;margin-left:89.15pt;margin-top:46.65pt;width:55pt;height:17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IhtFpgIAALoFAAAOAAAAZHJzL2Uyb0RvYy54bWysVM1OGzEQvlfqO1i+l01SQiFig1IQVSUE&#10;qFBxdrw2sbA9ru1kN32A9g166qX3PhfP0bF3NwTKhaqX3bHnm/HMNz+HR43RZCV8UGBLOtwZUCIs&#10;h0rZ25J+vj59s09JiMxWTIMVJV2LQI+mr18d1m4iRrAAXQlP0IkNk9qVdBGjmxRF4AthWNgBJywq&#10;JXjDIh79bVF5VqN3o4vRYLBX1OAr54GLEPD2pFXSafYvpeDxQsogItElxdhi/vr8nadvMT1kk1vP&#10;3ELxLgz2D1EYpiw+unF1wiIjS6/+cmUU9xBAxh0OpgApFRc5B8xmOHiSzdWCOZFzQXKC29AU/p9b&#10;fr669ERVJR1TYpnBEt3/+H7/8/f9r29knOipXZgg6sohLjbvocEy9/cBL1PWjfQm/TEfgnoker0h&#10;VzSRcLzcO9gfD1DDUTUajg9QRu/Fg7HzIX4QYEgSSuqxdplStjoLsYX2kPRWAK2qU6V1PqR+Ecfa&#10;kxXDSuuYQ0Tnj1DakhoDeTseZMePdMn1xn6uGb/rwttCoT9t03Mid1YXViKoJSJLca1Fwmj7SUhk&#10;NvPxTIyMc2E3cWZ0QknM6CWGHf4hqpcYt3mgRX4ZbNwYG2XBtyw9pra666mVLR5ruJV3EmMzb3JL&#10;Dff6RplDtcb+8dAOYHD8VCHhZyzES+Zx4rAxcIvEC/xIDVgl6CRKFuC/Pnef8DgIqKWkxgkuafiy&#10;ZF5Qoj9aHJGD4e5uGvl82B2/G+HBb2vm2xq7NMeArTPEfeV4FhM+6l6UHswNLptZehVVzHJ8u6Sx&#10;F49ju1dwWXExm2UQDrlj8cxeOZ5cJ5pTo103N8y7rtEjTsg59LPOJk/6vcUmSwuzZQSp8jAkoltW&#10;uwLggsjj1C2ztIG2zxn1sHKnfwAAAP//AwBQSwMEFAAGAAgAAAAhAOmSnV3cAAAACgEAAA8AAABk&#10;cnMvZG93bnJldi54bWxMj8FOwzAQRO9I/IO1SNyoQyJRN41TASpcONEizm7s2lbjdRS7afh7tic4&#10;rWZnNPu22cyhZ5MZk48o4XFRADPYRe3RSvjavz0IYCkr1KqPaCT8mASb9vamUbWOF/w00y5bRiWY&#10;aiXB5TzUnKfOmaDSIg4GyTvGMahMcrRcj+pC5aHnZVE88aA80gWnBvPqTHfanYOE7Ytd2U6o0W2F&#10;9n6av48f9l3K+7v5eQ0smzn/heGKT+jQEtMhnlEn1pNeioqiElYVTQqU4ro4kFMuK+Btw/+/0P4C&#10;AAD//wMAUEsBAi0AFAAGAAgAAAAhALaDOJL+AAAA4QEAABMAAAAAAAAAAAAAAAAAAAAAAFtDb250&#10;ZW50X1R5cGVzXS54bWxQSwECLQAUAAYACAAAACEAOP0h/9YAAACUAQAACwAAAAAAAAAAAAAAAAAv&#10;AQAAX3JlbHMvLnJlbHNQSwECLQAUAAYACAAAACEAFiIbRaYCAAC6BQAADgAAAAAAAAAAAAAAAAAu&#10;AgAAZHJzL2Uyb0RvYy54bWxQSwECLQAUAAYACAAAACEA6ZKdXdwAAAAKAQAADwAAAAAAAAAAAAAA&#10;AAAABQAAZHJzL2Rvd25yZXYueG1sUEsFBgAAAAAEAAQA8wAAAAkGAAAAAA==&#10;" fillcolor="white [3201]" strokeweight=".5pt">
                <v:textbox>
                  <w:txbxContent>
                    <w:p w14:paraId="78F300C6"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63360" behindDoc="0" locked="0" layoutInCell="1" allowOverlap="1" wp14:anchorId="147B2303" wp14:editId="2EF1450E">
                <wp:simplePos x="0" y="0"/>
                <wp:positionH relativeFrom="column">
                  <wp:posOffset>554355</wp:posOffset>
                </wp:positionH>
                <wp:positionV relativeFrom="paragraph">
                  <wp:posOffset>294005</wp:posOffset>
                </wp:positionV>
                <wp:extent cx="698500" cy="215900"/>
                <wp:effectExtent l="0" t="0" r="25400" b="12700"/>
                <wp:wrapNone/>
                <wp:docPr id="4" name="文本框 4"/>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31C2318"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47B2303" id="文本框 4" o:spid="_x0000_s1043" type="#_x0000_t202" style="position:absolute;left:0;text-align:left;margin-left:43.65pt;margin-top:23.15pt;width:55pt;height:17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nE82pwIAALoFAAAOAAAAZHJzL2Uyb0RvYy54bWysVM1OGzEQvlfqO1i+l03ShJ8oG5SCqCoh&#10;QIWKs+O1iYXX49pOdtMHoG/QUy+997l4jo69u0mgXKh62R17vhnPfPMzOa5LTVbCeQUmp/29HiXC&#10;cCiUucvpl5uzd4eU+MBMwTQYkdO18PR4+vbNpLJjMYAF6EI4gk6MH1c2p4sQ7DjLPF+Ikvk9sMKg&#10;UoIrWcCju8sKxyr0Xups0OvtZxW4wjrgwnu8PW2UdJr8Syl4uJTSi0B0TjG2kL4ufefxm00nbHzn&#10;mF0o3obB/iGKkimDj25cnbLAyNKpv1yVijvwIMMehzIDKRUXKQfMpt97ls31glmRckFyvN3Q5P+f&#10;W36xunJEFTkdUmJYiSV6/PH98efvx18PZBjpqawfI+raIi7UH6DGMnf3Hi9j1rV0ZfxjPgT1SPR6&#10;Q66oA+F4uX90OOqhhqNq0B8doYzes62xdT58FFCSKOTUYe0SpWx17kMD7SDxLQ9aFWdK63SI/SJO&#10;tCMrhpXWIYWIzp+gtCEVBvJ+1EuOn+ii6439XDN+34a3g0J/2sTnROqsNqxIUENEksJai4jR5rOQ&#10;yGzi44UYGefCbOJM6IiSmNFrDFv8NqrXGDd5oEV6GUzYGJfKgGtYekptcd9RKxs81nAn7yiGel6n&#10;luofdI0yh2KN/eOgGUBv+ZlCws+ZD1fM4cRhY+AWCZf4kRqwStBKlCzAfXvpPuJxEFBLSYUTnFP/&#10;dcmcoER/MjgiR/3hMI58OgxHBwM8uF3NfFdjluUJYOv0cV9ZnsSID7oTpYPyFpfNLL6KKmY4vp3T&#10;0IknodkruKy4mM0SCIfcsnBuri2PriPNsdFu6lvmbNvoASfkArpZZ+Nn/d5go6WB2TKAVGkYItEN&#10;q20BcEGkcWqXWdxAu+eE2q7c6R8AAAD//wMAUEsDBBQABgAIAAAAIQBswzud2gAAAAgBAAAPAAAA&#10;ZHJzL2Rvd25yZXYueG1sTI9BT8MwDIXvSPyHyEjcWApDoytNJ0CDC6cNxNlrvDSicaok68q/Jz3B&#10;ybLf0/P36s3kejFSiNazgttFAYK49dqyUfD58XpTgogJWWPvmRT8UIRNc3lRY6X9mXc07pMROYRj&#10;hQq6lIZKyth25DAu/ECctaMPDlNeg5E64DmHu17eFcVKOrScP3Q40EtH7ff+5BRsn83atCWGbltq&#10;a8fp6/hu3pS6vpqeHkEkmtKfGWb8jA5NZjr4E+soegXlwzI7Fdyv8pz19Xw4ZKFYgmxq+b9A8wsA&#10;AP//AwBQSwECLQAUAAYACAAAACEAtoM4kv4AAADhAQAAEwAAAAAAAAAAAAAAAAAAAAAAW0NvbnRl&#10;bnRfVHlwZXNdLnhtbFBLAQItABQABgAIAAAAIQA4/SH/1gAAAJQBAAALAAAAAAAAAAAAAAAAAC8B&#10;AABfcmVscy8ucmVsc1BLAQItABQABgAIAAAAIQC6nE82pwIAALoFAAAOAAAAAAAAAAAAAAAAAC4C&#10;AABkcnMvZTJvRG9jLnhtbFBLAQItABQABgAIAAAAIQBswzud2gAAAAgBAAAPAAAAAAAAAAAAAAAA&#10;AAEFAABkcnMvZG93bnJldi54bWxQSwUGAAAAAAQABADzAAAACAYAAAAA&#10;" fillcolor="white [3201]" strokeweight=".5pt">
                <v:textbox>
                  <w:txbxContent>
                    <w:p w14:paraId="231C2318"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61312" behindDoc="0" locked="0" layoutInCell="1" allowOverlap="1" wp14:anchorId="5A9EF830" wp14:editId="3425A448">
                <wp:simplePos x="0" y="0"/>
                <wp:positionH relativeFrom="column">
                  <wp:posOffset>827405</wp:posOffset>
                </wp:positionH>
                <wp:positionV relativeFrom="paragraph">
                  <wp:posOffset>459105</wp:posOffset>
                </wp:positionV>
                <wp:extent cx="698500" cy="215900"/>
                <wp:effectExtent l="0" t="0" r="25400" b="12700"/>
                <wp:wrapNone/>
                <wp:docPr id="3" name="文本框 3"/>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0B8CD51"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A9EF830" id="文本框 3" o:spid="_x0000_s1044" type="#_x0000_t202" style="position:absolute;left:0;text-align:left;margin-left:65.15pt;margin-top:36.15pt;width:55pt;height:1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L1mppgIAALoFAAAOAAAAZHJzL2Uyb0RvYy54bWysVM1OGzEQvlfqO1i+l00CoRCxQSmIqhIq&#10;qFBxdrw2sbA9ru1kN32A9g166qX3PhfP0bF3NwTKhaqX3bHnm/HMNz9Hx43RZCV8UGBLOtwZUCIs&#10;h0rZ25J+vj57c0BJiMxWTIMVJV2LQI+nr18d1W4iRrAAXQlP0IkNk9qVdBGjmxRF4AthWNgBJywq&#10;JXjDIh79bVF5VqN3o4vRYLBf1OAr54GLEPD2tFXSafYvpeDxQsogItElxdhi/vr8nadvMT1ik1vP&#10;3ELxLgz2D1EYpiw+unF1yiIjS6/+cmUU9xBAxh0OpgApFRc5B8xmOHiSzdWCOZFzQXKC29AU/p9b&#10;/nF16YmqSrpLiWUGS3T/4/v9z9/3v76R3URP7cIEUVcOcbF5Bw2Wub8PeJmybqQ36Y/5ENQj0esN&#10;uaKJhOPl/uHBeIAajqrRcHyIMnovHoydD/G9AEOSUFKPtcuUstV5iC20h6S3AmhVnSmt8yH1izjR&#10;nqwYVlrHHCI6f4TSltQYyO54kB0/0iXXG/u5ZvyuC28Lhf60Tc+J3FldWImglogsxbUWCaPtJyGR&#10;2czHMzEyzoXdxJnRCSUxo5cYdviHqF5i3OaBFvllsHFjbJQF37L0mNrqrqdWtnis4VbeSYzNvMkt&#10;NTzoG2UO1Rr7x0M7gMHxM4WEn7MQL5nHicPGwC0SL/AjNWCVoJMoWYD/+tx9wuMgoJaSGie4pOHL&#10;knlBif5gcUQOh3t7aeTzYW/8doQHv62Zb2vs0pwAts4Q95XjWUz4qHtRejA3uGxm6VVUMcvx7ZLG&#10;XjyJ7V7BZcXFbJZBOOSOxXN75XhynWhOjXbd3DDvukaPOCEfoZ91NnnS7y02WVqYLSNIlYchEd2y&#10;2hUAF0Qep26ZpQ20fc6oh5U7/QMAAP//AwBQSwMEFAAGAAgAAAAhAECROGXcAAAACgEAAA8AAABk&#10;cnMvZG93bnJldi54bWxMj8FOwzAQRO9I/IO1SNyoTYJKmsapABUunFoQZzd2bYt4HcVuGv6e7QlO&#10;q9kZzb5tNnPo2WTG5CNKuF8IYAa7qD1aCZ8fr3cVsJQVatVHNBJ+TIJNe33VqFrHM+7MtM+WUQmm&#10;WklwOQ8156lzJqi0iINB8o5xDCqTHC3XozpTeeh5IcSSB+WRLjg1mBdnuu/9KUjYPtuV7So1um2l&#10;vZ/mr+O7fZPy9mZ+WgPLZs5/YbjgEzq0xHSIJ9SJ9aRLUVJUwmNBkwLFw2VxIEcsS+Btw/+/0P4C&#10;AAD//wMAUEsBAi0AFAAGAAgAAAAhALaDOJL+AAAA4QEAABMAAAAAAAAAAAAAAAAAAAAAAFtDb250&#10;ZW50X1R5cGVzXS54bWxQSwECLQAUAAYACAAAACEAOP0h/9YAAACUAQAACwAAAAAAAAAAAAAAAAAv&#10;AQAAX3JlbHMvLnJlbHNQSwECLQAUAAYACAAAACEAAi9ZqaYCAAC6BQAADgAAAAAAAAAAAAAAAAAu&#10;AgAAZHJzL2Uyb0RvYy54bWxQSwECLQAUAAYACAAAACEAQJE4ZdwAAAAKAQAADwAAAAAAAAAAAAAA&#10;AAAABQAAZHJzL2Rvd25yZXYueG1sUEsFBgAAAAAEAAQA8wAAAAkGAAAAAA==&#10;" fillcolor="white [3201]" strokeweight=".5pt">
                <v:textbox>
                  <w:txbxContent>
                    <w:p w14:paraId="00B8CD51" w14:textId="77777777" w:rsidR="000A3C86" w:rsidRPr="000A3C86" w:rsidRDefault="000A3C86" w:rsidP="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Pr>
          <w:rFonts w:ascii="Book Antiqua" w:hAnsi="Book Antiqua"/>
          <w:noProof/>
          <w:lang w:val="en-US" w:eastAsia="zh-CN"/>
        </w:rPr>
        <mc:AlternateContent>
          <mc:Choice Requires="wps">
            <w:drawing>
              <wp:anchor distT="0" distB="0" distL="114300" distR="114300" simplePos="0" relativeHeight="251659264" behindDoc="0" locked="0" layoutInCell="1" allowOverlap="1" wp14:anchorId="6E14708E" wp14:editId="0FD8FCDE">
                <wp:simplePos x="0" y="0"/>
                <wp:positionH relativeFrom="column">
                  <wp:posOffset>751205</wp:posOffset>
                </wp:positionH>
                <wp:positionV relativeFrom="paragraph">
                  <wp:posOffset>90805</wp:posOffset>
                </wp:positionV>
                <wp:extent cx="698500" cy="215900"/>
                <wp:effectExtent l="0" t="0" r="25400" b="12700"/>
                <wp:wrapNone/>
                <wp:docPr id="2" name="文本框 2"/>
                <wp:cNvGraphicFramePr/>
                <a:graphic xmlns:a="http://schemas.openxmlformats.org/drawingml/2006/main">
                  <a:graphicData uri="http://schemas.microsoft.com/office/word/2010/wordprocessingShape">
                    <wps:wsp>
                      <wps:cNvSpPr txBox="1"/>
                      <wps:spPr>
                        <a:xfrm>
                          <a:off x="0" y="0"/>
                          <a:ext cx="698500" cy="215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6C4E822" w14:textId="6476D0F3" w:rsidR="000A3C86" w:rsidRPr="000A3C86" w:rsidRDefault="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E14708E" id="文本框 2" o:spid="_x0000_s1045" type="#_x0000_t202" style="position:absolute;left:0;text-align:left;margin-left:59.15pt;margin-top:7.15pt;width:55pt;height:17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Q3apgIAALoFAAAOAAAAZHJzL2Uyb0RvYy54bWysVM1uEzEQviPxDpbvdJPQlCbqpgqtipCq&#10;tiJFPTteO7Hq9RjbyW54AHgDTly481x9Dsbe3TQpvRRx2R17vhnPfPNzclqXmqyF8wpMTvsHPUqE&#10;4VAos8jp59uLN8eU+MBMwTQYkdON8PR08vrVSWXHYgBL0IVwBJ0YP65sTpch2HGWeb4UJfMHYIVB&#10;pQRXsoBHt8gKxyr0Xups0OsdZRW4wjrgwnu8PW+UdJL8Syl4uJbSi0B0TjG2kL4ufefxm01O2Hjh&#10;mF0q3obB/iGKkimDj25dnbPAyMqpv1yVijvwIMMBhzIDKRUXKQfMpt97ks1syaxIuSA53m5p8v/P&#10;Lb9a3ziiipwOKDGsxBI9/Pj+8PP3w69vZBDpqawfI2pmERfq91Bjmbt7j5cx61q6Mv4xH4J6JHqz&#10;JVfUgXC8PBodD3uo4aga9IcjlNF79mhsnQ8fBJQkCjl1WLtEKVtf+tBAO0h8y4NWxYXSOh1iv4gz&#10;7ciaYaV1SCGi8z2UNqTCQN4Oe8nxni663trPNeP3bXg7KPSnTXxOpM5qw4oENUQkKWy0iBhtPgmJ&#10;zCY+nomRcS7MNs6EjiiJGb3EsMU/RvUS4yYPtEgvgwlb41IZcA1L+9QW9x21ssFjDXfyjmKo53Vq&#10;qf6oa5Q5FBvsHwfNAHrLLxQSfsl8uGEOJw4bA7dIuMaP1IBVglaiZAnu63P3EY+DgFpKKpzgnPov&#10;K+YEJfqjwREZ9Q8P48inw+Hw3QAPblcz39WYVXkG2Dp93FeWJzHig+5E6aC8w2Uzja+iihmOb+c0&#10;dOJZaPYKLisuptMEwiG3LFyameXRdaQ5NtptfcecbRs94IRcQTfrbPyk3xtstDQwXQWQKg1DJLph&#10;tS0ALog0Tu0yixto95xQjyt38gcAAP//AwBQSwMEFAAGAAgAAAAhAD5SoPTZAAAACQEAAA8AAABk&#10;cnMvZG93bnJldi54bWxMT0FOwzAQvCPxB2uRuFGnoUIhjVMBKlw4URDnbezaVuN1FLtp+D3bE5xm&#10;Z3c0M9ts5tCLyYzJR1KwXBQgDHVRe7IKvj5f7yoQKSNp7CMZBT8mwaa9vmqw1vFMH2baZSvYhFKN&#10;ClzOQy1l6pwJmBZxMMS3QxwDZqajlXrEM5uHXpZF8SADeuIEh4N5caY77k5BwfbZPtquwtFtK+39&#10;NH8f3u2bUrc389MaRDZz/hPDpT5Xh5Y77eOJdBI982V1z1IeVowsKMvLYq9gxSjbRv7/oP0FAAD/&#10;/wMAUEsBAi0AFAAGAAgAAAAhALaDOJL+AAAA4QEAABMAAAAAAAAAAAAAAAAAAAAAAFtDb250ZW50&#10;X1R5cGVzXS54bWxQSwECLQAUAAYACAAAACEAOP0h/9YAAACUAQAACwAAAAAAAAAAAAAAAAAvAQAA&#10;X3JlbHMvLnJlbHNQSwECLQAUAAYACAAAACEArpEN2qYCAAC6BQAADgAAAAAAAAAAAAAAAAAuAgAA&#10;ZHJzL2Uyb0RvYy54bWxQSwECLQAUAAYACAAAACEAPlKg9NkAAAAJAQAADwAAAAAAAAAAAAAAAAAA&#10;BQAAZHJzL2Rvd25yZXYueG1sUEsFBgAAAAAEAAQA8wAAAAYGAAAAAA==&#10;" fillcolor="white [3201]" strokeweight=".5pt">
                <v:textbox>
                  <w:txbxContent>
                    <w:p w14:paraId="26C4E822" w14:textId="6476D0F3" w:rsidR="000A3C86" w:rsidRPr="000A3C86" w:rsidRDefault="000A3C86">
                      <w:pPr>
                        <w:rPr>
                          <w:rFonts w:eastAsia="SimSun"/>
                          <w:sz w:val="18"/>
                          <w:szCs w:val="18"/>
                          <w:lang w:eastAsia="zh-CN"/>
                        </w:rPr>
                      </w:pPr>
                      <w:r w:rsidRPr="000A3C86">
                        <w:rPr>
                          <w:rFonts w:ascii="Book Antiqua" w:eastAsia="SimSun" w:hAnsi="Book Antiqua"/>
                          <w:i/>
                          <w:caps/>
                          <w:sz w:val="18"/>
                          <w:szCs w:val="18"/>
                          <w:lang w:eastAsia="zh-CN"/>
                        </w:rPr>
                        <w:t>p</w:t>
                      </w:r>
                      <w:r>
                        <w:rPr>
                          <w:rFonts w:eastAsia="SimSun" w:hint="eastAsia"/>
                          <w:sz w:val="18"/>
                          <w:szCs w:val="18"/>
                          <w:lang w:eastAsia="zh-CN"/>
                        </w:rPr>
                        <w:t xml:space="preserve"> </w:t>
                      </w:r>
                      <w:r w:rsidRPr="000A3C86">
                        <w:rPr>
                          <w:rFonts w:eastAsia="SimSun" w:hint="eastAsia"/>
                          <w:sz w:val="18"/>
                          <w:szCs w:val="18"/>
                          <w:lang w:eastAsia="zh-CN"/>
                        </w:rPr>
                        <w:t>&lt; 0.001</w:t>
                      </w:r>
                    </w:p>
                  </w:txbxContent>
                </v:textbox>
              </v:shape>
            </w:pict>
          </mc:Fallback>
        </mc:AlternateContent>
      </w:r>
      <w:r w:rsidR="009E72FA" w:rsidRPr="00DF2968">
        <w:rPr>
          <w:rFonts w:ascii="Book Antiqua" w:hAnsi="Book Antiqua"/>
          <w:noProof/>
          <w:lang w:val="en-US" w:eastAsia="zh-CN"/>
        </w:rPr>
        <w:drawing>
          <wp:inline distT="0" distB="0" distL="0" distR="0" wp14:anchorId="6681D820" wp14:editId="56419FCF">
            <wp:extent cx="5756910" cy="3111500"/>
            <wp:effectExtent l="0" t="0" r="0" b="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1 Sydor et.al.jpg"/>
                    <pic:cNvPicPr/>
                  </pic:nvPicPr>
                  <pic:blipFill>
                    <a:blip r:embed="rId9">
                      <a:extLst>
                        <a:ext uri="{28A0092B-C50C-407E-A947-70E740481C1C}">
                          <a14:useLocalDpi xmlns:a14="http://schemas.microsoft.com/office/drawing/2010/main" val="0"/>
                        </a:ext>
                      </a:extLst>
                    </a:blip>
                    <a:stretch>
                      <a:fillRect/>
                    </a:stretch>
                  </pic:blipFill>
                  <pic:spPr>
                    <a:xfrm>
                      <a:off x="0" y="0"/>
                      <a:ext cx="5756910" cy="3111500"/>
                    </a:xfrm>
                    <a:prstGeom prst="rect">
                      <a:avLst/>
                    </a:prstGeom>
                  </pic:spPr>
                </pic:pic>
              </a:graphicData>
            </a:graphic>
          </wp:inline>
        </w:drawing>
      </w:r>
    </w:p>
    <w:p w14:paraId="37C48A0B" w14:textId="7AA52DFA" w:rsidR="000309B1" w:rsidRPr="00510EBD" w:rsidRDefault="005641E0" w:rsidP="00A741A5">
      <w:pPr>
        <w:spacing w:line="360" w:lineRule="auto"/>
        <w:jc w:val="both"/>
        <w:rPr>
          <w:rFonts w:ascii="Book Antiqua" w:eastAsia="SimSun" w:hAnsi="Book Antiqua"/>
          <w:lang w:val="en-US" w:eastAsia="zh-CN"/>
        </w:rPr>
      </w:pPr>
      <w:r>
        <w:rPr>
          <w:rFonts w:ascii="Book Antiqua" w:hAnsi="Book Antiqua"/>
          <w:b/>
          <w:lang w:val="en-US"/>
        </w:rPr>
        <w:t>Figure 1</w:t>
      </w:r>
      <w:r w:rsidR="000309B1" w:rsidRPr="00DF2968">
        <w:rPr>
          <w:rFonts w:ascii="Book Antiqua" w:hAnsi="Book Antiqua"/>
          <w:b/>
          <w:lang w:val="en-US"/>
        </w:rPr>
        <w:t xml:space="preserve"> PLK-inhibitor BI6727 reduces cell viability and acts pro apoptotic in CCA cell lines. </w:t>
      </w:r>
      <w:r w:rsidR="000309B1" w:rsidRPr="00DF2968">
        <w:rPr>
          <w:rFonts w:ascii="Book Antiqua" w:hAnsi="Book Antiqua"/>
          <w:lang w:val="en-US"/>
        </w:rPr>
        <w:t>Cell viability of CCA cell lines</w:t>
      </w:r>
      <w:r w:rsidR="000309B1" w:rsidRPr="00DF2968">
        <w:rPr>
          <w:rFonts w:ascii="Book Antiqua" w:hAnsi="Book Antiqua"/>
          <w:b/>
          <w:lang w:val="en-US"/>
        </w:rPr>
        <w:t xml:space="preserve"> </w:t>
      </w:r>
      <w:r w:rsidR="000309B1" w:rsidRPr="00DF2968">
        <w:rPr>
          <w:rFonts w:ascii="Book Antiqua" w:hAnsi="Book Antiqua"/>
          <w:lang w:val="en-US"/>
        </w:rPr>
        <w:t>KMCH-1 (A) and Mz-Ch-1 (D) treated with the PLK-inhibitor BI6727 (200</w:t>
      </w:r>
      <w:r w:rsidR="00F53B52">
        <w:rPr>
          <w:rFonts w:ascii="Book Antiqua" w:eastAsia="SimSun" w:hAnsi="Book Antiqua" w:hint="eastAsia"/>
          <w:lang w:val="en-US" w:eastAsia="zh-CN"/>
        </w:rPr>
        <w:t xml:space="preserve"> </w:t>
      </w:r>
      <w:r w:rsidR="000309B1" w:rsidRPr="00DF2968">
        <w:rPr>
          <w:rFonts w:ascii="Book Antiqua" w:hAnsi="Book Antiqua"/>
          <w:lang w:val="en-US"/>
        </w:rPr>
        <w:t>n</w:t>
      </w:r>
      <w:r w:rsidR="00F53B52">
        <w:rPr>
          <w:rFonts w:ascii="Book Antiqua" w:eastAsia="SimSun" w:hAnsi="Book Antiqua" w:hint="eastAsia"/>
          <w:lang w:val="en-US" w:eastAsia="zh-CN"/>
        </w:rPr>
        <w:t>mol/L</w:t>
      </w:r>
      <w:r w:rsidR="000309B1" w:rsidRPr="00DF2968">
        <w:rPr>
          <w:rFonts w:ascii="Book Antiqua" w:hAnsi="Book Antiqua"/>
          <w:lang w:val="en-US"/>
        </w:rPr>
        <w:t xml:space="preserve"> for 24</w:t>
      </w:r>
      <w:r w:rsidR="00F53B52">
        <w:rPr>
          <w:rFonts w:ascii="Book Antiqua" w:eastAsia="SimSun" w:hAnsi="Book Antiqua" w:hint="eastAsia"/>
          <w:lang w:val="en-US" w:eastAsia="zh-CN"/>
        </w:rPr>
        <w:t xml:space="preserve"> </w:t>
      </w:r>
      <w:r w:rsidR="000309B1" w:rsidRPr="00DF2968">
        <w:rPr>
          <w:rFonts w:ascii="Book Antiqua" w:hAnsi="Book Antiqua"/>
          <w:lang w:val="en-US"/>
        </w:rPr>
        <w:t>h), the cytostatic drug cisplatin (1</w:t>
      </w:r>
      <w:r w:rsidR="00F53B52">
        <w:rPr>
          <w:rFonts w:ascii="Book Antiqua" w:eastAsia="SimSun" w:hAnsi="Book Antiqua" w:hint="eastAsia"/>
          <w:lang w:val="en-US" w:eastAsia="zh-CN"/>
        </w:rPr>
        <w:t xml:space="preserve"> </w:t>
      </w:r>
      <w:r w:rsidR="000309B1" w:rsidRPr="00DF2968">
        <w:rPr>
          <w:rFonts w:ascii="Book Antiqua" w:hAnsi="Book Antiqua"/>
          <w:lang w:val="en-US"/>
        </w:rPr>
        <w:t>m</w:t>
      </w:r>
      <w:r w:rsidR="00F53B52">
        <w:rPr>
          <w:rFonts w:ascii="Book Antiqua" w:eastAsia="SimSun" w:hAnsi="Book Antiqua" w:hint="eastAsia"/>
          <w:lang w:val="en-US" w:eastAsia="zh-CN"/>
        </w:rPr>
        <w:t>mol/L</w:t>
      </w:r>
      <w:r w:rsidR="000309B1" w:rsidRPr="00DF2968">
        <w:rPr>
          <w:rFonts w:ascii="Book Antiqua" w:hAnsi="Book Antiqua"/>
          <w:lang w:val="en-US"/>
        </w:rPr>
        <w:t xml:space="preserve"> for 24</w:t>
      </w:r>
      <w:r w:rsidR="00F53B52">
        <w:rPr>
          <w:rFonts w:ascii="Book Antiqua" w:eastAsia="SimSun" w:hAnsi="Book Antiqua" w:hint="eastAsia"/>
          <w:lang w:val="en-US" w:eastAsia="zh-CN"/>
        </w:rPr>
        <w:t xml:space="preserve"> </w:t>
      </w:r>
      <w:r w:rsidR="000309B1" w:rsidRPr="00DF2968">
        <w:rPr>
          <w:rFonts w:ascii="Book Antiqua" w:hAnsi="Book Antiqua"/>
          <w:lang w:val="en-US"/>
        </w:rPr>
        <w:t>h) or both components was assessed by MTT assay (A, D) shown as % of viable cells (viability) compared</w:t>
      </w:r>
      <w:r>
        <w:rPr>
          <w:rFonts w:ascii="Book Antiqua" w:hAnsi="Book Antiqua"/>
          <w:lang w:val="en-US"/>
        </w:rPr>
        <w:t xml:space="preserve"> to vehicle-treated cells (mean</w:t>
      </w:r>
      <w:r w:rsidR="000A3C86">
        <w:rPr>
          <w:rFonts w:ascii="Book Antiqua" w:eastAsia="SimSun" w:hAnsi="Book Antiqua" w:hint="eastAsia"/>
          <w:lang w:val="en-US" w:eastAsia="zh-CN"/>
        </w:rPr>
        <w:t xml:space="preserve"> </w:t>
      </w:r>
      <w:r>
        <w:rPr>
          <w:rFonts w:ascii="Book Antiqua" w:hAnsi="Book Antiqua"/>
          <w:lang w:val="en-US"/>
        </w:rPr>
        <w:t>±</w:t>
      </w:r>
      <w:r w:rsidR="000A3C86">
        <w:rPr>
          <w:rFonts w:ascii="Book Antiqua" w:eastAsia="SimSun" w:hAnsi="Book Antiqua" w:hint="eastAsia"/>
          <w:lang w:val="en-US" w:eastAsia="zh-CN"/>
        </w:rPr>
        <w:t xml:space="preserve"> </w:t>
      </w:r>
      <w:r>
        <w:rPr>
          <w:rFonts w:ascii="Book Antiqua" w:hAnsi="Book Antiqua"/>
          <w:lang w:val="en-US"/>
        </w:rPr>
        <w:t>SE</w:t>
      </w:r>
      <w:r w:rsidR="000309B1" w:rsidRPr="00DF2968">
        <w:rPr>
          <w:rFonts w:ascii="Book Antiqua" w:hAnsi="Book Antiqua"/>
          <w:lang w:val="en-US"/>
        </w:rPr>
        <w:t xml:space="preserve">, </w:t>
      </w:r>
      <w:r w:rsidRPr="005641E0">
        <w:rPr>
          <w:rFonts w:ascii="Book Antiqua" w:hAnsi="Book Antiqua"/>
          <w:i/>
          <w:lang w:val="en-US"/>
        </w:rPr>
        <w:t xml:space="preserve">n = </w:t>
      </w:r>
      <w:r w:rsidR="000309B1" w:rsidRPr="00DF2968">
        <w:rPr>
          <w:rFonts w:ascii="Book Antiqua" w:hAnsi="Book Antiqua"/>
          <w:lang w:val="en-US"/>
        </w:rPr>
        <w:t>3). Apoptotic nuclei were determined in DAPI stained KMCH (B) and Mz-Ch-1 (E) cells after treatment using fluorescence microscopy. The number of apoptotic nuclei was normalized to the to</w:t>
      </w:r>
      <w:r w:rsidR="000A3C86">
        <w:rPr>
          <w:rFonts w:ascii="Book Antiqua" w:hAnsi="Book Antiqua"/>
          <w:lang w:val="en-US"/>
        </w:rPr>
        <w:t>tal number of nuclei (mean</w:t>
      </w:r>
      <w:r w:rsidR="000A3C86">
        <w:rPr>
          <w:rFonts w:ascii="Book Antiqua" w:eastAsia="SimSun" w:hAnsi="Book Antiqua" w:hint="eastAsia"/>
          <w:lang w:val="en-US" w:eastAsia="zh-CN"/>
        </w:rPr>
        <w:t xml:space="preserve"> </w:t>
      </w:r>
      <w:r w:rsidR="000A3C86">
        <w:rPr>
          <w:rFonts w:ascii="Book Antiqua" w:hAnsi="Book Antiqua"/>
          <w:lang w:val="en-US"/>
        </w:rPr>
        <w:t>±</w:t>
      </w:r>
      <w:r w:rsidR="000A3C86">
        <w:rPr>
          <w:rFonts w:ascii="Book Antiqua" w:eastAsia="SimSun" w:hAnsi="Book Antiqua" w:hint="eastAsia"/>
          <w:lang w:val="en-US" w:eastAsia="zh-CN"/>
        </w:rPr>
        <w:t xml:space="preserve"> </w:t>
      </w:r>
      <w:r>
        <w:rPr>
          <w:rFonts w:ascii="Book Antiqua" w:hAnsi="Book Antiqua"/>
          <w:lang w:val="en-US"/>
        </w:rPr>
        <w:t>SE</w:t>
      </w:r>
      <w:r w:rsidR="000309B1" w:rsidRPr="00DF2968">
        <w:rPr>
          <w:rFonts w:ascii="Book Antiqua" w:hAnsi="Book Antiqua"/>
          <w:lang w:val="en-US"/>
        </w:rPr>
        <w:t xml:space="preserve">, </w:t>
      </w:r>
      <w:r w:rsidRPr="005641E0">
        <w:rPr>
          <w:rFonts w:ascii="Book Antiqua" w:hAnsi="Book Antiqua"/>
          <w:i/>
          <w:lang w:val="en-US"/>
        </w:rPr>
        <w:t xml:space="preserve">n = </w:t>
      </w:r>
      <w:r w:rsidR="000309B1" w:rsidRPr="00DF2968">
        <w:rPr>
          <w:rFonts w:ascii="Book Antiqua" w:hAnsi="Book Antiqua"/>
          <w:lang w:val="en-US"/>
        </w:rPr>
        <w:t>4). Apoptosis induction in KMCH-1 (C) and Mz-Ch-1 (F) cells was measured by fluorescent Caspase-3/-7 activity assay shown as foldchange of vehicle-tre</w:t>
      </w:r>
      <w:r w:rsidR="009A41F0">
        <w:rPr>
          <w:rFonts w:ascii="Book Antiqua" w:hAnsi="Book Antiqua"/>
          <w:lang w:val="en-US"/>
        </w:rPr>
        <w:t>ated cells (mean</w:t>
      </w:r>
      <w:r w:rsidR="000A3C86">
        <w:rPr>
          <w:rFonts w:ascii="Book Antiqua" w:eastAsia="SimSun" w:hAnsi="Book Antiqua" w:hint="eastAsia"/>
          <w:lang w:val="en-US" w:eastAsia="zh-CN"/>
        </w:rPr>
        <w:t xml:space="preserve"> </w:t>
      </w:r>
      <w:r w:rsidR="000A3C86">
        <w:rPr>
          <w:rFonts w:ascii="Book Antiqua" w:hAnsi="Book Antiqua"/>
          <w:lang w:val="en-US"/>
        </w:rPr>
        <w:t>±</w:t>
      </w:r>
      <w:r w:rsidR="000A3C86">
        <w:rPr>
          <w:rFonts w:ascii="Book Antiqua" w:eastAsia="SimSun" w:hAnsi="Book Antiqua" w:hint="eastAsia"/>
          <w:lang w:val="en-US" w:eastAsia="zh-CN"/>
        </w:rPr>
        <w:t xml:space="preserve"> </w:t>
      </w:r>
      <w:r>
        <w:rPr>
          <w:rFonts w:ascii="Book Antiqua" w:hAnsi="Book Antiqua"/>
          <w:lang w:val="en-US"/>
        </w:rPr>
        <w:t>SE</w:t>
      </w:r>
      <w:r w:rsidR="000309B1" w:rsidRPr="00DF2968">
        <w:rPr>
          <w:rFonts w:ascii="Book Antiqua" w:hAnsi="Book Antiqua"/>
          <w:lang w:val="en-US"/>
        </w:rPr>
        <w:t xml:space="preserve">, </w:t>
      </w:r>
      <w:r w:rsidRPr="005641E0">
        <w:rPr>
          <w:rFonts w:ascii="Book Antiqua" w:hAnsi="Book Antiqua"/>
          <w:i/>
          <w:lang w:val="en-US"/>
        </w:rPr>
        <w:t xml:space="preserve">n = </w:t>
      </w:r>
      <w:r w:rsidR="000309B1" w:rsidRPr="00DF2968">
        <w:rPr>
          <w:rFonts w:ascii="Book Antiqua" w:hAnsi="Book Antiqua"/>
          <w:lang w:val="en-US"/>
        </w:rPr>
        <w:t xml:space="preserve">3). </w:t>
      </w:r>
      <w:r w:rsidR="00EF0318">
        <w:rPr>
          <w:rFonts w:ascii="Book Antiqua" w:hAnsi="Book Antiqua"/>
          <w:lang w:val="en-US"/>
        </w:rPr>
        <w:t>PLK</w:t>
      </w:r>
      <w:r w:rsidR="00EF0318">
        <w:rPr>
          <w:rFonts w:ascii="Book Antiqua" w:eastAsia="SimSun" w:hAnsi="Book Antiqua" w:hint="eastAsia"/>
          <w:lang w:val="en-US" w:eastAsia="zh-CN"/>
        </w:rPr>
        <w:t xml:space="preserve">: </w:t>
      </w:r>
      <w:r w:rsidR="00EF0318" w:rsidRPr="00DF2968">
        <w:rPr>
          <w:rFonts w:ascii="Book Antiqua" w:hAnsi="Book Antiqua"/>
          <w:lang w:val="en-US"/>
        </w:rPr>
        <w:t>Polo-like kinase</w:t>
      </w:r>
      <w:r w:rsidR="00EF0318">
        <w:rPr>
          <w:rFonts w:ascii="Book Antiqua" w:eastAsia="SimSun" w:hAnsi="Book Antiqua" w:hint="eastAsia"/>
          <w:lang w:val="en-US" w:eastAsia="zh-CN"/>
        </w:rPr>
        <w:t xml:space="preserve">; </w:t>
      </w:r>
      <w:r w:rsidR="0023397D" w:rsidRPr="00DF2968">
        <w:rPr>
          <w:rFonts w:ascii="Book Antiqua" w:hAnsi="Book Antiqua"/>
          <w:lang w:val="en-US"/>
        </w:rPr>
        <w:t>CCA</w:t>
      </w:r>
      <w:r w:rsidR="0023397D">
        <w:rPr>
          <w:rFonts w:ascii="Book Antiqua" w:eastAsia="SimSun" w:hAnsi="Book Antiqua" w:hint="eastAsia"/>
          <w:lang w:val="en-US" w:eastAsia="zh-CN"/>
        </w:rPr>
        <w:t xml:space="preserve">: </w:t>
      </w:r>
      <w:r w:rsidR="0023397D" w:rsidRPr="0023397D">
        <w:rPr>
          <w:rFonts w:ascii="Book Antiqua" w:hAnsi="Book Antiqua"/>
          <w:caps/>
          <w:lang w:val="en-US"/>
        </w:rPr>
        <w:t>c</w:t>
      </w:r>
      <w:r w:rsidR="0023397D" w:rsidRPr="00DF2968">
        <w:rPr>
          <w:rFonts w:ascii="Book Antiqua" w:hAnsi="Book Antiqua"/>
          <w:lang w:val="en-US"/>
        </w:rPr>
        <w:t>holangiocarcinoma</w:t>
      </w:r>
      <w:r w:rsidR="0023397D">
        <w:rPr>
          <w:rFonts w:ascii="Book Antiqua" w:eastAsia="SimSun" w:hAnsi="Book Antiqua" w:hint="eastAsia"/>
          <w:lang w:val="en-US" w:eastAsia="zh-CN"/>
        </w:rPr>
        <w:t xml:space="preserve">; </w:t>
      </w:r>
      <w:r w:rsidR="0023397D" w:rsidRPr="00DF2968">
        <w:rPr>
          <w:rFonts w:ascii="Book Antiqua" w:hAnsi="Book Antiqua"/>
          <w:lang w:val="en-US"/>
        </w:rPr>
        <w:t>MTT</w:t>
      </w:r>
      <w:r w:rsidR="0023397D">
        <w:rPr>
          <w:rFonts w:ascii="Book Antiqua" w:eastAsia="SimSun" w:hAnsi="Book Antiqua" w:hint="eastAsia"/>
          <w:lang w:val="en-US" w:eastAsia="zh-CN"/>
        </w:rPr>
        <w:t xml:space="preserve">: </w:t>
      </w:r>
      <w:r w:rsidR="0023397D" w:rsidRPr="00DF2968">
        <w:rPr>
          <w:rFonts w:ascii="Book Antiqua" w:eastAsia="Times New Roman" w:hAnsi="Book Antiqua" w:cs="Arial"/>
          <w:lang w:val="en-US"/>
        </w:rPr>
        <w:t>3-(4,5-Dimethylthiazol-2-yl)-2,5-diphenyltetrazoliumbromid</w:t>
      </w:r>
      <w:r w:rsidR="0023397D">
        <w:rPr>
          <w:rFonts w:ascii="Book Antiqua" w:eastAsia="SimSun" w:hAnsi="Book Antiqua" w:hint="eastAsia"/>
          <w:lang w:val="en-US" w:eastAsia="zh-CN"/>
        </w:rPr>
        <w:t xml:space="preserve">; </w:t>
      </w:r>
      <w:r w:rsidR="00510EBD" w:rsidRPr="00DF2968">
        <w:rPr>
          <w:rFonts w:ascii="Book Antiqua" w:hAnsi="Book Antiqua"/>
          <w:lang w:val="en-US"/>
        </w:rPr>
        <w:t>DAPI</w:t>
      </w:r>
      <w:r w:rsidR="00510EBD">
        <w:rPr>
          <w:rFonts w:ascii="Book Antiqua" w:eastAsia="SimSun" w:hAnsi="Book Antiqua" w:hint="eastAsia"/>
          <w:lang w:val="en-US" w:eastAsia="zh-CN"/>
        </w:rPr>
        <w:t xml:space="preserve">: </w:t>
      </w:r>
      <w:r w:rsidR="00510EBD" w:rsidRPr="00DF2968">
        <w:rPr>
          <w:rFonts w:ascii="Book Antiqua" w:hAnsi="Book Antiqua"/>
          <w:lang w:val="en-US"/>
        </w:rPr>
        <w:t>4’, 6-diamino-2-phenylindole dihydrochloride</w:t>
      </w:r>
      <w:r w:rsidR="00510EBD">
        <w:rPr>
          <w:rFonts w:ascii="Book Antiqua" w:eastAsia="SimSun" w:hAnsi="Book Antiqua" w:hint="eastAsia"/>
          <w:lang w:val="en-US" w:eastAsia="zh-CN"/>
        </w:rPr>
        <w:t xml:space="preserve">. </w:t>
      </w:r>
    </w:p>
    <w:p w14:paraId="6EB97945" w14:textId="2751961B" w:rsidR="00BF4059" w:rsidRPr="00DF2968" w:rsidRDefault="000A3C86" w:rsidP="00A741A5">
      <w:pPr>
        <w:spacing w:line="360" w:lineRule="auto"/>
        <w:jc w:val="both"/>
        <w:rPr>
          <w:rFonts w:ascii="Book Antiqua" w:hAnsi="Book Antiqua"/>
          <w:lang w:val="en-US"/>
        </w:rPr>
      </w:pPr>
      <w:r>
        <w:rPr>
          <w:rFonts w:ascii="Book Antiqua" w:hAnsi="Book Antiqua"/>
          <w:lang w:val="en-US"/>
        </w:rPr>
        <w:br w:type="column"/>
      </w:r>
      <w:r w:rsidR="000E233E" w:rsidRPr="00DF2968">
        <w:rPr>
          <w:rFonts w:ascii="Book Antiqua" w:hAnsi="Book Antiqua" w:cs="Arial"/>
          <w:noProof/>
          <w:lang w:val="en-US" w:eastAsia="zh-CN"/>
        </w:rPr>
        <w:lastRenderedPageBreak/>
        <w:drawing>
          <wp:inline distT="0" distB="0" distL="0" distR="0" wp14:anchorId="7FF8508A" wp14:editId="360835F7">
            <wp:extent cx="5756910" cy="2005330"/>
            <wp:effectExtent l="0" t="0" r="0" b="0"/>
            <wp:docPr id="9" name="Grafik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2 Sydor et. al.tif"/>
                    <pic:cNvPicPr/>
                  </pic:nvPicPr>
                  <pic:blipFill>
                    <a:blip r:embed="rId10">
                      <a:extLst>
                        <a:ext uri="{28A0092B-C50C-407E-A947-70E740481C1C}">
                          <a14:useLocalDpi xmlns:a14="http://schemas.microsoft.com/office/drawing/2010/main" val="0"/>
                        </a:ext>
                      </a:extLst>
                    </a:blip>
                    <a:stretch>
                      <a:fillRect/>
                    </a:stretch>
                  </pic:blipFill>
                  <pic:spPr>
                    <a:xfrm>
                      <a:off x="0" y="0"/>
                      <a:ext cx="5756910" cy="2005330"/>
                    </a:xfrm>
                    <a:prstGeom prst="rect">
                      <a:avLst/>
                    </a:prstGeom>
                  </pic:spPr>
                </pic:pic>
              </a:graphicData>
            </a:graphic>
          </wp:inline>
        </w:drawing>
      </w:r>
    </w:p>
    <w:p w14:paraId="34EF93F0" w14:textId="3AF04575" w:rsidR="00EF0318" w:rsidRPr="00510EBD" w:rsidRDefault="000309B1" w:rsidP="00A741A5">
      <w:pPr>
        <w:spacing w:line="360" w:lineRule="auto"/>
        <w:jc w:val="both"/>
        <w:rPr>
          <w:rFonts w:ascii="Book Antiqua" w:eastAsia="SimSun" w:hAnsi="Book Antiqua"/>
          <w:lang w:val="en-US" w:eastAsia="zh-CN"/>
        </w:rPr>
      </w:pPr>
      <w:r w:rsidRPr="000A3C86">
        <w:rPr>
          <w:rFonts w:ascii="Book Antiqua" w:hAnsi="Book Antiqua"/>
          <w:b/>
          <w:lang w:val="en-US"/>
        </w:rPr>
        <w:t>Figure 2</w:t>
      </w:r>
      <w:r w:rsidR="000A3C86" w:rsidRPr="000A3C86">
        <w:rPr>
          <w:rFonts w:ascii="Book Antiqua" w:eastAsia="SimSun" w:hAnsi="Book Antiqua" w:hint="eastAsia"/>
          <w:b/>
          <w:lang w:val="en-US" w:eastAsia="zh-CN"/>
        </w:rPr>
        <w:t xml:space="preserve"> </w:t>
      </w:r>
      <w:r w:rsidR="00B2604C" w:rsidRPr="000A3C86">
        <w:rPr>
          <w:rFonts w:ascii="Book Antiqua" w:hAnsi="Book Antiqua"/>
          <w:b/>
          <w:lang w:val="en-US"/>
        </w:rPr>
        <w:t>PLK-inhibitor BI6727 induces apoptotis in Mz-Ch-1 cells.</w:t>
      </w:r>
      <w:r w:rsidR="000A3C86" w:rsidRPr="000A3C86">
        <w:rPr>
          <w:rFonts w:ascii="Book Antiqua" w:hAnsi="Book Antiqua"/>
          <w:lang w:val="en-US"/>
        </w:rPr>
        <w:t xml:space="preserve"> </w:t>
      </w:r>
      <w:r w:rsidR="00C379A5" w:rsidRPr="000A3C86">
        <w:rPr>
          <w:rFonts w:ascii="Book Antiqua" w:hAnsi="Book Antiqua"/>
          <w:lang w:val="en-US"/>
        </w:rPr>
        <w:t>Cleavage of PARP in Mz-Ch-1 treated with the PLK-inhibitor BI6727 (200</w:t>
      </w:r>
      <w:r w:rsidR="000E233E">
        <w:rPr>
          <w:rFonts w:ascii="Book Antiqua" w:eastAsia="SimSun" w:hAnsi="Book Antiqua" w:hint="eastAsia"/>
          <w:lang w:val="en-US" w:eastAsia="zh-CN"/>
        </w:rPr>
        <w:t xml:space="preserve"> </w:t>
      </w:r>
      <w:r w:rsidR="00C379A5" w:rsidRPr="000A3C86">
        <w:rPr>
          <w:rFonts w:ascii="Book Antiqua" w:hAnsi="Book Antiqua"/>
          <w:lang w:val="en-US"/>
        </w:rPr>
        <w:t>n</w:t>
      </w:r>
      <w:r w:rsidR="000E233E">
        <w:rPr>
          <w:rFonts w:ascii="Book Antiqua" w:eastAsia="SimSun" w:hAnsi="Book Antiqua" w:hint="eastAsia"/>
          <w:lang w:val="en-US" w:eastAsia="zh-CN"/>
        </w:rPr>
        <w:t>mol/L</w:t>
      </w:r>
      <w:r w:rsidR="00C379A5" w:rsidRPr="000A3C86">
        <w:rPr>
          <w:rFonts w:ascii="Book Antiqua" w:hAnsi="Book Antiqua"/>
          <w:lang w:val="en-US"/>
        </w:rPr>
        <w:t xml:space="preserve"> for 24</w:t>
      </w:r>
      <w:r w:rsidR="000E233E">
        <w:rPr>
          <w:rFonts w:ascii="Book Antiqua" w:eastAsia="SimSun" w:hAnsi="Book Antiqua" w:hint="eastAsia"/>
          <w:lang w:val="en-US" w:eastAsia="zh-CN"/>
        </w:rPr>
        <w:t xml:space="preserve"> </w:t>
      </w:r>
      <w:r w:rsidR="00C379A5" w:rsidRPr="000A3C86">
        <w:rPr>
          <w:rFonts w:ascii="Book Antiqua" w:hAnsi="Book Antiqua"/>
          <w:lang w:val="en-US"/>
        </w:rPr>
        <w:t>h), the cytostatic drug cisplatin (1</w:t>
      </w:r>
      <w:r w:rsidR="000E233E">
        <w:rPr>
          <w:rFonts w:ascii="Book Antiqua" w:eastAsia="SimSun" w:hAnsi="Book Antiqua" w:hint="eastAsia"/>
          <w:lang w:val="en-US" w:eastAsia="zh-CN"/>
        </w:rPr>
        <w:t xml:space="preserve"> </w:t>
      </w:r>
      <w:r w:rsidR="00C379A5" w:rsidRPr="000A3C86">
        <w:rPr>
          <w:rFonts w:ascii="Book Antiqua" w:hAnsi="Book Antiqua"/>
          <w:lang w:val="en-US"/>
        </w:rPr>
        <w:t>m</w:t>
      </w:r>
      <w:r w:rsidR="000E233E">
        <w:rPr>
          <w:rFonts w:ascii="Book Antiqua" w:eastAsia="SimSun" w:hAnsi="Book Antiqua" w:hint="eastAsia"/>
          <w:lang w:val="en-US" w:eastAsia="zh-CN"/>
        </w:rPr>
        <w:t>mol/L</w:t>
      </w:r>
      <w:r w:rsidR="00C379A5" w:rsidRPr="000A3C86">
        <w:rPr>
          <w:rFonts w:ascii="Book Antiqua" w:hAnsi="Book Antiqua"/>
          <w:lang w:val="en-US"/>
        </w:rPr>
        <w:t xml:space="preserve"> for 24</w:t>
      </w:r>
      <w:r w:rsidR="000E233E">
        <w:rPr>
          <w:rFonts w:ascii="Book Antiqua" w:eastAsia="SimSun" w:hAnsi="Book Antiqua" w:hint="eastAsia"/>
          <w:lang w:val="en-US" w:eastAsia="zh-CN"/>
        </w:rPr>
        <w:t xml:space="preserve"> </w:t>
      </w:r>
      <w:r w:rsidR="00C379A5" w:rsidRPr="000A3C86">
        <w:rPr>
          <w:rFonts w:ascii="Book Antiqua" w:hAnsi="Book Antiqua"/>
          <w:lang w:val="en-US"/>
        </w:rPr>
        <w:t xml:space="preserve">h) or both components was assessed by Western blot analysis (A) and densitometric quantification followed by normalization to loading control actin </w:t>
      </w:r>
      <w:r w:rsidR="0044066D" w:rsidRPr="000A3C86">
        <w:rPr>
          <w:rFonts w:ascii="Book Antiqua" w:hAnsi="Book Antiqua"/>
          <w:lang w:val="en-US"/>
        </w:rPr>
        <w:t xml:space="preserve">and shown as foldchange compared to vehicle-treated cells </w:t>
      </w:r>
      <w:r w:rsidR="00C379A5" w:rsidRPr="000A3C86">
        <w:rPr>
          <w:rFonts w:ascii="Book Antiqua" w:hAnsi="Book Antiqua"/>
          <w:lang w:val="en-US"/>
        </w:rPr>
        <w:t>(B</w:t>
      </w:r>
      <w:r w:rsidR="000E233E">
        <w:rPr>
          <w:rFonts w:ascii="Book Antiqua" w:hAnsi="Book Antiqua"/>
          <w:lang w:val="en-US"/>
        </w:rPr>
        <w:t>, mean ± SE</w:t>
      </w:r>
      <w:r w:rsidR="0044066D" w:rsidRPr="000A3C86">
        <w:rPr>
          <w:rFonts w:ascii="Book Antiqua" w:hAnsi="Book Antiqua"/>
          <w:lang w:val="en-US"/>
        </w:rPr>
        <w:t xml:space="preserve">, </w:t>
      </w:r>
      <w:r w:rsidR="005641E0" w:rsidRPr="000A3C86">
        <w:rPr>
          <w:rFonts w:ascii="Book Antiqua" w:hAnsi="Book Antiqua"/>
          <w:i/>
          <w:lang w:val="en-US"/>
        </w:rPr>
        <w:t xml:space="preserve">n = </w:t>
      </w:r>
      <w:r w:rsidR="0044066D" w:rsidRPr="000A3C86">
        <w:rPr>
          <w:rFonts w:ascii="Book Antiqua" w:hAnsi="Book Antiqua"/>
          <w:lang w:val="en-US"/>
        </w:rPr>
        <w:t>2</w:t>
      </w:r>
      <w:r w:rsidR="00C379A5" w:rsidRPr="000A3C86">
        <w:rPr>
          <w:rFonts w:ascii="Book Antiqua" w:hAnsi="Book Antiqua"/>
          <w:lang w:val="en-US"/>
        </w:rPr>
        <w:t xml:space="preserve">). </w:t>
      </w:r>
      <w:r w:rsidR="00EF0318">
        <w:rPr>
          <w:rFonts w:ascii="Book Antiqua" w:hAnsi="Book Antiqua"/>
          <w:lang w:val="en-US"/>
        </w:rPr>
        <w:t>PLK</w:t>
      </w:r>
      <w:r w:rsidR="00EF0318">
        <w:rPr>
          <w:rFonts w:ascii="Book Antiqua" w:eastAsia="SimSun" w:hAnsi="Book Antiqua" w:hint="eastAsia"/>
          <w:lang w:val="en-US" w:eastAsia="zh-CN"/>
        </w:rPr>
        <w:t xml:space="preserve">: </w:t>
      </w:r>
      <w:r w:rsidR="00EF0318" w:rsidRPr="00DF2968">
        <w:rPr>
          <w:rFonts w:ascii="Book Antiqua" w:hAnsi="Book Antiqua"/>
          <w:lang w:val="en-US"/>
        </w:rPr>
        <w:t>Polo-like kinase</w:t>
      </w:r>
      <w:r w:rsidR="00EF0318">
        <w:rPr>
          <w:rFonts w:ascii="Book Antiqua" w:eastAsia="SimSun" w:hAnsi="Book Antiqua" w:hint="eastAsia"/>
          <w:lang w:val="en-US" w:eastAsia="zh-CN"/>
        </w:rPr>
        <w:t xml:space="preserve">; </w:t>
      </w:r>
      <w:r w:rsidR="00510EBD" w:rsidRPr="00510EBD">
        <w:rPr>
          <w:rFonts w:ascii="Book Antiqua" w:hAnsi="Book Antiqua"/>
          <w:lang w:val="en-US"/>
        </w:rPr>
        <w:t>PARP</w:t>
      </w:r>
      <w:r w:rsidR="00510EBD">
        <w:rPr>
          <w:rFonts w:ascii="Book Antiqua" w:eastAsia="SimSun" w:hAnsi="Book Antiqua" w:hint="eastAsia"/>
          <w:lang w:val="en-US" w:eastAsia="zh-CN"/>
        </w:rPr>
        <w:t>:</w:t>
      </w:r>
      <w:r w:rsidR="00510EBD" w:rsidRPr="00510EBD">
        <w:rPr>
          <w:rFonts w:ascii="Book Antiqua" w:hAnsi="Book Antiqua"/>
          <w:lang w:val="en-US"/>
        </w:rPr>
        <w:t xml:space="preserve"> </w:t>
      </w:r>
      <w:r w:rsidR="00510EBD" w:rsidRPr="00510EBD">
        <w:rPr>
          <w:rFonts w:ascii="Book Antiqua" w:hAnsi="Book Antiqua"/>
          <w:caps/>
          <w:lang w:val="en-US"/>
        </w:rPr>
        <w:t>p</w:t>
      </w:r>
      <w:r w:rsidR="00510EBD" w:rsidRPr="00510EBD">
        <w:rPr>
          <w:rFonts w:ascii="Book Antiqua" w:hAnsi="Book Antiqua"/>
          <w:lang w:val="en-US"/>
        </w:rPr>
        <w:t>oly(ADP-ribose) polymerase 1</w:t>
      </w:r>
      <w:r w:rsidR="00850E3B">
        <w:rPr>
          <w:rFonts w:ascii="Book Antiqua" w:eastAsia="SimSun" w:hAnsi="Book Antiqua" w:hint="eastAsia"/>
          <w:lang w:val="en-US" w:eastAsia="zh-CN"/>
        </w:rPr>
        <w:t>.</w:t>
      </w:r>
    </w:p>
    <w:p w14:paraId="4A88E4E5" w14:textId="7E4C48C4" w:rsidR="00C379A5" w:rsidRPr="000A3C86" w:rsidRDefault="00C379A5" w:rsidP="00A741A5">
      <w:pPr>
        <w:spacing w:line="360" w:lineRule="auto"/>
        <w:jc w:val="both"/>
        <w:rPr>
          <w:rFonts w:ascii="Book Antiqua" w:hAnsi="Book Antiqua"/>
          <w:lang w:val="en-US"/>
        </w:rPr>
      </w:pPr>
    </w:p>
    <w:p w14:paraId="29249553" w14:textId="67D1CD88" w:rsidR="000E233E" w:rsidRDefault="000E233E" w:rsidP="00A741A5">
      <w:pPr>
        <w:spacing w:line="360" w:lineRule="auto"/>
        <w:jc w:val="both"/>
        <w:rPr>
          <w:rFonts w:ascii="Book Antiqua" w:hAnsi="Book Antiqua"/>
          <w:lang w:val="en-US"/>
        </w:rPr>
      </w:pPr>
      <w:r>
        <w:rPr>
          <w:rFonts w:ascii="Book Antiqua" w:hAnsi="Book Antiqua"/>
          <w:lang w:val="en-US"/>
        </w:rPr>
        <w:br w:type="page"/>
      </w:r>
    </w:p>
    <w:p w14:paraId="76C6BF2F" w14:textId="40B95E25" w:rsidR="000309B1" w:rsidRPr="000E233E" w:rsidRDefault="00896A0E" w:rsidP="00A741A5">
      <w:pPr>
        <w:spacing w:line="360" w:lineRule="auto"/>
        <w:jc w:val="both"/>
        <w:rPr>
          <w:rFonts w:ascii="Book Antiqua" w:hAnsi="Book Antiqua"/>
          <w:lang w:val="en-US"/>
        </w:rPr>
      </w:pPr>
      <w:r>
        <w:rPr>
          <w:rFonts w:ascii="Book Antiqua" w:hAnsi="Book Antiqua" w:cs="Arial"/>
          <w:noProof/>
          <w:lang w:val="en-US" w:eastAsia="zh-CN"/>
        </w:rPr>
        <w:lastRenderedPageBreak/>
        <mc:AlternateContent>
          <mc:Choice Requires="wps">
            <w:drawing>
              <wp:anchor distT="0" distB="0" distL="114300" distR="114300" simplePos="0" relativeHeight="251703296" behindDoc="0" locked="0" layoutInCell="1" allowOverlap="1" wp14:anchorId="0716EA47" wp14:editId="79E038E3">
                <wp:simplePos x="0" y="0"/>
                <wp:positionH relativeFrom="column">
                  <wp:posOffset>2954655</wp:posOffset>
                </wp:positionH>
                <wp:positionV relativeFrom="paragraph">
                  <wp:posOffset>3246755</wp:posOffset>
                </wp:positionV>
                <wp:extent cx="577850" cy="203200"/>
                <wp:effectExtent l="0" t="0" r="12700" b="25400"/>
                <wp:wrapNone/>
                <wp:docPr id="26" name="文本框 26"/>
                <wp:cNvGraphicFramePr/>
                <a:graphic xmlns:a="http://schemas.openxmlformats.org/drawingml/2006/main">
                  <a:graphicData uri="http://schemas.microsoft.com/office/word/2010/wordprocessingShape">
                    <wps:wsp>
                      <wps:cNvSpPr txBox="1"/>
                      <wps:spPr>
                        <a:xfrm>
                          <a:off x="0" y="0"/>
                          <a:ext cx="577850" cy="20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457FE785" w14:textId="77777777" w:rsidR="00896A0E" w:rsidRPr="00896A0E" w:rsidRDefault="00896A0E" w:rsidP="00896A0E">
                            <w:pPr>
                              <w:rPr>
                                <w:rFonts w:eastAsia="SimSun"/>
                                <w:sz w:val="15"/>
                                <w:szCs w:val="15"/>
                                <w:lang w:eastAsia="zh-CN"/>
                              </w:rPr>
                            </w:pPr>
                            <w:r w:rsidRPr="00896A0E">
                              <w:rPr>
                                <w:rFonts w:eastAsia="SimSun" w:hint="eastAsia"/>
                                <w:i/>
                                <w:sz w:val="15"/>
                                <w:szCs w:val="15"/>
                                <w:lang w:eastAsia="zh-CN"/>
                              </w:rPr>
                              <w:t>P</w:t>
                            </w:r>
                            <w:r w:rsidRPr="00896A0E">
                              <w:rPr>
                                <w:rFonts w:eastAsia="SimSun" w:hint="eastAsia"/>
                                <w:sz w:val="15"/>
                                <w:szCs w:val="15"/>
                                <w:lang w:eastAsia="zh-CN"/>
                              </w:rPr>
                              <w:t xml:space="preserve"> &lt; 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716EA47" id="文本框 26" o:spid="_x0000_s1046" type="#_x0000_t202" style="position:absolute;left:0;text-align:left;margin-left:232.65pt;margin-top:255.65pt;width:45.5pt;height:16pt;z-index:25170329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5MPgpAIAALwFAAAOAAAAZHJzL2Uyb0RvYy54bWysVEtu2zAQ3RfoHQjuG9nOt0bkwE2QokCQ&#10;BHWKrGmKjImQHJakLbkHaG/QVTfd91w5R4eU/Mlnk6IbiZx5M5x58zk+aYwmC+GDAlvS/k6PEmE5&#10;VMrelfTLzfm7I0pCZLZiGqwo6VIEejJ6++a4dkMxgBnoSniCTmwY1q6ksxjdsCgCnwnDwg44YVEp&#10;wRsW8ervisqzGr0bXQx6vYOiBl85D1yEgNKzVklH2b+UgscrKYOIRJcUY4v56/N3mr7F6JgN7zxz&#10;M8W7MNg/RGGYsvjo2tUZi4zMvXrmyijuIYCMOxxMAVIqLnIOmE2/9ySbyYw5kXNBcoJb0xT+n1t+&#10;ubj2RFUlHRxQYpnBGj38/PHw68/D7+8EZUhQ7cIQcROHyNh8gAYLvZIHFKa8G+lN+mNGBPVI9XJN&#10;r2gi4SjcPzw82kcNR9Wgt4vlS16KjbHzIX4UYEg6lNRj9TKpbHERYgtdQdJbAbSqzpXW+ZI6Rpxq&#10;TxYMa61jDhGdP0JpS+qSHuxiGM88JNdr+6lm/L4Lb8sD+tM2WYrcW11YiaCWiHyKSy0SRtvPQiK3&#10;mY8XYmScC7uOM6MTSmJGrzHs8JuoXmPc5oEW+WWwcW1slAXfsvSY2up+Ra1s8VjDrbzTMTbTpm2q&#10;XOIkmkK1xP7x0I5gcPxcIeEXLMRr5nHmsDFwj8Qr/EgNWCXoTpTMwH97SZ7wOAqopaTGGS5p+Dpn&#10;XlCiP1kckvf9vb009Pmyt384wIvf1ky3NXZuTgFbp48by/F8TPioV0fpwdziuhmnV1HFLMe3SxpX&#10;x9PYbhZcV1yMxxmEY+5YvLATx5PrRHNqtJvmlnnXNXrECbmE1bSz4ZN+b7HJ0sJ4HkGqPAwbVrsC&#10;4IrI49Sts7SDtu8ZtVm6o78AAAD//wMAUEsDBBQABgAIAAAAIQA+EqW+3QAAAAsBAAAPAAAAZHJz&#10;L2Rvd25yZXYueG1sTI/BTsMwDIbvSLxDZCRuLC1dq640nQANLpwYaOes8ZKIJqmarCtvjznB7bP8&#10;6/fndru4gc04RRu8gHyVAUPfB2W9FvD58XJXA4tJeiWH4FHAN0bYdtdXrWxUuPh3nPdJMyrxsZEC&#10;TEpjw3nsDToZV2FET7tTmJxMNE6aq0leqNwN/D7LKu6k9XTByBGfDfZf+7MTsHvSG93XcjK7Wlk7&#10;L4fTm34V4vZmeXwAlnBJf2H41Sd16MjpGM5eRTYIWFdlQVEBZZ4TUKIsK4IjwboogHct//9D9wMA&#10;AP//AwBQSwECLQAUAAYACAAAACEAtoM4kv4AAADhAQAAEwAAAAAAAAAAAAAAAAAAAAAAW0NvbnRl&#10;bnRfVHlwZXNdLnhtbFBLAQItABQABgAIAAAAIQA4/SH/1gAAAJQBAAALAAAAAAAAAAAAAAAAAC8B&#10;AABfcmVscy8ucmVsc1BLAQItABQABgAIAAAAIQCv5MPgpAIAALwFAAAOAAAAAAAAAAAAAAAAAC4C&#10;AABkcnMvZTJvRG9jLnhtbFBLAQItABQABgAIAAAAIQA+EqW+3QAAAAsBAAAPAAAAAAAAAAAAAAAA&#10;AP4EAABkcnMvZG93bnJldi54bWxQSwUGAAAAAAQABADzAAAACAYAAAAA&#10;" fillcolor="white [3201]" strokeweight=".5pt">
                <v:textbox>
                  <w:txbxContent>
                    <w:p w14:paraId="457FE785" w14:textId="77777777" w:rsidR="00896A0E" w:rsidRPr="00896A0E" w:rsidRDefault="00896A0E" w:rsidP="00896A0E">
                      <w:pPr>
                        <w:rPr>
                          <w:rFonts w:eastAsia="SimSun"/>
                          <w:sz w:val="15"/>
                          <w:szCs w:val="15"/>
                          <w:lang w:eastAsia="zh-CN"/>
                        </w:rPr>
                      </w:pPr>
                      <w:r w:rsidRPr="00896A0E">
                        <w:rPr>
                          <w:rFonts w:eastAsia="SimSun" w:hint="eastAsia"/>
                          <w:i/>
                          <w:sz w:val="15"/>
                          <w:szCs w:val="15"/>
                          <w:lang w:eastAsia="zh-CN"/>
                        </w:rPr>
                        <w:t>P</w:t>
                      </w:r>
                      <w:r w:rsidRPr="00896A0E">
                        <w:rPr>
                          <w:rFonts w:eastAsia="SimSun" w:hint="eastAsia"/>
                          <w:sz w:val="15"/>
                          <w:szCs w:val="15"/>
                          <w:lang w:eastAsia="zh-CN"/>
                        </w:rPr>
                        <w:t xml:space="preserve"> &lt; 0.05</w:t>
                      </w:r>
                    </w:p>
                  </w:txbxContent>
                </v:textbox>
              </v:shape>
            </w:pict>
          </mc:Fallback>
        </mc:AlternateContent>
      </w:r>
      <w:r>
        <w:rPr>
          <w:rFonts w:ascii="Book Antiqua" w:hAnsi="Book Antiqua" w:cs="Arial"/>
          <w:noProof/>
          <w:lang w:val="en-US" w:eastAsia="zh-CN"/>
        </w:rPr>
        <mc:AlternateContent>
          <mc:Choice Requires="wps">
            <w:drawing>
              <wp:anchor distT="0" distB="0" distL="114300" distR="114300" simplePos="0" relativeHeight="251701248" behindDoc="0" locked="0" layoutInCell="1" allowOverlap="1" wp14:anchorId="2E90C4E3" wp14:editId="492C59DA">
                <wp:simplePos x="0" y="0"/>
                <wp:positionH relativeFrom="column">
                  <wp:posOffset>2605405</wp:posOffset>
                </wp:positionH>
                <wp:positionV relativeFrom="paragraph">
                  <wp:posOffset>3297555</wp:posOffset>
                </wp:positionV>
                <wp:extent cx="577850" cy="203200"/>
                <wp:effectExtent l="0" t="0" r="12700" b="25400"/>
                <wp:wrapNone/>
                <wp:docPr id="25" name="文本框 25"/>
                <wp:cNvGraphicFramePr/>
                <a:graphic xmlns:a="http://schemas.openxmlformats.org/drawingml/2006/main">
                  <a:graphicData uri="http://schemas.microsoft.com/office/word/2010/wordprocessingShape">
                    <wps:wsp>
                      <wps:cNvSpPr txBox="1"/>
                      <wps:spPr>
                        <a:xfrm>
                          <a:off x="0" y="0"/>
                          <a:ext cx="577850" cy="20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0B6A44A9" w14:textId="77777777" w:rsidR="00896A0E" w:rsidRPr="00896A0E" w:rsidRDefault="00896A0E" w:rsidP="00896A0E">
                            <w:pPr>
                              <w:rPr>
                                <w:rFonts w:eastAsia="SimSun"/>
                                <w:sz w:val="15"/>
                                <w:szCs w:val="15"/>
                                <w:lang w:eastAsia="zh-CN"/>
                              </w:rPr>
                            </w:pPr>
                            <w:r w:rsidRPr="00896A0E">
                              <w:rPr>
                                <w:rFonts w:eastAsia="SimSun" w:hint="eastAsia"/>
                                <w:i/>
                                <w:sz w:val="15"/>
                                <w:szCs w:val="15"/>
                                <w:lang w:eastAsia="zh-CN"/>
                              </w:rPr>
                              <w:t>P</w:t>
                            </w:r>
                            <w:r w:rsidRPr="00896A0E">
                              <w:rPr>
                                <w:rFonts w:eastAsia="SimSun" w:hint="eastAsia"/>
                                <w:sz w:val="15"/>
                                <w:szCs w:val="15"/>
                                <w:lang w:eastAsia="zh-CN"/>
                              </w:rPr>
                              <w:t xml:space="preserve"> &lt; 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E90C4E3" id="文本框 25" o:spid="_x0000_s1047" type="#_x0000_t202" style="position:absolute;left:0;text-align:left;margin-left:205.15pt;margin-top:259.65pt;width:45.5pt;height:16pt;z-index:2517012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jRlXpQIAALwFAAAOAAAAZHJzL2Uyb0RvYy54bWysVM1OGzEQvlfqO1i+l00CARqxQSmIqhIC&#10;1FBxdrx2ssL2uLaT3fQB2jfoqZfe+1x5jo69myX8XKh62R17vhnPfPNzclprRVbC+RJMTvt7PUqE&#10;4VCUZp7TL7cX744p8YGZgikwIqdr4enp+O2bk8qOxAAWoArhCDoxflTZnC5CsKMs83whNPN7YIVB&#10;pQSnWcCjm2eFYxV61yob9HqHWQWusA648B5vzxslHSf/UgoerqX0IhCVU4wtpK9L31n8ZuMTNpo7&#10;Zhclb8Ng/xCFZqXBRztX5ywwsnTlM1e65A48yLDHQWcgZclFygGz6feeZDNdMCtSLkiOtx1N/v+5&#10;5VerG0fKIqeDISWGaazR5uePza8/m9/fCd4hQZX1I8RNLSJD/QFqLPT23uNlzLuWTsc/ZkRQj1Sv&#10;O3pFHQjHy+HR0fEQNRxVg94+li96yR6MrfPhowBNopBTh9VLpLLVpQ8NdAuJb3lQZXFRKpUOsWPE&#10;mXJkxbDWKqQQ0fkjlDKkyunhPobxzEN03dnPFOP3bXg7HtCfMtFSpN5qw4oENUQkKayViBhlPguJ&#10;3CY+XoiRcS5MF2dCR5TEjF5j2OIfonqNcZMHWqSXwYTOWJcGXMPSY2qL+y21ssFjDXfyjmKoZ3XT&#10;VF2jzKBYY/84aEbQW35RIuGXzIcb5nDmsDFwj4Rr/EgFWCVoJUoW4L69dB/xOAqopaTCGc6p/7pk&#10;TlCiPhkckvf9g4M49OlwMDwa4MHtama7GrPUZ4Ct08eNZXkSIz6orSgd6DtcN5P4KqqY4fh2TsNW&#10;PAvNZsF1xcVkkkA45paFSzO1PLqONMdGu63vmLNtoweckCvYTjsbPen3BhstDUyWAWSZhiES3bDa&#10;FgBXRBqndp3FHbR7TqiHpTv+CwAA//8DAFBLAwQUAAYACAAAACEAi92sxNsAAAALAQAADwAAAGRy&#10;cy9kb3ducmV2LnhtbEyPwU7DMAyG70i8Q2QkbiwpUNSVphOgwYUTA3HOGi+JaJIqybry9pgT3D7L&#10;v35/7jaLH9mMKbsYJFQrAQzDELULRsLH+/NVAywXFbQaY0AJ35hh05+fdarV8RTecN4Vw6gk5FZJ&#10;sKVMLed5sOhVXsUJA+0OMXlVaEyG66ROVO5Hfi3EHffKBbpg1YRPFoev3dFL2D6atRkaley20c7N&#10;y+fh1bxIeXmxPNwDK7iUvzD86pM69OS0j8egMxsl3FbihqIS6mpNQIlaVAR7gpqA9x3//0P/AwAA&#10;//8DAFBLAQItABQABgAIAAAAIQC2gziS/gAAAOEBAAATAAAAAAAAAAAAAAAAAAAAAABbQ29udGVu&#10;dF9UeXBlc10ueG1sUEsBAi0AFAAGAAgAAAAhADj9If/WAAAAlAEAAAsAAAAAAAAAAAAAAAAALwEA&#10;AF9yZWxzLy5yZWxzUEsBAi0AFAAGAAgAAAAhACONGVelAgAAvAUAAA4AAAAAAAAAAAAAAAAALgIA&#10;AGRycy9lMm9Eb2MueG1sUEsBAi0AFAAGAAgAAAAhAIvdrMTbAAAACwEAAA8AAAAAAAAAAAAAAAAA&#10;/wQAAGRycy9kb3ducmV2LnhtbFBLBQYAAAAABAAEAPMAAAAHBgAAAAA=&#10;" fillcolor="white [3201]" strokeweight=".5pt">
                <v:textbox>
                  <w:txbxContent>
                    <w:p w14:paraId="0B6A44A9" w14:textId="77777777" w:rsidR="00896A0E" w:rsidRPr="00896A0E" w:rsidRDefault="00896A0E" w:rsidP="00896A0E">
                      <w:pPr>
                        <w:rPr>
                          <w:rFonts w:eastAsia="SimSun"/>
                          <w:sz w:val="15"/>
                          <w:szCs w:val="15"/>
                          <w:lang w:eastAsia="zh-CN"/>
                        </w:rPr>
                      </w:pPr>
                      <w:r w:rsidRPr="00896A0E">
                        <w:rPr>
                          <w:rFonts w:eastAsia="SimSun" w:hint="eastAsia"/>
                          <w:i/>
                          <w:sz w:val="15"/>
                          <w:szCs w:val="15"/>
                          <w:lang w:eastAsia="zh-CN"/>
                        </w:rPr>
                        <w:t>P</w:t>
                      </w:r>
                      <w:r w:rsidRPr="00896A0E">
                        <w:rPr>
                          <w:rFonts w:eastAsia="SimSun" w:hint="eastAsia"/>
                          <w:sz w:val="15"/>
                          <w:szCs w:val="15"/>
                          <w:lang w:eastAsia="zh-CN"/>
                        </w:rPr>
                        <w:t xml:space="preserve"> &lt; 0.05</w:t>
                      </w:r>
                    </w:p>
                  </w:txbxContent>
                </v:textbox>
              </v:shape>
            </w:pict>
          </mc:Fallback>
        </mc:AlternateContent>
      </w:r>
      <w:r>
        <w:rPr>
          <w:rFonts w:ascii="Book Antiqua" w:hAnsi="Book Antiqua" w:cs="Arial"/>
          <w:noProof/>
          <w:lang w:val="en-US" w:eastAsia="zh-CN"/>
        </w:rPr>
        <mc:AlternateContent>
          <mc:Choice Requires="wps">
            <w:drawing>
              <wp:anchor distT="0" distB="0" distL="114300" distR="114300" simplePos="0" relativeHeight="251699200" behindDoc="0" locked="0" layoutInCell="1" allowOverlap="1" wp14:anchorId="39F1E771" wp14:editId="225D8C68">
                <wp:simplePos x="0" y="0"/>
                <wp:positionH relativeFrom="column">
                  <wp:posOffset>2954655</wp:posOffset>
                </wp:positionH>
                <wp:positionV relativeFrom="paragraph">
                  <wp:posOffset>3094355</wp:posOffset>
                </wp:positionV>
                <wp:extent cx="577850" cy="203200"/>
                <wp:effectExtent l="0" t="0" r="12700" b="25400"/>
                <wp:wrapNone/>
                <wp:docPr id="24" name="文本框 24"/>
                <wp:cNvGraphicFramePr/>
                <a:graphic xmlns:a="http://schemas.openxmlformats.org/drawingml/2006/main">
                  <a:graphicData uri="http://schemas.microsoft.com/office/word/2010/wordprocessingShape">
                    <wps:wsp>
                      <wps:cNvSpPr txBox="1"/>
                      <wps:spPr>
                        <a:xfrm>
                          <a:off x="0" y="0"/>
                          <a:ext cx="577850" cy="2032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203B3184" w14:textId="7097D5CD" w:rsidR="00896A0E" w:rsidRPr="00896A0E" w:rsidRDefault="00896A0E">
                            <w:pPr>
                              <w:rPr>
                                <w:rFonts w:eastAsia="SimSun"/>
                                <w:sz w:val="15"/>
                                <w:szCs w:val="15"/>
                                <w:lang w:eastAsia="zh-CN"/>
                              </w:rPr>
                            </w:pPr>
                            <w:r w:rsidRPr="00896A0E">
                              <w:rPr>
                                <w:rFonts w:eastAsia="SimSun" w:hint="eastAsia"/>
                                <w:i/>
                                <w:sz w:val="15"/>
                                <w:szCs w:val="15"/>
                                <w:lang w:eastAsia="zh-CN"/>
                              </w:rPr>
                              <w:t>P</w:t>
                            </w:r>
                            <w:r w:rsidRPr="00896A0E">
                              <w:rPr>
                                <w:rFonts w:eastAsia="SimSun" w:hint="eastAsia"/>
                                <w:sz w:val="15"/>
                                <w:szCs w:val="15"/>
                                <w:lang w:eastAsia="zh-CN"/>
                              </w:rPr>
                              <w:t xml:space="preserve"> &lt; 0.05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9F1E771" id="文本框 24" o:spid="_x0000_s1048" type="#_x0000_t202" style="position:absolute;left:0;text-align:left;margin-left:232.65pt;margin-top:243.65pt;width:45.5pt;height:16pt;z-index:2516992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FuRkpgIAALwFAAAOAAAAZHJzL2Uyb0RvYy54bWysVEtu2zAQ3RfoHQjuG9mO86kROXATpCgQ&#10;JEGdImuaIm0hJIclaUvuAdobdNVN9z2Xz9EhJTnOZ5OiG2nIeTOcefM5Oa21IivhfAkmp/29HiXC&#10;cChKM8/pl9uLd8eU+MBMwRQYkdO18PR0/PbNSWVHYgALUIVwBJ0YP6psThch2FGWeb4Qmvk9sMKg&#10;UoLTLODRzbPCsQq9a5UNer3DrAJXWAdceI+3542SjpN/KQUP11J6EYjKKcYW0tel7yx+s/EJG80d&#10;s4uSt2Gwf4hCs9Lgo1tX5ywwsnTlM1e65A48yLDHQWcgZclFygGz6feeZDNdMCtSLkiOt1ua/P9z&#10;y69WN46URU4HQ0oM01ijzc8fm19/Nr+/E7xDgirrR4ibWkSG+gPUWOju3uNlzLuWTsc/ZkRQj1Sv&#10;t/SKOhCOlwdHR8cHqOGoGvT2sXzRS/ZgbJ0PHwVoEoWcOqxeIpWtLn1ooB0kvuVBlcVFqVQ6xI4R&#10;Z8qRFcNaq5BCROePUMqQKqeH+xjGMw/R9dZ+phi/b8Pb8YD+lImWIvVWG1YkqCEiSWGtRMQo81lI&#10;5Dbx8UKMjHNhtnEmdERJzOg1hi3+IarXGDd5oEV6GUzYGuvSgGtYekxtcd9RKxs81nAn7yiGelY3&#10;TTXoGmUGxRr7x0Ezgt7yixIJv2Q+3DCHM4eNgXskXONHKsAqQStRsgD37aX7iMdRQC0lFc5wTv3X&#10;JXOCEvXJ4JC87w+HcejTYXhwNMCD29XMdjVmqc8AW6ePG8vyJEZ8UJ0oHeg7XDeT+CqqmOH4dk5D&#10;J56FZrPguuJiMkkgHHPLwqWZWh5dR5pjo93Wd8zZttEDTsgVdNPORk/6vcFGSwOTZQBZpmGIRDes&#10;tgXAFZHGqV1ncQftnhPqYemO/wIAAP//AwBQSwMEFAAGAAgAAAAhAI77VQfcAAAACwEAAA8AAABk&#10;cnMvZG93bnJldi54bWxMj8FOwzAMhu9IvENkJG4sHaOlK00nQIPLTgzEOWuyJKJxqiTryttjTnD7&#10;LP/6/bndzH5gk47JBRSwXBTANPZBOTQCPt5fbmpgKUtUcgioBXzrBJvu8qKVjQpnfNPTPhtGJZga&#10;KcDmPDacp95qL9MijBppdwzRy0xjNFxFeaZyP/Dboqi4lw7pgpWjfra6/9qfvIDtk1mbvpbRbmvl&#10;3DR/HnfmVYjrq/nxAVjWc/4Lw68+qUNHTodwQpXYIOCuKlcUJajvCShRlhXBgWC5XgHvWv7/h+4H&#10;AAD//wMAUEsBAi0AFAAGAAgAAAAhALaDOJL+AAAA4QEAABMAAAAAAAAAAAAAAAAAAAAAAFtDb250&#10;ZW50X1R5cGVzXS54bWxQSwECLQAUAAYACAAAACEAOP0h/9YAAACUAQAACwAAAAAAAAAAAAAAAAAv&#10;AQAAX3JlbHMvLnJlbHNQSwECLQAUAAYACAAAACEAjRbkZKYCAAC8BQAADgAAAAAAAAAAAAAAAAAu&#10;AgAAZHJzL2Uyb0RvYy54bWxQSwECLQAUAAYACAAAACEAjvtVB9wAAAALAQAADwAAAAAAAAAAAAAA&#10;AAAABQAAZHJzL2Rvd25yZXYueG1sUEsFBgAAAAAEAAQA8wAAAAkGAAAAAA==&#10;" fillcolor="white [3201]" strokeweight=".5pt">
                <v:textbox>
                  <w:txbxContent>
                    <w:p w14:paraId="203B3184" w14:textId="7097D5CD" w:rsidR="00896A0E" w:rsidRPr="00896A0E" w:rsidRDefault="00896A0E">
                      <w:pPr>
                        <w:rPr>
                          <w:rFonts w:eastAsia="SimSun"/>
                          <w:sz w:val="15"/>
                          <w:szCs w:val="15"/>
                          <w:lang w:eastAsia="zh-CN"/>
                        </w:rPr>
                      </w:pPr>
                      <w:r w:rsidRPr="00896A0E">
                        <w:rPr>
                          <w:rFonts w:eastAsia="SimSun" w:hint="eastAsia"/>
                          <w:i/>
                          <w:sz w:val="15"/>
                          <w:szCs w:val="15"/>
                          <w:lang w:eastAsia="zh-CN"/>
                        </w:rPr>
                        <w:t>P</w:t>
                      </w:r>
                      <w:r w:rsidRPr="00896A0E">
                        <w:rPr>
                          <w:rFonts w:eastAsia="SimSun" w:hint="eastAsia"/>
                          <w:sz w:val="15"/>
                          <w:szCs w:val="15"/>
                          <w:lang w:eastAsia="zh-CN"/>
                        </w:rPr>
                        <w:t xml:space="preserve"> &lt; 0.05</w:t>
                      </w:r>
                    </w:p>
                  </w:txbxContent>
                </v:textbox>
              </v:shape>
            </w:pict>
          </mc:Fallback>
        </mc:AlternateContent>
      </w:r>
      <w:r w:rsidR="000E233E" w:rsidRPr="000E233E">
        <w:rPr>
          <w:rFonts w:ascii="Book Antiqua" w:hAnsi="Book Antiqua" w:cs="Arial"/>
          <w:noProof/>
          <w:lang w:val="en-US" w:eastAsia="zh-CN"/>
        </w:rPr>
        <w:drawing>
          <wp:inline distT="0" distB="0" distL="0" distR="0" wp14:anchorId="6F4D0658" wp14:editId="50C3C78A">
            <wp:extent cx="5756910" cy="4277995"/>
            <wp:effectExtent l="0" t="0" r="0" b="8255"/>
            <wp:docPr id="10" name="Grafik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ure 3 Sydor et. al.tif"/>
                    <pic:cNvPicPr/>
                  </pic:nvPicPr>
                  <pic:blipFill>
                    <a:blip r:embed="rId11">
                      <a:extLst>
                        <a:ext uri="{28A0092B-C50C-407E-A947-70E740481C1C}">
                          <a14:useLocalDpi xmlns:a14="http://schemas.microsoft.com/office/drawing/2010/main" val="0"/>
                        </a:ext>
                      </a:extLst>
                    </a:blip>
                    <a:stretch>
                      <a:fillRect/>
                    </a:stretch>
                  </pic:blipFill>
                  <pic:spPr>
                    <a:xfrm>
                      <a:off x="0" y="0"/>
                      <a:ext cx="5756910" cy="4277995"/>
                    </a:xfrm>
                    <a:prstGeom prst="rect">
                      <a:avLst/>
                    </a:prstGeom>
                  </pic:spPr>
                </pic:pic>
              </a:graphicData>
            </a:graphic>
          </wp:inline>
        </w:drawing>
      </w:r>
    </w:p>
    <w:p w14:paraId="2A99F5FF" w14:textId="243C6F2A" w:rsidR="000309B1" w:rsidRPr="00850E3B" w:rsidRDefault="000309B1" w:rsidP="00A741A5">
      <w:pPr>
        <w:spacing w:line="360" w:lineRule="auto"/>
        <w:jc w:val="both"/>
        <w:rPr>
          <w:rFonts w:ascii="Book Antiqua" w:eastAsia="SimSun" w:hAnsi="Book Antiqua"/>
          <w:b/>
          <w:lang w:val="en-US" w:eastAsia="zh-CN"/>
        </w:rPr>
      </w:pPr>
      <w:r w:rsidRPr="000E233E">
        <w:rPr>
          <w:rFonts w:ascii="Book Antiqua" w:hAnsi="Book Antiqua"/>
          <w:b/>
          <w:lang w:val="en-US"/>
        </w:rPr>
        <w:t>Figure 3</w:t>
      </w:r>
      <w:r w:rsidR="000E233E" w:rsidRPr="000E233E">
        <w:rPr>
          <w:rFonts w:ascii="Book Antiqua" w:eastAsia="SimSun" w:hAnsi="Book Antiqua" w:hint="eastAsia"/>
          <w:b/>
          <w:lang w:val="en-US" w:eastAsia="zh-CN"/>
        </w:rPr>
        <w:t xml:space="preserve"> </w:t>
      </w:r>
      <w:r w:rsidR="00B2604C" w:rsidRPr="000E233E">
        <w:rPr>
          <w:rFonts w:ascii="Book Antiqua" w:hAnsi="Book Antiqua"/>
          <w:b/>
          <w:lang w:val="en-US"/>
        </w:rPr>
        <w:t>Impact of treatment with BI6727 and cisplatin on Bax and Bcl-2 expression in CCA cell lines.</w:t>
      </w:r>
      <w:r w:rsidRPr="000E233E">
        <w:rPr>
          <w:rFonts w:ascii="Book Antiqua" w:hAnsi="Book Antiqua"/>
          <w:b/>
          <w:lang w:val="en-US"/>
        </w:rPr>
        <w:t xml:space="preserve"> </w:t>
      </w:r>
      <w:r w:rsidR="00B2604C" w:rsidRPr="000E233E">
        <w:rPr>
          <w:rFonts w:ascii="Book Antiqua" w:hAnsi="Book Antiqua"/>
          <w:lang w:val="en-US"/>
        </w:rPr>
        <w:t>Bax expression levels were determined in KMCH-1 (A-C) and Mz-Ch-1 (D-F) cells after treatment with BI6727 (200 n</w:t>
      </w:r>
      <w:r w:rsidR="000E233E">
        <w:rPr>
          <w:rFonts w:ascii="Book Antiqua" w:eastAsia="SimSun" w:hAnsi="Book Antiqua" w:hint="eastAsia"/>
          <w:lang w:val="en-US" w:eastAsia="zh-CN"/>
        </w:rPr>
        <w:t>mo/L</w:t>
      </w:r>
      <w:r w:rsidR="00B2604C" w:rsidRPr="000E233E">
        <w:rPr>
          <w:rFonts w:ascii="Book Antiqua" w:hAnsi="Book Antiqua"/>
          <w:lang w:val="en-US"/>
        </w:rPr>
        <w:t xml:space="preserve"> for 24</w:t>
      </w:r>
      <w:r w:rsidR="000E233E">
        <w:rPr>
          <w:rFonts w:ascii="Book Antiqua" w:eastAsia="SimSun" w:hAnsi="Book Antiqua" w:hint="eastAsia"/>
          <w:lang w:val="en-US" w:eastAsia="zh-CN"/>
        </w:rPr>
        <w:t xml:space="preserve"> </w:t>
      </w:r>
      <w:r w:rsidR="00B2604C" w:rsidRPr="000E233E">
        <w:rPr>
          <w:rFonts w:ascii="Book Antiqua" w:hAnsi="Book Antiqua"/>
          <w:lang w:val="en-US"/>
        </w:rPr>
        <w:t>h), cisplatin (1 m</w:t>
      </w:r>
      <w:r w:rsidR="003F28C9">
        <w:rPr>
          <w:rFonts w:ascii="Book Antiqua" w:eastAsia="SimSun" w:hAnsi="Book Antiqua" w:hint="eastAsia"/>
          <w:lang w:val="en-US" w:eastAsia="zh-CN"/>
        </w:rPr>
        <w:t>mo/L</w:t>
      </w:r>
      <w:r w:rsidR="00B2604C" w:rsidRPr="000E233E">
        <w:rPr>
          <w:rFonts w:ascii="Book Antiqua" w:hAnsi="Book Antiqua"/>
          <w:lang w:val="en-US"/>
        </w:rPr>
        <w:t xml:space="preserve"> for 24</w:t>
      </w:r>
      <w:r w:rsidR="003F28C9">
        <w:rPr>
          <w:rFonts w:ascii="Book Antiqua" w:eastAsia="SimSun" w:hAnsi="Book Antiqua" w:hint="eastAsia"/>
          <w:lang w:val="en-US" w:eastAsia="zh-CN"/>
        </w:rPr>
        <w:t xml:space="preserve"> </w:t>
      </w:r>
      <w:r w:rsidR="00B2604C" w:rsidRPr="000E233E">
        <w:rPr>
          <w:rFonts w:ascii="Book Antiqua" w:hAnsi="Book Antiqua"/>
          <w:lang w:val="en-US"/>
        </w:rPr>
        <w:t xml:space="preserve">h) or the combination of both components. </w:t>
      </w:r>
      <w:r w:rsidR="00B2604C" w:rsidRPr="000E233E">
        <w:rPr>
          <w:rFonts w:ascii="Book Antiqua" w:hAnsi="Book Antiqua"/>
          <w:i/>
          <w:lang w:val="en-US"/>
        </w:rPr>
        <w:t>Bax</w:t>
      </w:r>
      <w:r w:rsidR="00B2604C" w:rsidRPr="000E233E">
        <w:rPr>
          <w:rFonts w:ascii="Book Antiqua" w:hAnsi="Book Antiqua"/>
          <w:lang w:val="en-US"/>
        </w:rPr>
        <w:t xml:space="preserve"> mRNA levels were measu</w:t>
      </w:r>
      <w:r w:rsidR="000E233E">
        <w:rPr>
          <w:rFonts w:ascii="Book Antiqua" w:hAnsi="Book Antiqua"/>
          <w:lang w:val="en-US"/>
        </w:rPr>
        <w:t>red by qRT-PCR (A, D; mean ± SE</w:t>
      </w:r>
      <w:r w:rsidR="00B2604C" w:rsidRPr="000E233E">
        <w:rPr>
          <w:rFonts w:ascii="Book Antiqua" w:hAnsi="Book Antiqua"/>
          <w:lang w:val="en-US"/>
        </w:rPr>
        <w:t xml:space="preserve">, </w:t>
      </w:r>
      <w:r w:rsidR="005641E0" w:rsidRPr="000E233E">
        <w:rPr>
          <w:rFonts w:ascii="Book Antiqua" w:hAnsi="Book Antiqua"/>
          <w:i/>
          <w:lang w:val="en-US"/>
        </w:rPr>
        <w:t xml:space="preserve">n = </w:t>
      </w:r>
      <w:r w:rsidR="00B2604C" w:rsidRPr="000E233E">
        <w:rPr>
          <w:rFonts w:ascii="Book Antiqua" w:hAnsi="Book Antiqua"/>
          <w:lang w:val="en-US"/>
        </w:rPr>
        <w:t xml:space="preserve"> 3), shown as foldchange compared to vehicle-treated cells. Representative Western blot images of Bax and the loading control actin are shown in panels B and E. </w:t>
      </w:r>
      <w:r w:rsidR="0092331F" w:rsidRPr="000E233E">
        <w:rPr>
          <w:rFonts w:ascii="Book Antiqua" w:hAnsi="Book Antiqua"/>
          <w:lang w:val="en-US"/>
        </w:rPr>
        <w:t>Bcl-2 protein levels were determined using Western blot analysis in treated Mz-Ch-1 cells. Proteasomal degradation was inhibited by co-treatment with MG-132 (1 µ</w:t>
      </w:r>
      <w:r w:rsidR="000E233E">
        <w:rPr>
          <w:rFonts w:ascii="Book Antiqua" w:eastAsia="SimSun" w:hAnsi="Book Antiqua" w:hint="eastAsia"/>
          <w:lang w:val="en-US" w:eastAsia="zh-CN"/>
        </w:rPr>
        <w:t>mo/L</w:t>
      </w:r>
      <w:r w:rsidR="0092331F" w:rsidRPr="000E233E">
        <w:rPr>
          <w:rFonts w:ascii="Book Antiqua" w:hAnsi="Book Antiqua"/>
          <w:lang w:val="en-US"/>
        </w:rPr>
        <w:t xml:space="preserve"> for 24</w:t>
      </w:r>
      <w:r w:rsidR="000E233E">
        <w:rPr>
          <w:rFonts w:ascii="Book Antiqua" w:eastAsia="SimSun" w:hAnsi="Book Antiqua" w:hint="eastAsia"/>
          <w:lang w:val="en-US" w:eastAsia="zh-CN"/>
        </w:rPr>
        <w:t xml:space="preserve"> </w:t>
      </w:r>
      <w:r w:rsidR="0092331F" w:rsidRPr="000E233E">
        <w:rPr>
          <w:rFonts w:ascii="Book Antiqua" w:hAnsi="Book Antiqua"/>
          <w:lang w:val="en-US"/>
        </w:rPr>
        <w:t>h) (G, H). Protein l</w:t>
      </w:r>
      <w:r w:rsidR="00B2604C" w:rsidRPr="000E233E">
        <w:rPr>
          <w:rFonts w:ascii="Book Antiqua" w:hAnsi="Book Antiqua"/>
          <w:lang w:val="en-US"/>
        </w:rPr>
        <w:t xml:space="preserve">evels were quantified by densitometry, normalized to the loading control and shown as foldchange compared to vehicle-treated cells (C, F, </w:t>
      </w:r>
      <w:r w:rsidR="0092331F" w:rsidRPr="000E233E">
        <w:rPr>
          <w:rFonts w:ascii="Book Antiqua" w:hAnsi="Book Antiqua"/>
          <w:lang w:val="en-US"/>
        </w:rPr>
        <w:t xml:space="preserve">H, </w:t>
      </w:r>
      <w:r w:rsidR="00B2604C" w:rsidRPr="000E233E">
        <w:rPr>
          <w:rFonts w:ascii="Book Antiqua" w:hAnsi="Book Antiqua"/>
          <w:lang w:val="en-US"/>
        </w:rPr>
        <w:t xml:space="preserve">mean ± </w:t>
      </w:r>
      <w:r w:rsidR="000E233E">
        <w:rPr>
          <w:rFonts w:ascii="Book Antiqua" w:hAnsi="Book Antiqua" w:cs="Arial"/>
          <w:lang w:val="en-US"/>
        </w:rPr>
        <w:t>SE</w:t>
      </w:r>
      <w:r w:rsidR="00B2604C" w:rsidRPr="000E233E">
        <w:rPr>
          <w:rFonts w:ascii="Book Antiqua" w:hAnsi="Book Antiqua" w:cs="Arial"/>
          <w:lang w:val="en-US"/>
        </w:rPr>
        <w:t xml:space="preserve">, </w:t>
      </w:r>
      <w:r w:rsidR="005641E0" w:rsidRPr="000E233E">
        <w:rPr>
          <w:rFonts w:ascii="Book Antiqua" w:hAnsi="Book Antiqua" w:cs="Arial"/>
          <w:i/>
          <w:lang w:val="en-US"/>
        </w:rPr>
        <w:t xml:space="preserve">n = </w:t>
      </w:r>
      <w:r w:rsidR="00B2604C" w:rsidRPr="000E233E">
        <w:rPr>
          <w:rFonts w:ascii="Book Antiqua" w:hAnsi="Book Antiqua" w:cs="Arial"/>
          <w:lang w:val="en-US"/>
        </w:rPr>
        <w:t>3</w:t>
      </w:r>
      <w:r w:rsidR="00B2604C" w:rsidRPr="000E233E">
        <w:rPr>
          <w:rFonts w:ascii="Book Antiqua" w:hAnsi="Book Antiqua"/>
          <w:lang w:val="en-US"/>
        </w:rPr>
        <w:t xml:space="preserve">); </w:t>
      </w:r>
      <w:r w:rsidR="00B2604C" w:rsidRPr="000E233E">
        <w:rPr>
          <w:rFonts w:ascii="Book Antiqua" w:hAnsi="Book Antiqua"/>
          <w:i/>
          <w:caps/>
          <w:lang w:val="en-US"/>
        </w:rPr>
        <w:t>p</w:t>
      </w:r>
      <w:r w:rsidR="00B2604C" w:rsidRPr="000E233E">
        <w:rPr>
          <w:rFonts w:ascii="Book Antiqua" w:hAnsi="Book Antiqua"/>
          <w:lang w:val="en-US"/>
        </w:rPr>
        <w:t xml:space="preserve">-values were determined using student </w:t>
      </w:r>
      <w:r w:rsidR="00B2604C" w:rsidRPr="000E233E">
        <w:rPr>
          <w:rFonts w:ascii="Book Antiqua" w:hAnsi="Book Antiqua"/>
          <w:i/>
          <w:lang w:val="en-US"/>
        </w:rPr>
        <w:t>t</w:t>
      </w:r>
      <w:r w:rsidR="00B2604C" w:rsidRPr="000E233E">
        <w:rPr>
          <w:rFonts w:ascii="Book Antiqua" w:hAnsi="Book Antiqua"/>
          <w:lang w:val="en-US"/>
        </w:rPr>
        <w:t xml:space="preserve">-test. </w:t>
      </w:r>
      <w:r w:rsidR="0023397D" w:rsidRPr="00DF2968">
        <w:rPr>
          <w:rFonts w:ascii="Book Antiqua" w:hAnsi="Book Antiqua"/>
          <w:lang w:val="en-US"/>
        </w:rPr>
        <w:t>CCA</w:t>
      </w:r>
      <w:r w:rsidR="0023397D">
        <w:rPr>
          <w:rFonts w:ascii="Book Antiqua" w:eastAsia="SimSun" w:hAnsi="Book Antiqua" w:hint="eastAsia"/>
          <w:lang w:val="en-US" w:eastAsia="zh-CN"/>
        </w:rPr>
        <w:t xml:space="preserve">: </w:t>
      </w:r>
      <w:r w:rsidR="0023397D" w:rsidRPr="0023397D">
        <w:rPr>
          <w:rFonts w:ascii="Book Antiqua" w:hAnsi="Book Antiqua"/>
          <w:caps/>
          <w:lang w:val="en-US"/>
        </w:rPr>
        <w:t>c</w:t>
      </w:r>
      <w:r w:rsidR="0023397D" w:rsidRPr="00DF2968">
        <w:rPr>
          <w:rFonts w:ascii="Book Antiqua" w:hAnsi="Book Antiqua"/>
          <w:lang w:val="en-US"/>
        </w:rPr>
        <w:t>holangiocarcinoma</w:t>
      </w:r>
      <w:r w:rsidR="0023397D">
        <w:rPr>
          <w:rFonts w:ascii="Book Antiqua" w:eastAsia="SimSun" w:hAnsi="Book Antiqua" w:hint="eastAsia"/>
          <w:lang w:val="en-US" w:eastAsia="zh-CN"/>
        </w:rPr>
        <w:t>;</w:t>
      </w:r>
      <w:r w:rsidR="00850E3B">
        <w:rPr>
          <w:rFonts w:ascii="Book Antiqua" w:eastAsia="SimSun" w:hAnsi="Book Antiqua" w:hint="eastAsia"/>
          <w:lang w:val="en-US" w:eastAsia="zh-CN"/>
        </w:rPr>
        <w:t xml:space="preserve"> </w:t>
      </w:r>
      <w:r w:rsidR="00850E3B" w:rsidRPr="00DF2968">
        <w:rPr>
          <w:rFonts w:ascii="Book Antiqua" w:hAnsi="Book Antiqua"/>
          <w:lang w:val="en-US"/>
        </w:rPr>
        <w:t>Bcl-2</w:t>
      </w:r>
      <w:r w:rsidR="00850E3B">
        <w:rPr>
          <w:rFonts w:ascii="Book Antiqua" w:eastAsia="SimSun" w:hAnsi="Book Antiqua" w:hint="eastAsia"/>
          <w:lang w:val="en-US" w:eastAsia="zh-CN"/>
        </w:rPr>
        <w:t xml:space="preserve">; </w:t>
      </w:r>
      <w:r w:rsidR="00850E3B" w:rsidRPr="00DF2968">
        <w:rPr>
          <w:rFonts w:ascii="Book Antiqua" w:hAnsi="Book Antiqua"/>
          <w:lang w:val="en-US"/>
        </w:rPr>
        <w:t>B-cell lymphoma 2</w:t>
      </w:r>
      <w:r w:rsidR="00850E3B">
        <w:rPr>
          <w:rFonts w:ascii="Book Antiqua" w:eastAsia="SimSun" w:hAnsi="Book Antiqua" w:hint="eastAsia"/>
          <w:lang w:val="en-US" w:eastAsia="zh-CN"/>
        </w:rPr>
        <w:t>.</w:t>
      </w:r>
    </w:p>
    <w:p w14:paraId="416D72A3" w14:textId="77777777" w:rsidR="000429F0" w:rsidRPr="00DF2968" w:rsidRDefault="000429F0" w:rsidP="00A741A5">
      <w:pPr>
        <w:spacing w:line="360" w:lineRule="auto"/>
        <w:jc w:val="both"/>
        <w:rPr>
          <w:rFonts w:ascii="Book Antiqua" w:hAnsi="Book Antiqua" w:cs="Arial"/>
          <w:lang w:val="en-US" w:eastAsia="en-US"/>
        </w:rPr>
      </w:pPr>
    </w:p>
    <w:p w14:paraId="1ED3A584" w14:textId="77777777" w:rsidR="000429F0" w:rsidRPr="00DF2968" w:rsidRDefault="000429F0" w:rsidP="00A741A5">
      <w:pPr>
        <w:spacing w:line="360" w:lineRule="auto"/>
        <w:jc w:val="both"/>
        <w:rPr>
          <w:rFonts w:ascii="Book Antiqua" w:hAnsi="Book Antiqua" w:cs="Arial"/>
          <w:lang w:val="en-US" w:eastAsia="en-US"/>
        </w:rPr>
      </w:pPr>
    </w:p>
    <w:p w14:paraId="118FE37F" w14:textId="3D8157CE" w:rsidR="000429F0" w:rsidRPr="00DF2968" w:rsidRDefault="000429F0" w:rsidP="00A741A5">
      <w:pPr>
        <w:spacing w:line="360" w:lineRule="auto"/>
        <w:jc w:val="both"/>
        <w:rPr>
          <w:rFonts w:ascii="Book Antiqua" w:hAnsi="Book Antiqua" w:cs="Arial"/>
          <w:lang w:val="en-US" w:eastAsia="en-US"/>
        </w:rPr>
      </w:pPr>
    </w:p>
    <w:sectPr w:rsidR="000429F0" w:rsidRPr="00DF2968" w:rsidSect="00A17D27">
      <w:footerReference w:type="even" r:id="rId12"/>
      <w:footerReference w:type="default" r:id="rId13"/>
      <w:pgSz w:w="11900" w:h="16840"/>
      <w:pgMar w:top="1417" w:right="1417" w:bottom="1134" w:left="1417"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D90F342" w14:textId="77777777" w:rsidR="008A1178" w:rsidRDefault="008A1178" w:rsidP="00AC6E25">
      <w:r>
        <w:separator/>
      </w:r>
    </w:p>
  </w:endnote>
  <w:endnote w:type="continuationSeparator" w:id="0">
    <w:p w14:paraId="457CA818" w14:textId="77777777" w:rsidR="008A1178" w:rsidRDefault="008A1178" w:rsidP="00AC6E2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roman"/>
    <w:pitch w:val="variable"/>
    <w:sig w:usb0="E00002FF" w:usb1="400004FF" w:usb2="00000000" w:usb3="00000000" w:csb0="0000019F" w:csb1="00000000"/>
  </w:font>
  <w:font w:name="MS Mincho">
    <w:altName w:val="ＭＳ 明朝"/>
    <w:panose1 w:val="02020609040205080304"/>
    <w:charset w:val="80"/>
    <w:family w:val="modern"/>
    <w:pitch w:val="fixed"/>
    <w:sig w:usb0="E00002FF" w:usb1="6AC7FDFB" w:usb2="00000012" w:usb3="00000000" w:csb0="0002009F" w:csb1="00000000"/>
  </w:font>
  <w:font w:name="Lucida Grande">
    <w:charset w:val="00"/>
    <w:family w:val="auto"/>
    <w:pitch w:val="variable"/>
    <w:sig w:usb0="A1002AE7" w:usb1="C0000063" w:usb2="00000038" w:usb3="00000000" w:csb0="000000BF" w:csb1="00000000"/>
  </w:font>
  <w:font w:name="Arial">
    <w:panose1 w:val="020B0604020202020204"/>
    <w:charset w:val="00"/>
    <w:family w:val="swiss"/>
    <w:pitch w:val="variable"/>
    <w:sig w:usb0="E0002AFF" w:usb1="C0007843" w:usb2="00000009" w:usb3="00000000" w:csb0="000001FF" w:csb1="00000000"/>
  </w:font>
  <w:font w:name="Times">
    <w:panose1 w:val="02020603050405020304"/>
    <w:charset w:val="00"/>
    <w:family w:val="roman"/>
    <w:notTrueType/>
    <w:pitch w:val="default"/>
  </w:font>
  <w:font w:name="Book Antiqua">
    <w:panose1 w:val="02040602050305030304"/>
    <w:charset w:val="00"/>
    <w:family w:val="roman"/>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AdvTimes">
    <w:altName w:val="MingLiU"/>
    <w:panose1 w:val="00000000000000000000"/>
    <w:charset w:val="88"/>
    <w:family w:val="auto"/>
    <w:notTrueType/>
    <w:pitch w:val="default"/>
    <w:sig w:usb0="00000001" w:usb1="08080000" w:usb2="00000010" w:usb3="00000000" w:csb0="00100000" w:csb1="00000000"/>
  </w:font>
  <w:font w:name="Arial Unicode MS">
    <w:panose1 w:val="020B0604020202020204"/>
    <w:charset w:val="80"/>
    <w:family w:val="swiss"/>
    <w:pitch w:val="variable"/>
    <w:sig w:usb0="F7FFAFFF" w:usb1="E9DFFFFF" w:usb2="0000003F" w:usb3="00000000" w:csb0="003F01FF" w:csb1="00000000"/>
  </w:font>
  <w:font w:name="Helvetica">
    <w:panose1 w:val="020B0604020202020204"/>
    <w:charset w:val="00"/>
    <w:family w:val="swiss"/>
    <w:notTrueType/>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0000012" w:usb3="00000000" w:csb0="0002009F" w:csb1="00000000"/>
  </w:font>
  <w:font w:name="Calibri">
    <w:panose1 w:val="020F0502020204030204"/>
    <w:charset w:val="00"/>
    <w:family w:val="swiss"/>
    <w:pitch w:val="variable"/>
    <w:sig w:usb0="E00002FF" w:usb1="4000ACFF" w:usb2="00000001"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1D9C4B9" w14:textId="77777777" w:rsidR="007356A7" w:rsidRDefault="007356A7" w:rsidP="00974D4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75928A8A" w14:textId="77777777" w:rsidR="007356A7" w:rsidRDefault="007356A7">
    <w:pPr>
      <w:pStyle w:val="Foote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9DEEDDB" w14:textId="77777777" w:rsidR="007356A7" w:rsidRDefault="007356A7" w:rsidP="00974D4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separate"/>
    </w:r>
    <w:r w:rsidR="009E7A66">
      <w:rPr>
        <w:rStyle w:val="PageNumber"/>
        <w:noProof/>
      </w:rPr>
      <w:t>24</w:t>
    </w:r>
    <w:r>
      <w:rPr>
        <w:rStyle w:val="PageNumber"/>
      </w:rPr>
      <w:fldChar w:fldCharType="end"/>
    </w:r>
  </w:p>
  <w:p w14:paraId="02308159" w14:textId="77777777" w:rsidR="007356A7" w:rsidRDefault="007356A7">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ACF924E" w14:textId="77777777" w:rsidR="008A1178" w:rsidRDefault="008A1178" w:rsidP="00AC6E25">
      <w:r>
        <w:separator/>
      </w:r>
    </w:p>
  </w:footnote>
  <w:footnote w:type="continuationSeparator" w:id="0">
    <w:p w14:paraId="24D52AB6" w14:textId="77777777" w:rsidR="008A1178" w:rsidRDefault="008A1178" w:rsidP="00AC6E25">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440D6811"/>
    <w:multiLevelType w:val="hybridMultilevel"/>
    <w:tmpl w:val="2FDEA88A"/>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15:restartNumberingAfterBreak="0">
    <w:nsid w:val="5B3E114F"/>
    <w:multiLevelType w:val="hybridMultilevel"/>
    <w:tmpl w:val="7524699A"/>
    <w:lvl w:ilvl="0" w:tplc="63202D26">
      <w:start w:val="1"/>
      <w:numFmt w:val="decimal"/>
      <w:lvlText w:val="(%1)"/>
      <w:lvlJc w:val="left"/>
      <w:pPr>
        <w:ind w:left="720" w:hanging="360"/>
      </w:pPr>
      <w:rPr>
        <w:rFonts w:cs="Times New Roman" w:hint="default"/>
      </w:rPr>
    </w:lvl>
    <w:lvl w:ilvl="1" w:tplc="04070019" w:tentative="1">
      <w:start w:val="1"/>
      <w:numFmt w:val="lowerLetter"/>
      <w:lvlText w:val="%2."/>
      <w:lvlJc w:val="left"/>
      <w:pPr>
        <w:ind w:left="1440" w:hanging="360"/>
      </w:pPr>
      <w:rPr>
        <w:rFonts w:cs="Times New Roman"/>
      </w:rPr>
    </w:lvl>
    <w:lvl w:ilvl="2" w:tplc="0407001B" w:tentative="1">
      <w:start w:val="1"/>
      <w:numFmt w:val="lowerRoman"/>
      <w:lvlText w:val="%3."/>
      <w:lvlJc w:val="right"/>
      <w:pPr>
        <w:ind w:left="2160" w:hanging="180"/>
      </w:pPr>
      <w:rPr>
        <w:rFonts w:cs="Times New Roman"/>
      </w:rPr>
    </w:lvl>
    <w:lvl w:ilvl="3" w:tplc="0407000F" w:tentative="1">
      <w:start w:val="1"/>
      <w:numFmt w:val="decimal"/>
      <w:lvlText w:val="%4."/>
      <w:lvlJc w:val="left"/>
      <w:pPr>
        <w:ind w:left="2880" w:hanging="360"/>
      </w:pPr>
      <w:rPr>
        <w:rFonts w:cs="Times New Roman"/>
      </w:rPr>
    </w:lvl>
    <w:lvl w:ilvl="4" w:tplc="04070019" w:tentative="1">
      <w:start w:val="1"/>
      <w:numFmt w:val="lowerLetter"/>
      <w:lvlText w:val="%5."/>
      <w:lvlJc w:val="left"/>
      <w:pPr>
        <w:ind w:left="3600" w:hanging="360"/>
      </w:pPr>
      <w:rPr>
        <w:rFonts w:cs="Times New Roman"/>
      </w:rPr>
    </w:lvl>
    <w:lvl w:ilvl="5" w:tplc="0407001B" w:tentative="1">
      <w:start w:val="1"/>
      <w:numFmt w:val="lowerRoman"/>
      <w:lvlText w:val="%6."/>
      <w:lvlJc w:val="right"/>
      <w:pPr>
        <w:ind w:left="4320" w:hanging="180"/>
      </w:pPr>
      <w:rPr>
        <w:rFonts w:cs="Times New Roman"/>
      </w:rPr>
    </w:lvl>
    <w:lvl w:ilvl="6" w:tplc="0407000F" w:tentative="1">
      <w:start w:val="1"/>
      <w:numFmt w:val="decimal"/>
      <w:lvlText w:val="%7."/>
      <w:lvlJc w:val="left"/>
      <w:pPr>
        <w:ind w:left="5040" w:hanging="360"/>
      </w:pPr>
      <w:rPr>
        <w:rFonts w:cs="Times New Roman"/>
      </w:rPr>
    </w:lvl>
    <w:lvl w:ilvl="7" w:tplc="04070019" w:tentative="1">
      <w:start w:val="1"/>
      <w:numFmt w:val="lowerLetter"/>
      <w:lvlText w:val="%8."/>
      <w:lvlJc w:val="left"/>
      <w:pPr>
        <w:ind w:left="5760" w:hanging="360"/>
      </w:pPr>
      <w:rPr>
        <w:rFonts w:cs="Times New Roman"/>
      </w:rPr>
    </w:lvl>
    <w:lvl w:ilvl="8" w:tplc="0407001B" w:tentative="1">
      <w:start w:val="1"/>
      <w:numFmt w:val="lowerRoman"/>
      <w:lvlText w:val="%9."/>
      <w:lvlJc w:val="right"/>
      <w:pPr>
        <w:ind w:left="6480" w:hanging="180"/>
      </w:pPr>
      <w:rPr>
        <w:rFonts w:cs="Times New Roman"/>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bordersDoNotSurroundHeader/>
  <w:bordersDoNotSurroundFooter/>
  <w:defaultTabStop w:val="708"/>
  <w:hyphenationZone w:val="425"/>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6641E8"/>
    <w:rsid w:val="00000617"/>
    <w:rsid w:val="000010BD"/>
    <w:rsid w:val="00003D07"/>
    <w:rsid w:val="00007EAB"/>
    <w:rsid w:val="000153F9"/>
    <w:rsid w:val="00023B0A"/>
    <w:rsid w:val="0002635D"/>
    <w:rsid w:val="00026A8A"/>
    <w:rsid w:val="00026CE1"/>
    <w:rsid w:val="00027441"/>
    <w:rsid w:val="00027B62"/>
    <w:rsid w:val="000309B1"/>
    <w:rsid w:val="00032619"/>
    <w:rsid w:val="00036815"/>
    <w:rsid w:val="00036877"/>
    <w:rsid w:val="000370C7"/>
    <w:rsid w:val="000429F0"/>
    <w:rsid w:val="00045E07"/>
    <w:rsid w:val="000470FD"/>
    <w:rsid w:val="00052DD4"/>
    <w:rsid w:val="00053652"/>
    <w:rsid w:val="0005449B"/>
    <w:rsid w:val="00055794"/>
    <w:rsid w:val="00062711"/>
    <w:rsid w:val="000632DC"/>
    <w:rsid w:val="00071199"/>
    <w:rsid w:val="00075708"/>
    <w:rsid w:val="00080AE8"/>
    <w:rsid w:val="00091B10"/>
    <w:rsid w:val="000929C8"/>
    <w:rsid w:val="000A3C86"/>
    <w:rsid w:val="000A55AD"/>
    <w:rsid w:val="000B1BDB"/>
    <w:rsid w:val="000C087F"/>
    <w:rsid w:val="000C1ED9"/>
    <w:rsid w:val="000C4FB1"/>
    <w:rsid w:val="000C678A"/>
    <w:rsid w:val="000C79C3"/>
    <w:rsid w:val="000D1FA8"/>
    <w:rsid w:val="000D2893"/>
    <w:rsid w:val="000D69DC"/>
    <w:rsid w:val="000E233E"/>
    <w:rsid w:val="000E3BA8"/>
    <w:rsid w:val="000E7352"/>
    <w:rsid w:val="000E77BC"/>
    <w:rsid w:val="001008D3"/>
    <w:rsid w:val="00100C7E"/>
    <w:rsid w:val="0011429A"/>
    <w:rsid w:val="00115E84"/>
    <w:rsid w:val="001260A1"/>
    <w:rsid w:val="00130413"/>
    <w:rsid w:val="00137843"/>
    <w:rsid w:val="00137F77"/>
    <w:rsid w:val="00140932"/>
    <w:rsid w:val="001413FD"/>
    <w:rsid w:val="00145DC2"/>
    <w:rsid w:val="0015025E"/>
    <w:rsid w:val="00152DA3"/>
    <w:rsid w:val="00155C64"/>
    <w:rsid w:val="00157251"/>
    <w:rsid w:val="00157F71"/>
    <w:rsid w:val="00165782"/>
    <w:rsid w:val="0017702C"/>
    <w:rsid w:val="00177089"/>
    <w:rsid w:val="0018357F"/>
    <w:rsid w:val="00187FE5"/>
    <w:rsid w:val="00190D10"/>
    <w:rsid w:val="001A74E6"/>
    <w:rsid w:val="001B3E04"/>
    <w:rsid w:val="001B59EF"/>
    <w:rsid w:val="001C2773"/>
    <w:rsid w:val="001C4D2A"/>
    <w:rsid w:val="001C7704"/>
    <w:rsid w:val="001D1F44"/>
    <w:rsid w:val="001D2A6F"/>
    <w:rsid w:val="001D3A11"/>
    <w:rsid w:val="001D60F0"/>
    <w:rsid w:val="001D6143"/>
    <w:rsid w:val="001D7B21"/>
    <w:rsid w:val="001E34DF"/>
    <w:rsid w:val="001E49DD"/>
    <w:rsid w:val="001E66B8"/>
    <w:rsid w:val="001F0561"/>
    <w:rsid w:val="001F0E4D"/>
    <w:rsid w:val="001F3EED"/>
    <w:rsid w:val="00201106"/>
    <w:rsid w:val="002030EB"/>
    <w:rsid w:val="00204B47"/>
    <w:rsid w:val="00214A04"/>
    <w:rsid w:val="002222D9"/>
    <w:rsid w:val="00225783"/>
    <w:rsid w:val="00225F76"/>
    <w:rsid w:val="0023397D"/>
    <w:rsid w:val="00240BF2"/>
    <w:rsid w:val="002420E2"/>
    <w:rsid w:val="00247DFE"/>
    <w:rsid w:val="00247E6D"/>
    <w:rsid w:val="002530BE"/>
    <w:rsid w:val="0026326E"/>
    <w:rsid w:val="00263FB2"/>
    <w:rsid w:val="00267662"/>
    <w:rsid w:val="002740CB"/>
    <w:rsid w:val="00284DFF"/>
    <w:rsid w:val="002A1AA0"/>
    <w:rsid w:val="002B3E33"/>
    <w:rsid w:val="002C402F"/>
    <w:rsid w:val="002D00C7"/>
    <w:rsid w:val="002D383E"/>
    <w:rsid w:val="002D7250"/>
    <w:rsid w:val="002D79DB"/>
    <w:rsid w:val="002E23B8"/>
    <w:rsid w:val="002E3BEB"/>
    <w:rsid w:val="002F051A"/>
    <w:rsid w:val="002F1A08"/>
    <w:rsid w:val="002F3E6E"/>
    <w:rsid w:val="00302F46"/>
    <w:rsid w:val="00303461"/>
    <w:rsid w:val="003124E6"/>
    <w:rsid w:val="00312C8E"/>
    <w:rsid w:val="00313240"/>
    <w:rsid w:val="00314AE1"/>
    <w:rsid w:val="003155FB"/>
    <w:rsid w:val="003157EA"/>
    <w:rsid w:val="003161A7"/>
    <w:rsid w:val="0031706C"/>
    <w:rsid w:val="00320E11"/>
    <w:rsid w:val="00322C7B"/>
    <w:rsid w:val="00324058"/>
    <w:rsid w:val="0033421A"/>
    <w:rsid w:val="003500A3"/>
    <w:rsid w:val="00353237"/>
    <w:rsid w:val="0036465E"/>
    <w:rsid w:val="00377617"/>
    <w:rsid w:val="00380292"/>
    <w:rsid w:val="0038205F"/>
    <w:rsid w:val="00385397"/>
    <w:rsid w:val="00394317"/>
    <w:rsid w:val="003B6B70"/>
    <w:rsid w:val="003C2B40"/>
    <w:rsid w:val="003C3517"/>
    <w:rsid w:val="003C5E55"/>
    <w:rsid w:val="003C7A54"/>
    <w:rsid w:val="003D09F3"/>
    <w:rsid w:val="003D1811"/>
    <w:rsid w:val="003E0E60"/>
    <w:rsid w:val="003F1E45"/>
    <w:rsid w:val="003F28C9"/>
    <w:rsid w:val="003F2ECB"/>
    <w:rsid w:val="004071AB"/>
    <w:rsid w:val="00410438"/>
    <w:rsid w:val="004106DB"/>
    <w:rsid w:val="00412E0F"/>
    <w:rsid w:val="004140E2"/>
    <w:rsid w:val="00422DB5"/>
    <w:rsid w:val="0043071D"/>
    <w:rsid w:val="00433BE3"/>
    <w:rsid w:val="0043648C"/>
    <w:rsid w:val="00437F83"/>
    <w:rsid w:val="004401AD"/>
    <w:rsid w:val="0044066D"/>
    <w:rsid w:val="004411F8"/>
    <w:rsid w:val="00443F7A"/>
    <w:rsid w:val="0044421B"/>
    <w:rsid w:val="0044453D"/>
    <w:rsid w:val="00453F05"/>
    <w:rsid w:val="00461BF1"/>
    <w:rsid w:val="00464BCA"/>
    <w:rsid w:val="00464F28"/>
    <w:rsid w:val="0046696D"/>
    <w:rsid w:val="004855B3"/>
    <w:rsid w:val="00487B4C"/>
    <w:rsid w:val="004917A7"/>
    <w:rsid w:val="004974D8"/>
    <w:rsid w:val="004A0FB6"/>
    <w:rsid w:val="004A4AC8"/>
    <w:rsid w:val="004B78F2"/>
    <w:rsid w:val="004C026C"/>
    <w:rsid w:val="004C308E"/>
    <w:rsid w:val="004C7244"/>
    <w:rsid w:val="004D0480"/>
    <w:rsid w:val="004D2939"/>
    <w:rsid w:val="004D45B1"/>
    <w:rsid w:val="004F5D55"/>
    <w:rsid w:val="00501F9B"/>
    <w:rsid w:val="0050500B"/>
    <w:rsid w:val="00510EBD"/>
    <w:rsid w:val="00511F1A"/>
    <w:rsid w:val="0051243C"/>
    <w:rsid w:val="00513290"/>
    <w:rsid w:val="00513B5F"/>
    <w:rsid w:val="00514832"/>
    <w:rsid w:val="00522981"/>
    <w:rsid w:val="00525182"/>
    <w:rsid w:val="005330EB"/>
    <w:rsid w:val="00533D40"/>
    <w:rsid w:val="00536433"/>
    <w:rsid w:val="00540111"/>
    <w:rsid w:val="00540513"/>
    <w:rsid w:val="00545FC7"/>
    <w:rsid w:val="00546AC2"/>
    <w:rsid w:val="005479A0"/>
    <w:rsid w:val="005514AD"/>
    <w:rsid w:val="00551EC8"/>
    <w:rsid w:val="00555851"/>
    <w:rsid w:val="005641E0"/>
    <w:rsid w:val="00564AA9"/>
    <w:rsid w:val="0058324E"/>
    <w:rsid w:val="00586C29"/>
    <w:rsid w:val="00587FCA"/>
    <w:rsid w:val="00595B3C"/>
    <w:rsid w:val="00597430"/>
    <w:rsid w:val="005A4A40"/>
    <w:rsid w:val="005B2589"/>
    <w:rsid w:val="005C02E3"/>
    <w:rsid w:val="005C6DBD"/>
    <w:rsid w:val="005D0504"/>
    <w:rsid w:val="005D0C5C"/>
    <w:rsid w:val="005D64F7"/>
    <w:rsid w:val="005D65E5"/>
    <w:rsid w:val="005D6D7B"/>
    <w:rsid w:val="005E01C3"/>
    <w:rsid w:val="005E390C"/>
    <w:rsid w:val="005E7233"/>
    <w:rsid w:val="005F3753"/>
    <w:rsid w:val="006069BC"/>
    <w:rsid w:val="00606CF5"/>
    <w:rsid w:val="00611363"/>
    <w:rsid w:val="00621848"/>
    <w:rsid w:val="00622307"/>
    <w:rsid w:val="00631906"/>
    <w:rsid w:val="00634C64"/>
    <w:rsid w:val="00634F00"/>
    <w:rsid w:val="00635DA5"/>
    <w:rsid w:val="00636301"/>
    <w:rsid w:val="00636FA1"/>
    <w:rsid w:val="00650627"/>
    <w:rsid w:val="00654F16"/>
    <w:rsid w:val="0065536D"/>
    <w:rsid w:val="00655E30"/>
    <w:rsid w:val="00657507"/>
    <w:rsid w:val="00657AD2"/>
    <w:rsid w:val="00660B61"/>
    <w:rsid w:val="006641E8"/>
    <w:rsid w:val="006644A3"/>
    <w:rsid w:val="0067044D"/>
    <w:rsid w:val="00681070"/>
    <w:rsid w:val="00685E45"/>
    <w:rsid w:val="006909E8"/>
    <w:rsid w:val="00690B6F"/>
    <w:rsid w:val="0069724F"/>
    <w:rsid w:val="006A2E66"/>
    <w:rsid w:val="006A7022"/>
    <w:rsid w:val="006B1097"/>
    <w:rsid w:val="006B4103"/>
    <w:rsid w:val="006B4568"/>
    <w:rsid w:val="006B5B33"/>
    <w:rsid w:val="006B7B84"/>
    <w:rsid w:val="006C00B9"/>
    <w:rsid w:val="006C1B28"/>
    <w:rsid w:val="006C493B"/>
    <w:rsid w:val="006D208F"/>
    <w:rsid w:val="006D4F2D"/>
    <w:rsid w:val="006D57C1"/>
    <w:rsid w:val="006D602D"/>
    <w:rsid w:val="006D73B0"/>
    <w:rsid w:val="006E5BF3"/>
    <w:rsid w:val="006F3174"/>
    <w:rsid w:val="006F4741"/>
    <w:rsid w:val="00701D65"/>
    <w:rsid w:val="00714A6E"/>
    <w:rsid w:val="00714C75"/>
    <w:rsid w:val="00724F92"/>
    <w:rsid w:val="00730259"/>
    <w:rsid w:val="007332FC"/>
    <w:rsid w:val="007356A7"/>
    <w:rsid w:val="00741BA1"/>
    <w:rsid w:val="00753491"/>
    <w:rsid w:val="007579CD"/>
    <w:rsid w:val="007638DC"/>
    <w:rsid w:val="007831EE"/>
    <w:rsid w:val="007871B8"/>
    <w:rsid w:val="00787C75"/>
    <w:rsid w:val="007941F9"/>
    <w:rsid w:val="007A33D0"/>
    <w:rsid w:val="007B015C"/>
    <w:rsid w:val="007B167A"/>
    <w:rsid w:val="007B1AAF"/>
    <w:rsid w:val="007B2C8D"/>
    <w:rsid w:val="007B5CFF"/>
    <w:rsid w:val="007B727C"/>
    <w:rsid w:val="007C1603"/>
    <w:rsid w:val="007C1B20"/>
    <w:rsid w:val="007C4943"/>
    <w:rsid w:val="007C6B02"/>
    <w:rsid w:val="007C7E4E"/>
    <w:rsid w:val="007D2E0B"/>
    <w:rsid w:val="007E5271"/>
    <w:rsid w:val="007F73C2"/>
    <w:rsid w:val="00802DD7"/>
    <w:rsid w:val="008034AE"/>
    <w:rsid w:val="00805679"/>
    <w:rsid w:val="00805899"/>
    <w:rsid w:val="008144D0"/>
    <w:rsid w:val="008145C9"/>
    <w:rsid w:val="00815A56"/>
    <w:rsid w:val="00820F31"/>
    <w:rsid w:val="008245C1"/>
    <w:rsid w:val="008310A8"/>
    <w:rsid w:val="00850E3B"/>
    <w:rsid w:val="00856222"/>
    <w:rsid w:val="00857DB3"/>
    <w:rsid w:val="0086036A"/>
    <w:rsid w:val="00863C1B"/>
    <w:rsid w:val="00863C79"/>
    <w:rsid w:val="00866262"/>
    <w:rsid w:val="008712C0"/>
    <w:rsid w:val="008857E4"/>
    <w:rsid w:val="0088753F"/>
    <w:rsid w:val="00896A0E"/>
    <w:rsid w:val="008A1178"/>
    <w:rsid w:val="008A22B4"/>
    <w:rsid w:val="008A277C"/>
    <w:rsid w:val="008A2AC1"/>
    <w:rsid w:val="008A4D2E"/>
    <w:rsid w:val="008A5850"/>
    <w:rsid w:val="008A6227"/>
    <w:rsid w:val="008B221D"/>
    <w:rsid w:val="008B7885"/>
    <w:rsid w:val="008C15C7"/>
    <w:rsid w:val="008C434D"/>
    <w:rsid w:val="008C6D92"/>
    <w:rsid w:val="008D1CE6"/>
    <w:rsid w:val="008D262E"/>
    <w:rsid w:val="008D2CCF"/>
    <w:rsid w:val="008D3E91"/>
    <w:rsid w:val="008D4747"/>
    <w:rsid w:val="008D5E02"/>
    <w:rsid w:val="008D6055"/>
    <w:rsid w:val="008E1351"/>
    <w:rsid w:val="008F46F5"/>
    <w:rsid w:val="00902559"/>
    <w:rsid w:val="00911458"/>
    <w:rsid w:val="00911C32"/>
    <w:rsid w:val="009142CE"/>
    <w:rsid w:val="0091517D"/>
    <w:rsid w:val="0092027D"/>
    <w:rsid w:val="00920A8C"/>
    <w:rsid w:val="009220DF"/>
    <w:rsid w:val="0092331F"/>
    <w:rsid w:val="00927EE7"/>
    <w:rsid w:val="00931C55"/>
    <w:rsid w:val="00937770"/>
    <w:rsid w:val="00941395"/>
    <w:rsid w:val="00941AA8"/>
    <w:rsid w:val="00943B13"/>
    <w:rsid w:val="009467A8"/>
    <w:rsid w:val="00947030"/>
    <w:rsid w:val="00952604"/>
    <w:rsid w:val="0095332A"/>
    <w:rsid w:val="00953DB7"/>
    <w:rsid w:val="00954E15"/>
    <w:rsid w:val="00960F4F"/>
    <w:rsid w:val="009635A3"/>
    <w:rsid w:val="009658A6"/>
    <w:rsid w:val="0097133F"/>
    <w:rsid w:val="0097346E"/>
    <w:rsid w:val="009743F8"/>
    <w:rsid w:val="00974D49"/>
    <w:rsid w:val="009862FF"/>
    <w:rsid w:val="009926F8"/>
    <w:rsid w:val="009A1CE5"/>
    <w:rsid w:val="009A41F0"/>
    <w:rsid w:val="009A5500"/>
    <w:rsid w:val="009A7CA5"/>
    <w:rsid w:val="009C058F"/>
    <w:rsid w:val="009E71C9"/>
    <w:rsid w:val="009E72FA"/>
    <w:rsid w:val="009E7A66"/>
    <w:rsid w:val="009E7E47"/>
    <w:rsid w:val="009F35CF"/>
    <w:rsid w:val="009F4497"/>
    <w:rsid w:val="009F68B7"/>
    <w:rsid w:val="00A016A9"/>
    <w:rsid w:val="00A06891"/>
    <w:rsid w:val="00A102F6"/>
    <w:rsid w:val="00A17D27"/>
    <w:rsid w:val="00A269CB"/>
    <w:rsid w:val="00A32FFC"/>
    <w:rsid w:val="00A3597A"/>
    <w:rsid w:val="00A46D30"/>
    <w:rsid w:val="00A47105"/>
    <w:rsid w:val="00A73920"/>
    <w:rsid w:val="00A741A5"/>
    <w:rsid w:val="00A81C7C"/>
    <w:rsid w:val="00A833B9"/>
    <w:rsid w:val="00A83CDC"/>
    <w:rsid w:val="00A86BB7"/>
    <w:rsid w:val="00A919AE"/>
    <w:rsid w:val="00A93175"/>
    <w:rsid w:val="00A93427"/>
    <w:rsid w:val="00AB0132"/>
    <w:rsid w:val="00AB4018"/>
    <w:rsid w:val="00AB790D"/>
    <w:rsid w:val="00AC6BA3"/>
    <w:rsid w:val="00AC6E25"/>
    <w:rsid w:val="00AD2A25"/>
    <w:rsid w:val="00AD7828"/>
    <w:rsid w:val="00AE1396"/>
    <w:rsid w:val="00AE1B4C"/>
    <w:rsid w:val="00AE1EF4"/>
    <w:rsid w:val="00AE43EF"/>
    <w:rsid w:val="00AE7507"/>
    <w:rsid w:val="00AF1B28"/>
    <w:rsid w:val="00AF3519"/>
    <w:rsid w:val="00B00038"/>
    <w:rsid w:val="00B04BE5"/>
    <w:rsid w:val="00B121B9"/>
    <w:rsid w:val="00B12FDA"/>
    <w:rsid w:val="00B2418A"/>
    <w:rsid w:val="00B24A52"/>
    <w:rsid w:val="00B2604C"/>
    <w:rsid w:val="00B2737A"/>
    <w:rsid w:val="00B334C5"/>
    <w:rsid w:val="00B33978"/>
    <w:rsid w:val="00B373D6"/>
    <w:rsid w:val="00B51DE4"/>
    <w:rsid w:val="00B52207"/>
    <w:rsid w:val="00B71463"/>
    <w:rsid w:val="00B764D0"/>
    <w:rsid w:val="00B76A94"/>
    <w:rsid w:val="00B81449"/>
    <w:rsid w:val="00B90082"/>
    <w:rsid w:val="00B91678"/>
    <w:rsid w:val="00B91862"/>
    <w:rsid w:val="00B91D21"/>
    <w:rsid w:val="00B926F4"/>
    <w:rsid w:val="00B978BA"/>
    <w:rsid w:val="00BA227E"/>
    <w:rsid w:val="00BA4941"/>
    <w:rsid w:val="00BA54B4"/>
    <w:rsid w:val="00BA67F8"/>
    <w:rsid w:val="00BB2967"/>
    <w:rsid w:val="00BC074E"/>
    <w:rsid w:val="00BD03D6"/>
    <w:rsid w:val="00BE4373"/>
    <w:rsid w:val="00BE69E0"/>
    <w:rsid w:val="00BF0FAB"/>
    <w:rsid w:val="00BF2718"/>
    <w:rsid w:val="00BF4059"/>
    <w:rsid w:val="00BF6EFB"/>
    <w:rsid w:val="00C02075"/>
    <w:rsid w:val="00C033CD"/>
    <w:rsid w:val="00C067AC"/>
    <w:rsid w:val="00C11CF3"/>
    <w:rsid w:val="00C2320A"/>
    <w:rsid w:val="00C23B49"/>
    <w:rsid w:val="00C253EB"/>
    <w:rsid w:val="00C3210A"/>
    <w:rsid w:val="00C37125"/>
    <w:rsid w:val="00C379A5"/>
    <w:rsid w:val="00C37B73"/>
    <w:rsid w:val="00C42D7D"/>
    <w:rsid w:val="00C45D82"/>
    <w:rsid w:val="00C6248B"/>
    <w:rsid w:val="00C63EAA"/>
    <w:rsid w:val="00C72539"/>
    <w:rsid w:val="00C72F23"/>
    <w:rsid w:val="00C8381D"/>
    <w:rsid w:val="00C84438"/>
    <w:rsid w:val="00C940FE"/>
    <w:rsid w:val="00C95321"/>
    <w:rsid w:val="00CA4001"/>
    <w:rsid w:val="00CA4C6C"/>
    <w:rsid w:val="00CB32BA"/>
    <w:rsid w:val="00CB3D0C"/>
    <w:rsid w:val="00CB57B7"/>
    <w:rsid w:val="00CC32A4"/>
    <w:rsid w:val="00CC72D5"/>
    <w:rsid w:val="00CE0955"/>
    <w:rsid w:val="00CE6969"/>
    <w:rsid w:val="00CE7F1D"/>
    <w:rsid w:val="00CF6829"/>
    <w:rsid w:val="00CF6C28"/>
    <w:rsid w:val="00CF7E3E"/>
    <w:rsid w:val="00D03FFF"/>
    <w:rsid w:val="00D06422"/>
    <w:rsid w:val="00D076D5"/>
    <w:rsid w:val="00D12D99"/>
    <w:rsid w:val="00D14B00"/>
    <w:rsid w:val="00D17370"/>
    <w:rsid w:val="00D3047C"/>
    <w:rsid w:val="00D33517"/>
    <w:rsid w:val="00D41A61"/>
    <w:rsid w:val="00D537E5"/>
    <w:rsid w:val="00D61F61"/>
    <w:rsid w:val="00D7676A"/>
    <w:rsid w:val="00D77BC7"/>
    <w:rsid w:val="00D8113E"/>
    <w:rsid w:val="00D90E4C"/>
    <w:rsid w:val="00D93F34"/>
    <w:rsid w:val="00D946CC"/>
    <w:rsid w:val="00D958FA"/>
    <w:rsid w:val="00DA08E5"/>
    <w:rsid w:val="00DA63EB"/>
    <w:rsid w:val="00DB1E97"/>
    <w:rsid w:val="00DB5B5F"/>
    <w:rsid w:val="00DD4C88"/>
    <w:rsid w:val="00DD4DB0"/>
    <w:rsid w:val="00DD78D7"/>
    <w:rsid w:val="00DE1694"/>
    <w:rsid w:val="00DE373D"/>
    <w:rsid w:val="00DE429C"/>
    <w:rsid w:val="00DE7710"/>
    <w:rsid w:val="00DF2968"/>
    <w:rsid w:val="00DF5A7C"/>
    <w:rsid w:val="00E15068"/>
    <w:rsid w:val="00E178E5"/>
    <w:rsid w:val="00E17EE7"/>
    <w:rsid w:val="00E2012F"/>
    <w:rsid w:val="00E21DB5"/>
    <w:rsid w:val="00E262A6"/>
    <w:rsid w:val="00E268E7"/>
    <w:rsid w:val="00E35F5B"/>
    <w:rsid w:val="00E36340"/>
    <w:rsid w:val="00E448C3"/>
    <w:rsid w:val="00E45EA1"/>
    <w:rsid w:val="00E51414"/>
    <w:rsid w:val="00E57809"/>
    <w:rsid w:val="00E64D28"/>
    <w:rsid w:val="00E67E87"/>
    <w:rsid w:val="00E71564"/>
    <w:rsid w:val="00E77EFA"/>
    <w:rsid w:val="00E80721"/>
    <w:rsid w:val="00E9513F"/>
    <w:rsid w:val="00EA20A5"/>
    <w:rsid w:val="00EB0615"/>
    <w:rsid w:val="00EC6668"/>
    <w:rsid w:val="00EC7C55"/>
    <w:rsid w:val="00ED0610"/>
    <w:rsid w:val="00ED0BAF"/>
    <w:rsid w:val="00ED2D44"/>
    <w:rsid w:val="00ED3861"/>
    <w:rsid w:val="00ED4C2C"/>
    <w:rsid w:val="00ED52DF"/>
    <w:rsid w:val="00ED5DC9"/>
    <w:rsid w:val="00ED6333"/>
    <w:rsid w:val="00EF0318"/>
    <w:rsid w:val="00EF1CD1"/>
    <w:rsid w:val="00EF5E02"/>
    <w:rsid w:val="00EF64E8"/>
    <w:rsid w:val="00F01912"/>
    <w:rsid w:val="00F04AB8"/>
    <w:rsid w:val="00F06606"/>
    <w:rsid w:val="00F0713C"/>
    <w:rsid w:val="00F11ACD"/>
    <w:rsid w:val="00F3048F"/>
    <w:rsid w:val="00F51F6D"/>
    <w:rsid w:val="00F53B52"/>
    <w:rsid w:val="00F54C59"/>
    <w:rsid w:val="00F60FC1"/>
    <w:rsid w:val="00F6126C"/>
    <w:rsid w:val="00F6705A"/>
    <w:rsid w:val="00F67FA4"/>
    <w:rsid w:val="00F70D7C"/>
    <w:rsid w:val="00F71506"/>
    <w:rsid w:val="00F729A3"/>
    <w:rsid w:val="00F75B1A"/>
    <w:rsid w:val="00F76F64"/>
    <w:rsid w:val="00F77018"/>
    <w:rsid w:val="00F84438"/>
    <w:rsid w:val="00F844FE"/>
    <w:rsid w:val="00F86AC3"/>
    <w:rsid w:val="00FA44BE"/>
    <w:rsid w:val="00FA64A7"/>
    <w:rsid w:val="00FA728D"/>
    <w:rsid w:val="00FB0085"/>
    <w:rsid w:val="00FC108A"/>
    <w:rsid w:val="00FC54E5"/>
    <w:rsid w:val="00FC6176"/>
    <w:rsid w:val="00FD34B5"/>
    <w:rsid w:val="00FE50AF"/>
    <w:rsid w:val="00FE521A"/>
    <w:rsid w:val="00FE614A"/>
    <w:rsid w:val="00FE66C1"/>
  </w:rsids>
  <m:mathPr>
    <m:mathFont m:val="Cambria Math"/>
    <m:brkBin m:val="before"/>
    <m:brkBinSub m:val="--"/>
    <m:smallFrac m:val="0"/>
    <m:dispDef/>
    <m:lMargin m:val="0"/>
    <m:rMargin m:val="0"/>
    <m:defJc m:val="centerGroup"/>
    <m:wrapIndent m:val="1440"/>
    <m:intLim m:val="subSup"/>
    <m:naryLim m:val="undOvr"/>
  </m:mathPr>
  <w:themeFontLang w:val="de-DE"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0A6462BB"/>
  <w15:docId w15:val="{7B212EE5-876B-41CD-AA75-3B4F85B060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mbria" w:eastAsia="MS Mincho" w:hAnsi="Cambria" w:cs="Times New Roman"/>
        <w:lang w:val="en-US" w:eastAsia="en-US"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267662"/>
    <w:rPr>
      <w:sz w:val="24"/>
      <w:szCs w:val="24"/>
      <w:lang w:val="de-DE" w:eastAsia="de-D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uiPriority w:val="99"/>
    <w:rsid w:val="004A4AC8"/>
    <w:rPr>
      <w:rFonts w:cs="Times New Roman"/>
      <w:sz w:val="18"/>
      <w:szCs w:val="18"/>
    </w:rPr>
  </w:style>
  <w:style w:type="paragraph" w:styleId="CommentText">
    <w:name w:val="annotation text"/>
    <w:basedOn w:val="Normal"/>
    <w:link w:val="CommentTextChar"/>
    <w:uiPriority w:val="99"/>
    <w:rsid w:val="004A4AC8"/>
  </w:style>
  <w:style w:type="character" w:customStyle="1" w:styleId="CommentTextChar">
    <w:name w:val="Comment Text Char"/>
    <w:link w:val="CommentText"/>
    <w:uiPriority w:val="99"/>
    <w:locked/>
    <w:rsid w:val="004A4AC8"/>
    <w:rPr>
      <w:rFonts w:cs="Times New Roman"/>
    </w:rPr>
  </w:style>
  <w:style w:type="paragraph" w:styleId="CommentSubject">
    <w:name w:val="annotation subject"/>
    <w:basedOn w:val="CommentText"/>
    <w:next w:val="CommentText"/>
    <w:link w:val="CommentSubjectChar"/>
    <w:uiPriority w:val="99"/>
    <w:semiHidden/>
    <w:rsid w:val="004A4AC8"/>
    <w:rPr>
      <w:b/>
      <w:bCs/>
      <w:sz w:val="20"/>
      <w:szCs w:val="20"/>
    </w:rPr>
  </w:style>
  <w:style w:type="character" w:customStyle="1" w:styleId="CommentSubjectChar">
    <w:name w:val="Comment Subject Char"/>
    <w:link w:val="CommentSubject"/>
    <w:uiPriority w:val="99"/>
    <w:semiHidden/>
    <w:locked/>
    <w:rsid w:val="004A4AC8"/>
    <w:rPr>
      <w:rFonts w:cs="Times New Roman"/>
      <w:b/>
      <w:bCs/>
      <w:sz w:val="20"/>
      <w:szCs w:val="20"/>
    </w:rPr>
  </w:style>
  <w:style w:type="paragraph" w:styleId="BalloonText">
    <w:name w:val="Balloon Text"/>
    <w:basedOn w:val="Normal"/>
    <w:link w:val="BalloonTextChar"/>
    <w:uiPriority w:val="99"/>
    <w:semiHidden/>
    <w:rsid w:val="004A4AC8"/>
    <w:rPr>
      <w:rFonts w:ascii="Lucida Grande" w:hAnsi="Lucida Grande"/>
      <w:sz w:val="18"/>
      <w:szCs w:val="18"/>
    </w:rPr>
  </w:style>
  <w:style w:type="character" w:customStyle="1" w:styleId="BalloonTextChar">
    <w:name w:val="Balloon Text Char"/>
    <w:link w:val="BalloonText"/>
    <w:uiPriority w:val="99"/>
    <w:semiHidden/>
    <w:locked/>
    <w:rsid w:val="004A4AC8"/>
    <w:rPr>
      <w:rFonts w:ascii="Lucida Grande" w:hAnsi="Lucida Grande" w:cs="Times New Roman"/>
      <w:sz w:val="18"/>
      <w:szCs w:val="18"/>
    </w:rPr>
  </w:style>
  <w:style w:type="character" w:styleId="Emphasis">
    <w:name w:val="Emphasis"/>
    <w:uiPriority w:val="99"/>
    <w:qFormat/>
    <w:rsid w:val="006C493B"/>
    <w:rPr>
      <w:rFonts w:cs="Times New Roman"/>
      <w:i/>
      <w:iCs/>
    </w:rPr>
  </w:style>
  <w:style w:type="character" w:styleId="Hyperlink">
    <w:name w:val="Hyperlink"/>
    <w:uiPriority w:val="99"/>
    <w:rsid w:val="006C493B"/>
    <w:rPr>
      <w:rFonts w:cs="Times New Roman"/>
      <w:color w:val="0000FF"/>
      <w:u w:val="single"/>
    </w:rPr>
  </w:style>
  <w:style w:type="paragraph" w:customStyle="1" w:styleId="p">
    <w:name w:val="p"/>
    <w:basedOn w:val="Normal"/>
    <w:uiPriority w:val="99"/>
    <w:rsid w:val="006E5BF3"/>
    <w:pPr>
      <w:spacing w:before="100" w:beforeAutospacing="1" w:after="100" w:afterAutospacing="1"/>
    </w:pPr>
    <w:rPr>
      <w:rFonts w:ascii="Times New Roman" w:hAnsi="Times New Roman"/>
    </w:rPr>
  </w:style>
  <w:style w:type="paragraph" w:customStyle="1" w:styleId="Literaturverzeichnis1">
    <w:name w:val="Literaturverzeichnis1"/>
    <w:basedOn w:val="Normal"/>
    <w:uiPriority w:val="99"/>
    <w:rsid w:val="006C1B28"/>
    <w:pPr>
      <w:tabs>
        <w:tab w:val="left" w:pos="500"/>
      </w:tabs>
      <w:spacing w:after="240"/>
      <w:ind w:left="504" w:hanging="504"/>
    </w:pPr>
    <w:rPr>
      <w:rFonts w:ascii="Arial" w:hAnsi="Arial"/>
      <w:lang w:val="en-US"/>
    </w:rPr>
  </w:style>
  <w:style w:type="character" w:customStyle="1" w:styleId="mb">
    <w:name w:val="mb"/>
    <w:uiPriority w:val="99"/>
    <w:rsid w:val="00BF0FAB"/>
    <w:rPr>
      <w:rFonts w:cs="Times New Roman"/>
    </w:rPr>
  </w:style>
  <w:style w:type="paragraph" w:styleId="ListParagraph">
    <w:name w:val="List Paragraph"/>
    <w:basedOn w:val="Normal"/>
    <w:uiPriority w:val="99"/>
    <w:qFormat/>
    <w:rsid w:val="00A47105"/>
    <w:pPr>
      <w:ind w:left="720"/>
      <w:contextualSpacing/>
    </w:pPr>
  </w:style>
  <w:style w:type="character" w:customStyle="1" w:styleId="label2">
    <w:name w:val="label2"/>
    <w:rsid w:val="0011429A"/>
  </w:style>
  <w:style w:type="character" w:customStyle="1" w:styleId="databold">
    <w:name w:val="data_bold"/>
    <w:rsid w:val="0011429A"/>
  </w:style>
  <w:style w:type="paragraph" w:styleId="Footer">
    <w:name w:val="footer"/>
    <w:basedOn w:val="Normal"/>
    <w:link w:val="FooterChar"/>
    <w:uiPriority w:val="99"/>
    <w:unhideWhenUsed/>
    <w:rsid w:val="00AC6E25"/>
    <w:pPr>
      <w:tabs>
        <w:tab w:val="center" w:pos="4536"/>
        <w:tab w:val="right" w:pos="9072"/>
      </w:tabs>
    </w:pPr>
  </w:style>
  <w:style w:type="character" w:customStyle="1" w:styleId="FooterChar">
    <w:name w:val="Footer Char"/>
    <w:basedOn w:val="DefaultParagraphFont"/>
    <w:link w:val="Footer"/>
    <w:uiPriority w:val="99"/>
    <w:rsid w:val="00AC6E25"/>
    <w:rPr>
      <w:sz w:val="24"/>
      <w:szCs w:val="24"/>
      <w:lang w:val="de-DE" w:eastAsia="de-DE"/>
    </w:rPr>
  </w:style>
  <w:style w:type="character" w:styleId="PageNumber">
    <w:name w:val="page number"/>
    <w:basedOn w:val="DefaultParagraphFont"/>
    <w:uiPriority w:val="99"/>
    <w:semiHidden/>
    <w:unhideWhenUsed/>
    <w:rsid w:val="00AC6E25"/>
  </w:style>
  <w:style w:type="paragraph" w:customStyle="1" w:styleId="Literaturverzeichnis2">
    <w:name w:val="Literaturverzeichnis2"/>
    <w:basedOn w:val="Normal"/>
    <w:rsid w:val="00EC6668"/>
    <w:pPr>
      <w:widowControl w:val="0"/>
      <w:tabs>
        <w:tab w:val="left" w:pos="500"/>
      </w:tabs>
      <w:autoSpaceDE w:val="0"/>
      <w:autoSpaceDN w:val="0"/>
      <w:adjustRightInd w:val="0"/>
      <w:spacing w:after="240"/>
      <w:ind w:left="504" w:hanging="504"/>
    </w:pPr>
    <w:rPr>
      <w:rFonts w:ascii="Arial" w:hAnsi="Arial"/>
      <w:sz w:val="22"/>
      <w:szCs w:val="22"/>
      <w:lang w:val="en-US"/>
    </w:rPr>
  </w:style>
  <w:style w:type="paragraph" w:styleId="FootnoteText">
    <w:name w:val="footnote text"/>
    <w:basedOn w:val="Normal"/>
    <w:link w:val="FootnoteTextChar"/>
    <w:uiPriority w:val="99"/>
    <w:unhideWhenUsed/>
    <w:rsid w:val="00EC6668"/>
  </w:style>
  <w:style w:type="character" w:customStyle="1" w:styleId="FootnoteTextChar">
    <w:name w:val="Footnote Text Char"/>
    <w:basedOn w:val="DefaultParagraphFont"/>
    <w:link w:val="FootnoteText"/>
    <w:uiPriority w:val="99"/>
    <w:rsid w:val="00EC6668"/>
    <w:rPr>
      <w:sz w:val="24"/>
      <w:szCs w:val="24"/>
      <w:lang w:val="de-DE" w:eastAsia="de-DE"/>
    </w:rPr>
  </w:style>
  <w:style w:type="character" w:styleId="FootnoteReference">
    <w:name w:val="footnote reference"/>
    <w:basedOn w:val="DefaultParagraphFont"/>
    <w:uiPriority w:val="99"/>
    <w:unhideWhenUsed/>
    <w:rsid w:val="00EC6668"/>
    <w:rPr>
      <w:vertAlign w:val="superscript"/>
    </w:rPr>
  </w:style>
  <w:style w:type="paragraph" w:customStyle="1" w:styleId="Literaturverzeichnis3">
    <w:name w:val="Literaturverzeichnis3"/>
    <w:basedOn w:val="Normal"/>
    <w:rsid w:val="00CB3D0C"/>
    <w:pPr>
      <w:tabs>
        <w:tab w:val="left" w:pos="500"/>
        <w:tab w:val="left" w:pos="620"/>
      </w:tabs>
      <w:spacing w:after="240"/>
      <w:ind w:left="624" w:hanging="624"/>
      <w:jc w:val="both"/>
    </w:pPr>
    <w:rPr>
      <w:rFonts w:ascii="Arial" w:hAnsi="Arial"/>
      <w:b/>
      <w:spacing w:val="-6"/>
      <w:sz w:val="22"/>
      <w:szCs w:val="22"/>
      <w:lang w:val="en-US"/>
    </w:rPr>
  </w:style>
  <w:style w:type="paragraph" w:styleId="NormalWeb">
    <w:name w:val="Normal (Web)"/>
    <w:basedOn w:val="Normal"/>
    <w:uiPriority w:val="99"/>
    <w:semiHidden/>
    <w:unhideWhenUsed/>
    <w:rsid w:val="001260A1"/>
    <w:pPr>
      <w:spacing w:before="100" w:beforeAutospacing="1" w:after="100" w:afterAutospacing="1"/>
    </w:pPr>
    <w:rPr>
      <w:rFonts w:ascii="Times" w:hAnsi="Times"/>
      <w:sz w:val="20"/>
      <w:szCs w:val="20"/>
    </w:rPr>
  </w:style>
  <w:style w:type="paragraph" w:styleId="Header">
    <w:name w:val="header"/>
    <w:basedOn w:val="Normal"/>
    <w:link w:val="HeaderChar"/>
    <w:uiPriority w:val="99"/>
    <w:unhideWhenUsed/>
    <w:rsid w:val="003C7A54"/>
    <w:pPr>
      <w:pBdr>
        <w:bottom w:val="single" w:sz="6" w:space="1" w:color="auto"/>
      </w:pBdr>
      <w:tabs>
        <w:tab w:val="center" w:pos="4153"/>
        <w:tab w:val="right" w:pos="8306"/>
      </w:tabs>
      <w:snapToGrid w:val="0"/>
      <w:jc w:val="center"/>
    </w:pPr>
    <w:rPr>
      <w:sz w:val="18"/>
      <w:szCs w:val="18"/>
    </w:rPr>
  </w:style>
  <w:style w:type="character" w:customStyle="1" w:styleId="HeaderChar">
    <w:name w:val="Header Char"/>
    <w:basedOn w:val="DefaultParagraphFont"/>
    <w:link w:val="Header"/>
    <w:uiPriority w:val="99"/>
    <w:rsid w:val="003C7A54"/>
    <w:rPr>
      <w:sz w:val="18"/>
      <w:szCs w:val="18"/>
      <w:lang w:val="de-DE" w:eastAsia="de-D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6081916">
      <w:bodyDiv w:val="1"/>
      <w:marLeft w:val="0"/>
      <w:marRight w:val="0"/>
      <w:marTop w:val="0"/>
      <w:marBottom w:val="0"/>
      <w:divBdr>
        <w:top w:val="none" w:sz="0" w:space="0" w:color="auto"/>
        <w:left w:val="none" w:sz="0" w:space="0" w:color="auto"/>
        <w:bottom w:val="none" w:sz="0" w:space="0" w:color="auto"/>
        <w:right w:val="none" w:sz="0" w:space="0" w:color="auto"/>
      </w:divBdr>
    </w:div>
    <w:div w:id="122503010">
      <w:bodyDiv w:val="1"/>
      <w:marLeft w:val="0"/>
      <w:marRight w:val="0"/>
      <w:marTop w:val="0"/>
      <w:marBottom w:val="0"/>
      <w:divBdr>
        <w:top w:val="none" w:sz="0" w:space="0" w:color="auto"/>
        <w:left w:val="none" w:sz="0" w:space="0" w:color="auto"/>
        <w:bottom w:val="none" w:sz="0" w:space="0" w:color="auto"/>
        <w:right w:val="none" w:sz="0" w:space="0" w:color="auto"/>
      </w:divBdr>
    </w:div>
    <w:div w:id="173767488">
      <w:bodyDiv w:val="1"/>
      <w:marLeft w:val="0"/>
      <w:marRight w:val="0"/>
      <w:marTop w:val="0"/>
      <w:marBottom w:val="0"/>
      <w:divBdr>
        <w:top w:val="none" w:sz="0" w:space="0" w:color="auto"/>
        <w:left w:val="none" w:sz="0" w:space="0" w:color="auto"/>
        <w:bottom w:val="none" w:sz="0" w:space="0" w:color="auto"/>
        <w:right w:val="none" w:sz="0" w:space="0" w:color="auto"/>
      </w:divBdr>
      <w:divsChild>
        <w:div w:id="129171576">
          <w:marLeft w:val="0"/>
          <w:marRight w:val="0"/>
          <w:marTop w:val="0"/>
          <w:marBottom w:val="0"/>
          <w:divBdr>
            <w:top w:val="none" w:sz="0" w:space="0" w:color="auto"/>
            <w:left w:val="none" w:sz="0" w:space="0" w:color="auto"/>
            <w:bottom w:val="none" w:sz="0" w:space="0" w:color="auto"/>
            <w:right w:val="none" w:sz="0" w:space="0" w:color="auto"/>
          </w:divBdr>
        </w:div>
      </w:divsChild>
    </w:div>
    <w:div w:id="186722710">
      <w:bodyDiv w:val="1"/>
      <w:marLeft w:val="0"/>
      <w:marRight w:val="0"/>
      <w:marTop w:val="0"/>
      <w:marBottom w:val="0"/>
      <w:divBdr>
        <w:top w:val="none" w:sz="0" w:space="0" w:color="auto"/>
        <w:left w:val="none" w:sz="0" w:space="0" w:color="auto"/>
        <w:bottom w:val="none" w:sz="0" w:space="0" w:color="auto"/>
        <w:right w:val="none" w:sz="0" w:space="0" w:color="auto"/>
      </w:divBdr>
      <w:divsChild>
        <w:div w:id="803700235">
          <w:marLeft w:val="0"/>
          <w:marRight w:val="0"/>
          <w:marTop w:val="0"/>
          <w:marBottom w:val="0"/>
          <w:divBdr>
            <w:top w:val="none" w:sz="0" w:space="0" w:color="auto"/>
            <w:left w:val="none" w:sz="0" w:space="0" w:color="auto"/>
            <w:bottom w:val="none" w:sz="0" w:space="0" w:color="auto"/>
            <w:right w:val="none" w:sz="0" w:space="0" w:color="auto"/>
          </w:divBdr>
        </w:div>
      </w:divsChild>
    </w:div>
    <w:div w:id="194084168">
      <w:bodyDiv w:val="1"/>
      <w:marLeft w:val="0"/>
      <w:marRight w:val="0"/>
      <w:marTop w:val="0"/>
      <w:marBottom w:val="0"/>
      <w:divBdr>
        <w:top w:val="none" w:sz="0" w:space="0" w:color="auto"/>
        <w:left w:val="none" w:sz="0" w:space="0" w:color="auto"/>
        <w:bottom w:val="none" w:sz="0" w:space="0" w:color="auto"/>
        <w:right w:val="none" w:sz="0" w:space="0" w:color="auto"/>
      </w:divBdr>
      <w:divsChild>
        <w:div w:id="1656255263">
          <w:marLeft w:val="0"/>
          <w:marRight w:val="0"/>
          <w:marTop w:val="0"/>
          <w:marBottom w:val="0"/>
          <w:divBdr>
            <w:top w:val="none" w:sz="0" w:space="0" w:color="auto"/>
            <w:left w:val="none" w:sz="0" w:space="0" w:color="auto"/>
            <w:bottom w:val="none" w:sz="0" w:space="0" w:color="auto"/>
            <w:right w:val="none" w:sz="0" w:space="0" w:color="auto"/>
          </w:divBdr>
        </w:div>
      </w:divsChild>
    </w:div>
    <w:div w:id="206265562">
      <w:bodyDiv w:val="1"/>
      <w:marLeft w:val="0"/>
      <w:marRight w:val="0"/>
      <w:marTop w:val="0"/>
      <w:marBottom w:val="0"/>
      <w:divBdr>
        <w:top w:val="none" w:sz="0" w:space="0" w:color="auto"/>
        <w:left w:val="none" w:sz="0" w:space="0" w:color="auto"/>
        <w:bottom w:val="none" w:sz="0" w:space="0" w:color="auto"/>
        <w:right w:val="none" w:sz="0" w:space="0" w:color="auto"/>
      </w:divBdr>
      <w:divsChild>
        <w:div w:id="1406679972">
          <w:marLeft w:val="0"/>
          <w:marRight w:val="0"/>
          <w:marTop w:val="0"/>
          <w:marBottom w:val="0"/>
          <w:divBdr>
            <w:top w:val="none" w:sz="0" w:space="0" w:color="auto"/>
            <w:left w:val="none" w:sz="0" w:space="0" w:color="auto"/>
            <w:bottom w:val="none" w:sz="0" w:space="0" w:color="auto"/>
            <w:right w:val="none" w:sz="0" w:space="0" w:color="auto"/>
          </w:divBdr>
        </w:div>
      </w:divsChild>
    </w:div>
    <w:div w:id="206378916">
      <w:bodyDiv w:val="1"/>
      <w:marLeft w:val="0"/>
      <w:marRight w:val="0"/>
      <w:marTop w:val="0"/>
      <w:marBottom w:val="0"/>
      <w:divBdr>
        <w:top w:val="none" w:sz="0" w:space="0" w:color="auto"/>
        <w:left w:val="none" w:sz="0" w:space="0" w:color="auto"/>
        <w:bottom w:val="none" w:sz="0" w:space="0" w:color="auto"/>
        <w:right w:val="none" w:sz="0" w:space="0" w:color="auto"/>
      </w:divBdr>
      <w:divsChild>
        <w:div w:id="1661928819">
          <w:marLeft w:val="0"/>
          <w:marRight w:val="0"/>
          <w:marTop w:val="0"/>
          <w:marBottom w:val="0"/>
          <w:divBdr>
            <w:top w:val="none" w:sz="0" w:space="0" w:color="auto"/>
            <w:left w:val="none" w:sz="0" w:space="0" w:color="auto"/>
            <w:bottom w:val="none" w:sz="0" w:space="0" w:color="auto"/>
            <w:right w:val="none" w:sz="0" w:space="0" w:color="auto"/>
          </w:divBdr>
        </w:div>
      </w:divsChild>
    </w:div>
    <w:div w:id="233204223">
      <w:bodyDiv w:val="1"/>
      <w:marLeft w:val="0"/>
      <w:marRight w:val="0"/>
      <w:marTop w:val="0"/>
      <w:marBottom w:val="0"/>
      <w:divBdr>
        <w:top w:val="none" w:sz="0" w:space="0" w:color="auto"/>
        <w:left w:val="none" w:sz="0" w:space="0" w:color="auto"/>
        <w:bottom w:val="none" w:sz="0" w:space="0" w:color="auto"/>
        <w:right w:val="none" w:sz="0" w:space="0" w:color="auto"/>
      </w:divBdr>
    </w:div>
    <w:div w:id="284311319">
      <w:bodyDiv w:val="1"/>
      <w:marLeft w:val="0"/>
      <w:marRight w:val="0"/>
      <w:marTop w:val="0"/>
      <w:marBottom w:val="0"/>
      <w:divBdr>
        <w:top w:val="none" w:sz="0" w:space="0" w:color="auto"/>
        <w:left w:val="none" w:sz="0" w:space="0" w:color="auto"/>
        <w:bottom w:val="none" w:sz="0" w:space="0" w:color="auto"/>
        <w:right w:val="none" w:sz="0" w:space="0" w:color="auto"/>
      </w:divBdr>
      <w:divsChild>
        <w:div w:id="813183473">
          <w:marLeft w:val="0"/>
          <w:marRight w:val="0"/>
          <w:marTop w:val="0"/>
          <w:marBottom w:val="0"/>
          <w:divBdr>
            <w:top w:val="none" w:sz="0" w:space="0" w:color="auto"/>
            <w:left w:val="none" w:sz="0" w:space="0" w:color="auto"/>
            <w:bottom w:val="none" w:sz="0" w:space="0" w:color="auto"/>
            <w:right w:val="none" w:sz="0" w:space="0" w:color="auto"/>
          </w:divBdr>
        </w:div>
      </w:divsChild>
    </w:div>
    <w:div w:id="322659591">
      <w:bodyDiv w:val="1"/>
      <w:marLeft w:val="0"/>
      <w:marRight w:val="0"/>
      <w:marTop w:val="0"/>
      <w:marBottom w:val="0"/>
      <w:divBdr>
        <w:top w:val="none" w:sz="0" w:space="0" w:color="auto"/>
        <w:left w:val="none" w:sz="0" w:space="0" w:color="auto"/>
        <w:bottom w:val="none" w:sz="0" w:space="0" w:color="auto"/>
        <w:right w:val="none" w:sz="0" w:space="0" w:color="auto"/>
      </w:divBdr>
    </w:div>
    <w:div w:id="335350619">
      <w:bodyDiv w:val="1"/>
      <w:marLeft w:val="0"/>
      <w:marRight w:val="0"/>
      <w:marTop w:val="0"/>
      <w:marBottom w:val="0"/>
      <w:divBdr>
        <w:top w:val="none" w:sz="0" w:space="0" w:color="auto"/>
        <w:left w:val="none" w:sz="0" w:space="0" w:color="auto"/>
        <w:bottom w:val="none" w:sz="0" w:space="0" w:color="auto"/>
        <w:right w:val="none" w:sz="0" w:space="0" w:color="auto"/>
      </w:divBdr>
      <w:divsChild>
        <w:div w:id="1600530909">
          <w:marLeft w:val="0"/>
          <w:marRight w:val="0"/>
          <w:marTop w:val="0"/>
          <w:marBottom w:val="0"/>
          <w:divBdr>
            <w:top w:val="none" w:sz="0" w:space="0" w:color="auto"/>
            <w:left w:val="none" w:sz="0" w:space="0" w:color="auto"/>
            <w:bottom w:val="none" w:sz="0" w:space="0" w:color="auto"/>
            <w:right w:val="none" w:sz="0" w:space="0" w:color="auto"/>
          </w:divBdr>
        </w:div>
      </w:divsChild>
    </w:div>
    <w:div w:id="370540904">
      <w:bodyDiv w:val="1"/>
      <w:marLeft w:val="0"/>
      <w:marRight w:val="0"/>
      <w:marTop w:val="0"/>
      <w:marBottom w:val="0"/>
      <w:divBdr>
        <w:top w:val="none" w:sz="0" w:space="0" w:color="auto"/>
        <w:left w:val="none" w:sz="0" w:space="0" w:color="auto"/>
        <w:bottom w:val="none" w:sz="0" w:space="0" w:color="auto"/>
        <w:right w:val="none" w:sz="0" w:space="0" w:color="auto"/>
      </w:divBdr>
      <w:divsChild>
        <w:div w:id="1720401198">
          <w:marLeft w:val="0"/>
          <w:marRight w:val="0"/>
          <w:marTop w:val="0"/>
          <w:marBottom w:val="0"/>
          <w:divBdr>
            <w:top w:val="none" w:sz="0" w:space="0" w:color="auto"/>
            <w:left w:val="none" w:sz="0" w:space="0" w:color="auto"/>
            <w:bottom w:val="none" w:sz="0" w:space="0" w:color="auto"/>
            <w:right w:val="none" w:sz="0" w:space="0" w:color="auto"/>
          </w:divBdr>
        </w:div>
      </w:divsChild>
    </w:div>
    <w:div w:id="385224708">
      <w:bodyDiv w:val="1"/>
      <w:marLeft w:val="0"/>
      <w:marRight w:val="0"/>
      <w:marTop w:val="0"/>
      <w:marBottom w:val="0"/>
      <w:divBdr>
        <w:top w:val="none" w:sz="0" w:space="0" w:color="auto"/>
        <w:left w:val="none" w:sz="0" w:space="0" w:color="auto"/>
        <w:bottom w:val="none" w:sz="0" w:space="0" w:color="auto"/>
        <w:right w:val="none" w:sz="0" w:space="0" w:color="auto"/>
      </w:divBdr>
      <w:divsChild>
        <w:div w:id="1724594177">
          <w:marLeft w:val="0"/>
          <w:marRight w:val="0"/>
          <w:marTop w:val="0"/>
          <w:marBottom w:val="0"/>
          <w:divBdr>
            <w:top w:val="none" w:sz="0" w:space="0" w:color="auto"/>
            <w:left w:val="none" w:sz="0" w:space="0" w:color="auto"/>
            <w:bottom w:val="none" w:sz="0" w:space="0" w:color="auto"/>
            <w:right w:val="none" w:sz="0" w:space="0" w:color="auto"/>
          </w:divBdr>
        </w:div>
      </w:divsChild>
    </w:div>
    <w:div w:id="429669323">
      <w:bodyDiv w:val="1"/>
      <w:marLeft w:val="0"/>
      <w:marRight w:val="0"/>
      <w:marTop w:val="0"/>
      <w:marBottom w:val="0"/>
      <w:divBdr>
        <w:top w:val="none" w:sz="0" w:space="0" w:color="auto"/>
        <w:left w:val="none" w:sz="0" w:space="0" w:color="auto"/>
        <w:bottom w:val="none" w:sz="0" w:space="0" w:color="auto"/>
        <w:right w:val="none" w:sz="0" w:space="0" w:color="auto"/>
      </w:divBdr>
    </w:div>
    <w:div w:id="440226689">
      <w:bodyDiv w:val="1"/>
      <w:marLeft w:val="0"/>
      <w:marRight w:val="0"/>
      <w:marTop w:val="0"/>
      <w:marBottom w:val="0"/>
      <w:divBdr>
        <w:top w:val="none" w:sz="0" w:space="0" w:color="auto"/>
        <w:left w:val="none" w:sz="0" w:space="0" w:color="auto"/>
        <w:bottom w:val="none" w:sz="0" w:space="0" w:color="auto"/>
        <w:right w:val="none" w:sz="0" w:space="0" w:color="auto"/>
      </w:divBdr>
    </w:div>
    <w:div w:id="549390876">
      <w:bodyDiv w:val="1"/>
      <w:marLeft w:val="0"/>
      <w:marRight w:val="0"/>
      <w:marTop w:val="0"/>
      <w:marBottom w:val="0"/>
      <w:divBdr>
        <w:top w:val="none" w:sz="0" w:space="0" w:color="auto"/>
        <w:left w:val="none" w:sz="0" w:space="0" w:color="auto"/>
        <w:bottom w:val="none" w:sz="0" w:space="0" w:color="auto"/>
        <w:right w:val="none" w:sz="0" w:space="0" w:color="auto"/>
      </w:divBdr>
      <w:divsChild>
        <w:div w:id="662659880">
          <w:marLeft w:val="0"/>
          <w:marRight w:val="0"/>
          <w:marTop w:val="0"/>
          <w:marBottom w:val="0"/>
          <w:divBdr>
            <w:top w:val="none" w:sz="0" w:space="0" w:color="auto"/>
            <w:left w:val="none" w:sz="0" w:space="0" w:color="auto"/>
            <w:bottom w:val="none" w:sz="0" w:space="0" w:color="auto"/>
            <w:right w:val="none" w:sz="0" w:space="0" w:color="auto"/>
          </w:divBdr>
        </w:div>
      </w:divsChild>
    </w:div>
    <w:div w:id="595867887">
      <w:bodyDiv w:val="1"/>
      <w:marLeft w:val="0"/>
      <w:marRight w:val="0"/>
      <w:marTop w:val="0"/>
      <w:marBottom w:val="0"/>
      <w:divBdr>
        <w:top w:val="none" w:sz="0" w:space="0" w:color="auto"/>
        <w:left w:val="none" w:sz="0" w:space="0" w:color="auto"/>
        <w:bottom w:val="none" w:sz="0" w:space="0" w:color="auto"/>
        <w:right w:val="none" w:sz="0" w:space="0" w:color="auto"/>
      </w:divBdr>
      <w:divsChild>
        <w:div w:id="1286698974">
          <w:marLeft w:val="0"/>
          <w:marRight w:val="0"/>
          <w:marTop w:val="0"/>
          <w:marBottom w:val="0"/>
          <w:divBdr>
            <w:top w:val="none" w:sz="0" w:space="0" w:color="auto"/>
            <w:left w:val="none" w:sz="0" w:space="0" w:color="auto"/>
            <w:bottom w:val="none" w:sz="0" w:space="0" w:color="auto"/>
            <w:right w:val="none" w:sz="0" w:space="0" w:color="auto"/>
          </w:divBdr>
        </w:div>
      </w:divsChild>
    </w:div>
    <w:div w:id="596405961">
      <w:bodyDiv w:val="1"/>
      <w:marLeft w:val="0"/>
      <w:marRight w:val="0"/>
      <w:marTop w:val="0"/>
      <w:marBottom w:val="0"/>
      <w:divBdr>
        <w:top w:val="none" w:sz="0" w:space="0" w:color="auto"/>
        <w:left w:val="none" w:sz="0" w:space="0" w:color="auto"/>
        <w:bottom w:val="none" w:sz="0" w:space="0" w:color="auto"/>
        <w:right w:val="none" w:sz="0" w:space="0" w:color="auto"/>
      </w:divBdr>
    </w:div>
    <w:div w:id="626857199">
      <w:bodyDiv w:val="1"/>
      <w:marLeft w:val="0"/>
      <w:marRight w:val="0"/>
      <w:marTop w:val="0"/>
      <w:marBottom w:val="0"/>
      <w:divBdr>
        <w:top w:val="none" w:sz="0" w:space="0" w:color="auto"/>
        <w:left w:val="none" w:sz="0" w:space="0" w:color="auto"/>
        <w:bottom w:val="none" w:sz="0" w:space="0" w:color="auto"/>
        <w:right w:val="none" w:sz="0" w:space="0" w:color="auto"/>
      </w:divBdr>
    </w:div>
    <w:div w:id="664168892">
      <w:bodyDiv w:val="1"/>
      <w:marLeft w:val="0"/>
      <w:marRight w:val="0"/>
      <w:marTop w:val="0"/>
      <w:marBottom w:val="0"/>
      <w:divBdr>
        <w:top w:val="none" w:sz="0" w:space="0" w:color="auto"/>
        <w:left w:val="none" w:sz="0" w:space="0" w:color="auto"/>
        <w:bottom w:val="none" w:sz="0" w:space="0" w:color="auto"/>
        <w:right w:val="none" w:sz="0" w:space="0" w:color="auto"/>
      </w:divBdr>
    </w:div>
    <w:div w:id="741610157">
      <w:bodyDiv w:val="1"/>
      <w:marLeft w:val="0"/>
      <w:marRight w:val="0"/>
      <w:marTop w:val="0"/>
      <w:marBottom w:val="0"/>
      <w:divBdr>
        <w:top w:val="none" w:sz="0" w:space="0" w:color="auto"/>
        <w:left w:val="none" w:sz="0" w:space="0" w:color="auto"/>
        <w:bottom w:val="none" w:sz="0" w:space="0" w:color="auto"/>
        <w:right w:val="none" w:sz="0" w:space="0" w:color="auto"/>
      </w:divBdr>
    </w:div>
    <w:div w:id="759836052">
      <w:bodyDiv w:val="1"/>
      <w:marLeft w:val="0"/>
      <w:marRight w:val="0"/>
      <w:marTop w:val="0"/>
      <w:marBottom w:val="0"/>
      <w:divBdr>
        <w:top w:val="none" w:sz="0" w:space="0" w:color="auto"/>
        <w:left w:val="none" w:sz="0" w:space="0" w:color="auto"/>
        <w:bottom w:val="none" w:sz="0" w:space="0" w:color="auto"/>
        <w:right w:val="none" w:sz="0" w:space="0" w:color="auto"/>
      </w:divBdr>
    </w:div>
    <w:div w:id="808284284">
      <w:bodyDiv w:val="1"/>
      <w:marLeft w:val="0"/>
      <w:marRight w:val="0"/>
      <w:marTop w:val="0"/>
      <w:marBottom w:val="0"/>
      <w:divBdr>
        <w:top w:val="none" w:sz="0" w:space="0" w:color="auto"/>
        <w:left w:val="none" w:sz="0" w:space="0" w:color="auto"/>
        <w:bottom w:val="none" w:sz="0" w:space="0" w:color="auto"/>
        <w:right w:val="none" w:sz="0" w:space="0" w:color="auto"/>
      </w:divBdr>
      <w:divsChild>
        <w:div w:id="147482099">
          <w:marLeft w:val="0"/>
          <w:marRight w:val="0"/>
          <w:marTop w:val="0"/>
          <w:marBottom w:val="0"/>
          <w:divBdr>
            <w:top w:val="none" w:sz="0" w:space="0" w:color="auto"/>
            <w:left w:val="none" w:sz="0" w:space="0" w:color="auto"/>
            <w:bottom w:val="none" w:sz="0" w:space="0" w:color="auto"/>
            <w:right w:val="none" w:sz="0" w:space="0" w:color="auto"/>
          </w:divBdr>
        </w:div>
      </w:divsChild>
    </w:div>
    <w:div w:id="837767154">
      <w:bodyDiv w:val="1"/>
      <w:marLeft w:val="0"/>
      <w:marRight w:val="0"/>
      <w:marTop w:val="0"/>
      <w:marBottom w:val="0"/>
      <w:divBdr>
        <w:top w:val="none" w:sz="0" w:space="0" w:color="auto"/>
        <w:left w:val="none" w:sz="0" w:space="0" w:color="auto"/>
        <w:bottom w:val="none" w:sz="0" w:space="0" w:color="auto"/>
        <w:right w:val="none" w:sz="0" w:space="0" w:color="auto"/>
      </w:divBdr>
    </w:div>
    <w:div w:id="884372000">
      <w:bodyDiv w:val="1"/>
      <w:marLeft w:val="0"/>
      <w:marRight w:val="0"/>
      <w:marTop w:val="0"/>
      <w:marBottom w:val="0"/>
      <w:divBdr>
        <w:top w:val="none" w:sz="0" w:space="0" w:color="auto"/>
        <w:left w:val="none" w:sz="0" w:space="0" w:color="auto"/>
        <w:bottom w:val="none" w:sz="0" w:space="0" w:color="auto"/>
        <w:right w:val="none" w:sz="0" w:space="0" w:color="auto"/>
      </w:divBdr>
      <w:divsChild>
        <w:div w:id="929509351">
          <w:marLeft w:val="0"/>
          <w:marRight w:val="0"/>
          <w:marTop w:val="0"/>
          <w:marBottom w:val="0"/>
          <w:divBdr>
            <w:top w:val="none" w:sz="0" w:space="0" w:color="auto"/>
            <w:left w:val="none" w:sz="0" w:space="0" w:color="auto"/>
            <w:bottom w:val="none" w:sz="0" w:space="0" w:color="auto"/>
            <w:right w:val="none" w:sz="0" w:space="0" w:color="auto"/>
          </w:divBdr>
        </w:div>
      </w:divsChild>
    </w:div>
    <w:div w:id="890850458">
      <w:bodyDiv w:val="1"/>
      <w:marLeft w:val="0"/>
      <w:marRight w:val="0"/>
      <w:marTop w:val="0"/>
      <w:marBottom w:val="0"/>
      <w:divBdr>
        <w:top w:val="none" w:sz="0" w:space="0" w:color="auto"/>
        <w:left w:val="none" w:sz="0" w:space="0" w:color="auto"/>
        <w:bottom w:val="none" w:sz="0" w:space="0" w:color="auto"/>
        <w:right w:val="none" w:sz="0" w:space="0" w:color="auto"/>
      </w:divBdr>
      <w:divsChild>
        <w:div w:id="693655356">
          <w:marLeft w:val="0"/>
          <w:marRight w:val="0"/>
          <w:marTop w:val="0"/>
          <w:marBottom w:val="0"/>
          <w:divBdr>
            <w:top w:val="none" w:sz="0" w:space="0" w:color="auto"/>
            <w:left w:val="none" w:sz="0" w:space="0" w:color="auto"/>
            <w:bottom w:val="none" w:sz="0" w:space="0" w:color="auto"/>
            <w:right w:val="none" w:sz="0" w:space="0" w:color="auto"/>
          </w:divBdr>
        </w:div>
      </w:divsChild>
    </w:div>
    <w:div w:id="904414046">
      <w:bodyDiv w:val="1"/>
      <w:marLeft w:val="0"/>
      <w:marRight w:val="0"/>
      <w:marTop w:val="0"/>
      <w:marBottom w:val="0"/>
      <w:divBdr>
        <w:top w:val="none" w:sz="0" w:space="0" w:color="auto"/>
        <w:left w:val="none" w:sz="0" w:space="0" w:color="auto"/>
        <w:bottom w:val="none" w:sz="0" w:space="0" w:color="auto"/>
        <w:right w:val="none" w:sz="0" w:space="0" w:color="auto"/>
      </w:divBdr>
      <w:divsChild>
        <w:div w:id="1472362325">
          <w:marLeft w:val="0"/>
          <w:marRight w:val="0"/>
          <w:marTop w:val="0"/>
          <w:marBottom w:val="0"/>
          <w:divBdr>
            <w:top w:val="none" w:sz="0" w:space="0" w:color="auto"/>
            <w:left w:val="none" w:sz="0" w:space="0" w:color="auto"/>
            <w:bottom w:val="none" w:sz="0" w:space="0" w:color="auto"/>
            <w:right w:val="none" w:sz="0" w:space="0" w:color="auto"/>
          </w:divBdr>
        </w:div>
      </w:divsChild>
    </w:div>
    <w:div w:id="908460991">
      <w:bodyDiv w:val="1"/>
      <w:marLeft w:val="0"/>
      <w:marRight w:val="0"/>
      <w:marTop w:val="0"/>
      <w:marBottom w:val="0"/>
      <w:divBdr>
        <w:top w:val="none" w:sz="0" w:space="0" w:color="auto"/>
        <w:left w:val="none" w:sz="0" w:space="0" w:color="auto"/>
        <w:bottom w:val="none" w:sz="0" w:space="0" w:color="auto"/>
        <w:right w:val="none" w:sz="0" w:space="0" w:color="auto"/>
      </w:divBdr>
      <w:divsChild>
        <w:div w:id="704133676">
          <w:marLeft w:val="0"/>
          <w:marRight w:val="0"/>
          <w:marTop w:val="0"/>
          <w:marBottom w:val="0"/>
          <w:divBdr>
            <w:top w:val="none" w:sz="0" w:space="0" w:color="auto"/>
            <w:left w:val="none" w:sz="0" w:space="0" w:color="auto"/>
            <w:bottom w:val="none" w:sz="0" w:space="0" w:color="auto"/>
            <w:right w:val="none" w:sz="0" w:space="0" w:color="auto"/>
          </w:divBdr>
        </w:div>
      </w:divsChild>
    </w:div>
    <w:div w:id="942802379">
      <w:bodyDiv w:val="1"/>
      <w:marLeft w:val="0"/>
      <w:marRight w:val="0"/>
      <w:marTop w:val="0"/>
      <w:marBottom w:val="0"/>
      <w:divBdr>
        <w:top w:val="none" w:sz="0" w:space="0" w:color="auto"/>
        <w:left w:val="none" w:sz="0" w:space="0" w:color="auto"/>
        <w:bottom w:val="none" w:sz="0" w:space="0" w:color="auto"/>
        <w:right w:val="none" w:sz="0" w:space="0" w:color="auto"/>
      </w:divBdr>
    </w:div>
    <w:div w:id="946231266">
      <w:bodyDiv w:val="1"/>
      <w:marLeft w:val="0"/>
      <w:marRight w:val="0"/>
      <w:marTop w:val="0"/>
      <w:marBottom w:val="0"/>
      <w:divBdr>
        <w:top w:val="none" w:sz="0" w:space="0" w:color="auto"/>
        <w:left w:val="none" w:sz="0" w:space="0" w:color="auto"/>
        <w:bottom w:val="none" w:sz="0" w:space="0" w:color="auto"/>
        <w:right w:val="none" w:sz="0" w:space="0" w:color="auto"/>
      </w:divBdr>
      <w:divsChild>
        <w:div w:id="1453211310">
          <w:marLeft w:val="0"/>
          <w:marRight w:val="0"/>
          <w:marTop w:val="0"/>
          <w:marBottom w:val="0"/>
          <w:divBdr>
            <w:top w:val="none" w:sz="0" w:space="0" w:color="auto"/>
            <w:left w:val="none" w:sz="0" w:space="0" w:color="auto"/>
            <w:bottom w:val="none" w:sz="0" w:space="0" w:color="auto"/>
            <w:right w:val="none" w:sz="0" w:space="0" w:color="auto"/>
          </w:divBdr>
        </w:div>
      </w:divsChild>
    </w:div>
    <w:div w:id="986742489">
      <w:bodyDiv w:val="1"/>
      <w:marLeft w:val="0"/>
      <w:marRight w:val="0"/>
      <w:marTop w:val="0"/>
      <w:marBottom w:val="0"/>
      <w:divBdr>
        <w:top w:val="none" w:sz="0" w:space="0" w:color="auto"/>
        <w:left w:val="none" w:sz="0" w:space="0" w:color="auto"/>
        <w:bottom w:val="none" w:sz="0" w:space="0" w:color="auto"/>
        <w:right w:val="none" w:sz="0" w:space="0" w:color="auto"/>
      </w:divBdr>
    </w:div>
    <w:div w:id="1006051635">
      <w:bodyDiv w:val="1"/>
      <w:marLeft w:val="0"/>
      <w:marRight w:val="0"/>
      <w:marTop w:val="0"/>
      <w:marBottom w:val="0"/>
      <w:divBdr>
        <w:top w:val="none" w:sz="0" w:space="0" w:color="auto"/>
        <w:left w:val="none" w:sz="0" w:space="0" w:color="auto"/>
        <w:bottom w:val="none" w:sz="0" w:space="0" w:color="auto"/>
        <w:right w:val="none" w:sz="0" w:space="0" w:color="auto"/>
      </w:divBdr>
    </w:div>
    <w:div w:id="1063481468">
      <w:bodyDiv w:val="1"/>
      <w:marLeft w:val="0"/>
      <w:marRight w:val="0"/>
      <w:marTop w:val="0"/>
      <w:marBottom w:val="0"/>
      <w:divBdr>
        <w:top w:val="none" w:sz="0" w:space="0" w:color="auto"/>
        <w:left w:val="none" w:sz="0" w:space="0" w:color="auto"/>
        <w:bottom w:val="none" w:sz="0" w:space="0" w:color="auto"/>
        <w:right w:val="none" w:sz="0" w:space="0" w:color="auto"/>
      </w:divBdr>
    </w:div>
    <w:div w:id="1067075381">
      <w:bodyDiv w:val="1"/>
      <w:marLeft w:val="0"/>
      <w:marRight w:val="0"/>
      <w:marTop w:val="0"/>
      <w:marBottom w:val="0"/>
      <w:divBdr>
        <w:top w:val="none" w:sz="0" w:space="0" w:color="auto"/>
        <w:left w:val="none" w:sz="0" w:space="0" w:color="auto"/>
        <w:bottom w:val="none" w:sz="0" w:space="0" w:color="auto"/>
        <w:right w:val="none" w:sz="0" w:space="0" w:color="auto"/>
      </w:divBdr>
    </w:div>
    <w:div w:id="1093089569">
      <w:bodyDiv w:val="1"/>
      <w:marLeft w:val="0"/>
      <w:marRight w:val="0"/>
      <w:marTop w:val="0"/>
      <w:marBottom w:val="0"/>
      <w:divBdr>
        <w:top w:val="none" w:sz="0" w:space="0" w:color="auto"/>
        <w:left w:val="none" w:sz="0" w:space="0" w:color="auto"/>
        <w:bottom w:val="none" w:sz="0" w:space="0" w:color="auto"/>
        <w:right w:val="none" w:sz="0" w:space="0" w:color="auto"/>
      </w:divBdr>
      <w:divsChild>
        <w:div w:id="1276592951">
          <w:marLeft w:val="0"/>
          <w:marRight w:val="0"/>
          <w:marTop w:val="0"/>
          <w:marBottom w:val="0"/>
          <w:divBdr>
            <w:top w:val="none" w:sz="0" w:space="0" w:color="auto"/>
            <w:left w:val="none" w:sz="0" w:space="0" w:color="auto"/>
            <w:bottom w:val="none" w:sz="0" w:space="0" w:color="auto"/>
            <w:right w:val="none" w:sz="0" w:space="0" w:color="auto"/>
          </w:divBdr>
        </w:div>
      </w:divsChild>
    </w:div>
    <w:div w:id="1095632068">
      <w:bodyDiv w:val="1"/>
      <w:marLeft w:val="0"/>
      <w:marRight w:val="0"/>
      <w:marTop w:val="0"/>
      <w:marBottom w:val="0"/>
      <w:divBdr>
        <w:top w:val="none" w:sz="0" w:space="0" w:color="auto"/>
        <w:left w:val="none" w:sz="0" w:space="0" w:color="auto"/>
        <w:bottom w:val="none" w:sz="0" w:space="0" w:color="auto"/>
        <w:right w:val="none" w:sz="0" w:space="0" w:color="auto"/>
      </w:divBdr>
      <w:divsChild>
        <w:div w:id="1035420768">
          <w:marLeft w:val="0"/>
          <w:marRight w:val="0"/>
          <w:marTop w:val="0"/>
          <w:marBottom w:val="0"/>
          <w:divBdr>
            <w:top w:val="none" w:sz="0" w:space="0" w:color="auto"/>
            <w:left w:val="none" w:sz="0" w:space="0" w:color="auto"/>
            <w:bottom w:val="none" w:sz="0" w:space="0" w:color="auto"/>
            <w:right w:val="none" w:sz="0" w:space="0" w:color="auto"/>
          </w:divBdr>
        </w:div>
      </w:divsChild>
    </w:div>
    <w:div w:id="1104963612">
      <w:bodyDiv w:val="1"/>
      <w:marLeft w:val="0"/>
      <w:marRight w:val="0"/>
      <w:marTop w:val="0"/>
      <w:marBottom w:val="0"/>
      <w:divBdr>
        <w:top w:val="none" w:sz="0" w:space="0" w:color="auto"/>
        <w:left w:val="none" w:sz="0" w:space="0" w:color="auto"/>
        <w:bottom w:val="none" w:sz="0" w:space="0" w:color="auto"/>
        <w:right w:val="none" w:sz="0" w:space="0" w:color="auto"/>
      </w:divBdr>
    </w:div>
    <w:div w:id="1195192064">
      <w:bodyDiv w:val="1"/>
      <w:marLeft w:val="0"/>
      <w:marRight w:val="0"/>
      <w:marTop w:val="0"/>
      <w:marBottom w:val="0"/>
      <w:divBdr>
        <w:top w:val="none" w:sz="0" w:space="0" w:color="auto"/>
        <w:left w:val="none" w:sz="0" w:space="0" w:color="auto"/>
        <w:bottom w:val="none" w:sz="0" w:space="0" w:color="auto"/>
        <w:right w:val="none" w:sz="0" w:space="0" w:color="auto"/>
      </w:divBdr>
    </w:div>
    <w:div w:id="1247806890">
      <w:bodyDiv w:val="1"/>
      <w:marLeft w:val="0"/>
      <w:marRight w:val="0"/>
      <w:marTop w:val="0"/>
      <w:marBottom w:val="0"/>
      <w:divBdr>
        <w:top w:val="none" w:sz="0" w:space="0" w:color="auto"/>
        <w:left w:val="none" w:sz="0" w:space="0" w:color="auto"/>
        <w:bottom w:val="none" w:sz="0" w:space="0" w:color="auto"/>
        <w:right w:val="none" w:sz="0" w:space="0" w:color="auto"/>
      </w:divBdr>
      <w:divsChild>
        <w:div w:id="670837551">
          <w:marLeft w:val="0"/>
          <w:marRight w:val="0"/>
          <w:marTop w:val="0"/>
          <w:marBottom w:val="0"/>
          <w:divBdr>
            <w:top w:val="none" w:sz="0" w:space="0" w:color="auto"/>
            <w:left w:val="none" w:sz="0" w:space="0" w:color="auto"/>
            <w:bottom w:val="none" w:sz="0" w:space="0" w:color="auto"/>
            <w:right w:val="none" w:sz="0" w:space="0" w:color="auto"/>
          </w:divBdr>
        </w:div>
      </w:divsChild>
    </w:div>
    <w:div w:id="1274090287">
      <w:bodyDiv w:val="1"/>
      <w:marLeft w:val="0"/>
      <w:marRight w:val="0"/>
      <w:marTop w:val="0"/>
      <w:marBottom w:val="0"/>
      <w:divBdr>
        <w:top w:val="none" w:sz="0" w:space="0" w:color="auto"/>
        <w:left w:val="none" w:sz="0" w:space="0" w:color="auto"/>
        <w:bottom w:val="none" w:sz="0" w:space="0" w:color="auto"/>
        <w:right w:val="none" w:sz="0" w:space="0" w:color="auto"/>
      </w:divBdr>
      <w:divsChild>
        <w:div w:id="742415929">
          <w:marLeft w:val="0"/>
          <w:marRight w:val="0"/>
          <w:marTop w:val="0"/>
          <w:marBottom w:val="0"/>
          <w:divBdr>
            <w:top w:val="none" w:sz="0" w:space="0" w:color="auto"/>
            <w:left w:val="none" w:sz="0" w:space="0" w:color="auto"/>
            <w:bottom w:val="none" w:sz="0" w:space="0" w:color="auto"/>
            <w:right w:val="none" w:sz="0" w:space="0" w:color="auto"/>
          </w:divBdr>
        </w:div>
      </w:divsChild>
    </w:div>
    <w:div w:id="1334914707">
      <w:bodyDiv w:val="1"/>
      <w:marLeft w:val="0"/>
      <w:marRight w:val="0"/>
      <w:marTop w:val="0"/>
      <w:marBottom w:val="0"/>
      <w:divBdr>
        <w:top w:val="none" w:sz="0" w:space="0" w:color="auto"/>
        <w:left w:val="none" w:sz="0" w:space="0" w:color="auto"/>
        <w:bottom w:val="none" w:sz="0" w:space="0" w:color="auto"/>
        <w:right w:val="none" w:sz="0" w:space="0" w:color="auto"/>
      </w:divBdr>
    </w:div>
    <w:div w:id="1391805427">
      <w:bodyDiv w:val="1"/>
      <w:marLeft w:val="0"/>
      <w:marRight w:val="0"/>
      <w:marTop w:val="0"/>
      <w:marBottom w:val="0"/>
      <w:divBdr>
        <w:top w:val="none" w:sz="0" w:space="0" w:color="auto"/>
        <w:left w:val="none" w:sz="0" w:space="0" w:color="auto"/>
        <w:bottom w:val="none" w:sz="0" w:space="0" w:color="auto"/>
        <w:right w:val="none" w:sz="0" w:space="0" w:color="auto"/>
      </w:divBdr>
      <w:divsChild>
        <w:div w:id="1558322336">
          <w:marLeft w:val="0"/>
          <w:marRight w:val="0"/>
          <w:marTop w:val="0"/>
          <w:marBottom w:val="0"/>
          <w:divBdr>
            <w:top w:val="none" w:sz="0" w:space="0" w:color="auto"/>
            <w:left w:val="none" w:sz="0" w:space="0" w:color="auto"/>
            <w:bottom w:val="none" w:sz="0" w:space="0" w:color="auto"/>
            <w:right w:val="none" w:sz="0" w:space="0" w:color="auto"/>
          </w:divBdr>
        </w:div>
        <w:div w:id="668481637">
          <w:marLeft w:val="0"/>
          <w:marRight w:val="0"/>
          <w:marTop w:val="0"/>
          <w:marBottom w:val="0"/>
          <w:divBdr>
            <w:top w:val="none" w:sz="0" w:space="0" w:color="auto"/>
            <w:left w:val="none" w:sz="0" w:space="0" w:color="auto"/>
            <w:bottom w:val="none" w:sz="0" w:space="0" w:color="auto"/>
            <w:right w:val="none" w:sz="0" w:space="0" w:color="auto"/>
          </w:divBdr>
        </w:div>
        <w:div w:id="74060853">
          <w:marLeft w:val="0"/>
          <w:marRight w:val="0"/>
          <w:marTop w:val="0"/>
          <w:marBottom w:val="0"/>
          <w:divBdr>
            <w:top w:val="none" w:sz="0" w:space="0" w:color="auto"/>
            <w:left w:val="none" w:sz="0" w:space="0" w:color="auto"/>
            <w:bottom w:val="none" w:sz="0" w:space="0" w:color="auto"/>
            <w:right w:val="none" w:sz="0" w:space="0" w:color="auto"/>
          </w:divBdr>
        </w:div>
      </w:divsChild>
    </w:div>
    <w:div w:id="1473207471">
      <w:bodyDiv w:val="1"/>
      <w:marLeft w:val="0"/>
      <w:marRight w:val="0"/>
      <w:marTop w:val="0"/>
      <w:marBottom w:val="0"/>
      <w:divBdr>
        <w:top w:val="none" w:sz="0" w:space="0" w:color="auto"/>
        <w:left w:val="none" w:sz="0" w:space="0" w:color="auto"/>
        <w:bottom w:val="none" w:sz="0" w:space="0" w:color="auto"/>
        <w:right w:val="none" w:sz="0" w:space="0" w:color="auto"/>
      </w:divBdr>
    </w:div>
    <w:div w:id="1577133518">
      <w:bodyDiv w:val="1"/>
      <w:marLeft w:val="0"/>
      <w:marRight w:val="0"/>
      <w:marTop w:val="0"/>
      <w:marBottom w:val="0"/>
      <w:divBdr>
        <w:top w:val="none" w:sz="0" w:space="0" w:color="auto"/>
        <w:left w:val="none" w:sz="0" w:space="0" w:color="auto"/>
        <w:bottom w:val="none" w:sz="0" w:space="0" w:color="auto"/>
        <w:right w:val="none" w:sz="0" w:space="0" w:color="auto"/>
      </w:divBdr>
    </w:div>
    <w:div w:id="1577398513">
      <w:bodyDiv w:val="1"/>
      <w:marLeft w:val="0"/>
      <w:marRight w:val="0"/>
      <w:marTop w:val="0"/>
      <w:marBottom w:val="0"/>
      <w:divBdr>
        <w:top w:val="none" w:sz="0" w:space="0" w:color="auto"/>
        <w:left w:val="none" w:sz="0" w:space="0" w:color="auto"/>
        <w:bottom w:val="none" w:sz="0" w:space="0" w:color="auto"/>
        <w:right w:val="none" w:sz="0" w:space="0" w:color="auto"/>
      </w:divBdr>
      <w:divsChild>
        <w:div w:id="972757860">
          <w:marLeft w:val="0"/>
          <w:marRight w:val="0"/>
          <w:marTop w:val="0"/>
          <w:marBottom w:val="0"/>
          <w:divBdr>
            <w:top w:val="none" w:sz="0" w:space="0" w:color="auto"/>
            <w:left w:val="none" w:sz="0" w:space="0" w:color="auto"/>
            <w:bottom w:val="none" w:sz="0" w:space="0" w:color="auto"/>
            <w:right w:val="none" w:sz="0" w:space="0" w:color="auto"/>
          </w:divBdr>
        </w:div>
      </w:divsChild>
    </w:div>
    <w:div w:id="1630669946">
      <w:bodyDiv w:val="1"/>
      <w:marLeft w:val="0"/>
      <w:marRight w:val="0"/>
      <w:marTop w:val="0"/>
      <w:marBottom w:val="0"/>
      <w:divBdr>
        <w:top w:val="none" w:sz="0" w:space="0" w:color="auto"/>
        <w:left w:val="none" w:sz="0" w:space="0" w:color="auto"/>
        <w:bottom w:val="none" w:sz="0" w:space="0" w:color="auto"/>
        <w:right w:val="none" w:sz="0" w:space="0" w:color="auto"/>
      </w:divBdr>
      <w:divsChild>
        <w:div w:id="1541162675">
          <w:marLeft w:val="0"/>
          <w:marRight w:val="0"/>
          <w:marTop w:val="0"/>
          <w:marBottom w:val="0"/>
          <w:divBdr>
            <w:top w:val="none" w:sz="0" w:space="0" w:color="auto"/>
            <w:left w:val="none" w:sz="0" w:space="0" w:color="auto"/>
            <w:bottom w:val="none" w:sz="0" w:space="0" w:color="auto"/>
            <w:right w:val="none" w:sz="0" w:space="0" w:color="auto"/>
          </w:divBdr>
        </w:div>
      </w:divsChild>
    </w:div>
    <w:div w:id="1680958935">
      <w:bodyDiv w:val="1"/>
      <w:marLeft w:val="0"/>
      <w:marRight w:val="0"/>
      <w:marTop w:val="0"/>
      <w:marBottom w:val="0"/>
      <w:divBdr>
        <w:top w:val="none" w:sz="0" w:space="0" w:color="auto"/>
        <w:left w:val="none" w:sz="0" w:space="0" w:color="auto"/>
        <w:bottom w:val="none" w:sz="0" w:space="0" w:color="auto"/>
        <w:right w:val="none" w:sz="0" w:space="0" w:color="auto"/>
      </w:divBdr>
    </w:div>
    <w:div w:id="1731269075">
      <w:bodyDiv w:val="1"/>
      <w:marLeft w:val="0"/>
      <w:marRight w:val="0"/>
      <w:marTop w:val="0"/>
      <w:marBottom w:val="0"/>
      <w:divBdr>
        <w:top w:val="none" w:sz="0" w:space="0" w:color="auto"/>
        <w:left w:val="none" w:sz="0" w:space="0" w:color="auto"/>
        <w:bottom w:val="none" w:sz="0" w:space="0" w:color="auto"/>
        <w:right w:val="none" w:sz="0" w:space="0" w:color="auto"/>
      </w:divBdr>
      <w:divsChild>
        <w:div w:id="190344182">
          <w:marLeft w:val="0"/>
          <w:marRight w:val="0"/>
          <w:marTop w:val="0"/>
          <w:marBottom w:val="0"/>
          <w:divBdr>
            <w:top w:val="none" w:sz="0" w:space="0" w:color="auto"/>
            <w:left w:val="none" w:sz="0" w:space="0" w:color="auto"/>
            <w:bottom w:val="none" w:sz="0" w:space="0" w:color="auto"/>
            <w:right w:val="none" w:sz="0" w:space="0" w:color="auto"/>
          </w:divBdr>
        </w:div>
      </w:divsChild>
    </w:div>
    <w:div w:id="1805156171">
      <w:bodyDiv w:val="1"/>
      <w:marLeft w:val="0"/>
      <w:marRight w:val="0"/>
      <w:marTop w:val="0"/>
      <w:marBottom w:val="0"/>
      <w:divBdr>
        <w:top w:val="none" w:sz="0" w:space="0" w:color="auto"/>
        <w:left w:val="none" w:sz="0" w:space="0" w:color="auto"/>
        <w:bottom w:val="none" w:sz="0" w:space="0" w:color="auto"/>
        <w:right w:val="none" w:sz="0" w:space="0" w:color="auto"/>
      </w:divBdr>
      <w:divsChild>
        <w:div w:id="278298325">
          <w:marLeft w:val="0"/>
          <w:marRight w:val="0"/>
          <w:marTop w:val="0"/>
          <w:marBottom w:val="0"/>
          <w:divBdr>
            <w:top w:val="none" w:sz="0" w:space="0" w:color="auto"/>
            <w:left w:val="none" w:sz="0" w:space="0" w:color="auto"/>
            <w:bottom w:val="none" w:sz="0" w:space="0" w:color="auto"/>
            <w:right w:val="none" w:sz="0" w:space="0" w:color="auto"/>
          </w:divBdr>
        </w:div>
      </w:divsChild>
    </w:div>
    <w:div w:id="1859734180">
      <w:bodyDiv w:val="1"/>
      <w:marLeft w:val="0"/>
      <w:marRight w:val="0"/>
      <w:marTop w:val="0"/>
      <w:marBottom w:val="0"/>
      <w:divBdr>
        <w:top w:val="none" w:sz="0" w:space="0" w:color="auto"/>
        <w:left w:val="none" w:sz="0" w:space="0" w:color="auto"/>
        <w:bottom w:val="none" w:sz="0" w:space="0" w:color="auto"/>
        <w:right w:val="none" w:sz="0" w:space="0" w:color="auto"/>
      </w:divBdr>
      <w:divsChild>
        <w:div w:id="604533464">
          <w:marLeft w:val="0"/>
          <w:marRight w:val="0"/>
          <w:marTop w:val="0"/>
          <w:marBottom w:val="0"/>
          <w:divBdr>
            <w:top w:val="none" w:sz="0" w:space="0" w:color="auto"/>
            <w:left w:val="none" w:sz="0" w:space="0" w:color="auto"/>
            <w:bottom w:val="none" w:sz="0" w:space="0" w:color="auto"/>
            <w:right w:val="none" w:sz="0" w:space="0" w:color="auto"/>
          </w:divBdr>
        </w:div>
      </w:divsChild>
    </w:div>
    <w:div w:id="1879314709">
      <w:bodyDiv w:val="1"/>
      <w:marLeft w:val="0"/>
      <w:marRight w:val="0"/>
      <w:marTop w:val="0"/>
      <w:marBottom w:val="0"/>
      <w:divBdr>
        <w:top w:val="none" w:sz="0" w:space="0" w:color="auto"/>
        <w:left w:val="none" w:sz="0" w:space="0" w:color="auto"/>
        <w:bottom w:val="none" w:sz="0" w:space="0" w:color="auto"/>
        <w:right w:val="none" w:sz="0" w:space="0" w:color="auto"/>
      </w:divBdr>
      <w:divsChild>
        <w:div w:id="684140132">
          <w:marLeft w:val="0"/>
          <w:marRight w:val="0"/>
          <w:marTop w:val="0"/>
          <w:marBottom w:val="0"/>
          <w:divBdr>
            <w:top w:val="none" w:sz="0" w:space="0" w:color="auto"/>
            <w:left w:val="none" w:sz="0" w:space="0" w:color="auto"/>
            <w:bottom w:val="none" w:sz="0" w:space="0" w:color="auto"/>
            <w:right w:val="none" w:sz="0" w:space="0" w:color="auto"/>
          </w:divBdr>
        </w:div>
      </w:divsChild>
    </w:div>
    <w:div w:id="1925335536">
      <w:bodyDiv w:val="1"/>
      <w:marLeft w:val="0"/>
      <w:marRight w:val="0"/>
      <w:marTop w:val="0"/>
      <w:marBottom w:val="0"/>
      <w:divBdr>
        <w:top w:val="none" w:sz="0" w:space="0" w:color="auto"/>
        <w:left w:val="none" w:sz="0" w:space="0" w:color="auto"/>
        <w:bottom w:val="none" w:sz="0" w:space="0" w:color="auto"/>
        <w:right w:val="none" w:sz="0" w:space="0" w:color="auto"/>
      </w:divBdr>
    </w:div>
    <w:div w:id="1940286203">
      <w:bodyDiv w:val="1"/>
      <w:marLeft w:val="0"/>
      <w:marRight w:val="0"/>
      <w:marTop w:val="0"/>
      <w:marBottom w:val="0"/>
      <w:divBdr>
        <w:top w:val="none" w:sz="0" w:space="0" w:color="auto"/>
        <w:left w:val="none" w:sz="0" w:space="0" w:color="auto"/>
        <w:bottom w:val="none" w:sz="0" w:space="0" w:color="auto"/>
        <w:right w:val="none" w:sz="0" w:space="0" w:color="auto"/>
      </w:divBdr>
      <w:divsChild>
        <w:div w:id="2092194315">
          <w:marLeft w:val="0"/>
          <w:marRight w:val="0"/>
          <w:marTop w:val="0"/>
          <w:marBottom w:val="0"/>
          <w:divBdr>
            <w:top w:val="none" w:sz="0" w:space="0" w:color="auto"/>
            <w:left w:val="none" w:sz="0" w:space="0" w:color="auto"/>
            <w:bottom w:val="none" w:sz="0" w:space="0" w:color="auto"/>
            <w:right w:val="none" w:sz="0" w:space="0" w:color="auto"/>
          </w:divBdr>
        </w:div>
      </w:divsChild>
    </w:div>
    <w:div w:id="1945645243">
      <w:bodyDiv w:val="1"/>
      <w:marLeft w:val="0"/>
      <w:marRight w:val="0"/>
      <w:marTop w:val="0"/>
      <w:marBottom w:val="0"/>
      <w:divBdr>
        <w:top w:val="none" w:sz="0" w:space="0" w:color="auto"/>
        <w:left w:val="none" w:sz="0" w:space="0" w:color="auto"/>
        <w:bottom w:val="none" w:sz="0" w:space="0" w:color="auto"/>
        <w:right w:val="none" w:sz="0" w:space="0" w:color="auto"/>
      </w:divBdr>
    </w:div>
    <w:div w:id="1984044743">
      <w:bodyDiv w:val="1"/>
      <w:marLeft w:val="0"/>
      <w:marRight w:val="0"/>
      <w:marTop w:val="0"/>
      <w:marBottom w:val="0"/>
      <w:divBdr>
        <w:top w:val="none" w:sz="0" w:space="0" w:color="auto"/>
        <w:left w:val="none" w:sz="0" w:space="0" w:color="auto"/>
        <w:bottom w:val="none" w:sz="0" w:space="0" w:color="auto"/>
        <w:right w:val="none" w:sz="0" w:space="0" w:color="auto"/>
      </w:divBdr>
      <w:divsChild>
        <w:div w:id="908997992">
          <w:marLeft w:val="0"/>
          <w:marRight w:val="0"/>
          <w:marTop w:val="0"/>
          <w:marBottom w:val="0"/>
          <w:divBdr>
            <w:top w:val="none" w:sz="0" w:space="0" w:color="auto"/>
            <w:left w:val="none" w:sz="0" w:space="0" w:color="auto"/>
            <w:bottom w:val="none" w:sz="0" w:space="0" w:color="auto"/>
            <w:right w:val="none" w:sz="0" w:space="0" w:color="auto"/>
          </w:divBdr>
        </w:div>
      </w:divsChild>
    </w:div>
    <w:div w:id="2000499752">
      <w:bodyDiv w:val="1"/>
      <w:marLeft w:val="0"/>
      <w:marRight w:val="0"/>
      <w:marTop w:val="0"/>
      <w:marBottom w:val="0"/>
      <w:divBdr>
        <w:top w:val="none" w:sz="0" w:space="0" w:color="auto"/>
        <w:left w:val="none" w:sz="0" w:space="0" w:color="auto"/>
        <w:bottom w:val="none" w:sz="0" w:space="0" w:color="auto"/>
        <w:right w:val="none" w:sz="0" w:space="0" w:color="auto"/>
      </w:divBdr>
      <w:divsChild>
        <w:div w:id="2033451011">
          <w:marLeft w:val="0"/>
          <w:marRight w:val="0"/>
          <w:marTop w:val="0"/>
          <w:marBottom w:val="0"/>
          <w:divBdr>
            <w:top w:val="none" w:sz="0" w:space="0" w:color="auto"/>
            <w:left w:val="none" w:sz="0" w:space="0" w:color="auto"/>
            <w:bottom w:val="none" w:sz="0" w:space="0" w:color="auto"/>
            <w:right w:val="none" w:sz="0" w:space="0" w:color="auto"/>
          </w:divBdr>
        </w:div>
      </w:divsChild>
    </w:div>
    <w:div w:id="2019185751">
      <w:bodyDiv w:val="1"/>
      <w:marLeft w:val="0"/>
      <w:marRight w:val="0"/>
      <w:marTop w:val="0"/>
      <w:marBottom w:val="0"/>
      <w:divBdr>
        <w:top w:val="none" w:sz="0" w:space="0" w:color="auto"/>
        <w:left w:val="none" w:sz="0" w:space="0" w:color="auto"/>
        <w:bottom w:val="none" w:sz="0" w:space="0" w:color="auto"/>
        <w:right w:val="none" w:sz="0" w:space="0" w:color="auto"/>
      </w:divBdr>
      <w:divsChild>
        <w:div w:id="1774933825">
          <w:marLeft w:val="0"/>
          <w:marRight w:val="0"/>
          <w:marTop w:val="0"/>
          <w:marBottom w:val="0"/>
          <w:divBdr>
            <w:top w:val="none" w:sz="0" w:space="0" w:color="auto"/>
            <w:left w:val="none" w:sz="0" w:space="0" w:color="auto"/>
            <w:bottom w:val="none" w:sz="0" w:space="0" w:color="auto"/>
            <w:right w:val="none" w:sz="0" w:space="0" w:color="auto"/>
          </w:divBdr>
          <w:divsChild>
            <w:div w:id="1551305565">
              <w:marLeft w:val="0"/>
              <w:marRight w:val="0"/>
              <w:marTop w:val="0"/>
              <w:marBottom w:val="0"/>
              <w:divBdr>
                <w:top w:val="none" w:sz="0" w:space="0" w:color="auto"/>
                <w:left w:val="none" w:sz="0" w:space="0" w:color="auto"/>
                <w:bottom w:val="none" w:sz="0" w:space="0" w:color="auto"/>
                <w:right w:val="none" w:sz="0" w:space="0" w:color="auto"/>
              </w:divBdr>
              <w:divsChild>
                <w:div w:id="134494348">
                  <w:marLeft w:val="300"/>
                  <w:marRight w:val="300"/>
                  <w:marTop w:val="0"/>
                  <w:marBottom w:val="0"/>
                  <w:divBdr>
                    <w:top w:val="none" w:sz="0" w:space="0" w:color="auto"/>
                    <w:left w:val="none" w:sz="0" w:space="0" w:color="auto"/>
                    <w:bottom w:val="none" w:sz="0" w:space="0" w:color="auto"/>
                    <w:right w:val="none" w:sz="0" w:space="0" w:color="auto"/>
                  </w:divBdr>
                  <w:divsChild>
                    <w:div w:id="474756710">
                      <w:marLeft w:val="0"/>
                      <w:marRight w:val="0"/>
                      <w:marTop w:val="0"/>
                      <w:marBottom w:val="0"/>
                      <w:divBdr>
                        <w:top w:val="none" w:sz="0" w:space="10" w:color="D8D8D8"/>
                        <w:left w:val="none" w:sz="0" w:space="0" w:color="auto"/>
                        <w:bottom w:val="none" w:sz="0" w:space="0" w:color="auto"/>
                        <w:right w:val="none" w:sz="0" w:space="0" w:color="auto"/>
                      </w:divBdr>
                      <w:divsChild>
                        <w:div w:id="1123770198">
                          <w:marLeft w:val="0"/>
                          <w:marRight w:val="0"/>
                          <w:marTop w:val="0"/>
                          <w:marBottom w:val="0"/>
                          <w:divBdr>
                            <w:top w:val="none" w:sz="0" w:space="0" w:color="auto"/>
                            <w:left w:val="none" w:sz="0" w:space="0" w:color="auto"/>
                            <w:bottom w:val="none" w:sz="0" w:space="0" w:color="auto"/>
                            <w:right w:val="none" w:sz="0" w:space="0" w:color="auto"/>
                          </w:divBdr>
                          <w:divsChild>
                            <w:div w:id="352923084">
                              <w:marLeft w:val="0"/>
                              <w:marRight w:val="0"/>
                              <w:marTop w:val="0"/>
                              <w:marBottom w:val="0"/>
                              <w:divBdr>
                                <w:top w:val="none" w:sz="0" w:space="0" w:color="auto"/>
                                <w:left w:val="none" w:sz="0" w:space="0" w:color="auto"/>
                                <w:bottom w:val="none" w:sz="0" w:space="0" w:color="auto"/>
                                <w:right w:val="none" w:sz="0" w:space="0" w:color="auto"/>
                              </w:divBdr>
                              <w:divsChild>
                                <w:div w:id="1174422230">
                                  <w:marLeft w:val="0"/>
                                  <w:marRight w:val="0"/>
                                  <w:marTop w:val="0"/>
                                  <w:marBottom w:val="0"/>
                                  <w:divBdr>
                                    <w:top w:val="none" w:sz="0" w:space="0" w:color="auto"/>
                                    <w:left w:val="none" w:sz="0" w:space="0" w:color="auto"/>
                                    <w:bottom w:val="none" w:sz="0" w:space="0" w:color="auto"/>
                                    <w:right w:val="none" w:sz="0" w:space="0" w:color="auto"/>
                                  </w:divBdr>
                                </w:div>
                              </w:divsChild>
                            </w:div>
                            <w:div w:id="30227929">
                              <w:marLeft w:val="0"/>
                              <w:marRight w:val="0"/>
                              <w:marTop w:val="0"/>
                              <w:marBottom w:val="0"/>
                              <w:divBdr>
                                <w:top w:val="none" w:sz="0" w:space="0" w:color="auto"/>
                                <w:left w:val="none" w:sz="0" w:space="0" w:color="auto"/>
                                <w:bottom w:val="none" w:sz="0" w:space="0" w:color="auto"/>
                                <w:right w:val="none" w:sz="0" w:space="0" w:color="auto"/>
                              </w:divBdr>
                            </w:div>
                            <w:div w:id="95029977">
                              <w:marLeft w:val="0"/>
                              <w:marRight w:val="0"/>
                              <w:marTop w:val="0"/>
                              <w:marBottom w:val="0"/>
                              <w:divBdr>
                                <w:top w:val="none" w:sz="0" w:space="0" w:color="auto"/>
                                <w:left w:val="none" w:sz="0" w:space="0" w:color="auto"/>
                                <w:bottom w:val="none" w:sz="0" w:space="0" w:color="auto"/>
                                <w:right w:val="none" w:sz="0" w:space="0" w:color="auto"/>
                              </w:divBdr>
                              <w:divsChild>
                                <w:div w:id="12061353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2033338223">
      <w:bodyDiv w:val="1"/>
      <w:marLeft w:val="0"/>
      <w:marRight w:val="0"/>
      <w:marTop w:val="0"/>
      <w:marBottom w:val="0"/>
      <w:divBdr>
        <w:top w:val="none" w:sz="0" w:space="0" w:color="auto"/>
        <w:left w:val="none" w:sz="0" w:space="0" w:color="auto"/>
        <w:bottom w:val="none" w:sz="0" w:space="0" w:color="auto"/>
        <w:right w:val="none" w:sz="0" w:space="0" w:color="auto"/>
      </w:divBdr>
      <w:divsChild>
        <w:div w:id="33897249">
          <w:marLeft w:val="0"/>
          <w:marRight w:val="0"/>
          <w:marTop w:val="0"/>
          <w:marBottom w:val="0"/>
          <w:divBdr>
            <w:top w:val="none" w:sz="0" w:space="0" w:color="auto"/>
            <w:left w:val="none" w:sz="0" w:space="0" w:color="auto"/>
            <w:bottom w:val="none" w:sz="0" w:space="0" w:color="auto"/>
            <w:right w:val="none" w:sz="0" w:space="0" w:color="auto"/>
          </w:divBdr>
        </w:div>
      </w:divsChild>
    </w:div>
    <w:div w:id="2046710585">
      <w:bodyDiv w:val="1"/>
      <w:marLeft w:val="0"/>
      <w:marRight w:val="0"/>
      <w:marTop w:val="0"/>
      <w:marBottom w:val="0"/>
      <w:divBdr>
        <w:top w:val="none" w:sz="0" w:space="0" w:color="auto"/>
        <w:left w:val="none" w:sz="0" w:space="0" w:color="auto"/>
        <w:bottom w:val="none" w:sz="0" w:space="0" w:color="auto"/>
        <w:right w:val="none" w:sz="0" w:space="0" w:color="auto"/>
      </w:divBdr>
      <w:divsChild>
        <w:div w:id="134033621">
          <w:marLeft w:val="0"/>
          <w:marRight w:val="0"/>
          <w:marTop w:val="0"/>
          <w:marBottom w:val="0"/>
          <w:divBdr>
            <w:top w:val="none" w:sz="0" w:space="0" w:color="auto"/>
            <w:left w:val="none" w:sz="0" w:space="0" w:color="auto"/>
            <w:bottom w:val="none" w:sz="0" w:space="0" w:color="auto"/>
            <w:right w:val="none" w:sz="0" w:space="0" w:color="auto"/>
          </w:divBdr>
        </w:div>
      </w:divsChild>
    </w:div>
    <w:div w:id="2084791955">
      <w:bodyDiv w:val="1"/>
      <w:marLeft w:val="0"/>
      <w:marRight w:val="0"/>
      <w:marTop w:val="0"/>
      <w:marBottom w:val="0"/>
      <w:divBdr>
        <w:top w:val="none" w:sz="0" w:space="0" w:color="auto"/>
        <w:left w:val="none" w:sz="0" w:space="0" w:color="auto"/>
        <w:bottom w:val="none" w:sz="0" w:space="0" w:color="auto"/>
        <w:right w:val="none" w:sz="0" w:space="0" w:color="auto"/>
      </w:divBdr>
      <w:divsChild>
        <w:div w:id="376047186">
          <w:marLeft w:val="0"/>
          <w:marRight w:val="0"/>
          <w:marTop w:val="0"/>
          <w:marBottom w:val="0"/>
          <w:divBdr>
            <w:top w:val="none" w:sz="0" w:space="0" w:color="auto"/>
            <w:left w:val="none" w:sz="0" w:space="0" w:color="auto"/>
            <w:bottom w:val="none" w:sz="0" w:space="0" w:color="auto"/>
            <w:right w:val="none" w:sz="0" w:space="0" w:color="auto"/>
          </w:divBdr>
        </w:div>
      </w:divsChild>
    </w:div>
    <w:div w:id="2108579566">
      <w:marLeft w:val="0"/>
      <w:marRight w:val="0"/>
      <w:marTop w:val="0"/>
      <w:marBottom w:val="0"/>
      <w:divBdr>
        <w:top w:val="none" w:sz="0" w:space="0" w:color="auto"/>
        <w:left w:val="none" w:sz="0" w:space="0" w:color="auto"/>
        <w:bottom w:val="none" w:sz="0" w:space="0" w:color="auto"/>
        <w:right w:val="none" w:sz="0" w:space="0" w:color="auto"/>
      </w:divBdr>
    </w:div>
    <w:div w:id="2121096963">
      <w:bodyDiv w:val="1"/>
      <w:marLeft w:val="0"/>
      <w:marRight w:val="0"/>
      <w:marTop w:val="0"/>
      <w:marBottom w:val="0"/>
      <w:divBdr>
        <w:top w:val="none" w:sz="0" w:space="0" w:color="auto"/>
        <w:left w:val="none" w:sz="0" w:space="0" w:color="auto"/>
        <w:bottom w:val="none" w:sz="0" w:space="0" w:color="auto"/>
        <w:right w:val="none" w:sz="0" w:space="0" w:color="auto"/>
      </w:divBdr>
      <w:divsChild>
        <w:div w:id="123851138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mailto:Christian.fingas@uk-essen.de" TargetMode="External"/><Relationship Id="rId13" Type="http://schemas.openxmlformats.org/officeDocument/2006/relationships/footer" Target="footer2.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2.tif"/><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6435BC-4098-443D-ACDB-7124AD11413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24</Pages>
  <Words>30570</Words>
  <Characters>174249</Characters>
  <Application>Microsoft Office Word</Application>
  <DocSecurity>0</DocSecurity>
  <Lines>1452</Lines>
  <Paragraphs>408</Paragraphs>
  <ScaleCrop>false</ScaleCrop>
  <HeadingPairs>
    <vt:vector size="4" baseType="variant">
      <vt:variant>
        <vt:lpstr>Title</vt:lpstr>
      </vt:variant>
      <vt:variant>
        <vt:i4>1</vt:i4>
      </vt:variant>
      <vt:variant>
        <vt:lpstr>Titel</vt:lpstr>
      </vt:variant>
      <vt:variant>
        <vt:i4>1</vt:i4>
      </vt:variant>
    </vt:vector>
  </HeadingPairs>
  <TitlesOfParts>
    <vt:vector size="2" baseType="lpstr">
      <vt:lpstr/>
      <vt:lpstr/>
    </vt:vector>
  </TitlesOfParts>
  <Company>Universitätsklinikum Essen</Company>
  <LinksUpToDate>false</LinksUpToDate>
  <CharactersWithSpaces>204411</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Svenja</dc:creator>
  <cp:lastModifiedBy>Na Ma</cp:lastModifiedBy>
  <cp:revision>2</cp:revision>
  <cp:lastPrinted>2016-07-26T20:41:00Z</cp:lastPrinted>
  <dcterms:created xsi:type="dcterms:W3CDTF">2017-05-09T04:43:00Z</dcterms:created>
  <dcterms:modified xsi:type="dcterms:W3CDTF">2017-05-09T04:43:00Z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zotero-version="4.0.29.16"&gt;&lt;session id="gY1BfjRN"/&gt;&lt;style id="http://www.zotero.org/styles/Liver International" locale="en-GB" hasBibliography="1" bibliographyStyleHasBeenSet="1"/&gt;&lt;prefs&gt;&lt;pref name="fieldType" value="Field"/&gt;&lt;pref n</vt:lpwstr>
  </property>
  <property fmtid="{D5CDD505-2E9C-101B-9397-08002B2CF9AE}" pid="3" name="ZOTERO_PREF_2">
    <vt:lpwstr>ame="storeReferences" value="true"/&gt;&lt;pref name="automaticJournalAbbreviations" value=""/&gt;&lt;pref name="noteType" value=""/&gt;&lt;/prefs&gt;&lt;/data&gt;</vt:lpwstr>
  </property>
</Properties>
</file>