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05711" w14:textId="77777777" w:rsidR="00F15DE2" w:rsidRPr="007A0378" w:rsidRDefault="00F15DE2" w:rsidP="007A0378">
      <w:pPr>
        <w:snapToGrid w:val="0"/>
        <w:spacing w:after="0" w:line="360" w:lineRule="auto"/>
        <w:jc w:val="both"/>
        <w:rPr>
          <w:rFonts w:ascii="Book Antiqua" w:hAnsi="Book Antiqua"/>
          <w:b/>
          <w:sz w:val="24"/>
          <w:szCs w:val="24"/>
          <w:lang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7A0378">
        <w:rPr>
          <w:rFonts w:ascii="Book Antiqua" w:hAnsi="Book Antiqua"/>
          <w:b/>
          <w:sz w:val="24"/>
          <w:szCs w:val="24"/>
          <w:lang w:eastAsia="zh-CN"/>
        </w:rPr>
        <w:t xml:space="preserve">Name of </w:t>
      </w:r>
      <w:r w:rsidRPr="007A0378">
        <w:rPr>
          <w:rFonts w:ascii="Book Antiqua" w:hAnsi="Book Antiqua"/>
          <w:b/>
          <w:caps/>
          <w:sz w:val="24"/>
          <w:szCs w:val="24"/>
          <w:lang w:eastAsia="zh-CN"/>
        </w:rPr>
        <w:t>j</w:t>
      </w:r>
      <w:r w:rsidRPr="007A0378">
        <w:rPr>
          <w:rFonts w:ascii="Book Antiqua" w:hAnsi="Book Antiqua"/>
          <w:b/>
          <w:sz w:val="24"/>
          <w:szCs w:val="24"/>
          <w:lang w:eastAsia="zh-CN"/>
        </w:rPr>
        <w:t xml:space="preserve">ournal: </w:t>
      </w:r>
      <w:r w:rsidRPr="007A0378">
        <w:rPr>
          <w:rFonts w:ascii="Book Antiqua" w:hAnsi="Book Antiqua"/>
          <w:b/>
          <w:i/>
          <w:sz w:val="24"/>
          <w:szCs w:val="24"/>
          <w:lang w:eastAsia="zh-CN"/>
        </w:rPr>
        <w:t>World Journal of Gastrointestinal Pharmacology and Therapeutics</w:t>
      </w:r>
    </w:p>
    <w:p w14:paraId="52B912EC" w14:textId="77777777" w:rsidR="00F15DE2" w:rsidRPr="007A0378" w:rsidRDefault="00F15DE2" w:rsidP="007A0378">
      <w:pPr>
        <w:snapToGrid w:val="0"/>
        <w:spacing w:after="0" w:line="360" w:lineRule="auto"/>
        <w:jc w:val="both"/>
        <w:rPr>
          <w:rFonts w:ascii="Book Antiqua" w:hAnsi="Book Antiqua"/>
          <w:b/>
          <w:i/>
          <w:sz w:val="24"/>
          <w:szCs w:val="24"/>
          <w:lang w:eastAsia="zh-CN"/>
        </w:rPr>
      </w:pPr>
      <w:bookmarkStart w:id="19" w:name="OLE_LINK485"/>
      <w:bookmarkStart w:id="20" w:name="OLE_LINK486"/>
      <w:bookmarkStart w:id="21" w:name="OLE_LINK661"/>
      <w:bookmarkStart w:id="22" w:name="OLE_LINK768"/>
      <w:bookmarkStart w:id="23" w:name="OLE_LINK514"/>
      <w:bookmarkStart w:id="24" w:name="OLE_LINK515"/>
      <w:r w:rsidRPr="007A0378">
        <w:rPr>
          <w:rFonts w:ascii="Book Antiqua" w:hAnsi="Book Antiqua"/>
          <w:b/>
          <w:sz w:val="24"/>
          <w:szCs w:val="24"/>
          <w:lang w:val="pl-PL" w:eastAsia="zh-CN"/>
        </w:rPr>
        <w:t>Manuscript NO:</w:t>
      </w:r>
      <w:bookmarkEnd w:id="19"/>
      <w:bookmarkEnd w:id="20"/>
      <w:bookmarkEnd w:id="21"/>
      <w:bookmarkEnd w:id="22"/>
      <w:r w:rsidRPr="007A0378">
        <w:rPr>
          <w:rFonts w:ascii="Book Antiqua" w:hAnsi="Book Antiqua"/>
          <w:b/>
          <w:sz w:val="24"/>
          <w:szCs w:val="24"/>
          <w:lang w:val="pl-PL" w:eastAsia="zh-CN"/>
        </w:rPr>
        <w:t xml:space="preserve"> 32662</w:t>
      </w:r>
    </w:p>
    <w:p w14:paraId="2117C938" w14:textId="77777777" w:rsidR="00F15DE2" w:rsidRPr="007A0378" w:rsidRDefault="00F15DE2" w:rsidP="007A0378">
      <w:pPr>
        <w:snapToGrid w:val="0"/>
        <w:spacing w:after="0" w:line="360" w:lineRule="auto"/>
        <w:jc w:val="both"/>
        <w:rPr>
          <w:rFonts w:ascii="Book Antiqua" w:hAnsi="Book Antiqua"/>
          <w:b/>
          <w:sz w:val="24"/>
          <w:szCs w:val="24"/>
          <w:lang w:val="it-IT" w:eastAsia="zh-CN"/>
        </w:rPr>
      </w:pPr>
      <w:bookmarkStart w:id="25" w:name="OLE_LINK511"/>
      <w:bookmarkStart w:id="26" w:name="OLE_LINK512"/>
      <w:bookmarkEnd w:id="23"/>
      <w:bookmarkEnd w:id="24"/>
      <w:r w:rsidRPr="007A0378">
        <w:rPr>
          <w:rFonts w:ascii="Book Antiqua" w:hAnsi="Book Antiqua"/>
          <w:b/>
          <w:sz w:val="24"/>
          <w:szCs w:val="24"/>
          <w:lang w:val="it-IT" w:eastAsia="zh-CN"/>
        </w:rPr>
        <w:t xml:space="preserve">Manuscript </w:t>
      </w:r>
      <w:r w:rsidRPr="007A0378">
        <w:rPr>
          <w:rFonts w:ascii="Book Antiqua" w:hAnsi="Book Antiqua"/>
          <w:b/>
          <w:caps/>
          <w:sz w:val="24"/>
          <w:szCs w:val="24"/>
          <w:lang w:eastAsia="zh-CN"/>
        </w:rPr>
        <w:t>t</w:t>
      </w:r>
      <w:r w:rsidRPr="007A0378">
        <w:rPr>
          <w:rFonts w:ascii="Book Antiqua" w:hAnsi="Book Antiqua"/>
          <w:b/>
          <w:sz w:val="24"/>
          <w:szCs w:val="24"/>
          <w:lang w:val="it-IT" w:eastAsia="zh-CN"/>
        </w:rPr>
        <w:t>ype:</w:t>
      </w:r>
      <w:bookmarkEnd w:id="0"/>
      <w:bookmarkEnd w:id="1"/>
      <w:bookmarkEnd w:id="2"/>
      <w:bookmarkEnd w:id="3"/>
      <w:bookmarkEnd w:id="4"/>
      <w:bookmarkEnd w:id="5"/>
      <w:bookmarkEnd w:id="6"/>
      <w:bookmarkEnd w:id="7"/>
      <w:bookmarkEnd w:id="8"/>
      <w:bookmarkEnd w:id="9"/>
      <w:bookmarkEnd w:id="10"/>
      <w:r w:rsidRPr="007A0378">
        <w:rPr>
          <w:rFonts w:ascii="Book Antiqua" w:hAnsi="Book Antiqua"/>
          <w:b/>
          <w:sz w:val="24"/>
          <w:szCs w:val="24"/>
          <w:lang w:val="it-IT" w:eastAsia="zh-CN"/>
        </w:rPr>
        <w:t xml:space="preserve"> </w:t>
      </w:r>
      <w:r w:rsidRPr="007A0378">
        <w:rPr>
          <w:rFonts w:ascii="Book Antiqua" w:hAnsi="Book Antiqua"/>
          <w:b/>
          <w:caps/>
          <w:sz w:val="24"/>
          <w:szCs w:val="24"/>
          <w:lang w:val="it-IT" w:eastAsia="zh-CN"/>
        </w:rPr>
        <w:t>M</w:t>
      </w:r>
      <w:r w:rsidRPr="007A0378">
        <w:rPr>
          <w:rFonts w:ascii="Book Antiqua" w:hAnsi="Book Antiqua"/>
          <w:b/>
          <w:sz w:val="24"/>
          <w:szCs w:val="24"/>
          <w:lang w:val="it-IT" w:eastAsia="zh-CN"/>
        </w:rPr>
        <w:t>inireviews</w:t>
      </w:r>
    </w:p>
    <w:bookmarkEnd w:id="11"/>
    <w:bookmarkEnd w:id="12"/>
    <w:bookmarkEnd w:id="13"/>
    <w:bookmarkEnd w:id="14"/>
    <w:bookmarkEnd w:id="15"/>
    <w:bookmarkEnd w:id="16"/>
    <w:bookmarkEnd w:id="17"/>
    <w:bookmarkEnd w:id="18"/>
    <w:bookmarkEnd w:id="25"/>
    <w:bookmarkEnd w:id="26"/>
    <w:p w14:paraId="288F28E2" w14:textId="77777777" w:rsidR="00F15DE2" w:rsidRPr="007A0378" w:rsidRDefault="00F15DE2" w:rsidP="007A0378">
      <w:pPr>
        <w:snapToGrid w:val="0"/>
        <w:spacing w:after="0" w:line="360" w:lineRule="auto"/>
        <w:jc w:val="both"/>
        <w:rPr>
          <w:rFonts w:ascii="Book Antiqua" w:hAnsi="Book Antiqua"/>
          <w:b/>
          <w:sz w:val="24"/>
          <w:szCs w:val="24"/>
          <w:lang w:eastAsia="zh-CN"/>
        </w:rPr>
      </w:pPr>
    </w:p>
    <w:p w14:paraId="17204124" w14:textId="77777777" w:rsidR="00F15DE2" w:rsidRPr="007A0378" w:rsidRDefault="00F15DE2" w:rsidP="007A0378">
      <w:pPr>
        <w:snapToGrid w:val="0"/>
        <w:spacing w:after="0" w:line="360" w:lineRule="auto"/>
        <w:jc w:val="both"/>
        <w:rPr>
          <w:rFonts w:ascii="Book Antiqua" w:hAnsi="Book Antiqua"/>
          <w:b/>
          <w:sz w:val="24"/>
          <w:szCs w:val="24"/>
          <w:lang w:eastAsia="zh-CN"/>
        </w:rPr>
      </w:pPr>
      <w:r w:rsidRPr="007A0378">
        <w:rPr>
          <w:rFonts w:ascii="Book Antiqua" w:hAnsi="Book Antiqua"/>
          <w:b/>
          <w:sz w:val="24"/>
          <w:szCs w:val="24"/>
        </w:rPr>
        <w:t>Critically ill patients and gut motility:</w:t>
      </w:r>
      <w:r w:rsidRPr="007A0378">
        <w:rPr>
          <w:rFonts w:ascii="Book Antiqua" w:hAnsi="Book Antiqua"/>
          <w:b/>
          <w:sz w:val="24"/>
          <w:szCs w:val="24"/>
          <w:lang w:eastAsia="zh-CN"/>
        </w:rPr>
        <w:t xml:space="preserve"> </w:t>
      </w:r>
      <w:r w:rsidRPr="007A0378">
        <w:rPr>
          <w:rFonts w:ascii="Book Antiqua" w:hAnsi="Book Antiqua"/>
          <w:b/>
          <w:sz w:val="24"/>
          <w:szCs w:val="24"/>
        </w:rPr>
        <w:t>Are we addressing it?</w:t>
      </w:r>
    </w:p>
    <w:p w14:paraId="4B6FD027" w14:textId="77777777" w:rsidR="00F15DE2" w:rsidRPr="007A0378" w:rsidRDefault="00F15DE2" w:rsidP="007A0378">
      <w:pPr>
        <w:snapToGrid w:val="0"/>
        <w:spacing w:after="0" w:line="360" w:lineRule="auto"/>
        <w:jc w:val="both"/>
        <w:rPr>
          <w:rFonts w:ascii="Book Antiqua" w:hAnsi="Book Antiqua"/>
          <w:b/>
          <w:sz w:val="24"/>
          <w:szCs w:val="24"/>
          <w:lang w:eastAsia="zh-CN"/>
        </w:rPr>
      </w:pPr>
    </w:p>
    <w:p w14:paraId="1B914C5A" w14:textId="77777777" w:rsidR="00F15DE2" w:rsidRPr="007A0378" w:rsidRDefault="00F15DE2" w:rsidP="007A0378">
      <w:pPr>
        <w:snapToGrid w:val="0"/>
        <w:spacing w:after="0" w:line="360" w:lineRule="auto"/>
        <w:jc w:val="both"/>
        <w:rPr>
          <w:rFonts w:ascii="Book Antiqua" w:hAnsi="Book Antiqua"/>
          <w:sz w:val="24"/>
          <w:szCs w:val="24"/>
          <w:lang w:eastAsia="zh-CN"/>
        </w:rPr>
      </w:pPr>
      <w:r w:rsidRPr="007A0378">
        <w:rPr>
          <w:rFonts w:ascii="Book Antiqua" w:hAnsi="Book Antiqua"/>
          <w:sz w:val="24"/>
          <w:szCs w:val="24"/>
        </w:rPr>
        <w:t>Vazquez-Sandoval</w:t>
      </w:r>
      <w:r w:rsidRPr="007A0378">
        <w:rPr>
          <w:rFonts w:ascii="Book Antiqua" w:hAnsi="Book Antiqua"/>
          <w:sz w:val="24"/>
          <w:szCs w:val="24"/>
          <w:lang w:eastAsia="zh-CN"/>
        </w:rPr>
        <w:t xml:space="preserve"> A </w:t>
      </w:r>
      <w:r w:rsidRPr="007A0378">
        <w:rPr>
          <w:rFonts w:ascii="Book Antiqua" w:hAnsi="Book Antiqua"/>
          <w:i/>
          <w:sz w:val="24"/>
          <w:szCs w:val="24"/>
          <w:lang w:eastAsia="zh-CN"/>
        </w:rPr>
        <w:t>et al</w:t>
      </w:r>
      <w:r w:rsidRPr="007A0378">
        <w:rPr>
          <w:rFonts w:ascii="Book Antiqua" w:hAnsi="Book Antiqua"/>
          <w:sz w:val="24"/>
          <w:szCs w:val="24"/>
          <w:lang w:eastAsia="zh-CN"/>
        </w:rPr>
        <w:t xml:space="preserve">. </w:t>
      </w:r>
      <w:r w:rsidRPr="007A0378">
        <w:rPr>
          <w:rFonts w:ascii="Book Antiqua" w:hAnsi="Book Antiqua"/>
          <w:sz w:val="24"/>
          <w:szCs w:val="24"/>
        </w:rPr>
        <w:t>Critically ill patients and gut motility</w:t>
      </w:r>
    </w:p>
    <w:p w14:paraId="302AC68D" w14:textId="77777777" w:rsidR="00F15DE2" w:rsidRPr="007A0378" w:rsidRDefault="00F15DE2" w:rsidP="007A0378">
      <w:pPr>
        <w:snapToGrid w:val="0"/>
        <w:spacing w:after="0" w:line="360" w:lineRule="auto"/>
        <w:jc w:val="both"/>
        <w:rPr>
          <w:rFonts w:ascii="Book Antiqua" w:hAnsi="Book Antiqua"/>
          <w:sz w:val="24"/>
          <w:szCs w:val="24"/>
          <w:lang w:eastAsia="zh-CN"/>
        </w:rPr>
      </w:pPr>
    </w:p>
    <w:p w14:paraId="740FEF5A" w14:textId="77777777" w:rsidR="00F15DE2" w:rsidRPr="007A0378" w:rsidRDefault="00F15DE2" w:rsidP="007A0378">
      <w:pPr>
        <w:snapToGrid w:val="0"/>
        <w:spacing w:after="0" w:line="360" w:lineRule="auto"/>
        <w:jc w:val="both"/>
        <w:rPr>
          <w:rFonts w:ascii="Book Antiqua" w:hAnsi="Book Antiqua"/>
          <w:sz w:val="24"/>
          <w:szCs w:val="24"/>
          <w:lang w:eastAsia="zh-CN"/>
        </w:rPr>
      </w:pPr>
      <w:r w:rsidRPr="007A0378">
        <w:rPr>
          <w:rFonts w:ascii="Book Antiqua" w:hAnsi="Book Antiqua"/>
          <w:sz w:val="24"/>
          <w:szCs w:val="24"/>
        </w:rPr>
        <w:t>Alfredo Vazquez-Sandoval,</w:t>
      </w:r>
      <w:r w:rsidRPr="007A0378">
        <w:rPr>
          <w:rFonts w:ascii="Book Antiqua" w:hAnsi="Book Antiqua"/>
          <w:sz w:val="24"/>
          <w:szCs w:val="24"/>
          <w:lang w:eastAsia="zh-CN"/>
        </w:rPr>
        <w:t xml:space="preserve"> </w:t>
      </w:r>
      <w:proofErr w:type="spellStart"/>
      <w:r w:rsidRPr="007A0378">
        <w:rPr>
          <w:rFonts w:ascii="Book Antiqua" w:hAnsi="Book Antiqua"/>
          <w:sz w:val="24"/>
          <w:szCs w:val="24"/>
        </w:rPr>
        <w:t>Shekhar</w:t>
      </w:r>
      <w:proofErr w:type="spellEnd"/>
      <w:r w:rsidRPr="007A0378">
        <w:rPr>
          <w:rFonts w:ascii="Book Antiqua" w:hAnsi="Book Antiqua"/>
          <w:sz w:val="24"/>
          <w:szCs w:val="24"/>
        </w:rPr>
        <w:t xml:space="preserve"> </w:t>
      </w:r>
      <w:proofErr w:type="spellStart"/>
      <w:r w:rsidRPr="007A0378">
        <w:rPr>
          <w:rFonts w:ascii="Book Antiqua" w:hAnsi="Book Antiqua"/>
          <w:sz w:val="24"/>
          <w:szCs w:val="24"/>
        </w:rPr>
        <w:t>Ghamande</w:t>
      </w:r>
      <w:proofErr w:type="spellEnd"/>
      <w:r w:rsidRPr="007A0378">
        <w:rPr>
          <w:rFonts w:ascii="Book Antiqua" w:hAnsi="Book Antiqua"/>
          <w:sz w:val="24"/>
          <w:szCs w:val="24"/>
        </w:rPr>
        <w:t>,</w:t>
      </w:r>
      <w:r w:rsidRPr="007A0378">
        <w:rPr>
          <w:rFonts w:ascii="Book Antiqua" w:hAnsi="Book Antiqua"/>
          <w:sz w:val="24"/>
          <w:szCs w:val="24"/>
          <w:lang w:eastAsia="zh-CN"/>
        </w:rPr>
        <w:t xml:space="preserve"> </w:t>
      </w:r>
      <w:proofErr w:type="spellStart"/>
      <w:r w:rsidRPr="007A0378">
        <w:rPr>
          <w:rFonts w:ascii="Book Antiqua" w:hAnsi="Book Antiqua"/>
          <w:sz w:val="24"/>
          <w:szCs w:val="24"/>
        </w:rPr>
        <w:t>Salim</w:t>
      </w:r>
      <w:proofErr w:type="spellEnd"/>
      <w:r w:rsidRPr="007A0378">
        <w:rPr>
          <w:rFonts w:ascii="Book Antiqua" w:hAnsi="Book Antiqua"/>
          <w:sz w:val="24"/>
          <w:szCs w:val="24"/>
        </w:rPr>
        <w:t xml:space="preserve"> </w:t>
      </w:r>
      <w:proofErr w:type="spellStart"/>
      <w:r w:rsidRPr="007A0378">
        <w:rPr>
          <w:rFonts w:ascii="Book Antiqua" w:hAnsi="Book Antiqua"/>
          <w:sz w:val="24"/>
          <w:szCs w:val="24"/>
        </w:rPr>
        <w:t>Surani</w:t>
      </w:r>
      <w:proofErr w:type="spellEnd"/>
    </w:p>
    <w:p w14:paraId="225E51A0" w14:textId="77777777" w:rsidR="00F15DE2" w:rsidRPr="007A0378" w:rsidRDefault="00F15DE2" w:rsidP="007A0378">
      <w:pPr>
        <w:snapToGrid w:val="0"/>
        <w:spacing w:after="0" w:line="360" w:lineRule="auto"/>
        <w:jc w:val="both"/>
        <w:rPr>
          <w:rFonts w:ascii="Book Antiqua" w:hAnsi="Book Antiqua"/>
          <w:b/>
          <w:sz w:val="24"/>
          <w:szCs w:val="24"/>
          <w:lang w:eastAsia="zh-CN"/>
        </w:rPr>
      </w:pPr>
    </w:p>
    <w:p w14:paraId="176E1941" w14:textId="77777777" w:rsidR="00F15DE2" w:rsidRPr="007A0378" w:rsidRDefault="00F15DE2" w:rsidP="007A0378">
      <w:pPr>
        <w:snapToGrid w:val="0"/>
        <w:spacing w:after="0" w:line="360" w:lineRule="auto"/>
        <w:jc w:val="both"/>
        <w:rPr>
          <w:rFonts w:ascii="Book Antiqua" w:hAnsi="Book Antiqua"/>
          <w:sz w:val="24"/>
          <w:szCs w:val="24"/>
          <w:lang w:eastAsia="zh-CN"/>
        </w:rPr>
      </w:pPr>
      <w:r w:rsidRPr="007A0378">
        <w:rPr>
          <w:rFonts w:ascii="Book Antiqua" w:hAnsi="Book Antiqua"/>
          <w:b/>
          <w:sz w:val="24"/>
          <w:szCs w:val="24"/>
        </w:rPr>
        <w:t xml:space="preserve">Alfredo Vazquez-Sandoval, </w:t>
      </w:r>
      <w:proofErr w:type="spellStart"/>
      <w:r w:rsidRPr="007A0378">
        <w:rPr>
          <w:rFonts w:ascii="Book Antiqua" w:hAnsi="Book Antiqua"/>
          <w:b/>
          <w:sz w:val="24"/>
          <w:szCs w:val="24"/>
        </w:rPr>
        <w:t>Shekhar</w:t>
      </w:r>
      <w:proofErr w:type="spellEnd"/>
      <w:r w:rsidRPr="007A0378">
        <w:rPr>
          <w:rFonts w:ascii="Book Antiqua" w:hAnsi="Book Antiqua"/>
          <w:b/>
          <w:sz w:val="24"/>
          <w:szCs w:val="24"/>
        </w:rPr>
        <w:t xml:space="preserve"> </w:t>
      </w:r>
      <w:proofErr w:type="spellStart"/>
      <w:r w:rsidRPr="007A0378">
        <w:rPr>
          <w:rFonts w:ascii="Book Antiqua" w:hAnsi="Book Antiqua"/>
          <w:b/>
          <w:sz w:val="24"/>
          <w:szCs w:val="24"/>
        </w:rPr>
        <w:t>Ghamande</w:t>
      </w:r>
      <w:proofErr w:type="spellEnd"/>
      <w:r w:rsidRPr="007A0378">
        <w:rPr>
          <w:rFonts w:ascii="Book Antiqua" w:hAnsi="Book Antiqua"/>
          <w:b/>
          <w:sz w:val="24"/>
          <w:szCs w:val="24"/>
        </w:rPr>
        <w:t>,</w:t>
      </w:r>
      <w:r w:rsidRPr="007A0378">
        <w:rPr>
          <w:rFonts w:ascii="Book Antiqua" w:hAnsi="Book Antiqua"/>
          <w:sz w:val="24"/>
          <w:szCs w:val="24"/>
          <w:lang w:eastAsia="zh-CN"/>
        </w:rPr>
        <w:t xml:space="preserve"> </w:t>
      </w:r>
      <w:r w:rsidRPr="007A0378">
        <w:rPr>
          <w:rFonts w:ascii="Book Antiqua" w:hAnsi="Book Antiqua"/>
          <w:sz w:val="24"/>
          <w:szCs w:val="24"/>
        </w:rPr>
        <w:t>Scott &amp; White Medical Center</w:t>
      </w:r>
      <w:r w:rsidRPr="007A0378">
        <w:rPr>
          <w:rFonts w:ascii="Book Antiqua" w:hAnsi="Book Antiqua"/>
          <w:sz w:val="24"/>
          <w:szCs w:val="24"/>
          <w:lang w:eastAsia="zh-CN"/>
        </w:rPr>
        <w:t xml:space="preserve">, </w:t>
      </w:r>
      <w:r w:rsidRPr="007A0378">
        <w:rPr>
          <w:rFonts w:ascii="Book Antiqua" w:hAnsi="Book Antiqua"/>
          <w:sz w:val="24"/>
          <w:szCs w:val="24"/>
        </w:rPr>
        <w:t>Texas A&amp;M University, Aransas Pass</w:t>
      </w:r>
      <w:r w:rsidRPr="007A0378">
        <w:rPr>
          <w:rFonts w:ascii="Book Antiqua" w:hAnsi="Book Antiqua"/>
          <w:sz w:val="24"/>
          <w:szCs w:val="24"/>
          <w:lang w:eastAsia="zh-CN"/>
        </w:rPr>
        <w:t xml:space="preserve">, </w:t>
      </w:r>
      <w:r w:rsidRPr="007A0378">
        <w:rPr>
          <w:rFonts w:ascii="Book Antiqua" w:hAnsi="Book Antiqua"/>
          <w:sz w:val="24"/>
          <w:szCs w:val="24"/>
        </w:rPr>
        <w:t>T</w:t>
      </w:r>
      <w:r w:rsidRPr="007A0378">
        <w:rPr>
          <w:rFonts w:ascii="Book Antiqua" w:hAnsi="Book Antiqua"/>
          <w:sz w:val="24"/>
          <w:szCs w:val="24"/>
          <w:lang w:eastAsia="zh-CN"/>
        </w:rPr>
        <w:t xml:space="preserve">X </w:t>
      </w:r>
      <w:r w:rsidRPr="007A0378">
        <w:rPr>
          <w:rFonts w:ascii="Book Antiqua" w:hAnsi="Book Antiqua"/>
          <w:sz w:val="24"/>
          <w:szCs w:val="24"/>
        </w:rPr>
        <w:t>78336</w:t>
      </w:r>
      <w:r w:rsidRPr="007A0378">
        <w:rPr>
          <w:rFonts w:ascii="Book Antiqua" w:hAnsi="Book Antiqua"/>
          <w:sz w:val="24"/>
          <w:szCs w:val="24"/>
          <w:lang w:eastAsia="zh-CN"/>
        </w:rPr>
        <w:t>, United States</w:t>
      </w:r>
    </w:p>
    <w:p w14:paraId="75CB99F1" w14:textId="77777777" w:rsidR="00F15DE2" w:rsidRPr="007A0378" w:rsidRDefault="00F15DE2" w:rsidP="007A0378">
      <w:pPr>
        <w:snapToGrid w:val="0"/>
        <w:spacing w:after="0" w:line="360" w:lineRule="auto"/>
        <w:jc w:val="both"/>
        <w:rPr>
          <w:rFonts w:ascii="Book Antiqua" w:hAnsi="Book Antiqua"/>
          <w:b/>
          <w:sz w:val="24"/>
          <w:szCs w:val="24"/>
          <w:lang w:eastAsia="zh-CN"/>
        </w:rPr>
      </w:pPr>
    </w:p>
    <w:p w14:paraId="1EDDAFC2" w14:textId="474C3211" w:rsidR="00F15DE2" w:rsidRPr="008150A9" w:rsidRDefault="00F15DE2" w:rsidP="007A0378">
      <w:pPr>
        <w:snapToGrid w:val="0"/>
        <w:spacing w:after="0" w:line="360" w:lineRule="auto"/>
        <w:jc w:val="both"/>
        <w:rPr>
          <w:rFonts w:ascii="Book Antiqua" w:hAnsi="Book Antiqua"/>
          <w:b/>
          <w:sz w:val="24"/>
          <w:szCs w:val="24"/>
          <w:lang w:eastAsia="zh-CN"/>
        </w:rPr>
      </w:pPr>
      <w:proofErr w:type="spellStart"/>
      <w:r w:rsidRPr="007A0378">
        <w:rPr>
          <w:rFonts w:ascii="Book Antiqua" w:hAnsi="Book Antiqua"/>
          <w:b/>
          <w:sz w:val="24"/>
          <w:szCs w:val="24"/>
        </w:rPr>
        <w:t>Salim</w:t>
      </w:r>
      <w:proofErr w:type="spellEnd"/>
      <w:r w:rsidRPr="007A0378">
        <w:rPr>
          <w:rFonts w:ascii="Book Antiqua" w:hAnsi="Book Antiqua"/>
          <w:b/>
          <w:sz w:val="24"/>
          <w:szCs w:val="24"/>
        </w:rPr>
        <w:t xml:space="preserve"> </w:t>
      </w:r>
      <w:proofErr w:type="spellStart"/>
      <w:r w:rsidRPr="007A0378">
        <w:rPr>
          <w:rFonts w:ascii="Book Antiqua" w:hAnsi="Book Antiqua"/>
          <w:b/>
          <w:sz w:val="24"/>
          <w:szCs w:val="24"/>
        </w:rPr>
        <w:t>Surani</w:t>
      </w:r>
      <w:proofErr w:type="spellEnd"/>
      <w:r w:rsidRPr="007A0378">
        <w:rPr>
          <w:rFonts w:ascii="Book Antiqua" w:hAnsi="Book Antiqua"/>
          <w:b/>
          <w:sz w:val="24"/>
          <w:szCs w:val="24"/>
        </w:rPr>
        <w:t>,</w:t>
      </w:r>
      <w:r w:rsidRPr="007A0378">
        <w:rPr>
          <w:rFonts w:ascii="Book Antiqua" w:hAnsi="Book Antiqua"/>
          <w:b/>
          <w:sz w:val="24"/>
          <w:szCs w:val="24"/>
          <w:lang w:eastAsia="zh-CN"/>
        </w:rPr>
        <w:t xml:space="preserve"> </w:t>
      </w:r>
      <w:r w:rsidR="00377DF3">
        <w:rPr>
          <w:rFonts w:ascii="Book Antiqua" w:hAnsi="Book Antiqua"/>
          <w:sz w:val="24"/>
          <w:szCs w:val="24"/>
          <w:lang w:eastAsia="zh-CN"/>
        </w:rPr>
        <w:t>Department of Medicine</w:t>
      </w:r>
      <w:r w:rsidR="008150A9">
        <w:rPr>
          <w:rFonts w:ascii="Book Antiqua" w:hAnsi="Book Antiqua" w:hint="eastAsia"/>
          <w:b/>
          <w:sz w:val="24"/>
          <w:szCs w:val="24"/>
          <w:lang w:eastAsia="zh-CN"/>
        </w:rPr>
        <w:t xml:space="preserve">, </w:t>
      </w:r>
      <w:r w:rsidR="00377DF3">
        <w:rPr>
          <w:rFonts w:ascii="Book Antiqua" w:hAnsi="Book Antiqua"/>
          <w:sz w:val="24"/>
          <w:szCs w:val="24"/>
          <w:lang w:eastAsia="zh-CN"/>
        </w:rPr>
        <w:t>Division of Pulmonary</w:t>
      </w:r>
      <w:r w:rsidR="008150A9">
        <w:rPr>
          <w:rFonts w:ascii="Book Antiqua" w:hAnsi="Book Antiqua" w:hint="eastAsia"/>
          <w:sz w:val="24"/>
          <w:szCs w:val="24"/>
          <w:lang w:eastAsia="zh-CN"/>
        </w:rPr>
        <w:t xml:space="preserve"> and </w:t>
      </w:r>
      <w:r w:rsidR="00377DF3">
        <w:rPr>
          <w:rFonts w:ascii="Book Antiqua" w:hAnsi="Book Antiqua"/>
          <w:sz w:val="24"/>
          <w:szCs w:val="24"/>
          <w:lang w:eastAsia="zh-CN"/>
        </w:rPr>
        <w:t>Critical Care</w:t>
      </w:r>
      <w:r w:rsidR="008150A9">
        <w:rPr>
          <w:rFonts w:ascii="Book Antiqua" w:hAnsi="Book Antiqua" w:hint="eastAsia"/>
          <w:b/>
          <w:sz w:val="24"/>
          <w:szCs w:val="24"/>
          <w:lang w:eastAsia="zh-CN"/>
        </w:rPr>
        <w:t xml:space="preserve">, </w:t>
      </w:r>
      <w:r w:rsidRPr="007A0378">
        <w:rPr>
          <w:rFonts w:ascii="Book Antiqua" w:hAnsi="Book Antiqua"/>
          <w:sz w:val="24"/>
          <w:szCs w:val="24"/>
        </w:rPr>
        <w:t>Texas A&amp;M University, Aransas Pass</w:t>
      </w:r>
      <w:r w:rsidRPr="007A0378">
        <w:rPr>
          <w:rFonts w:ascii="Book Antiqua" w:hAnsi="Book Antiqua"/>
          <w:sz w:val="24"/>
          <w:szCs w:val="24"/>
          <w:lang w:eastAsia="zh-CN"/>
        </w:rPr>
        <w:t xml:space="preserve">, </w:t>
      </w:r>
      <w:r w:rsidRPr="007A0378">
        <w:rPr>
          <w:rFonts w:ascii="Book Antiqua" w:hAnsi="Book Antiqua"/>
          <w:sz w:val="24"/>
          <w:szCs w:val="24"/>
        </w:rPr>
        <w:t>T</w:t>
      </w:r>
      <w:r w:rsidRPr="007A0378">
        <w:rPr>
          <w:rFonts w:ascii="Book Antiqua" w:hAnsi="Book Antiqua"/>
          <w:sz w:val="24"/>
          <w:szCs w:val="24"/>
          <w:lang w:eastAsia="zh-CN"/>
        </w:rPr>
        <w:t xml:space="preserve">X </w:t>
      </w:r>
      <w:r w:rsidRPr="007A0378">
        <w:rPr>
          <w:rFonts w:ascii="Book Antiqua" w:hAnsi="Book Antiqua"/>
          <w:sz w:val="24"/>
          <w:szCs w:val="24"/>
        </w:rPr>
        <w:t>78336</w:t>
      </w:r>
      <w:r w:rsidRPr="007A0378">
        <w:rPr>
          <w:rFonts w:ascii="Book Antiqua" w:hAnsi="Book Antiqua"/>
          <w:sz w:val="24"/>
          <w:szCs w:val="24"/>
          <w:lang w:eastAsia="zh-CN"/>
        </w:rPr>
        <w:t>, United States</w:t>
      </w:r>
    </w:p>
    <w:p w14:paraId="39AC6D09" w14:textId="77777777" w:rsidR="00F15DE2" w:rsidRDefault="00F15DE2" w:rsidP="007A0378">
      <w:pPr>
        <w:snapToGrid w:val="0"/>
        <w:spacing w:after="0" w:line="360" w:lineRule="auto"/>
        <w:jc w:val="both"/>
        <w:rPr>
          <w:rFonts w:ascii="Book Antiqua" w:hAnsi="Book Antiqua"/>
          <w:b/>
          <w:sz w:val="24"/>
          <w:szCs w:val="24"/>
          <w:lang w:eastAsia="zh-CN"/>
        </w:rPr>
      </w:pPr>
    </w:p>
    <w:p w14:paraId="76A5CE35" w14:textId="3C063568" w:rsidR="00377DF3" w:rsidRPr="008150A9" w:rsidRDefault="00BC15C4" w:rsidP="007A0378">
      <w:pPr>
        <w:snapToGrid w:val="0"/>
        <w:spacing w:after="0" w:line="360" w:lineRule="auto"/>
        <w:jc w:val="both"/>
        <w:rPr>
          <w:rFonts w:ascii="Book Antiqua" w:hAnsi="Book Antiqua" w:cs="Times New Roman"/>
          <w:b/>
          <w:sz w:val="24"/>
          <w:lang w:eastAsia="zh-CN"/>
        </w:rPr>
      </w:pPr>
      <w:r w:rsidRPr="008150A9">
        <w:rPr>
          <w:rFonts w:ascii="Book Antiqua" w:hAnsi="Book Antiqua" w:cs="Times New Roman"/>
          <w:b/>
          <w:sz w:val="24"/>
          <w:highlight w:val="white"/>
          <w:lang w:eastAsia="zh-CN"/>
        </w:rPr>
        <w:t>Author contributions:</w:t>
      </w:r>
      <w:r w:rsidR="008150A9">
        <w:rPr>
          <w:rFonts w:ascii="Book Antiqua" w:hAnsi="Book Antiqua" w:cs="Times New Roman" w:hint="eastAsia"/>
          <w:b/>
          <w:sz w:val="24"/>
          <w:lang w:eastAsia="zh-CN"/>
        </w:rPr>
        <w:t xml:space="preserve"> </w:t>
      </w:r>
      <w:r w:rsidR="00377DF3" w:rsidRPr="008150A9">
        <w:rPr>
          <w:rFonts w:ascii="Book Antiqua" w:hAnsi="Book Antiqua" w:cs="Times New Roman"/>
          <w:sz w:val="24"/>
          <w:lang w:eastAsia="zh-CN"/>
        </w:rPr>
        <w:t>Vasquez-Sandoval A</w:t>
      </w:r>
      <w:r w:rsidR="008150A9" w:rsidRPr="008150A9">
        <w:rPr>
          <w:rFonts w:ascii="Book Antiqua" w:hAnsi="Book Antiqua" w:cs="Times New Roman" w:hint="eastAsia"/>
          <w:sz w:val="24"/>
          <w:lang w:eastAsia="zh-CN"/>
        </w:rPr>
        <w:t xml:space="preserve">, </w:t>
      </w:r>
      <w:proofErr w:type="spellStart"/>
      <w:r w:rsidR="008150A9" w:rsidRPr="008150A9">
        <w:rPr>
          <w:rFonts w:ascii="Book Antiqua" w:hAnsi="Book Antiqua" w:cs="Times New Roman"/>
          <w:sz w:val="24"/>
          <w:lang w:eastAsia="zh-CN"/>
        </w:rPr>
        <w:t>Ghamande</w:t>
      </w:r>
      <w:proofErr w:type="spellEnd"/>
      <w:r w:rsidR="008150A9" w:rsidRPr="008150A9">
        <w:rPr>
          <w:rFonts w:ascii="Book Antiqua" w:hAnsi="Book Antiqua" w:cs="Times New Roman"/>
          <w:sz w:val="24"/>
          <w:lang w:eastAsia="zh-CN"/>
        </w:rPr>
        <w:t xml:space="preserve"> S</w:t>
      </w:r>
      <w:r w:rsidR="00377DF3" w:rsidRPr="008150A9">
        <w:rPr>
          <w:rFonts w:ascii="Book Antiqua" w:hAnsi="Book Antiqua" w:cs="Times New Roman"/>
          <w:sz w:val="24"/>
          <w:lang w:eastAsia="zh-CN"/>
        </w:rPr>
        <w:t xml:space="preserve"> </w:t>
      </w:r>
      <w:r w:rsidR="008150A9" w:rsidRPr="008150A9">
        <w:rPr>
          <w:rFonts w:ascii="Book Antiqua" w:hAnsi="Book Antiqua" w:cs="Times New Roman" w:hint="eastAsia"/>
          <w:sz w:val="24"/>
          <w:lang w:eastAsia="zh-CN"/>
        </w:rPr>
        <w:t xml:space="preserve">and </w:t>
      </w:r>
      <w:proofErr w:type="spellStart"/>
      <w:r w:rsidR="008150A9" w:rsidRPr="008150A9">
        <w:rPr>
          <w:rFonts w:ascii="Book Antiqua" w:hAnsi="Book Antiqua" w:cs="Times New Roman"/>
          <w:sz w:val="24"/>
          <w:lang w:eastAsia="zh-CN"/>
        </w:rPr>
        <w:t>Surani</w:t>
      </w:r>
      <w:proofErr w:type="spellEnd"/>
      <w:r w:rsidR="008150A9" w:rsidRPr="008150A9">
        <w:rPr>
          <w:rFonts w:ascii="Book Antiqua" w:hAnsi="Book Antiqua" w:cs="Times New Roman"/>
          <w:sz w:val="24"/>
          <w:lang w:eastAsia="zh-CN"/>
        </w:rPr>
        <w:t xml:space="preserve"> S </w:t>
      </w:r>
      <w:r w:rsidR="00377DF3" w:rsidRPr="008150A9">
        <w:rPr>
          <w:rFonts w:ascii="Book Antiqua" w:hAnsi="Book Antiqua" w:cs="Times New Roman"/>
          <w:sz w:val="24"/>
          <w:lang w:eastAsia="zh-CN"/>
        </w:rPr>
        <w:t>was involved in design, research</w:t>
      </w:r>
      <w:r w:rsidR="008150A9" w:rsidRPr="008150A9">
        <w:rPr>
          <w:rFonts w:ascii="Book Antiqua" w:hAnsi="Book Antiqua" w:cs="Times New Roman" w:hint="eastAsia"/>
          <w:sz w:val="24"/>
          <w:lang w:eastAsia="zh-CN"/>
        </w:rPr>
        <w:t xml:space="preserve">; </w:t>
      </w:r>
      <w:r w:rsidR="008150A9" w:rsidRPr="008150A9">
        <w:rPr>
          <w:rFonts w:ascii="Book Antiqua" w:hAnsi="Book Antiqua" w:cs="Times New Roman"/>
          <w:sz w:val="24"/>
          <w:lang w:eastAsia="zh-CN"/>
        </w:rPr>
        <w:t>Vasquez-Sandoval A</w:t>
      </w:r>
      <w:r w:rsidR="008150A9" w:rsidRPr="008150A9">
        <w:rPr>
          <w:rFonts w:ascii="Book Antiqua" w:hAnsi="Book Antiqua" w:cs="Times New Roman" w:hint="eastAsia"/>
          <w:sz w:val="24"/>
          <w:lang w:eastAsia="zh-CN"/>
        </w:rPr>
        <w:t xml:space="preserve"> and </w:t>
      </w:r>
      <w:proofErr w:type="spellStart"/>
      <w:r w:rsidR="008150A9" w:rsidRPr="008150A9">
        <w:rPr>
          <w:rFonts w:ascii="Book Antiqua" w:hAnsi="Book Antiqua" w:cs="Times New Roman"/>
          <w:sz w:val="24"/>
          <w:lang w:eastAsia="zh-CN"/>
        </w:rPr>
        <w:t>Surani</w:t>
      </w:r>
      <w:proofErr w:type="spellEnd"/>
      <w:r w:rsidR="008150A9" w:rsidRPr="008150A9">
        <w:rPr>
          <w:rFonts w:ascii="Book Antiqua" w:hAnsi="Book Antiqua" w:cs="Times New Roman"/>
          <w:sz w:val="24"/>
          <w:lang w:eastAsia="zh-CN"/>
        </w:rPr>
        <w:t xml:space="preserve"> S </w:t>
      </w:r>
      <w:r w:rsidR="00377DF3" w:rsidRPr="008150A9">
        <w:rPr>
          <w:rFonts w:ascii="Book Antiqua" w:hAnsi="Book Antiqua" w:cs="Times New Roman"/>
          <w:sz w:val="24"/>
          <w:lang w:eastAsia="zh-CN"/>
        </w:rPr>
        <w:t>wr</w:t>
      </w:r>
      <w:r w:rsidR="008150A9" w:rsidRPr="008150A9">
        <w:rPr>
          <w:rFonts w:ascii="Book Antiqua" w:hAnsi="Book Antiqua" w:cs="Times New Roman" w:hint="eastAsia"/>
          <w:sz w:val="24"/>
          <w:lang w:eastAsia="zh-CN"/>
        </w:rPr>
        <w:t>o</w:t>
      </w:r>
      <w:r w:rsidR="00377DF3" w:rsidRPr="008150A9">
        <w:rPr>
          <w:rFonts w:ascii="Book Antiqua" w:hAnsi="Book Antiqua" w:cs="Times New Roman"/>
          <w:sz w:val="24"/>
          <w:lang w:eastAsia="zh-CN"/>
        </w:rPr>
        <w:t>t</w:t>
      </w:r>
      <w:r w:rsidR="008150A9" w:rsidRPr="008150A9">
        <w:rPr>
          <w:rFonts w:ascii="Book Antiqua" w:hAnsi="Book Antiqua" w:cs="Times New Roman" w:hint="eastAsia"/>
          <w:sz w:val="24"/>
          <w:lang w:eastAsia="zh-CN"/>
        </w:rPr>
        <w:t xml:space="preserve">e </w:t>
      </w:r>
      <w:r w:rsidR="00377DF3" w:rsidRPr="008150A9">
        <w:rPr>
          <w:rFonts w:ascii="Book Antiqua" w:hAnsi="Book Antiqua" w:cs="Times New Roman"/>
          <w:sz w:val="24"/>
          <w:lang w:eastAsia="zh-CN"/>
        </w:rPr>
        <w:t xml:space="preserve">the </w:t>
      </w:r>
      <w:r w:rsidR="008150A9" w:rsidRPr="008150A9">
        <w:rPr>
          <w:rFonts w:ascii="Book Antiqua" w:hAnsi="Book Antiqua" w:cs="Times New Roman" w:hint="eastAsia"/>
          <w:sz w:val="24"/>
          <w:lang w:eastAsia="zh-CN"/>
        </w:rPr>
        <w:t>manuscript</w:t>
      </w:r>
      <w:r w:rsidR="00377DF3" w:rsidRPr="008150A9">
        <w:rPr>
          <w:rFonts w:ascii="Book Antiqua" w:hAnsi="Book Antiqua" w:cs="Times New Roman"/>
          <w:sz w:val="24"/>
          <w:lang w:eastAsia="zh-CN"/>
        </w:rPr>
        <w:t>;</w:t>
      </w:r>
      <w:r w:rsidR="008150A9" w:rsidRPr="008150A9">
        <w:rPr>
          <w:rFonts w:ascii="Book Antiqua" w:hAnsi="Book Antiqua" w:cs="Times New Roman" w:hint="eastAsia"/>
          <w:sz w:val="24"/>
          <w:lang w:eastAsia="zh-CN"/>
        </w:rPr>
        <w:t xml:space="preserve"> all authors </w:t>
      </w:r>
      <w:r w:rsidR="00377DF3" w:rsidRPr="008150A9">
        <w:rPr>
          <w:rFonts w:ascii="Book Antiqua" w:hAnsi="Book Antiqua" w:cs="Times New Roman"/>
          <w:sz w:val="24"/>
          <w:lang w:eastAsia="zh-CN"/>
        </w:rPr>
        <w:t>review</w:t>
      </w:r>
      <w:r w:rsidR="008150A9" w:rsidRPr="008150A9">
        <w:rPr>
          <w:rFonts w:ascii="Book Antiqua" w:hAnsi="Book Antiqua" w:cs="Times New Roman" w:hint="eastAsia"/>
          <w:sz w:val="24"/>
          <w:lang w:eastAsia="zh-CN"/>
        </w:rPr>
        <w:t xml:space="preserve">ed </w:t>
      </w:r>
      <w:r w:rsidR="00377DF3" w:rsidRPr="008150A9">
        <w:rPr>
          <w:rFonts w:ascii="Book Antiqua" w:hAnsi="Book Antiqua" w:cs="Times New Roman"/>
          <w:sz w:val="24"/>
          <w:lang w:eastAsia="zh-CN"/>
        </w:rPr>
        <w:t xml:space="preserve">the </w:t>
      </w:r>
      <w:r w:rsidR="008150A9" w:rsidRPr="008150A9">
        <w:rPr>
          <w:rFonts w:ascii="Book Antiqua" w:hAnsi="Book Antiqua" w:cs="Times New Roman" w:hint="eastAsia"/>
          <w:sz w:val="24"/>
          <w:lang w:eastAsia="zh-CN"/>
        </w:rPr>
        <w:t xml:space="preserve">final </w:t>
      </w:r>
      <w:r w:rsidR="008150A9" w:rsidRPr="008150A9">
        <w:rPr>
          <w:rFonts w:ascii="Book Antiqua" w:hAnsi="Book Antiqua" w:cs="Times New Roman"/>
          <w:sz w:val="24"/>
          <w:lang w:eastAsia="zh-CN"/>
        </w:rPr>
        <w:t>article.</w:t>
      </w:r>
    </w:p>
    <w:p w14:paraId="781A4EDA" w14:textId="77777777" w:rsidR="00BC15C4" w:rsidRPr="007A0378" w:rsidRDefault="00BC15C4" w:rsidP="007A0378">
      <w:pPr>
        <w:snapToGrid w:val="0"/>
        <w:spacing w:after="0" w:line="360" w:lineRule="auto"/>
        <w:jc w:val="both"/>
        <w:rPr>
          <w:rFonts w:ascii="Book Antiqua" w:hAnsi="Book Antiqua"/>
          <w:b/>
          <w:sz w:val="24"/>
          <w:szCs w:val="24"/>
          <w:lang w:eastAsia="zh-CN"/>
        </w:rPr>
      </w:pPr>
    </w:p>
    <w:p w14:paraId="26DFB7A8" w14:textId="77777777" w:rsidR="00F15DE2" w:rsidRPr="007A0378" w:rsidRDefault="00F15DE2" w:rsidP="007A0378">
      <w:pPr>
        <w:snapToGrid w:val="0"/>
        <w:spacing w:after="0" w:line="360" w:lineRule="auto"/>
        <w:jc w:val="both"/>
        <w:rPr>
          <w:rFonts w:ascii="Book Antiqua" w:hAnsi="Book Antiqua"/>
          <w:b/>
          <w:sz w:val="24"/>
          <w:szCs w:val="24"/>
        </w:rPr>
      </w:pPr>
      <w:bookmarkStart w:id="27" w:name="OLE_LINK378"/>
      <w:bookmarkStart w:id="28" w:name="OLE_LINK43"/>
      <w:bookmarkStart w:id="29" w:name="OLE_LINK44"/>
      <w:bookmarkStart w:id="30" w:name="OLE_LINK130"/>
      <w:bookmarkStart w:id="31" w:name="OLE_LINK309"/>
      <w:bookmarkStart w:id="32" w:name="OLE_LINK740"/>
      <w:bookmarkStart w:id="33" w:name="OLE_LINK944"/>
      <w:r w:rsidRPr="007A0378">
        <w:rPr>
          <w:rFonts w:ascii="Book Antiqua" w:hAnsi="Book Antiqua"/>
          <w:b/>
          <w:bCs/>
          <w:iCs/>
          <w:sz w:val="24"/>
          <w:szCs w:val="24"/>
        </w:rPr>
        <w:t>Conflict-of-interest</w:t>
      </w:r>
      <w:r w:rsidRPr="007A0378">
        <w:rPr>
          <w:rFonts w:ascii="Book Antiqua" w:hAnsi="Book Antiqua"/>
          <w:b/>
          <w:bCs/>
          <w:iCs/>
          <w:sz w:val="24"/>
          <w:szCs w:val="24"/>
          <w:lang w:eastAsia="zh-CN"/>
        </w:rPr>
        <w:t xml:space="preserve"> </w:t>
      </w:r>
      <w:r w:rsidRPr="007A0378">
        <w:rPr>
          <w:rFonts w:ascii="Book Antiqua" w:hAnsi="Book Antiqua"/>
          <w:b/>
          <w:bCs/>
          <w:iCs/>
          <w:sz w:val="24"/>
          <w:szCs w:val="24"/>
        </w:rPr>
        <w:t>statement</w:t>
      </w:r>
      <w:bookmarkEnd w:id="27"/>
      <w:r w:rsidRPr="007A0378">
        <w:rPr>
          <w:rFonts w:ascii="Book Antiqua" w:hAnsi="Book Antiqua"/>
          <w:b/>
          <w:bCs/>
          <w:iCs/>
          <w:sz w:val="24"/>
          <w:szCs w:val="24"/>
        </w:rPr>
        <w:t>:</w:t>
      </w:r>
      <w:bookmarkEnd w:id="28"/>
      <w:bookmarkEnd w:id="29"/>
      <w:bookmarkEnd w:id="30"/>
      <w:bookmarkEnd w:id="31"/>
      <w:bookmarkEnd w:id="32"/>
      <w:bookmarkEnd w:id="33"/>
      <w:r w:rsidRPr="007A0378">
        <w:rPr>
          <w:rFonts w:ascii="Book Antiqua" w:hAnsi="Book Antiqua"/>
          <w:b/>
          <w:sz w:val="24"/>
          <w:szCs w:val="24"/>
          <w:lang w:eastAsia="zh-CN"/>
        </w:rPr>
        <w:t xml:space="preserve"> </w:t>
      </w:r>
      <w:r w:rsidRPr="007A0378">
        <w:rPr>
          <w:rFonts w:ascii="Book Antiqua" w:hAnsi="Book Antiqua"/>
          <w:sz w:val="24"/>
          <w:szCs w:val="24"/>
        </w:rPr>
        <w:t>None of the authors have conflicts of interest to disclose regarding this article.</w:t>
      </w:r>
    </w:p>
    <w:p w14:paraId="6F956326" w14:textId="77777777" w:rsidR="00F15DE2" w:rsidRPr="007A0378" w:rsidRDefault="00F15DE2" w:rsidP="007A0378">
      <w:pPr>
        <w:snapToGrid w:val="0"/>
        <w:spacing w:after="0" w:line="360" w:lineRule="auto"/>
        <w:jc w:val="both"/>
        <w:rPr>
          <w:rFonts w:ascii="Book Antiqua" w:hAnsi="Book Antiqua"/>
          <w:b/>
          <w:sz w:val="24"/>
          <w:szCs w:val="24"/>
          <w:lang w:eastAsia="zh-CN"/>
        </w:rPr>
      </w:pPr>
    </w:p>
    <w:p w14:paraId="51098EB5" w14:textId="77777777" w:rsidR="00F15DE2" w:rsidRPr="007A0378" w:rsidRDefault="00F15DE2" w:rsidP="007A0378">
      <w:pPr>
        <w:pStyle w:val="1"/>
        <w:snapToGrid w:val="0"/>
        <w:spacing w:line="360" w:lineRule="auto"/>
        <w:jc w:val="both"/>
        <w:rPr>
          <w:rFonts w:ascii="Book Antiqua" w:hAnsi="Book Antiqua" w:cs="Times New Roman"/>
          <w:bCs/>
          <w:color w:val="auto"/>
          <w:sz w:val="24"/>
          <w:szCs w:val="24"/>
          <w:highlight w:val="white"/>
          <w:lang w:val="en-US"/>
        </w:rPr>
      </w:pPr>
      <w:bookmarkStart w:id="34" w:name="OLE_LINK734"/>
      <w:bookmarkStart w:id="35" w:name="OLE_LINK441"/>
      <w:bookmarkStart w:id="36" w:name="OLE_LINK442"/>
      <w:bookmarkStart w:id="37" w:name="OLE_LINK1032"/>
      <w:bookmarkStart w:id="38" w:name="OLE_LINK1232"/>
      <w:bookmarkStart w:id="39" w:name="OLE_LINK559"/>
      <w:r w:rsidRPr="007A0378">
        <w:rPr>
          <w:rFonts w:ascii="Book Antiqua" w:hAnsi="Book Antiqua" w:cs="Times New Roman"/>
          <w:b/>
          <w:bCs/>
          <w:color w:val="auto"/>
          <w:sz w:val="24"/>
          <w:szCs w:val="24"/>
          <w:highlight w:val="white"/>
          <w:lang w:val="en-US"/>
        </w:rPr>
        <w:t>Open-Access:</w:t>
      </w:r>
      <w:r w:rsidRPr="007A0378">
        <w:rPr>
          <w:rFonts w:ascii="Book Antiqua" w:hAnsi="Book Antiqua" w:cs="Times New Roman"/>
          <w:bCs/>
          <w:color w:val="auto"/>
          <w:sz w:val="24"/>
          <w:szCs w:val="24"/>
          <w:highlight w:val="white"/>
          <w:lang w:val="en-US"/>
        </w:rPr>
        <w:t xml:space="preserve"> </w:t>
      </w:r>
      <w:bookmarkStart w:id="40" w:name="OLE_LINK479"/>
      <w:bookmarkStart w:id="41" w:name="OLE_LINK496"/>
      <w:bookmarkStart w:id="42" w:name="OLE_LINK506"/>
      <w:bookmarkStart w:id="43" w:name="OLE_LINK507"/>
      <w:r w:rsidRPr="007A0378">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7A0378">
        <w:rPr>
          <w:rFonts w:ascii="Book Antiqua" w:hAnsi="Book Antiqua" w:cs="Times New Roman"/>
          <w:bCs/>
          <w:color w:val="auto"/>
          <w:sz w:val="24"/>
          <w:szCs w:val="24"/>
          <w:highlight w:val="white"/>
          <w:lang w:val="en-US" w:eastAsia="zh-CN"/>
        </w:rPr>
        <w:t xml:space="preserve"> </w:t>
      </w:r>
      <w:r w:rsidRPr="007A0378">
        <w:rPr>
          <w:rFonts w:ascii="Book Antiqua" w:hAnsi="Book Antiqua" w:cs="Times New Roman"/>
          <w:bCs/>
          <w:color w:val="auto"/>
          <w:sz w:val="24"/>
          <w:szCs w:val="24"/>
          <w:highlight w:val="white"/>
          <w:lang w:val="en-US"/>
        </w:rPr>
        <w:t>in</w:t>
      </w:r>
      <w:r w:rsidRPr="007A0378">
        <w:rPr>
          <w:rFonts w:ascii="Book Antiqua" w:hAnsi="Book Antiqua" w:cs="Times New Roman"/>
          <w:bCs/>
          <w:color w:val="auto"/>
          <w:sz w:val="24"/>
          <w:szCs w:val="24"/>
          <w:highlight w:val="white"/>
          <w:lang w:val="en-US" w:eastAsia="zh-CN"/>
        </w:rPr>
        <w:t xml:space="preserve"> </w:t>
      </w:r>
      <w:r w:rsidRPr="007A0378">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7A0378">
          <w:rPr>
            <w:rStyle w:val="Hyperlink"/>
            <w:rFonts w:ascii="Book Antiqua" w:hAnsi="Book Antiqua" w:cs="Times New Roman"/>
            <w:bCs/>
            <w:color w:val="auto"/>
            <w:sz w:val="24"/>
            <w:szCs w:val="24"/>
            <w:highlight w:val="white"/>
            <w:lang w:val="en-US"/>
          </w:rPr>
          <w:t>http://creativecommons.org/licenses/by-nc/4.0/</w:t>
        </w:r>
      </w:hyperlink>
      <w:bookmarkEnd w:id="34"/>
      <w:bookmarkEnd w:id="40"/>
      <w:bookmarkEnd w:id="41"/>
      <w:bookmarkEnd w:id="42"/>
      <w:bookmarkEnd w:id="43"/>
    </w:p>
    <w:bookmarkEnd w:id="35"/>
    <w:bookmarkEnd w:id="36"/>
    <w:bookmarkEnd w:id="37"/>
    <w:bookmarkEnd w:id="38"/>
    <w:bookmarkEnd w:id="39"/>
    <w:p w14:paraId="76B490CA" w14:textId="77777777" w:rsidR="00F15DE2" w:rsidRPr="007A0378" w:rsidRDefault="00F15DE2" w:rsidP="007A0378">
      <w:pPr>
        <w:pStyle w:val="1"/>
        <w:snapToGrid w:val="0"/>
        <w:spacing w:line="360" w:lineRule="auto"/>
        <w:jc w:val="both"/>
        <w:rPr>
          <w:rFonts w:ascii="Book Antiqua" w:hAnsi="Book Antiqua" w:cs="Times New Roman"/>
          <w:b/>
          <w:bCs/>
          <w:color w:val="FF0000"/>
          <w:sz w:val="24"/>
          <w:szCs w:val="24"/>
          <w:highlight w:val="white"/>
          <w:lang w:val="en-US" w:eastAsia="zh-CN"/>
        </w:rPr>
      </w:pPr>
    </w:p>
    <w:p w14:paraId="082389D3" w14:textId="77777777" w:rsidR="00F15DE2" w:rsidRPr="007A0378" w:rsidRDefault="00F15DE2" w:rsidP="007A0378">
      <w:pPr>
        <w:pStyle w:val="1"/>
        <w:snapToGrid w:val="0"/>
        <w:spacing w:line="360" w:lineRule="auto"/>
        <w:jc w:val="both"/>
        <w:rPr>
          <w:rFonts w:ascii="Book Antiqua" w:hAnsi="Book Antiqua" w:cs="Times New Roman"/>
          <w:b/>
          <w:bCs/>
          <w:color w:val="auto"/>
          <w:sz w:val="24"/>
          <w:szCs w:val="24"/>
          <w:highlight w:val="white"/>
          <w:lang w:val="en-US" w:eastAsia="zh-CN"/>
        </w:rPr>
      </w:pPr>
      <w:r w:rsidRPr="007A0378">
        <w:rPr>
          <w:rFonts w:ascii="Book Antiqua" w:hAnsi="Book Antiqua" w:cs="Times New Roman"/>
          <w:b/>
          <w:bCs/>
          <w:color w:val="auto"/>
          <w:sz w:val="24"/>
          <w:szCs w:val="24"/>
          <w:highlight w:val="white"/>
          <w:lang w:val="en-US"/>
        </w:rPr>
        <w:t>Manuscript source:</w:t>
      </w:r>
      <w:r w:rsidRPr="007A0378">
        <w:rPr>
          <w:rFonts w:ascii="Book Antiqua" w:hAnsi="Book Antiqua" w:cs="Times New Roman"/>
          <w:b/>
          <w:bCs/>
          <w:color w:val="auto"/>
          <w:sz w:val="24"/>
          <w:szCs w:val="24"/>
          <w:highlight w:val="white"/>
          <w:lang w:val="en-US" w:eastAsia="zh-CN"/>
        </w:rPr>
        <w:t xml:space="preserve"> </w:t>
      </w:r>
      <w:r w:rsidRPr="007A0378">
        <w:rPr>
          <w:rFonts w:ascii="Book Antiqua" w:hAnsi="Book Antiqua" w:cs="Times New Roman"/>
          <w:bCs/>
          <w:color w:val="auto"/>
          <w:sz w:val="24"/>
          <w:szCs w:val="24"/>
          <w:highlight w:val="white"/>
          <w:lang w:val="en-US"/>
        </w:rPr>
        <w:t>Invited manuscript</w:t>
      </w:r>
    </w:p>
    <w:p w14:paraId="566B2178" w14:textId="77777777" w:rsidR="00F15DE2" w:rsidRPr="007A0378" w:rsidRDefault="00F15DE2" w:rsidP="007A0378">
      <w:pPr>
        <w:snapToGrid w:val="0"/>
        <w:spacing w:after="0" w:line="360" w:lineRule="auto"/>
        <w:jc w:val="both"/>
        <w:rPr>
          <w:rFonts w:ascii="Book Antiqua" w:hAnsi="Book Antiqua"/>
          <w:b/>
          <w:sz w:val="24"/>
          <w:szCs w:val="24"/>
          <w:lang w:eastAsia="zh-CN"/>
        </w:rPr>
      </w:pPr>
    </w:p>
    <w:p w14:paraId="66EFCCD0" w14:textId="7B3F83FB" w:rsidR="00F15DE2" w:rsidRPr="007A0378" w:rsidRDefault="00F15DE2" w:rsidP="007A0378">
      <w:pPr>
        <w:snapToGrid w:val="0"/>
        <w:spacing w:after="0" w:line="360" w:lineRule="auto"/>
        <w:jc w:val="both"/>
        <w:rPr>
          <w:rFonts w:ascii="Book Antiqua" w:hAnsi="Book Antiqua"/>
          <w:b/>
          <w:sz w:val="24"/>
          <w:szCs w:val="24"/>
          <w:lang w:eastAsia="zh-CN"/>
        </w:rPr>
      </w:pPr>
      <w:r w:rsidRPr="007A0378">
        <w:rPr>
          <w:rFonts w:ascii="Book Antiqua" w:hAnsi="Book Antiqua"/>
          <w:b/>
          <w:sz w:val="24"/>
          <w:szCs w:val="24"/>
        </w:rPr>
        <w:t xml:space="preserve">Correspondence </w:t>
      </w:r>
      <w:r w:rsidRPr="007A0378">
        <w:rPr>
          <w:rFonts w:ascii="Book Antiqua" w:hAnsi="Book Antiqua"/>
          <w:b/>
          <w:sz w:val="24"/>
          <w:szCs w:val="24"/>
          <w:lang w:eastAsia="zh-CN"/>
        </w:rPr>
        <w:t>to</w:t>
      </w:r>
      <w:r w:rsidRPr="007A0378">
        <w:rPr>
          <w:rFonts w:ascii="Book Antiqua" w:hAnsi="Book Antiqua"/>
          <w:b/>
          <w:sz w:val="24"/>
          <w:szCs w:val="24"/>
        </w:rPr>
        <w:t>:</w:t>
      </w:r>
      <w:r w:rsidRPr="007A0378">
        <w:rPr>
          <w:rFonts w:ascii="Book Antiqua" w:hAnsi="Book Antiqua"/>
          <w:b/>
          <w:sz w:val="24"/>
          <w:szCs w:val="24"/>
          <w:lang w:eastAsia="zh-CN"/>
        </w:rPr>
        <w:t xml:space="preserve"> </w:t>
      </w:r>
      <w:proofErr w:type="spellStart"/>
      <w:r w:rsidRPr="007A0378">
        <w:rPr>
          <w:rFonts w:ascii="Book Antiqua" w:hAnsi="Book Antiqua"/>
          <w:b/>
          <w:sz w:val="24"/>
          <w:szCs w:val="24"/>
        </w:rPr>
        <w:t>Salim</w:t>
      </w:r>
      <w:proofErr w:type="spellEnd"/>
      <w:r w:rsidRPr="007A0378">
        <w:rPr>
          <w:rFonts w:ascii="Book Antiqua" w:hAnsi="Book Antiqua"/>
          <w:b/>
          <w:sz w:val="24"/>
          <w:szCs w:val="24"/>
        </w:rPr>
        <w:t xml:space="preserve"> </w:t>
      </w:r>
      <w:proofErr w:type="spellStart"/>
      <w:r w:rsidRPr="007A0378">
        <w:rPr>
          <w:rFonts w:ascii="Book Antiqua" w:hAnsi="Book Antiqua"/>
          <w:b/>
          <w:sz w:val="24"/>
          <w:szCs w:val="24"/>
        </w:rPr>
        <w:t>Surani</w:t>
      </w:r>
      <w:proofErr w:type="spellEnd"/>
      <w:r w:rsidRPr="007A0378">
        <w:rPr>
          <w:rFonts w:ascii="Book Antiqua" w:hAnsi="Book Antiqua"/>
          <w:b/>
          <w:sz w:val="24"/>
          <w:szCs w:val="24"/>
        </w:rPr>
        <w:t>,</w:t>
      </w:r>
      <w:r w:rsidRPr="007A0378">
        <w:rPr>
          <w:rFonts w:ascii="Book Antiqua" w:hAnsi="Book Antiqua"/>
          <w:b/>
          <w:sz w:val="24"/>
          <w:szCs w:val="24"/>
          <w:lang w:eastAsia="zh-CN"/>
        </w:rPr>
        <w:t xml:space="preserve"> </w:t>
      </w:r>
      <w:r w:rsidRPr="007A0378">
        <w:rPr>
          <w:rFonts w:ascii="Book Antiqua" w:hAnsi="Book Antiqua"/>
          <w:b/>
          <w:sz w:val="24"/>
          <w:szCs w:val="24"/>
        </w:rPr>
        <w:t>MD, MPH, MSHM, FACP, FCCP</w:t>
      </w:r>
      <w:r w:rsidRPr="007A0378">
        <w:rPr>
          <w:rFonts w:ascii="Book Antiqua" w:hAnsi="Book Antiqua"/>
          <w:b/>
          <w:sz w:val="24"/>
          <w:szCs w:val="24"/>
          <w:lang w:eastAsia="zh-CN"/>
        </w:rPr>
        <w:t xml:space="preserve">, </w:t>
      </w:r>
      <w:r w:rsidRPr="007A0378">
        <w:rPr>
          <w:rFonts w:ascii="Book Antiqua" w:hAnsi="Book Antiqua"/>
          <w:b/>
          <w:sz w:val="24"/>
          <w:szCs w:val="24"/>
        </w:rPr>
        <w:t>Clinical Associate Professor</w:t>
      </w:r>
      <w:r w:rsidRPr="007A0378">
        <w:rPr>
          <w:rFonts w:ascii="Book Antiqua" w:hAnsi="Book Antiqua"/>
          <w:b/>
          <w:sz w:val="24"/>
          <w:szCs w:val="24"/>
          <w:lang w:eastAsia="zh-CN"/>
        </w:rPr>
        <w:t xml:space="preserve">, </w:t>
      </w:r>
      <w:r w:rsidR="008150A9" w:rsidRPr="008150A9">
        <w:rPr>
          <w:rFonts w:ascii="Book Antiqua" w:hAnsi="Book Antiqua"/>
          <w:sz w:val="24"/>
          <w:szCs w:val="24"/>
        </w:rPr>
        <w:t>Department of Medicine</w:t>
      </w:r>
      <w:r w:rsidR="008150A9" w:rsidRPr="008150A9">
        <w:rPr>
          <w:rFonts w:ascii="Book Antiqua" w:hAnsi="Book Antiqua" w:hint="eastAsia"/>
          <w:b/>
          <w:sz w:val="24"/>
          <w:szCs w:val="24"/>
        </w:rPr>
        <w:t xml:space="preserve">, </w:t>
      </w:r>
      <w:r w:rsidR="008150A9" w:rsidRPr="008150A9">
        <w:rPr>
          <w:rFonts w:ascii="Book Antiqua" w:hAnsi="Book Antiqua"/>
          <w:sz w:val="24"/>
          <w:szCs w:val="24"/>
        </w:rPr>
        <w:t>Division of Pulmonary</w:t>
      </w:r>
      <w:r w:rsidR="008150A9" w:rsidRPr="008150A9">
        <w:rPr>
          <w:rFonts w:ascii="Book Antiqua" w:hAnsi="Book Antiqua" w:hint="eastAsia"/>
          <w:sz w:val="24"/>
          <w:szCs w:val="24"/>
        </w:rPr>
        <w:t xml:space="preserve"> and </w:t>
      </w:r>
      <w:r w:rsidR="008150A9" w:rsidRPr="008150A9">
        <w:rPr>
          <w:rFonts w:ascii="Book Antiqua" w:hAnsi="Book Antiqua"/>
          <w:sz w:val="24"/>
          <w:szCs w:val="24"/>
        </w:rPr>
        <w:t>Critical Care</w:t>
      </w:r>
      <w:r w:rsidR="008150A9" w:rsidRPr="008150A9">
        <w:rPr>
          <w:rFonts w:ascii="Book Antiqua" w:hAnsi="Book Antiqua" w:hint="eastAsia"/>
          <w:b/>
          <w:sz w:val="24"/>
          <w:szCs w:val="24"/>
        </w:rPr>
        <w:t xml:space="preserve">, </w:t>
      </w:r>
      <w:r w:rsidR="008150A9" w:rsidRPr="008150A9">
        <w:rPr>
          <w:rFonts w:ascii="Book Antiqua" w:hAnsi="Book Antiqua"/>
          <w:sz w:val="24"/>
          <w:szCs w:val="24"/>
        </w:rPr>
        <w:t>Texas A&amp;M University, Aransas Pass, TX 78336, United States</w:t>
      </w:r>
      <w:r w:rsidRPr="007A0378">
        <w:rPr>
          <w:rFonts w:ascii="Book Antiqua" w:hAnsi="Book Antiqua"/>
          <w:b/>
          <w:sz w:val="24"/>
          <w:szCs w:val="24"/>
          <w:lang w:eastAsia="zh-CN"/>
        </w:rPr>
        <w:t>.</w:t>
      </w:r>
      <w:r w:rsidR="00377DF3">
        <w:rPr>
          <w:rStyle w:val="Hyperlink"/>
          <w:rFonts w:ascii="Book Antiqua" w:hAnsi="Book Antiqua"/>
          <w:sz w:val="24"/>
          <w:szCs w:val="24"/>
        </w:rPr>
        <w:t xml:space="preserve"> surani@medicine@tamhsc.edu</w:t>
      </w:r>
    </w:p>
    <w:p w14:paraId="189127B3" w14:textId="77777777" w:rsidR="00F15DE2" w:rsidRPr="007A0378" w:rsidRDefault="00F15DE2" w:rsidP="007A0378">
      <w:pPr>
        <w:snapToGrid w:val="0"/>
        <w:spacing w:after="0" w:line="360" w:lineRule="auto"/>
        <w:jc w:val="both"/>
        <w:rPr>
          <w:rFonts w:ascii="Book Antiqua" w:hAnsi="Book Antiqua"/>
          <w:sz w:val="24"/>
          <w:szCs w:val="24"/>
        </w:rPr>
      </w:pPr>
      <w:r w:rsidRPr="007A0378">
        <w:rPr>
          <w:rFonts w:ascii="Book Antiqua" w:hAnsi="Book Antiqua"/>
          <w:b/>
          <w:sz w:val="24"/>
          <w:szCs w:val="24"/>
          <w:lang w:eastAsia="zh-CN"/>
        </w:rPr>
        <w:t>Tele</w:t>
      </w:r>
      <w:r w:rsidRPr="007A0378">
        <w:rPr>
          <w:rFonts w:ascii="Book Antiqua" w:hAnsi="Book Antiqua"/>
          <w:b/>
          <w:sz w:val="24"/>
          <w:szCs w:val="24"/>
        </w:rPr>
        <w:t>phone:</w:t>
      </w:r>
      <w:r w:rsidRPr="007A0378">
        <w:rPr>
          <w:rFonts w:ascii="Book Antiqua" w:hAnsi="Book Antiqua"/>
          <w:sz w:val="24"/>
          <w:szCs w:val="24"/>
        </w:rPr>
        <w:t xml:space="preserve"> </w:t>
      </w:r>
      <w:r w:rsidRPr="007A0378">
        <w:rPr>
          <w:rFonts w:ascii="Book Antiqua" w:hAnsi="Book Antiqua"/>
          <w:sz w:val="24"/>
          <w:szCs w:val="24"/>
          <w:lang w:eastAsia="zh-CN"/>
        </w:rPr>
        <w:t>+1-</w:t>
      </w:r>
      <w:r w:rsidRPr="007A0378">
        <w:rPr>
          <w:rFonts w:ascii="Book Antiqua" w:hAnsi="Book Antiqua"/>
          <w:sz w:val="24"/>
          <w:szCs w:val="24"/>
        </w:rPr>
        <w:t>361-8857722</w:t>
      </w:r>
    </w:p>
    <w:p w14:paraId="13ACB33B" w14:textId="77777777" w:rsidR="00F15DE2" w:rsidRPr="007A0378" w:rsidRDefault="00F15DE2" w:rsidP="007A0378">
      <w:pPr>
        <w:snapToGrid w:val="0"/>
        <w:spacing w:after="0" w:line="360" w:lineRule="auto"/>
        <w:jc w:val="both"/>
        <w:rPr>
          <w:rFonts w:ascii="Book Antiqua" w:hAnsi="Book Antiqua"/>
          <w:sz w:val="24"/>
          <w:szCs w:val="24"/>
        </w:rPr>
      </w:pPr>
      <w:r w:rsidRPr="007A0378">
        <w:rPr>
          <w:rFonts w:ascii="Book Antiqua" w:hAnsi="Book Antiqua"/>
          <w:b/>
          <w:sz w:val="24"/>
          <w:szCs w:val="24"/>
        </w:rPr>
        <w:t xml:space="preserve">Fax: </w:t>
      </w:r>
      <w:r w:rsidRPr="007A0378">
        <w:rPr>
          <w:rFonts w:ascii="Book Antiqua" w:hAnsi="Book Antiqua"/>
          <w:sz w:val="24"/>
          <w:szCs w:val="24"/>
          <w:lang w:eastAsia="zh-CN"/>
        </w:rPr>
        <w:t>+1-</w:t>
      </w:r>
      <w:r w:rsidRPr="007A0378">
        <w:rPr>
          <w:rFonts w:ascii="Book Antiqua" w:hAnsi="Book Antiqua"/>
          <w:sz w:val="24"/>
          <w:szCs w:val="24"/>
        </w:rPr>
        <w:t>361-8507563</w:t>
      </w:r>
    </w:p>
    <w:p w14:paraId="6364908F" w14:textId="77777777" w:rsidR="00F15DE2" w:rsidRPr="007A0378" w:rsidRDefault="00F15DE2" w:rsidP="007A0378">
      <w:pPr>
        <w:snapToGrid w:val="0"/>
        <w:spacing w:after="0" w:line="360" w:lineRule="auto"/>
        <w:jc w:val="both"/>
        <w:rPr>
          <w:rFonts w:ascii="Book Antiqua" w:hAnsi="Book Antiqua"/>
          <w:sz w:val="24"/>
          <w:szCs w:val="24"/>
        </w:rPr>
      </w:pPr>
    </w:p>
    <w:p w14:paraId="240AABA5" w14:textId="77777777" w:rsidR="00F15DE2" w:rsidRPr="007A0378" w:rsidRDefault="00F15DE2" w:rsidP="007A0378">
      <w:pPr>
        <w:snapToGrid w:val="0"/>
        <w:spacing w:after="0" w:line="360" w:lineRule="auto"/>
        <w:jc w:val="both"/>
        <w:rPr>
          <w:rFonts w:ascii="Book Antiqua" w:hAnsi="Book Antiqua" w:cs="宋体"/>
          <w:b/>
          <w:sz w:val="24"/>
          <w:szCs w:val="24"/>
          <w:lang w:eastAsia="zh-CN"/>
        </w:rPr>
      </w:pPr>
      <w:r w:rsidRPr="007A0378">
        <w:rPr>
          <w:rFonts w:ascii="Book Antiqua" w:hAnsi="Book Antiqua" w:cs="宋体"/>
          <w:b/>
          <w:sz w:val="24"/>
          <w:szCs w:val="24"/>
          <w:lang w:eastAsia="zh-CN"/>
        </w:rPr>
        <w:t xml:space="preserve">Received: </w:t>
      </w:r>
      <w:r w:rsidRPr="007A0378">
        <w:rPr>
          <w:rFonts w:ascii="Book Antiqua" w:hAnsi="Book Antiqua" w:cs="宋体"/>
          <w:sz w:val="24"/>
          <w:szCs w:val="24"/>
          <w:lang w:eastAsia="zh-CN"/>
        </w:rPr>
        <w:t>January 18, 2017</w:t>
      </w:r>
    </w:p>
    <w:p w14:paraId="4867AFC8" w14:textId="77777777" w:rsidR="00F15DE2" w:rsidRPr="007A0378" w:rsidRDefault="00F15DE2" w:rsidP="007A0378">
      <w:pPr>
        <w:snapToGrid w:val="0"/>
        <w:spacing w:after="0" w:line="360" w:lineRule="auto"/>
        <w:jc w:val="both"/>
        <w:rPr>
          <w:rFonts w:ascii="Book Antiqua" w:hAnsi="Book Antiqua" w:cs="宋体"/>
          <w:b/>
          <w:sz w:val="24"/>
          <w:szCs w:val="24"/>
          <w:lang w:eastAsia="zh-CN"/>
        </w:rPr>
      </w:pPr>
      <w:r w:rsidRPr="007A0378">
        <w:rPr>
          <w:rFonts w:ascii="Book Antiqua" w:hAnsi="Book Antiqua" w:cs="宋体"/>
          <w:b/>
          <w:sz w:val="24"/>
          <w:szCs w:val="24"/>
          <w:lang w:eastAsia="zh-CN"/>
        </w:rPr>
        <w:t xml:space="preserve">Peer-review started: </w:t>
      </w:r>
      <w:r w:rsidRPr="007A0378">
        <w:rPr>
          <w:rFonts w:ascii="Book Antiqua" w:hAnsi="Book Antiqua" w:cs="宋体"/>
          <w:sz w:val="24"/>
          <w:szCs w:val="24"/>
          <w:lang w:eastAsia="zh-CN"/>
        </w:rPr>
        <w:t>January 20, 2017</w:t>
      </w:r>
    </w:p>
    <w:p w14:paraId="4CCF7980" w14:textId="77777777" w:rsidR="00F15DE2" w:rsidRPr="007A0378" w:rsidRDefault="00F15DE2" w:rsidP="007A0378">
      <w:pPr>
        <w:snapToGrid w:val="0"/>
        <w:spacing w:after="0" w:line="360" w:lineRule="auto"/>
        <w:jc w:val="both"/>
        <w:rPr>
          <w:rFonts w:ascii="Book Antiqua" w:hAnsi="Book Antiqua" w:cs="宋体"/>
          <w:b/>
          <w:sz w:val="24"/>
          <w:szCs w:val="24"/>
          <w:lang w:eastAsia="zh-CN"/>
        </w:rPr>
      </w:pPr>
      <w:r w:rsidRPr="007A0378">
        <w:rPr>
          <w:rFonts w:ascii="Book Antiqua" w:hAnsi="Book Antiqua" w:cs="宋体"/>
          <w:b/>
          <w:sz w:val="24"/>
          <w:szCs w:val="24"/>
          <w:lang w:eastAsia="zh-CN"/>
        </w:rPr>
        <w:t xml:space="preserve">First decision: </w:t>
      </w:r>
      <w:r w:rsidRPr="007A0378">
        <w:rPr>
          <w:rFonts w:ascii="Book Antiqua" w:hAnsi="Book Antiqua" w:cs="宋体"/>
          <w:sz w:val="24"/>
          <w:szCs w:val="24"/>
          <w:lang w:eastAsia="zh-CN"/>
        </w:rPr>
        <w:t>May 3, 2017</w:t>
      </w:r>
    </w:p>
    <w:p w14:paraId="4E750847" w14:textId="77777777" w:rsidR="00F15DE2" w:rsidRPr="007A0378" w:rsidRDefault="00F15DE2" w:rsidP="007A0378">
      <w:pPr>
        <w:snapToGrid w:val="0"/>
        <w:spacing w:after="0" w:line="360" w:lineRule="auto"/>
        <w:jc w:val="both"/>
        <w:rPr>
          <w:rFonts w:ascii="Book Antiqua" w:hAnsi="Book Antiqua" w:cs="宋体"/>
          <w:b/>
          <w:sz w:val="24"/>
          <w:szCs w:val="24"/>
          <w:lang w:eastAsia="zh-CN"/>
        </w:rPr>
      </w:pPr>
      <w:r w:rsidRPr="007A0378">
        <w:rPr>
          <w:rFonts w:ascii="Book Antiqua" w:hAnsi="Book Antiqua" w:cs="宋体"/>
          <w:b/>
          <w:sz w:val="24"/>
          <w:szCs w:val="24"/>
          <w:lang w:eastAsia="zh-CN"/>
        </w:rPr>
        <w:t xml:space="preserve">Revised: </w:t>
      </w:r>
      <w:r w:rsidRPr="007A0378">
        <w:rPr>
          <w:rFonts w:ascii="Book Antiqua" w:hAnsi="Book Antiqua" w:cs="宋体"/>
          <w:sz w:val="24"/>
          <w:szCs w:val="24"/>
          <w:lang w:eastAsia="zh-CN"/>
        </w:rPr>
        <w:t>May 18, 2017</w:t>
      </w:r>
    </w:p>
    <w:p w14:paraId="7ACB7164" w14:textId="6E3C213D" w:rsidR="00F15DE2" w:rsidRPr="00831FAC" w:rsidRDefault="00F15DE2" w:rsidP="00831FAC">
      <w:pPr>
        <w:rPr>
          <w:rFonts w:ascii="Book Antiqua" w:hAnsi="Book Antiqua"/>
          <w:iCs/>
          <w:sz w:val="24"/>
        </w:rPr>
      </w:pPr>
      <w:r w:rsidRPr="007A0378">
        <w:rPr>
          <w:rFonts w:ascii="Book Antiqua" w:hAnsi="Book Antiqua" w:cs="宋体"/>
          <w:b/>
          <w:sz w:val="24"/>
          <w:szCs w:val="24"/>
          <w:lang w:eastAsia="zh-CN"/>
        </w:rPr>
        <w:t>Accepted:</w:t>
      </w:r>
      <w:r w:rsidR="00831FAC">
        <w:rPr>
          <w:rFonts w:ascii="Book Antiqua" w:hAnsi="Book Antiqua" w:cs="宋体"/>
          <w:b/>
          <w:sz w:val="24"/>
          <w:szCs w:val="24"/>
          <w:lang w:eastAsia="zh-CN"/>
        </w:rPr>
        <w:t xml:space="preserve"> </w:t>
      </w:r>
      <w:r w:rsidR="00831FAC">
        <w:rPr>
          <w:rStyle w:val="Emphasis"/>
        </w:rPr>
        <w:t>July 14</w:t>
      </w:r>
      <w:r w:rsidR="00831FAC">
        <w:rPr>
          <w:rStyle w:val="Emphasis"/>
          <w:rFonts w:cs="宋体"/>
        </w:rPr>
        <w:t>,</w:t>
      </w:r>
      <w:r w:rsidR="00831FAC">
        <w:rPr>
          <w:rStyle w:val="Emphasis"/>
        </w:rPr>
        <w:t xml:space="preserve"> 2017</w:t>
      </w:r>
    </w:p>
    <w:p w14:paraId="69CA1538" w14:textId="77777777" w:rsidR="00F15DE2" w:rsidRPr="007A0378" w:rsidRDefault="00F15DE2" w:rsidP="007A0378">
      <w:pPr>
        <w:snapToGrid w:val="0"/>
        <w:spacing w:after="0" w:line="360" w:lineRule="auto"/>
        <w:jc w:val="both"/>
        <w:rPr>
          <w:rFonts w:ascii="Book Antiqua" w:hAnsi="Book Antiqua" w:cs="宋体"/>
          <w:b/>
          <w:sz w:val="24"/>
          <w:szCs w:val="24"/>
          <w:lang w:eastAsia="zh-CN"/>
        </w:rPr>
      </w:pPr>
      <w:r w:rsidRPr="007A0378">
        <w:rPr>
          <w:rFonts w:ascii="Book Antiqua" w:hAnsi="Book Antiqua" w:cs="宋体"/>
          <w:b/>
          <w:sz w:val="24"/>
          <w:szCs w:val="24"/>
          <w:lang w:eastAsia="zh-CN"/>
        </w:rPr>
        <w:t>Article in press:</w:t>
      </w:r>
    </w:p>
    <w:p w14:paraId="089CE3FB" w14:textId="77777777" w:rsidR="00F15DE2" w:rsidRPr="007A0378" w:rsidRDefault="00F15DE2" w:rsidP="007A0378">
      <w:pPr>
        <w:snapToGrid w:val="0"/>
        <w:spacing w:after="0" w:line="360" w:lineRule="auto"/>
        <w:jc w:val="both"/>
        <w:rPr>
          <w:rFonts w:ascii="Book Antiqua" w:hAnsi="Book Antiqua" w:cs="Arial"/>
          <w:b/>
          <w:sz w:val="24"/>
          <w:szCs w:val="24"/>
          <w:lang w:val="pl-PL" w:eastAsia="zh-CN"/>
        </w:rPr>
      </w:pPr>
      <w:r w:rsidRPr="007A0378">
        <w:rPr>
          <w:rFonts w:ascii="Book Antiqua" w:hAnsi="Book Antiqua" w:cs="Arial"/>
          <w:b/>
          <w:sz w:val="24"/>
          <w:szCs w:val="24"/>
          <w:lang w:val="pl-PL" w:eastAsia="pl-PL"/>
        </w:rPr>
        <w:t>Published online:</w:t>
      </w:r>
    </w:p>
    <w:p w14:paraId="05E2D779" w14:textId="77777777" w:rsidR="00F15DE2" w:rsidRPr="007A0378" w:rsidRDefault="00F15DE2" w:rsidP="007A0378">
      <w:pPr>
        <w:snapToGrid w:val="0"/>
        <w:spacing w:after="0" w:line="360" w:lineRule="auto"/>
        <w:jc w:val="both"/>
        <w:rPr>
          <w:rFonts w:ascii="Book Antiqua" w:hAnsi="Book Antiqua"/>
          <w:b/>
          <w:sz w:val="24"/>
          <w:szCs w:val="24"/>
        </w:rPr>
      </w:pPr>
    </w:p>
    <w:p w14:paraId="6A70F4C7" w14:textId="77777777" w:rsidR="00F15DE2" w:rsidRPr="007A0378" w:rsidRDefault="00F15DE2" w:rsidP="007A0378">
      <w:pPr>
        <w:spacing w:line="360" w:lineRule="auto"/>
        <w:jc w:val="both"/>
        <w:rPr>
          <w:rFonts w:ascii="Book Antiqua" w:hAnsi="Book Antiqua"/>
          <w:b/>
          <w:sz w:val="24"/>
          <w:szCs w:val="24"/>
        </w:rPr>
      </w:pPr>
      <w:r w:rsidRPr="007A0378">
        <w:rPr>
          <w:rFonts w:ascii="Book Antiqua" w:hAnsi="Book Antiqua"/>
          <w:b/>
          <w:sz w:val="24"/>
          <w:szCs w:val="24"/>
        </w:rPr>
        <w:br w:type="page"/>
      </w:r>
      <w:bookmarkStart w:id="44" w:name="_GoBack"/>
      <w:bookmarkEnd w:id="44"/>
    </w:p>
    <w:p w14:paraId="0A6B5C80" w14:textId="77777777" w:rsidR="00F15DE2" w:rsidRPr="007A0378" w:rsidRDefault="00F15DE2" w:rsidP="007A0378">
      <w:pPr>
        <w:snapToGrid w:val="0"/>
        <w:spacing w:after="0" w:line="360" w:lineRule="auto"/>
        <w:jc w:val="both"/>
        <w:rPr>
          <w:rFonts w:ascii="Book Antiqua" w:hAnsi="Book Antiqua"/>
          <w:b/>
          <w:sz w:val="24"/>
          <w:szCs w:val="24"/>
          <w:lang w:eastAsia="zh-CN"/>
        </w:rPr>
      </w:pPr>
      <w:r w:rsidRPr="007A0378">
        <w:rPr>
          <w:rFonts w:ascii="Book Antiqua" w:hAnsi="Book Antiqua"/>
          <w:b/>
          <w:sz w:val="24"/>
          <w:szCs w:val="24"/>
        </w:rPr>
        <w:lastRenderedPageBreak/>
        <w:t>Abstract</w:t>
      </w:r>
    </w:p>
    <w:p w14:paraId="53C844AF" w14:textId="41EA986A" w:rsidR="00F15DE2" w:rsidRPr="007A0378" w:rsidRDefault="00F15DE2" w:rsidP="007A0378">
      <w:pPr>
        <w:snapToGrid w:val="0"/>
        <w:spacing w:after="0" w:line="360" w:lineRule="auto"/>
        <w:jc w:val="both"/>
        <w:rPr>
          <w:rFonts w:ascii="Book Antiqua" w:hAnsi="Book Antiqua"/>
          <w:sz w:val="24"/>
          <w:szCs w:val="24"/>
        </w:rPr>
      </w:pPr>
      <w:r w:rsidRPr="007A0378">
        <w:rPr>
          <w:rFonts w:ascii="Book Antiqua" w:hAnsi="Book Antiqua"/>
          <w:sz w:val="24"/>
          <w:szCs w:val="24"/>
        </w:rPr>
        <w:t xml:space="preserve">Gastrointestinal (GI) </w:t>
      </w:r>
      <w:proofErr w:type="spellStart"/>
      <w:r w:rsidRPr="007A0378">
        <w:rPr>
          <w:rFonts w:ascii="Book Antiqua" w:hAnsi="Book Antiqua"/>
          <w:sz w:val="24"/>
          <w:szCs w:val="24"/>
        </w:rPr>
        <w:t>dysmotility</w:t>
      </w:r>
      <w:proofErr w:type="spellEnd"/>
      <w:r w:rsidRPr="007A0378">
        <w:rPr>
          <w:rFonts w:ascii="Book Antiqua" w:hAnsi="Book Antiqua"/>
          <w:sz w:val="24"/>
          <w:szCs w:val="24"/>
        </w:rPr>
        <w:t xml:space="preserve"> is a common problem in the critically ill population. It can be a reflection and an early sign of patient deterioration or it can be an independent cause of morbidity and mortality. GI </w:t>
      </w:r>
      <w:proofErr w:type="spellStart"/>
      <w:r w:rsidRPr="007A0378">
        <w:rPr>
          <w:rFonts w:ascii="Book Antiqua" w:hAnsi="Book Antiqua"/>
          <w:sz w:val="24"/>
          <w:szCs w:val="24"/>
        </w:rPr>
        <w:t>dysmotility</w:t>
      </w:r>
      <w:proofErr w:type="spellEnd"/>
      <w:r w:rsidRPr="007A0378">
        <w:rPr>
          <w:rFonts w:ascii="Book Antiqua" w:hAnsi="Book Antiqua"/>
          <w:sz w:val="24"/>
          <w:szCs w:val="24"/>
        </w:rPr>
        <w:t xml:space="preserve"> can be divided for clinical purposes on upper GI </w:t>
      </w:r>
      <w:proofErr w:type="spellStart"/>
      <w:r w:rsidRPr="007A0378">
        <w:rPr>
          <w:rFonts w:ascii="Book Antiqua" w:hAnsi="Book Antiqua"/>
          <w:sz w:val="24"/>
          <w:szCs w:val="24"/>
        </w:rPr>
        <w:t>dysmotility</w:t>
      </w:r>
      <w:proofErr w:type="spellEnd"/>
      <w:r w:rsidRPr="007A0378">
        <w:rPr>
          <w:rFonts w:ascii="Book Antiqua" w:hAnsi="Book Antiqua"/>
          <w:sz w:val="24"/>
          <w:szCs w:val="24"/>
        </w:rPr>
        <w:t xml:space="preserve"> and lower GI </w:t>
      </w:r>
      <w:proofErr w:type="spellStart"/>
      <w:r w:rsidRPr="007A0378">
        <w:rPr>
          <w:rFonts w:ascii="Book Antiqua" w:hAnsi="Book Antiqua"/>
          <w:sz w:val="24"/>
          <w:szCs w:val="24"/>
        </w:rPr>
        <w:t>dysmotility</w:t>
      </w:r>
      <w:proofErr w:type="spellEnd"/>
      <w:r w:rsidRPr="007A0378">
        <w:rPr>
          <w:rFonts w:ascii="Book Antiqua" w:hAnsi="Book Antiqua"/>
          <w:sz w:val="24"/>
          <w:szCs w:val="24"/>
        </w:rPr>
        <w:t xml:space="preserve">. Upper GI </w:t>
      </w:r>
      <w:proofErr w:type="spellStart"/>
      <w:r w:rsidRPr="007A0378">
        <w:rPr>
          <w:rFonts w:ascii="Book Antiqua" w:hAnsi="Book Antiqua"/>
          <w:sz w:val="24"/>
          <w:szCs w:val="24"/>
        </w:rPr>
        <w:t>dysmotility</w:t>
      </w:r>
      <w:proofErr w:type="spellEnd"/>
      <w:r w:rsidRPr="007A0378">
        <w:rPr>
          <w:rFonts w:ascii="Book Antiqua" w:hAnsi="Book Antiqua"/>
          <w:sz w:val="24"/>
          <w:szCs w:val="24"/>
        </w:rPr>
        <w:t xml:space="preserve"> manifests by nausea, feeding intolerance and vomiting; its implications include aspiration into the airway of abdominal contents and underfeeding. Several strategies to prevent and treat this condition can be tried and they include </w:t>
      </w:r>
      <w:proofErr w:type="spellStart"/>
      <w:r w:rsidRPr="007A0378">
        <w:rPr>
          <w:rFonts w:ascii="Book Antiqua" w:hAnsi="Book Antiqua"/>
          <w:sz w:val="24"/>
          <w:szCs w:val="24"/>
        </w:rPr>
        <w:t>prokinetics</w:t>
      </w:r>
      <w:proofErr w:type="spellEnd"/>
      <w:r w:rsidRPr="007A0378">
        <w:rPr>
          <w:rFonts w:ascii="Book Antiqua" w:hAnsi="Book Antiqua"/>
          <w:sz w:val="24"/>
          <w:szCs w:val="24"/>
        </w:rPr>
        <w:t xml:space="preserve"> and post-pyloric feeds. It is important to note that upper GI </w:t>
      </w:r>
      <w:proofErr w:type="spellStart"/>
      <w:r w:rsidRPr="007A0378">
        <w:rPr>
          <w:rFonts w:ascii="Book Antiqua" w:hAnsi="Book Antiqua"/>
          <w:sz w:val="24"/>
          <w:szCs w:val="24"/>
        </w:rPr>
        <w:t>dysmotility</w:t>
      </w:r>
      <w:proofErr w:type="spellEnd"/>
      <w:r w:rsidRPr="007A0378">
        <w:rPr>
          <w:rFonts w:ascii="Book Antiqua" w:hAnsi="Book Antiqua"/>
          <w:sz w:val="24"/>
          <w:szCs w:val="24"/>
        </w:rPr>
        <w:t xml:space="preserve"> should be treated only when there are clinical signs of intolerance (nausea, vomiting) and not based on measurement of gastric residual volumes. Lower GI </w:t>
      </w:r>
      <w:proofErr w:type="spellStart"/>
      <w:r w:rsidRPr="007A0378">
        <w:rPr>
          <w:rFonts w:ascii="Book Antiqua" w:hAnsi="Book Antiqua"/>
          <w:sz w:val="24"/>
          <w:szCs w:val="24"/>
        </w:rPr>
        <w:t>dysmotility</w:t>
      </w:r>
      <w:proofErr w:type="spellEnd"/>
      <w:r w:rsidRPr="007A0378">
        <w:rPr>
          <w:rFonts w:ascii="Book Antiqua" w:hAnsi="Book Antiqua"/>
          <w:sz w:val="24"/>
          <w:szCs w:val="24"/>
        </w:rPr>
        <w:t xml:space="preserve"> manifests throughout the spectrum of ileus and diarrhea. Ileus can present in the small bowel and the large bowel as well. In both scenarios the initial treatment is correction of electrolyte abnormalities, avoiding drugs that can decrease motility and patient mobilization. When this fails, in the case of small bowel ileus, lactulose and polyethylene glycol solutions can be useful. In the case of colonic pseudo obstruction, neostigmine, endoscopic decompression and </w:t>
      </w:r>
      <w:proofErr w:type="spellStart"/>
      <w:r w:rsidRPr="007A0378">
        <w:rPr>
          <w:rFonts w:ascii="Book Antiqua" w:hAnsi="Book Antiqua"/>
          <w:sz w:val="24"/>
          <w:szCs w:val="24"/>
        </w:rPr>
        <w:t>cecostomy</w:t>
      </w:r>
      <w:proofErr w:type="spellEnd"/>
      <w:r w:rsidRPr="007A0378">
        <w:rPr>
          <w:rFonts w:ascii="Book Antiqua" w:hAnsi="Book Antiqua"/>
          <w:sz w:val="24"/>
          <w:szCs w:val="24"/>
        </w:rPr>
        <w:t xml:space="preserve"> can be tried when the situation reaches the risk of rupture. Diarrhea is also a common manifestation of GI </w:t>
      </w:r>
      <w:proofErr w:type="spellStart"/>
      <w:r w:rsidRPr="007A0378">
        <w:rPr>
          <w:rFonts w:ascii="Book Antiqua" w:hAnsi="Book Antiqua"/>
          <w:sz w:val="24"/>
          <w:szCs w:val="24"/>
        </w:rPr>
        <w:t>dysmotility</w:t>
      </w:r>
      <w:proofErr w:type="spellEnd"/>
      <w:r w:rsidRPr="007A0378">
        <w:rPr>
          <w:rFonts w:ascii="Book Antiqua" w:hAnsi="Book Antiqua"/>
          <w:sz w:val="24"/>
          <w:szCs w:val="24"/>
        </w:rPr>
        <w:t xml:space="preserve"> and the most important step is to differentiate between infectious sources and </w:t>
      </w:r>
      <w:r w:rsidR="00901AB9" w:rsidRPr="007A0378">
        <w:rPr>
          <w:rFonts w:ascii="Book Antiqua" w:hAnsi="Book Antiqua"/>
          <w:sz w:val="24"/>
          <w:szCs w:val="24"/>
        </w:rPr>
        <w:t>non-infectious</w:t>
      </w:r>
      <w:r w:rsidRPr="007A0378">
        <w:rPr>
          <w:rFonts w:ascii="Book Antiqua" w:hAnsi="Book Antiqua"/>
          <w:sz w:val="24"/>
          <w:szCs w:val="24"/>
        </w:rPr>
        <w:t xml:space="preserve"> sources.</w:t>
      </w:r>
    </w:p>
    <w:p w14:paraId="44FFD187" w14:textId="77777777" w:rsidR="00F15DE2" w:rsidRPr="007A0378" w:rsidRDefault="00F15DE2" w:rsidP="007A0378">
      <w:pPr>
        <w:snapToGrid w:val="0"/>
        <w:spacing w:after="0" w:line="360" w:lineRule="auto"/>
        <w:jc w:val="both"/>
        <w:rPr>
          <w:rFonts w:ascii="Book Antiqua" w:hAnsi="Book Antiqua"/>
          <w:b/>
          <w:sz w:val="24"/>
          <w:szCs w:val="24"/>
        </w:rPr>
      </w:pPr>
    </w:p>
    <w:p w14:paraId="25160DB9" w14:textId="1562BA6B" w:rsidR="00F15DE2" w:rsidRPr="007A0378" w:rsidRDefault="00F15DE2" w:rsidP="007A0378">
      <w:pPr>
        <w:snapToGrid w:val="0"/>
        <w:spacing w:after="0" w:line="360" w:lineRule="auto"/>
        <w:jc w:val="both"/>
        <w:rPr>
          <w:rFonts w:ascii="Book Antiqua" w:hAnsi="Book Antiqua"/>
          <w:b/>
          <w:sz w:val="24"/>
          <w:szCs w:val="24"/>
        </w:rPr>
      </w:pPr>
      <w:r w:rsidRPr="007A0378">
        <w:rPr>
          <w:rFonts w:ascii="Book Antiqua" w:hAnsi="Book Antiqua"/>
          <w:b/>
          <w:sz w:val="24"/>
          <w:szCs w:val="24"/>
        </w:rPr>
        <w:t>Key</w:t>
      </w:r>
      <w:r w:rsidRPr="007A0378">
        <w:rPr>
          <w:rFonts w:ascii="Book Antiqua" w:hAnsi="Book Antiqua"/>
          <w:b/>
          <w:sz w:val="24"/>
          <w:szCs w:val="24"/>
          <w:lang w:eastAsia="zh-CN"/>
        </w:rPr>
        <w:t xml:space="preserve"> </w:t>
      </w:r>
      <w:r w:rsidRPr="007A0378">
        <w:rPr>
          <w:rFonts w:ascii="Book Antiqua" w:hAnsi="Book Antiqua"/>
          <w:b/>
          <w:sz w:val="24"/>
          <w:szCs w:val="24"/>
        </w:rPr>
        <w:t xml:space="preserve">word: </w:t>
      </w:r>
      <w:r w:rsidRPr="007A0378">
        <w:rPr>
          <w:rFonts w:ascii="Book Antiqua" w:hAnsi="Book Antiqua"/>
          <w:sz w:val="24"/>
          <w:szCs w:val="24"/>
        </w:rPr>
        <w:t>Gut motility</w:t>
      </w:r>
      <w:r w:rsidRPr="007A0378">
        <w:rPr>
          <w:rFonts w:ascii="Book Antiqua" w:hAnsi="Book Antiqua"/>
          <w:sz w:val="24"/>
          <w:szCs w:val="24"/>
          <w:lang w:eastAsia="zh-CN"/>
        </w:rPr>
        <w:t>;</w:t>
      </w:r>
      <w:r w:rsidRPr="007A0378">
        <w:rPr>
          <w:rFonts w:ascii="Book Antiqua" w:hAnsi="Book Antiqua"/>
          <w:sz w:val="24"/>
          <w:szCs w:val="24"/>
        </w:rPr>
        <w:t xml:space="preserve"> Gut </w:t>
      </w:r>
      <w:proofErr w:type="spellStart"/>
      <w:r w:rsidRPr="007A0378">
        <w:rPr>
          <w:rFonts w:ascii="Book Antiqua" w:hAnsi="Book Antiqua"/>
          <w:sz w:val="24"/>
          <w:szCs w:val="24"/>
        </w:rPr>
        <w:t>dysmotility</w:t>
      </w:r>
      <w:proofErr w:type="spellEnd"/>
      <w:r w:rsidRPr="007A0378">
        <w:rPr>
          <w:rFonts w:ascii="Book Antiqua" w:hAnsi="Book Antiqua"/>
          <w:sz w:val="24"/>
          <w:szCs w:val="24"/>
          <w:lang w:eastAsia="zh-CN"/>
        </w:rPr>
        <w:t>;</w:t>
      </w:r>
      <w:r w:rsidRPr="007A0378">
        <w:rPr>
          <w:rFonts w:ascii="Book Antiqua" w:hAnsi="Book Antiqua"/>
          <w:sz w:val="24"/>
          <w:szCs w:val="24"/>
        </w:rPr>
        <w:t xml:space="preserve"> </w:t>
      </w:r>
      <w:r w:rsidR="007A0378" w:rsidRPr="007A0378">
        <w:rPr>
          <w:rFonts w:ascii="Book Antiqua" w:hAnsi="Book Antiqua"/>
          <w:sz w:val="24"/>
          <w:szCs w:val="24"/>
        </w:rPr>
        <w:t>Intensive care unit</w:t>
      </w:r>
      <w:r w:rsidR="007A0378">
        <w:rPr>
          <w:rFonts w:ascii="Book Antiqua" w:hAnsi="Book Antiqua" w:hint="eastAsia"/>
          <w:sz w:val="24"/>
          <w:szCs w:val="24"/>
          <w:lang w:eastAsia="zh-CN"/>
        </w:rPr>
        <w:t>;</w:t>
      </w:r>
      <w:r w:rsidRPr="007A0378">
        <w:rPr>
          <w:rFonts w:ascii="Book Antiqua" w:hAnsi="Book Antiqua"/>
          <w:sz w:val="24"/>
          <w:szCs w:val="24"/>
        </w:rPr>
        <w:t xml:space="preserve"> </w:t>
      </w:r>
      <w:r w:rsidR="00901AB9" w:rsidRPr="007A0378">
        <w:rPr>
          <w:rFonts w:ascii="Book Antiqua" w:hAnsi="Book Antiqua"/>
          <w:sz w:val="24"/>
          <w:szCs w:val="24"/>
        </w:rPr>
        <w:t>GI</w:t>
      </w:r>
      <w:r w:rsidRPr="007A0378">
        <w:rPr>
          <w:rFonts w:ascii="Book Antiqua" w:hAnsi="Book Antiqua"/>
          <w:sz w:val="24"/>
          <w:szCs w:val="24"/>
        </w:rPr>
        <w:t xml:space="preserve"> </w:t>
      </w:r>
      <w:r w:rsidR="007A0378" w:rsidRPr="007A0378">
        <w:rPr>
          <w:rFonts w:ascii="Book Antiqua" w:hAnsi="Book Antiqua"/>
          <w:sz w:val="24"/>
          <w:szCs w:val="24"/>
        </w:rPr>
        <w:t>i</w:t>
      </w:r>
      <w:r w:rsidRPr="007A0378">
        <w:rPr>
          <w:rFonts w:ascii="Book Antiqua" w:hAnsi="Book Antiqua"/>
          <w:sz w:val="24"/>
          <w:szCs w:val="24"/>
        </w:rPr>
        <w:t xml:space="preserve">ssues in </w:t>
      </w:r>
      <w:r w:rsidR="007A0378" w:rsidRPr="007A0378">
        <w:rPr>
          <w:rFonts w:ascii="Book Antiqua" w:hAnsi="Book Antiqua"/>
          <w:sz w:val="24"/>
          <w:szCs w:val="24"/>
        </w:rPr>
        <w:t>intensive care unit</w:t>
      </w:r>
      <w:r w:rsidR="007A0378">
        <w:rPr>
          <w:rFonts w:ascii="Book Antiqua" w:hAnsi="Book Antiqua" w:hint="eastAsia"/>
          <w:sz w:val="24"/>
          <w:szCs w:val="24"/>
          <w:lang w:eastAsia="zh-CN"/>
        </w:rPr>
        <w:t>;</w:t>
      </w:r>
      <w:r w:rsidRPr="007A0378">
        <w:rPr>
          <w:rFonts w:ascii="Book Antiqua" w:hAnsi="Book Antiqua"/>
          <w:sz w:val="24"/>
          <w:szCs w:val="24"/>
        </w:rPr>
        <w:t xml:space="preserve"> Ileus</w:t>
      </w:r>
    </w:p>
    <w:p w14:paraId="5A193857" w14:textId="77777777" w:rsidR="00F15DE2" w:rsidRPr="007A0378" w:rsidRDefault="00F15DE2" w:rsidP="007A0378">
      <w:pPr>
        <w:snapToGrid w:val="0"/>
        <w:spacing w:after="0" w:line="360" w:lineRule="auto"/>
        <w:jc w:val="both"/>
        <w:rPr>
          <w:rFonts w:ascii="Book Antiqua" w:hAnsi="Book Antiqua"/>
          <w:b/>
          <w:sz w:val="24"/>
          <w:szCs w:val="24"/>
          <w:lang w:eastAsia="zh-CN"/>
        </w:rPr>
      </w:pPr>
    </w:p>
    <w:p w14:paraId="14933C0C" w14:textId="77777777" w:rsidR="00F15DE2" w:rsidRPr="007A0378" w:rsidRDefault="00F15DE2" w:rsidP="007A0378">
      <w:pPr>
        <w:snapToGrid w:val="0"/>
        <w:spacing w:after="0" w:line="360" w:lineRule="auto"/>
        <w:jc w:val="both"/>
        <w:rPr>
          <w:rFonts w:ascii="Book Antiqua" w:hAnsi="Book Antiqua"/>
          <w:b/>
          <w:sz w:val="24"/>
          <w:szCs w:val="24"/>
          <w:lang w:eastAsia="zh-CN"/>
        </w:rPr>
      </w:pPr>
      <w:bookmarkStart w:id="45" w:name="OLE_LINK363"/>
      <w:bookmarkStart w:id="46" w:name="OLE_LINK364"/>
      <w:bookmarkStart w:id="47" w:name="OLE_LINK359"/>
      <w:bookmarkStart w:id="48" w:name="OLE_LINK1037"/>
      <w:bookmarkStart w:id="49" w:name="OLE_LINK1195"/>
      <w:bookmarkStart w:id="50" w:name="OLE_LINK1140"/>
      <w:bookmarkStart w:id="51" w:name="OLE_LINK1062"/>
      <w:bookmarkStart w:id="52" w:name="OLE_LINK500"/>
      <w:bookmarkStart w:id="53" w:name="OLE_LINK916"/>
      <w:bookmarkStart w:id="54" w:name="OLE_LINK956"/>
      <w:bookmarkStart w:id="55" w:name="OLE_LINK994"/>
      <w:proofErr w:type="gramStart"/>
      <w:r w:rsidRPr="007A0378">
        <w:rPr>
          <w:rFonts w:ascii="Book Antiqua" w:hAnsi="Book Antiqua"/>
          <w:b/>
          <w:sz w:val="24"/>
          <w:szCs w:val="24"/>
          <w:lang w:eastAsia="zh-CN"/>
        </w:rPr>
        <w:t>© The Author(s) 2017.</w:t>
      </w:r>
      <w:proofErr w:type="gramEnd"/>
      <w:r w:rsidRPr="007A0378">
        <w:rPr>
          <w:rFonts w:ascii="Book Antiqua" w:hAnsi="Book Antiqua"/>
          <w:b/>
          <w:sz w:val="24"/>
          <w:szCs w:val="24"/>
          <w:lang w:eastAsia="zh-CN"/>
        </w:rPr>
        <w:t xml:space="preserve"> </w:t>
      </w:r>
      <w:r w:rsidRPr="007A0378">
        <w:rPr>
          <w:rFonts w:ascii="Book Antiqua" w:hAnsi="Book Antiqua"/>
          <w:sz w:val="24"/>
          <w:szCs w:val="24"/>
          <w:lang w:eastAsia="zh-CN"/>
        </w:rPr>
        <w:t xml:space="preserve">Published by </w:t>
      </w:r>
      <w:proofErr w:type="spellStart"/>
      <w:r w:rsidRPr="007A0378">
        <w:rPr>
          <w:rFonts w:ascii="Book Antiqua" w:hAnsi="Book Antiqua"/>
          <w:sz w:val="24"/>
          <w:szCs w:val="24"/>
          <w:lang w:eastAsia="zh-CN"/>
        </w:rPr>
        <w:t>Baishideng</w:t>
      </w:r>
      <w:proofErr w:type="spellEnd"/>
      <w:r w:rsidRPr="007A0378">
        <w:rPr>
          <w:rFonts w:ascii="Book Antiqua" w:hAnsi="Book Antiqua"/>
          <w:sz w:val="24"/>
          <w:szCs w:val="24"/>
          <w:lang w:eastAsia="zh-CN"/>
        </w:rPr>
        <w:t xml:space="preserve"> Publishing Group Inc. All rights reserved.</w:t>
      </w:r>
    </w:p>
    <w:bookmarkEnd w:id="45"/>
    <w:bookmarkEnd w:id="46"/>
    <w:bookmarkEnd w:id="47"/>
    <w:bookmarkEnd w:id="48"/>
    <w:bookmarkEnd w:id="49"/>
    <w:bookmarkEnd w:id="50"/>
    <w:bookmarkEnd w:id="51"/>
    <w:bookmarkEnd w:id="52"/>
    <w:bookmarkEnd w:id="53"/>
    <w:bookmarkEnd w:id="54"/>
    <w:bookmarkEnd w:id="55"/>
    <w:p w14:paraId="6F73550C" w14:textId="77777777" w:rsidR="00F15DE2" w:rsidRPr="007A0378" w:rsidRDefault="00F15DE2" w:rsidP="007A0378">
      <w:pPr>
        <w:snapToGrid w:val="0"/>
        <w:spacing w:after="0" w:line="360" w:lineRule="auto"/>
        <w:jc w:val="both"/>
        <w:rPr>
          <w:rFonts w:ascii="Book Antiqua" w:hAnsi="Book Antiqua"/>
          <w:b/>
          <w:sz w:val="24"/>
          <w:szCs w:val="24"/>
          <w:lang w:eastAsia="zh-CN"/>
        </w:rPr>
      </w:pPr>
    </w:p>
    <w:p w14:paraId="3692B282" w14:textId="5A84FE38" w:rsidR="00F15DE2" w:rsidRPr="007A0378" w:rsidRDefault="00427EA3" w:rsidP="007A0378">
      <w:pPr>
        <w:snapToGrid w:val="0"/>
        <w:spacing w:after="0" w:line="360" w:lineRule="auto"/>
        <w:jc w:val="both"/>
        <w:rPr>
          <w:rFonts w:ascii="Book Antiqua" w:hAnsi="Book Antiqua"/>
          <w:sz w:val="24"/>
          <w:szCs w:val="24"/>
          <w:lang w:eastAsia="zh-CN"/>
        </w:rPr>
      </w:pPr>
      <w:r>
        <w:rPr>
          <w:rFonts w:ascii="Book Antiqua" w:hAnsi="Book Antiqua"/>
          <w:b/>
          <w:sz w:val="24"/>
          <w:szCs w:val="24"/>
        </w:rPr>
        <w:t>Core tip</w:t>
      </w:r>
      <w:r w:rsidR="00F15DE2" w:rsidRPr="007A0378">
        <w:rPr>
          <w:rFonts w:ascii="Book Antiqua" w:hAnsi="Book Antiqua"/>
          <w:b/>
          <w:sz w:val="24"/>
          <w:szCs w:val="24"/>
        </w:rPr>
        <w:t>:</w:t>
      </w:r>
      <w:r w:rsidR="00F15DE2" w:rsidRPr="007A0378">
        <w:rPr>
          <w:rFonts w:ascii="Book Antiqua" w:hAnsi="Book Antiqua"/>
          <w:sz w:val="24"/>
          <w:szCs w:val="24"/>
          <w:lang w:eastAsia="zh-CN"/>
        </w:rPr>
        <w:t xml:space="preserve"> </w:t>
      </w:r>
      <w:r w:rsidR="00F15DE2" w:rsidRPr="007A0378">
        <w:rPr>
          <w:rFonts w:ascii="Book Antiqua" w:hAnsi="Book Antiqua"/>
          <w:sz w:val="24"/>
          <w:szCs w:val="24"/>
        </w:rPr>
        <w:t>This manuscript presents the case for a cautious look at the gastrointestinal (GI)</w:t>
      </w:r>
      <w:r w:rsidR="00F15DE2" w:rsidRPr="007A0378">
        <w:rPr>
          <w:rFonts w:ascii="Book Antiqua" w:hAnsi="Book Antiqua"/>
          <w:sz w:val="24"/>
          <w:szCs w:val="24"/>
          <w:lang w:eastAsia="zh-CN"/>
        </w:rPr>
        <w:t xml:space="preserve"> </w:t>
      </w:r>
      <w:r w:rsidR="00F15DE2" w:rsidRPr="007A0378">
        <w:rPr>
          <w:rFonts w:ascii="Book Antiqua" w:hAnsi="Book Antiqua"/>
          <w:sz w:val="24"/>
          <w:szCs w:val="24"/>
        </w:rPr>
        <w:t>system during critical illness.</w:t>
      </w:r>
      <w:r w:rsidR="00F15DE2" w:rsidRPr="007A0378">
        <w:rPr>
          <w:rFonts w:ascii="Book Antiqua" w:hAnsi="Book Antiqua"/>
          <w:sz w:val="24"/>
          <w:szCs w:val="24"/>
          <w:lang w:eastAsia="zh-CN"/>
        </w:rPr>
        <w:t xml:space="preserve"> </w:t>
      </w:r>
      <w:r w:rsidR="00F15DE2" w:rsidRPr="007A0378">
        <w:rPr>
          <w:rFonts w:ascii="Book Antiqua" w:hAnsi="Book Antiqua"/>
          <w:sz w:val="24"/>
          <w:szCs w:val="24"/>
        </w:rPr>
        <w:t>GI</w:t>
      </w:r>
      <w:r w:rsidR="00F15DE2" w:rsidRPr="007A0378">
        <w:rPr>
          <w:rFonts w:ascii="Book Antiqua" w:hAnsi="Book Antiqua"/>
          <w:sz w:val="24"/>
          <w:szCs w:val="24"/>
          <w:lang w:eastAsia="zh-CN"/>
        </w:rPr>
        <w:t xml:space="preserve"> </w:t>
      </w:r>
      <w:r w:rsidR="00F15DE2" w:rsidRPr="007A0378">
        <w:rPr>
          <w:rFonts w:ascii="Book Antiqua" w:hAnsi="Book Antiqua"/>
          <w:sz w:val="24"/>
          <w:szCs w:val="24"/>
        </w:rPr>
        <w:t xml:space="preserve">dysfunction can be an early sign of decompensation, but unfortunately is often overlooked due to the natural tendency to gravitate towards the cardiovascular, respiratory and renal systems when looking for </w:t>
      </w:r>
      <w:r w:rsidR="00F15DE2" w:rsidRPr="007A0378">
        <w:rPr>
          <w:rFonts w:ascii="Book Antiqua" w:hAnsi="Book Antiqua"/>
          <w:sz w:val="24"/>
          <w:szCs w:val="24"/>
        </w:rPr>
        <w:lastRenderedPageBreak/>
        <w:t>decompensation signs. It is our intention to bring attention to this system and help the clinician in using the GI tract as an early marker for decompensation and also to identify and treat potential GI complications common in this population.</w:t>
      </w:r>
    </w:p>
    <w:p w14:paraId="34D6F686" w14:textId="77777777" w:rsidR="00F15DE2" w:rsidRPr="007A0378" w:rsidRDefault="00F15DE2" w:rsidP="007A0378">
      <w:pPr>
        <w:snapToGrid w:val="0"/>
        <w:spacing w:after="0" w:line="360" w:lineRule="auto"/>
        <w:jc w:val="both"/>
        <w:rPr>
          <w:rFonts w:ascii="Book Antiqua" w:hAnsi="Book Antiqua"/>
          <w:b/>
          <w:sz w:val="24"/>
          <w:szCs w:val="24"/>
          <w:lang w:eastAsia="zh-CN"/>
        </w:rPr>
      </w:pPr>
    </w:p>
    <w:p w14:paraId="35BC4F97" w14:textId="51BCFD13" w:rsidR="00F15DE2" w:rsidRPr="007A0378" w:rsidRDefault="00F15DE2" w:rsidP="007A0378">
      <w:pPr>
        <w:snapToGrid w:val="0"/>
        <w:spacing w:after="0" w:line="360" w:lineRule="auto"/>
        <w:jc w:val="both"/>
        <w:rPr>
          <w:rFonts w:ascii="Book Antiqua" w:hAnsi="Book Antiqua"/>
          <w:sz w:val="24"/>
          <w:szCs w:val="24"/>
          <w:lang w:eastAsia="zh-CN"/>
        </w:rPr>
      </w:pPr>
      <w:r w:rsidRPr="007A0378">
        <w:rPr>
          <w:rFonts w:ascii="Book Antiqua" w:hAnsi="Book Antiqua"/>
          <w:sz w:val="24"/>
          <w:szCs w:val="24"/>
        </w:rPr>
        <w:t>Vazquez-Sandoval</w:t>
      </w:r>
      <w:r w:rsidRPr="007A0378">
        <w:rPr>
          <w:rFonts w:ascii="Book Antiqua" w:hAnsi="Book Antiqua"/>
          <w:sz w:val="24"/>
          <w:szCs w:val="24"/>
          <w:lang w:eastAsia="zh-CN"/>
        </w:rPr>
        <w:t xml:space="preserve"> A,</w:t>
      </w:r>
      <w:r w:rsidR="00F1542F">
        <w:rPr>
          <w:rFonts w:ascii="Book Antiqua" w:hAnsi="Book Antiqua" w:hint="eastAsia"/>
          <w:sz w:val="24"/>
          <w:szCs w:val="24"/>
          <w:lang w:eastAsia="zh-CN"/>
        </w:rPr>
        <w:t xml:space="preserve"> </w:t>
      </w:r>
      <w:proofErr w:type="spellStart"/>
      <w:r w:rsidRPr="007A0378">
        <w:rPr>
          <w:rFonts w:ascii="Book Antiqua" w:hAnsi="Book Antiqua"/>
          <w:sz w:val="24"/>
          <w:szCs w:val="24"/>
        </w:rPr>
        <w:t>Ghamande</w:t>
      </w:r>
      <w:proofErr w:type="spellEnd"/>
      <w:r w:rsidRPr="007A0378">
        <w:rPr>
          <w:rFonts w:ascii="Book Antiqua" w:hAnsi="Book Antiqua"/>
          <w:sz w:val="24"/>
          <w:szCs w:val="24"/>
          <w:lang w:eastAsia="zh-CN"/>
        </w:rPr>
        <w:t xml:space="preserve"> </w:t>
      </w:r>
      <w:r w:rsidRPr="007A0378">
        <w:rPr>
          <w:rFonts w:ascii="Book Antiqua" w:hAnsi="Book Antiqua"/>
          <w:sz w:val="24"/>
          <w:szCs w:val="24"/>
        </w:rPr>
        <w:t>S,</w:t>
      </w:r>
      <w:r w:rsidRPr="007A0378">
        <w:rPr>
          <w:rFonts w:ascii="Book Antiqua" w:hAnsi="Book Antiqua"/>
          <w:sz w:val="24"/>
          <w:szCs w:val="24"/>
          <w:lang w:eastAsia="zh-CN"/>
        </w:rPr>
        <w:t xml:space="preserve"> </w:t>
      </w:r>
      <w:proofErr w:type="spellStart"/>
      <w:r w:rsidRPr="007A0378">
        <w:rPr>
          <w:rFonts w:ascii="Book Antiqua" w:hAnsi="Book Antiqua"/>
          <w:sz w:val="24"/>
          <w:szCs w:val="24"/>
        </w:rPr>
        <w:t>Surani</w:t>
      </w:r>
      <w:proofErr w:type="spellEnd"/>
      <w:r w:rsidRPr="007A0378">
        <w:rPr>
          <w:rFonts w:ascii="Book Antiqua" w:hAnsi="Book Antiqua"/>
          <w:sz w:val="24"/>
          <w:szCs w:val="24"/>
        </w:rPr>
        <w:t xml:space="preserve"> S</w:t>
      </w:r>
      <w:r w:rsidRPr="007A0378">
        <w:rPr>
          <w:rFonts w:ascii="Book Antiqua" w:hAnsi="Book Antiqua"/>
          <w:sz w:val="24"/>
          <w:szCs w:val="24"/>
          <w:lang w:eastAsia="zh-CN"/>
        </w:rPr>
        <w:t xml:space="preserve">. </w:t>
      </w:r>
      <w:r w:rsidRPr="007A0378">
        <w:rPr>
          <w:rFonts w:ascii="Book Antiqua" w:hAnsi="Book Antiqua"/>
          <w:sz w:val="24"/>
          <w:szCs w:val="24"/>
        </w:rPr>
        <w:t>Critically ill patients and gut motility:</w:t>
      </w:r>
      <w:r w:rsidRPr="007A0378">
        <w:rPr>
          <w:rFonts w:ascii="Book Antiqua" w:hAnsi="Book Antiqua"/>
          <w:sz w:val="24"/>
          <w:szCs w:val="24"/>
          <w:lang w:eastAsia="zh-CN"/>
        </w:rPr>
        <w:t xml:space="preserve"> </w:t>
      </w:r>
      <w:r w:rsidRPr="007A0378">
        <w:rPr>
          <w:rFonts w:ascii="Book Antiqua" w:hAnsi="Book Antiqua"/>
          <w:sz w:val="24"/>
          <w:szCs w:val="24"/>
        </w:rPr>
        <w:t>Are we addressing it?</w:t>
      </w:r>
      <w:r w:rsidRPr="007A0378">
        <w:rPr>
          <w:rFonts w:ascii="Book Antiqua" w:hAnsi="Book Antiqua"/>
          <w:sz w:val="24"/>
          <w:szCs w:val="24"/>
          <w:lang w:eastAsia="zh-CN"/>
        </w:rPr>
        <w:t xml:space="preserve"> </w:t>
      </w:r>
      <w:r w:rsidRPr="007A0378">
        <w:rPr>
          <w:rFonts w:ascii="Book Antiqua" w:hAnsi="Book Antiqua"/>
          <w:i/>
          <w:sz w:val="24"/>
          <w:szCs w:val="24"/>
          <w:lang w:eastAsia="zh-CN"/>
        </w:rPr>
        <w:t xml:space="preserve">World J </w:t>
      </w:r>
      <w:proofErr w:type="spellStart"/>
      <w:r w:rsidRPr="007A0378">
        <w:rPr>
          <w:rFonts w:ascii="Book Antiqua" w:hAnsi="Book Antiqua"/>
          <w:i/>
          <w:sz w:val="24"/>
          <w:szCs w:val="24"/>
          <w:lang w:eastAsia="zh-CN"/>
        </w:rPr>
        <w:t>Gastrointest</w:t>
      </w:r>
      <w:proofErr w:type="spellEnd"/>
      <w:r w:rsidRPr="007A0378">
        <w:rPr>
          <w:rFonts w:ascii="Book Antiqua" w:hAnsi="Book Antiqua"/>
          <w:i/>
          <w:sz w:val="24"/>
          <w:szCs w:val="24"/>
          <w:lang w:eastAsia="zh-CN"/>
        </w:rPr>
        <w:t xml:space="preserve"> </w:t>
      </w:r>
      <w:proofErr w:type="spellStart"/>
      <w:r w:rsidRPr="007A0378">
        <w:rPr>
          <w:rFonts w:ascii="Book Antiqua" w:hAnsi="Book Antiqua"/>
          <w:i/>
          <w:sz w:val="24"/>
          <w:szCs w:val="24"/>
          <w:lang w:eastAsia="zh-CN"/>
        </w:rPr>
        <w:t>Pharmacol</w:t>
      </w:r>
      <w:proofErr w:type="spellEnd"/>
      <w:r w:rsidRPr="007A0378">
        <w:rPr>
          <w:rFonts w:ascii="Book Antiqua" w:hAnsi="Book Antiqua"/>
          <w:i/>
          <w:sz w:val="24"/>
          <w:szCs w:val="24"/>
          <w:lang w:eastAsia="zh-CN"/>
        </w:rPr>
        <w:t xml:space="preserve"> </w:t>
      </w:r>
      <w:proofErr w:type="spellStart"/>
      <w:r w:rsidRPr="007A0378">
        <w:rPr>
          <w:rFonts w:ascii="Book Antiqua" w:hAnsi="Book Antiqua"/>
          <w:i/>
          <w:sz w:val="24"/>
          <w:szCs w:val="24"/>
          <w:lang w:eastAsia="zh-CN"/>
        </w:rPr>
        <w:t>Ther</w:t>
      </w:r>
      <w:proofErr w:type="spellEnd"/>
      <w:r w:rsidRPr="007A0378">
        <w:rPr>
          <w:rFonts w:ascii="Book Antiqua" w:hAnsi="Book Antiqua"/>
          <w:i/>
          <w:sz w:val="24"/>
          <w:szCs w:val="24"/>
          <w:lang w:eastAsia="zh-CN"/>
        </w:rPr>
        <w:t xml:space="preserve"> </w:t>
      </w:r>
      <w:r w:rsidRPr="007A0378">
        <w:rPr>
          <w:rFonts w:ascii="Book Antiqua" w:hAnsi="Book Antiqua"/>
          <w:sz w:val="24"/>
          <w:szCs w:val="24"/>
          <w:lang w:eastAsia="zh-CN"/>
        </w:rPr>
        <w:t>2017;</w:t>
      </w:r>
      <w:r w:rsidR="00802A6D">
        <w:rPr>
          <w:rFonts w:ascii="Book Antiqua" w:hAnsi="Book Antiqua" w:hint="eastAsia"/>
          <w:sz w:val="24"/>
          <w:szCs w:val="24"/>
          <w:lang w:eastAsia="zh-CN"/>
        </w:rPr>
        <w:t xml:space="preserve"> </w:t>
      </w:r>
      <w:proofErr w:type="gramStart"/>
      <w:r w:rsidRPr="007A0378">
        <w:rPr>
          <w:rFonts w:ascii="Book Antiqua" w:hAnsi="Book Antiqua"/>
          <w:sz w:val="24"/>
          <w:szCs w:val="24"/>
          <w:lang w:eastAsia="zh-CN"/>
        </w:rPr>
        <w:t>In</w:t>
      </w:r>
      <w:proofErr w:type="gramEnd"/>
      <w:r w:rsidRPr="007A0378">
        <w:rPr>
          <w:rFonts w:ascii="Book Antiqua" w:hAnsi="Book Antiqua"/>
          <w:sz w:val="24"/>
          <w:szCs w:val="24"/>
          <w:lang w:eastAsia="zh-CN"/>
        </w:rPr>
        <w:t xml:space="preserve"> press</w:t>
      </w:r>
    </w:p>
    <w:p w14:paraId="144636B0" w14:textId="77777777" w:rsidR="00F15DE2" w:rsidRPr="007A0378" w:rsidRDefault="00F15DE2" w:rsidP="007A0378">
      <w:pPr>
        <w:snapToGrid w:val="0"/>
        <w:spacing w:after="0" w:line="360" w:lineRule="auto"/>
        <w:jc w:val="both"/>
        <w:rPr>
          <w:rFonts w:ascii="Book Antiqua" w:hAnsi="Book Antiqua"/>
          <w:sz w:val="24"/>
          <w:szCs w:val="24"/>
          <w:lang w:eastAsia="zh-CN"/>
        </w:rPr>
      </w:pPr>
    </w:p>
    <w:p w14:paraId="64ACC7D1" w14:textId="77777777" w:rsidR="00F15DE2" w:rsidRPr="007A0378" w:rsidRDefault="00F15DE2" w:rsidP="007A0378">
      <w:pPr>
        <w:spacing w:line="360" w:lineRule="auto"/>
        <w:jc w:val="both"/>
        <w:rPr>
          <w:rFonts w:ascii="Book Antiqua" w:hAnsi="Book Antiqua"/>
          <w:b/>
          <w:caps/>
          <w:sz w:val="24"/>
          <w:szCs w:val="24"/>
        </w:rPr>
      </w:pPr>
      <w:r w:rsidRPr="007A0378">
        <w:rPr>
          <w:rFonts w:ascii="Book Antiqua" w:hAnsi="Book Antiqua"/>
          <w:b/>
          <w:caps/>
          <w:sz w:val="24"/>
          <w:szCs w:val="24"/>
        </w:rPr>
        <w:br w:type="page"/>
      </w:r>
    </w:p>
    <w:p w14:paraId="537A7A83" w14:textId="77777777" w:rsidR="00F15DE2" w:rsidRPr="007A0378" w:rsidRDefault="00F15DE2" w:rsidP="007A0378">
      <w:pPr>
        <w:snapToGrid w:val="0"/>
        <w:spacing w:after="0" w:line="360" w:lineRule="auto"/>
        <w:jc w:val="both"/>
        <w:rPr>
          <w:rFonts w:ascii="Book Antiqua" w:hAnsi="Book Antiqua"/>
          <w:b/>
          <w:caps/>
          <w:sz w:val="24"/>
          <w:szCs w:val="24"/>
          <w:lang w:eastAsia="zh-CN"/>
        </w:rPr>
      </w:pPr>
      <w:r w:rsidRPr="007A0378">
        <w:rPr>
          <w:rFonts w:ascii="Book Antiqua" w:hAnsi="Book Antiqua"/>
          <w:b/>
          <w:caps/>
          <w:sz w:val="24"/>
          <w:szCs w:val="24"/>
        </w:rPr>
        <w:lastRenderedPageBreak/>
        <w:t>Introduction</w:t>
      </w:r>
    </w:p>
    <w:p w14:paraId="1CBAC869" w14:textId="55761911" w:rsidR="00F15DE2" w:rsidRPr="007A0378" w:rsidRDefault="00F15DE2" w:rsidP="007A0378">
      <w:pPr>
        <w:snapToGrid w:val="0"/>
        <w:spacing w:after="0" w:line="360" w:lineRule="auto"/>
        <w:jc w:val="both"/>
        <w:rPr>
          <w:rFonts w:ascii="Book Antiqua" w:hAnsi="Book Antiqua"/>
          <w:sz w:val="24"/>
          <w:szCs w:val="24"/>
          <w:lang w:eastAsia="zh-CN"/>
        </w:rPr>
      </w:pPr>
      <w:r w:rsidRPr="007A0378">
        <w:rPr>
          <w:rFonts w:ascii="Book Antiqua" w:hAnsi="Book Antiqua"/>
          <w:sz w:val="24"/>
          <w:szCs w:val="24"/>
        </w:rPr>
        <w:t xml:space="preserve">The gastrointestinal tract is a vast organ system with many key functions during normal state and physiology. Its functions include digestion and absorption of nutrients, immunomodulation, excretion of fluids, electrolyte balance and hormonal </w:t>
      </w:r>
      <w:proofErr w:type="gramStart"/>
      <w:r w:rsidRPr="007A0378">
        <w:rPr>
          <w:rFonts w:ascii="Book Antiqua" w:hAnsi="Book Antiqua"/>
          <w:sz w:val="24"/>
          <w:szCs w:val="24"/>
        </w:rPr>
        <w:t>control</w:t>
      </w:r>
      <w:bookmarkStart w:id="56" w:name="_Ref471638942"/>
      <w:r w:rsidRPr="007A0378">
        <w:rPr>
          <w:rFonts w:ascii="Book Antiqua" w:hAnsi="Book Antiqua"/>
          <w:sz w:val="24"/>
          <w:szCs w:val="24"/>
          <w:vertAlign w:val="superscript"/>
          <w:lang w:eastAsia="zh-CN"/>
        </w:rPr>
        <w:t>[</w:t>
      </w:r>
      <w:proofErr w:type="gramEnd"/>
      <w:r w:rsidRPr="007A0378">
        <w:rPr>
          <w:rFonts w:ascii="Book Antiqua" w:hAnsi="Book Antiqua"/>
          <w:sz w:val="24"/>
          <w:szCs w:val="24"/>
          <w:vertAlign w:val="superscript"/>
          <w:lang w:eastAsia="zh-CN"/>
        </w:rPr>
        <w:t>1]</w:t>
      </w:r>
      <w:r w:rsidRPr="007A0378">
        <w:rPr>
          <w:rFonts w:ascii="Book Antiqua" w:hAnsi="Book Antiqua"/>
          <w:sz w:val="24"/>
          <w:szCs w:val="24"/>
        </w:rPr>
        <w:t xml:space="preserve">. </w:t>
      </w:r>
      <w:bookmarkEnd w:id="56"/>
      <w:r w:rsidRPr="007A0378">
        <w:rPr>
          <w:rFonts w:ascii="Book Antiqua" w:hAnsi="Book Antiqua"/>
          <w:sz w:val="24"/>
          <w:szCs w:val="24"/>
        </w:rPr>
        <w:t>These functions are integral for maintenance of homeostasis in health, adaptation in sickness and also as a source of disease.</w:t>
      </w:r>
    </w:p>
    <w:p w14:paraId="44A72F4C" w14:textId="394E48C3" w:rsidR="00F15DE2" w:rsidRPr="007A0378" w:rsidRDefault="00F15DE2" w:rsidP="007A0378">
      <w:pPr>
        <w:snapToGrid w:val="0"/>
        <w:spacing w:after="0" w:line="360" w:lineRule="auto"/>
        <w:ind w:firstLineChars="200" w:firstLine="480"/>
        <w:jc w:val="both"/>
        <w:rPr>
          <w:rFonts w:ascii="Book Antiqua" w:hAnsi="Book Antiqua"/>
          <w:sz w:val="24"/>
          <w:szCs w:val="24"/>
        </w:rPr>
      </w:pPr>
      <w:r w:rsidRPr="007A0378">
        <w:rPr>
          <w:rFonts w:ascii="Book Antiqua" w:hAnsi="Book Antiqua"/>
          <w:sz w:val="24"/>
          <w:szCs w:val="24"/>
        </w:rPr>
        <w:t>Acute gastrointestinal injury (AGI) can occur as the result of the gastrointestinal tract been a bystander during periods of critical illness with possible grim consequences. The mechanisms responsible of this injury are diverse and include cytokines and ischemia-reperfusion injury.</w:t>
      </w:r>
      <w:r w:rsidRPr="007A0378">
        <w:rPr>
          <w:rFonts w:ascii="Book Antiqua" w:hAnsi="Book Antiqua"/>
          <w:sz w:val="24"/>
          <w:szCs w:val="24"/>
          <w:lang w:eastAsia="zh-CN"/>
        </w:rPr>
        <w:t xml:space="preserve"> </w:t>
      </w:r>
      <w:r w:rsidRPr="007A0378">
        <w:rPr>
          <w:rFonts w:ascii="Book Antiqua" w:hAnsi="Book Antiqua"/>
          <w:sz w:val="24"/>
          <w:szCs w:val="24"/>
        </w:rPr>
        <w:t>Observational studies have linked AGI with increased mortality and longer ICU-</w:t>
      </w:r>
      <w:proofErr w:type="gramStart"/>
      <w:r w:rsidRPr="007A0378">
        <w:rPr>
          <w:rFonts w:ascii="Book Antiqua" w:hAnsi="Book Antiqua"/>
          <w:sz w:val="24"/>
          <w:szCs w:val="24"/>
        </w:rPr>
        <w:t>LOS</w:t>
      </w:r>
      <w:r w:rsidRPr="007A0378">
        <w:rPr>
          <w:rFonts w:ascii="Book Antiqua" w:hAnsi="Book Antiqua"/>
          <w:sz w:val="24"/>
          <w:szCs w:val="24"/>
          <w:vertAlign w:val="superscript"/>
          <w:lang w:eastAsia="zh-CN"/>
        </w:rPr>
        <w:t>[</w:t>
      </w:r>
      <w:proofErr w:type="gramEnd"/>
      <w:r w:rsidRPr="007A0378">
        <w:rPr>
          <w:rFonts w:ascii="Book Antiqua" w:hAnsi="Book Antiqua"/>
          <w:sz w:val="24"/>
          <w:szCs w:val="24"/>
          <w:vertAlign w:val="superscript"/>
          <w:lang w:eastAsia="zh-CN"/>
        </w:rPr>
        <w:t>2]</w:t>
      </w:r>
      <w:r w:rsidRPr="007A0378">
        <w:rPr>
          <w:rFonts w:ascii="Book Antiqua" w:hAnsi="Book Antiqua"/>
          <w:sz w:val="24"/>
          <w:szCs w:val="24"/>
        </w:rPr>
        <w:t xml:space="preserve">. </w:t>
      </w:r>
    </w:p>
    <w:p w14:paraId="5CCE5791" w14:textId="23B627D0" w:rsidR="00F15DE2" w:rsidRPr="007A0378" w:rsidRDefault="00F15DE2" w:rsidP="007A0378">
      <w:pPr>
        <w:snapToGrid w:val="0"/>
        <w:spacing w:after="0" w:line="360" w:lineRule="auto"/>
        <w:jc w:val="both"/>
        <w:rPr>
          <w:rFonts w:ascii="Book Antiqua" w:hAnsi="Book Antiqua"/>
          <w:sz w:val="24"/>
          <w:szCs w:val="24"/>
        </w:rPr>
      </w:pPr>
      <w:r w:rsidRPr="007A0378">
        <w:rPr>
          <w:rFonts w:ascii="Book Antiqua" w:hAnsi="Book Antiqua"/>
          <w:sz w:val="24"/>
          <w:szCs w:val="24"/>
        </w:rPr>
        <w:t xml:space="preserve">AGI common manifestations include: Delayed gastric emptying, ileus, malabsorption, diarrhea, GI hemorrhage and GI </w:t>
      </w:r>
      <w:proofErr w:type="gramStart"/>
      <w:r w:rsidRPr="007A0378">
        <w:rPr>
          <w:rFonts w:ascii="Book Antiqua" w:hAnsi="Book Antiqua"/>
          <w:sz w:val="24"/>
          <w:szCs w:val="24"/>
        </w:rPr>
        <w:t>bleed</w:t>
      </w:r>
      <w:r w:rsidRPr="007A0378">
        <w:rPr>
          <w:rFonts w:ascii="Book Antiqua" w:hAnsi="Book Antiqua"/>
          <w:sz w:val="24"/>
          <w:szCs w:val="24"/>
          <w:vertAlign w:val="superscript"/>
          <w:lang w:eastAsia="zh-CN"/>
        </w:rPr>
        <w:t>[</w:t>
      </w:r>
      <w:proofErr w:type="gramEnd"/>
      <w:r w:rsidRPr="007A0378">
        <w:rPr>
          <w:rFonts w:ascii="Book Antiqua" w:hAnsi="Book Antiqua"/>
          <w:sz w:val="24"/>
          <w:szCs w:val="24"/>
          <w:vertAlign w:val="superscript"/>
          <w:lang w:eastAsia="zh-CN"/>
        </w:rPr>
        <w:t>3]</w:t>
      </w:r>
      <w:r w:rsidRPr="007A0378">
        <w:rPr>
          <w:rFonts w:ascii="Book Antiqua" w:hAnsi="Book Antiqua"/>
          <w:sz w:val="24"/>
          <w:szCs w:val="24"/>
        </w:rPr>
        <w:t xml:space="preserve">. Due to this GI </w:t>
      </w:r>
      <w:proofErr w:type="spellStart"/>
      <w:r w:rsidRPr="007A0378">
        <w:rPr>
          <w:rFonts w:ascii="Book Antiqua" w:hAnsi="Book Antiqua"/>
          <w:sz w:val="24"/>
          <w:szCs w:val="24"/>
        </w:rPr>
        <w:t>dysmotility</w:t>
      </w:r>
      <w:proofErr w:type="spellEnd"/>
      <w:r w:rsidRPr="007A0378">
        <w:rPr>
          <w:rFonts w:ascii="Book Antiqua" w:hAnsi="Book Antiqua"/>
          <w:sz w:val="24"/>
          <w:szCs w:val="24"/>
        </w:rPr>
        <w:t xml:space="preserve"> in the ICU should be addressed seriously and systematically since it could be the manifestation of GI tract failure as well as manifestation of disease.</w:t>
      </w:r>
    </w:p>
    <w:p w14:paraId="73023129" w14:textId="77777777" w:rsidR="00F15DE2" w:rsidRPr="007A0378" w:rsidRDefault="00F15DE2" w:rsidP="007A0378">
      <w:pPr>
        <w:snapToGrid w:val="0"/>
        <w:spacing w:after="0" w:line="360" w:lineRule="auto"/>
        <w:ind w:firstLineChars="200" w:firstLine="480"/>
        <w:jc w:val="both"/>
        <w:rPr>
          <w:rFonts w:ascii="Book Antiqua" w:hAnsi="Book Antiqua"/>
          <w:sz w:val="24"/>
          <w:szCs w:val="24"/>
        </w:rPr>
      </w:pPr>
      <w:r w:rsidRPr="007A0378">
        <w:rPr>
          <w:rFonts w:ascii="Book Antiqua" w:hAnsi="Book Antiqua"/>
          <w:sz w:val="24"/>
          <w:szCs w:val="24"/>
        </w:rPr>
        <w:t xml:space="preserve">For the purpose of this review we would like to divide the problem in upper GI </w:t>
      </w:r>
      <w:proofErr w:type="spellStart"/>
      <w:r w:rsidRPr="007A0378">
        <w:rPr>
          <w:rFonts w:ascii="Book Antiqua" w:hAnsi="Book Antiqua"/>
          <w:sz w:val="24"/>
          <w:szCs w:val="24"/>
        </w:rPr>
        <w:t>dysmotility</w:t>
      </w:r>
      <w:proofErr w:type="spellEnd"/>
      <w:r w:rsidRPr="007A0378">
        <w:rPr>
          <w:rFonts w:ascii="Book Antiqua" w:hAnsi="Book Antiqua"/>
          <w:sz w:val="24"/>
          <w:szCs w:val="24"/>
        </w:rPr>
        <w:t xml:space="preserve"> and lower GI </w:t>
      </w:r>
      <w:proofErr w:type="spellStart"/>
      <w:r w:rsidRPr="007A0378">
        <w:rPr>
          <w:rFonts w:ascii="Book Antiqua" w:hAnsi="Book Antiqua"/>
          <w:sz w:val="24"/>
          <w:szCs w:val="24"/>
        </w:rPr>
        <w:t>dysmotility</w:t>
      </w:r>
      <w:proofErr w:type="spellEnd"/>
      <w:r w:rsidRPr="007A0378">
        <w:rPr>
          <w:rFonts w:ascii="Book Antiqua" w:hAnsi="Book Antiqua"/>
          <w:sz w:val="24"/>
          <w:szCs w:val="24"/>
        </w:rPr>
        <w:t>.</w:t>
      </w:r>
    </w:p>
    <w:p w14:paraId="3624E9C8" w14:textId="77777777" w:rsidR="00F15DE2" w:rsidRPr="007A0378" w:rsidRDefault="00F15DE2" w:rsidP="007A0378">
      <w:pPr>
        <w:snapToGrid w:val="0"/>
        <w:spacing w:after="0" w:line="360" w:lineRule="auto"/>
        <w:jc w:val="both"/>
        <w:rPr>
          <w:rFonts w:ascii="Book Antiqua" w:hAnsi="Book Antiqua"/>
          <w:b/>
          <w:sz w:val="24"/>
          <w:szCs w:val="24"/>
          <w:lang w:eastAsia="zh-CN"/>
        </w:rPr>
      </w:pPr>
    </w:p>
    <w:p w14:paraId="4129691C" w14:textId="77777777" w:rsidR="00F15DE2" w:rsidRPr="007A0378" w:rsidRDefault="00F15DE2" w:rsidP="007A0378">
      <w:pPr>
        <w:snapToGrid w:val="0"/>
        <w:spacing w:after="0" w:line="360" w:lineRule="auto"/>
        <w:jc w:val="both"/>
        <w:rPr>
          <w:rFonts w:ascii="Book Antiqua" w:hAnsi="Book Antiqua"/>
          <w:b/>
          <w:caps/>
          <w:sz w:val="24"/>
          <w:szCs w:val="24"/>
          <w:lang w:eastAsia="zh-CN"/>
        </w:rPr>
      </w:pPr>
      <w:r w:rsidRPr="007A0378">
        <w:rPr>
          <w:rFonts w:ascii="Book Antiqua" w:hAnsi="Book Antiqua"/>
          <w:b/>
          <w:caps/>
          <w:sz w:val="24"/>
          <w:szCs w:val="24"/>
        </w:rPr>
        <w:t>Upper GI dysmotility</w:t>
      </w:r>
    </w:p>
    <w:p w14:paraId="6CB22DA3" w14:textId="2E7624EB" w:rsidR="00F15DE2" w:rsidRPr="007A0378" w:rsidRDefault="00F15DE2" w:rsidP="007A0378">
      <w:pPr>
        <w:snapToGrid w:val="0"/>
        <w:spacing w:after="0" w:line="360" w:lineRule="auto"/>
        <w:jc w:val="both"/>
        <w:rPr>
          <w:rFonts w:ascii="Book Antiqua" w:hAnsi="Book Antiqua"/>
          <w:sz w:val="24"/>
          <w:szCs w:val="24"/>
        </w:rPr>
      </w:pPr>
      <w:r w:rsidRPr="007A0378">
        <w:rPr>
          <w:rFonts w:ascii="Book Antiqua" w:hAnsi="Book Antiqua"/>
          <w:sz w:val="24"/>
          <w:szCs w:val="24"/>
        </w:rPr>
        <w:t xml:space="preserve">Upper GI </w:t>
      </w:r>
      <w:proofErr w:type="spellStart"/>
      <w:r w:rsidRPr="007A0378">
        <w:rPr>
          <w:rFonts w:ascii="Book Antiqua" w:hAnsi="Book Antiqua"/>
          <w:sz w:val="24"/>
          <w:szCs w:val="24"/>
        </w:rPr>
        <w:t>dysmotility</w:t>
      </w:r>
      <w:proofErr w:type="spellEnd"/>
      <w:r w:rsidRPr="007A0378">
        <w:rPr>
          <w:rFonts w:ascii="Book Antiqua" w:hAnsi="Book Antiqua"/>
          <w:sz w:val="24"/>
          <w:szCs w:val="24"/>
        </w:rPr>
        <w:t xml:space="preserve"> is usually manifested as delayed gastric emptying, regurgitation and ultimately aspiration. These are signs and symptoms that should never be disregarded since they point out at </w:t>
      </w:r>
      <w:r w:rsidR="00901AB9" w:rsidRPr="007A0378">
        <w:rPr>
          <w:rFonts w:ascii="Book Antiqua" w:hAnsi="Book Antiqua"/>
          <w:sz w:val="24"/>
          <w:szCs w:val="24"/>
        </w:rPr>
        <w:t>AGI;</w:t>
      </w:r>
      <w:r w:rsidRPr="007A0378">
        <w:rPr>
          <w:rFonts w:ascii="Book Antiqua" w:hAnsi="Book Antiqua"/>
          <w:sz w:val="24"/>
          <w:szCs w:val="24"/>
        </w:rPr>
        <w:t xml:space="preserve"> the difficult questions would be how aggressive should we be monitoring and treating delayed gastric emptying? What is the optimal method of monitoring? What is the optimal treatment?</w:t>
      </w:r>
    </w:p>
    <w:p w14:paraId="0A8DB796" w14:textId="77777777" w:rsidR="00F15DE2" w:rsidRPr="007A0378" w:rsidRDefault="00F15DE2" w:rsidP="007A0378">
      <w:pPr>
        <w:snapToGrid w:val="0"/>
        <w:spacing w:after="0" w:line="360" w:lineRule="auto"/>
        <w:jc w:val="both"/>
        <w:rPr>
          <w:rFonts w:ascii="Book Antiqua" w:hAnsi="Book Antiqua"/>
          <w:b/>
          <w:sz w:val="24"/>
          <w:szCs w:val="24"/>
          <w:lang w:eastAsia="zh-CN"/>
        </w:rPr>
      </w:pPr>
    </w:p>
    <w:p w14:paraId="79C8A239" w14:textId="77777777" w:rsidR="00F15DE2" w:rsidRPr="007A0378" w:rsidRDefault="00F15DE2" w:rsidP="007A0378">
      <w:pPr>
        <w:snapToGrid w:val="0"/>
        <w:spacing w:after="0" w:line="360" w:lineRule="auto"/>
        <w:jc w:val="both"/>
        <w:rPr>
          <w:rFonts w:ascii="Book Antiqua" w:hAnsi="Book Antiqua"/>
          <w:b/>
          <w:caps/>
          <w:sz w:val="24"/>
          <w:szCs w:val="24"/>
        </w:rPr>
      </w:pPr>
      <w:r w:rsidRPr="007A0378">
        <w:rPr>
          <w:rFonts w:ascii="Book Antiqua" w:hAnsi="Book Antiqua"/>
          <w:b/>
          <w:caps/>
          <w:sz w:val="24"/>
          <w:szCs w:val="24"/>
        </w:rPr>
        <w:t>Gastric emptying</w:t>
      </w:r>
    </w:p>
    <w:p w14:paraId="21044F68" w14:textId="7A53A8EB" w:rsidR="00F15DE2" w:rsidRPr="007A0378" w:rsidRDefault="00F15DE2" w:rsidP="007A0378">
      <w:pPr>
        <w:snapToGrid w:val="0"/>
        <w:spacing w:after="0" w:line="360" w:lineRule="auto"/>
        <w:jc w:val="both"/>
        <w:rPr>
          <w:rFonts w:ascii="Book Antiqua" w:hAnsi="Book Antiqua"/>
          <w:sz w:val="24"/>
          <w:szCs w:val="24"/>
        </w:rPr>
      </w:pPr>
      <w:r w:rsidRPr="007A0378">
        <w:rPr>
          <w:rFonts w:ascii="Book Antiqua" w:hAnsi="Book Antiqua"/>
          <w:sz w:val="24"/>
          <w:szCs w:val="24"/>
        </w:rPr>
        <w:t xml:space="preserve">Delayed gastric emptying is a common occurrence in the critically </w:t>
      </w:r>
      <w:proofErr w:type="gramStart"/>
      <w:r w:rsidRPr="007A0378">
        <w:rPr>
          <w:rFonts w:ascii="Book Antiqua" w:hAnsi="Book Antiqua"/>
          <w:sz w:val="24"/>
          <w:szCs w:val="24"/>
        </w:rPr>
        <w:t>ill</w:t>
      </w:r>
      <w:r w:rsidRPr="007A0378">
        <w:rPr>
          <w:rFonts w:ascii="Book Antiqua" w:hAnsi="Book Antiqua"/>
          <w:sz w:val="24"/>
          <w:szCs w:val="24"/>
          <w:vertAlign w:val="superscript"/>
          <w:lang w:eastAsia="zh-CN"/>
        </w:rPr>
        <w:t>[</w:t>
      </w:r>
      <w:proofErr w:type="gramEnd"/>
      <w:r w:rsidRPr="007A0378">
        <w:rPr>
          <w:rFonts w:ascii="Book Antiqua" w:hAnsi="Book Antiqua"/>
          <w:sz w:val="24"/>
          <w:szCs w:val="24"/>
          <w:vertAlign w:val="superscript"/>
          <w:lang w:eastAsia="zh-CN"/>
        </w:rPr>
        <w:t>4]</w:t>
      </w:r>
      <w:r w:rsidRPr="007A0378">
        <w:rPr>
          <w:rFonts w:ascii="Book Antiqua" w:hAnsi="Book Antiqua"/>
          <w:sz w:val="24"/>
          <w:szCs w:val="24"/>
        </w:rPr>
        <w:t>, multiple factors are associated to decreased gastric emptying (</w:t>
      </w:r>
      <w:r w:rsidRPr="007A0378">
        <w:rPr>
          <w:rFonts w:ascii="Book Antiqua" w:hAnsi="Book Antiqua"/>
          <w:caps/>
          <w:sz w:val="24"/>
          <w:szCs w:val="24"/>
        </w:rPr>
        <w:t>t</w:t>
      </w:r>
      <w:r w:rsidRPr="007A0378">
        <w:rPr>
          <w:rFonts w:ascii="Book Antiqua" w:hAnsi="Book Antiqua"/>
          <w:sz w:val="24"/>
          <w:szCs w:val="24"/>
        </w:rPr>
        <w:t>able 1) and once develops there has been concern that this may be linked to aspiration pneumonia and worse outcomes</w:t>
      </w:r>
      <w:r w:rsidRPr="007A0378">
        <w:rPr>
          <w:rFonts w:ascii="Book Antiqua" w:hAnsi="Book Antiqua"/>
          <w:sz w:val="24"/>
          <w:szCs w:val="24"/>
          <w:vertAlign w:val="superscript"/>
          <w:lang w:eastAsia="zh-CN"/>
        </w:rPr>
        <w:t>[5]</w:t>
      </w:r>
      <w:r w:rsidRPr="007A0378">
        <w:rPr>
          <w:rFonts w:ascii="Book Antiqua" w:hAnsi="Book Antiqua"/>
          <w:sz w:val="24"/>
          <w:szCs w:val="24"/>
        </w:rPr>
        <w:t xml:space="preserve">. </w:t>
      </w:r>
    </w:p>
    <w:p w14:paraId="3D67156F" w14:textId="77777777" w:rsidR="00F15DE2" w:rsidRPr="007A0378" w:rsidRDefault="00F15DE2" w:rsidP="007A0378">
      <w:pPr>
        <w:snapToGrid w:val="0"/>
        <w:spacing w:after="0" w:line="360" w:lineRule="auto"/>
        <w:ind w:firstLineChars="200" w:firstLine="480"/>
        <w:jc w:val="both"/>
        <w:rPr>
          <w:rFonts w:ascii="Book Antiqua" w:hAnsi="Book Antiqua"/>
          <w:sz w:val="24"/>
          <w:szCs w:val="24"/>
        </w:rPr>
      </w:pPr>
      <w:r w:rsidRPr="007A0378">
        <w:rPr>
          <w:rFonts w:ascii="Book Antiqua" w:hAnsi="Book Antiqua"/>
          <w:sz w:val="24"/>
          <w:szCs w:val="24"/>
        </w:rPr>
        <w:lastRenderedPageBreak/>
        <w:t xml:space="preserve">The challenge for the clinician is to find a way to monitor and prevent significant </w:t>
      </w:r>
      <w:proofErr w:type="spellStart"/>
      <w:r w:rsidRPr="007A0378">
        <w:rPr>
          <w:rFonts w:ascii="Book Antiqua" w:hAnsi="Book Antiqua"/>
          <w:sz w:val="24"/>
          <w:szCs w:val="24"/>
        </w:rPr>
        <w:t>dysmotility</w:t>
      </w:r>
      <w:proofErr w:type="spellEnd"/>
      <w:r w:rsidRPr="007A0378">
        <w:rPr>
          <w:rFonts w:ascii="Book Antiqua" w:hAnsi="Book Antiqua"/>
          <w:sz w:val="24"/>
          <w:szCs w:val="24"/>
        </w:rPr>
        <w:t xml:space="preserve"> leading to reflux and aspiration.</w:t>
      </w:r>
    </w:p>
    <w:p w14:paraId="36AE1632" w14:textId="77777777" w:rsidR="00F15DE2" w:rsidRPr="007A0378" w:rsidRDefault="00F15DE2" w:rsidP="007A0378">
      <w:pPr>
        <w:snapToGrid w:val="0"/>
        <w:spacing w:after="0" w:line="360" w:lineRule="auto"/>
        <w:jc w:val="both"/>
        <w:rPr>
          <w:rFonts w:ascii="Book Antiqua" w:hAnsi="Book Antiqua"/>
          <w:b/>
          <w:sz w:val="24"/>
          <w:szCs w:val="24"/>
          <w:lang w:eastAsia="zh-CN"/>
        </w:rPr>
      </w:pPr>
    </w:p>
    <w:p w14:paraId="4F9651F5" w14:textId="77777777" w:rsidR="00F15DE2" w:rsidRPr="007A0378" w:rsidRDefault="00F15DE2" w:rsidP="007A0378">
      <w:pPr>
        <w:snapToGrid w:val="0"/>
        <w:spacing w:after="0" w:line="360" w:lineRule="auto"/>
        <w:jc w:val="both"/>
        <w:rPr>
          <w:rFonts w:ascii="Book Antiqua" w:hAnsi="Book Antiqua"/>
          <w:b/>
          <w:caps/>
          <w:sz w:val="24"/>
          <w:szCs w:val="24"/>
        </w:rPr>
      </w:pPr>
      <w:r w:rsidRPr="007A0378">
        <w:rPr>
          <w:rFonts w:ascii="Book Antiqua" w:hAnsi="Book Antiqua"/>
          <w:b/>
          <w:caps/>
          <w:sz w:val="24"/>
          <w:szCs w:val="24"/>
        </w:rPr>
        <w:t>Monitoring gastric emptying</w:t>
      </w:r>
    </w:p>
    <w:p w14:paraId="54D2FD05" w14:textId="77777777" w:rsidR="00F15DE2" w:rsidRPr="007A0378" w:rsidRDefault="00F15DE2" w:rsidP="007A0378">
      <w:pPr>
        <w:snapToGrid w:val="0"/>
        <w:spacing w:after="0" w:line="360" w:lineRule="auto"/>
        <w:jc w:val="both"/>
        <w:rPr>
          <w:rFonts w:ascii="Book Antiqua" w:hAnsi="Book Antiqua"/>
          <w:sz w:val="24"/>
          <w:szCs w:val="24"/>
        </w:rPr>
      </w:pPr>
      <w:r w:rsidRPr="007A0378">
        <w:rPr>
          <w:rFonts w:ascii="Book Antiqua" w:hAnsi="Book Antiqua"/>
          <w:sz w:val="24"/>
          <w:szCs w:val="24"/>
        </w:rPr>
        <w:t>Multiple direct and indirect methods of measuring gastric emptying have been studied (</w:t>
      </w:r>
      <w:r w:rsidRPr="007A0378">
        <w:rPr>
          <w:rFonts w:ascii="Book Antiqua" w:hAnsi="Book Antiqua"/>
          <w:caps/>
          <w:sz w:val="24"/>
          <w:szCs w:val="24"/>
        </w:rPr>
        <w:t>t</w:t>
      </w:r>
      <w:r w:rsidRPr="007A0378">
        <w:rPr>
          <w:rFonts w:ascii="Book Antiqua" w:hAnsi="Book Antiqua"/>
          <w:sz w:val="24"/>
          <w:szCs w:val="24"/>
        </w:rPr>
        <w:t>able 2). Scintigraphy is the gold standard but is not practical or readily available in the ICU setting. Unfortunately all of the other indirect methods have limitations and the availability is limited and we are left with an imperfect surrogate of gastric emptying measurement: the gastric residual volume (GRV)</w:t>
      </w:r>
      <w:r w:rsidRPr="007A0378">
        <w:rPr>
          <w:rFonts w:ascii="Book Antiqua" w:hAnsi="Book Antiqua"/>
          <w:sz w:val="24"/>
          <w:szCs w:val="24"/>
          <w:vertAlign w:val="superscript"/>
        </w:rPr>
        <w:t>[</w:t>
      </w:r>
      <w:r w:rsidRPr="007A0378">
        <w:rPr>
          <w:rFonts w:ascii="Book Antiqua" w:hAnsi="Book Antiqua"/>
          <w:sz w:val="24"/>
          <w:szCs w:val="24"/>
          <w:vertAlign w:val="superscript"/>
          <w:lang w:eastAsia="zh-CN"/>
        </w:rPr>
        <w:t>6]</w:t>
      </w:r>
      <w:r w:rsidRPr="007A0378">
        <w:rPr>
          <w:rFonts w:ascii="Book Antiqua" w:hAnsi="Book Antiqua"/>
          <w:sz w:val="24"/>
          <w:szCs w:val="24"/>
        </w:rPr>
        <w:t xml:space="preserve">, and also with a promising alternative: The </w:t>
      </w:r>
      <w:r w:rsidRPr="007A0378">
        <w:rPr>
          <w:rFonts w:ascii="Book Antiqua" w:hAnsi="Book Antiqua"/>
          <w:sz w:val="24"/>
          <w:szCs w:val="24"/>
          <w:vertAlign w:val="superscript"/>
        </w:rPr>
        <w:t>13</w:t>
      </w:r>
      <w:r w:rsidRPr="007A0378">
        <w:rPr>
          <w:rFonts w:ascii="Book Antiqua" w:hAnsi="Book Antiqua"/>
          <w:sz w:val="24"/>
          <w:szCs w:val="24"/>
        </w:rPr>
        <w:t>C-octanoate breath test.</w:t>
      </w:r>
    </w:p>
    <w:p w14:paraId="3D417A90" w14:textId="77777777" w:rsidR="00F15DE2" w:rsidRPr="007A0378" w:rsidRDefault="00F15DE2" w:rsidP="007A0378">
      <w:pPr>
        <w:snapToGrid w:val="0"/>
        <w:spacing w:after="0" w:line="360" w:lineRule="auto"/>
        <w:jc w:val="both"/>
        <w:rPr>
          <w:rFonts w:ascii="Book Antiqua" w:hAnsi="Book Antiqua"/>
          <w:sz w:val="24"/>
          <w:szCs w:val="24"/>
          <w:lang w:eastAsia="zh-CN"/>
        </w:rPr>
      </w:pPr>
    </w:p>
    <w:p w14:paraId="1407C6AC" w14:textId="77777777" w:rsidR="00F15DE2" w:rsidRPr="007A0378" w:rsidRDefault="00F15DE2" w:rsidP="007A0378">
      <w:pPr>
        <w:snapToGrid w:val="0"/>
        <w:spacing w:after="0" w:line="360" w:lineRule="auto"/>
        <w:jc w:val="both"/>
        <w:rPr>
          <w:rFonts w:ascii="Book Antiqua" w:hAnsi="Book Antiqua"/>
          <w:b/>
          <w:i/>
          <w:sz w:val="24"/>
          <w:szCs w:val="24"/>
        </w:rPr>
      </w:pPr>
      <w:r w:rsidRPr="007A0378">
        <w:rPr>
          <w:rFonts w:ascii="Book Antiqua" w:hAnsi="Book Antiqua"/>
          <w:b/>
          <w:i/>
          <w:sz w:val="24"/>
          <w:szCs w:val="24"/>
        </w:rPr>
        <w:t>Gastric residual volumes</w:t>
      </w:r>
    </w:p>
    <w:p w14:paraId="095D7E98" w14:textId="5D8CEFFC" w:rsidR="00F15DE2" w:rsidRPr="007A0378" w:rsidRDefault="00F15DE2" w:rsidP="007A0378">
      <w:pPr>
        <w:snapToGrid w:val="0"/>
        <w:spacing w:after="0" w:line="360" w:lineRule="auto"/>
        <w:jc w:val="both"/>
        <w:rPr>
          <w:rFonts w:ascii="Book Antiqua" w:hAnsi="Book Antiqua"/>
          <w:sz w:val="24"/>
          <w:szCs w:val="24"/>
        </w:rPr>
      </w:pPr>
      <w:r w:rsidRPr="007A0378">
        <w:rPr>
          <w:rFonts w:ascii="Book Antiqua" w:hAnsi="Book Antiqua"/>
          <w:sz w:val="24"/>
          <w:szCs w:val="24"/>
        </w:rPr>
        <w:t xml:space="preserve">The gastric residual volume has been used as an indirect surrogate of gastric emptying. Several limitations of using the GRV have been described. A normal patient’s endogenous secretions can confuse this measurement since a patient can produce up to 4500 ml a day of saliva, gastric secretions and duodenal </w:t>
      </w:r>
      <w:proofErr w:type="gramStart"/>
      <w:r w:rsidRPr="007A0378">
        <w:rPr>
          <w:rFonts w:ascii="Book Antiqua" w:hAnsi="Book Antiqua"/>
          <w:sz w:val="24"/>
          <w:szCs w:val="24"/>
        </w:rPr>
        <w:t>reflux</w:t>
      </w:r>
      <w:r w:rsidRPr="007A0378">
        <w:rPr>
          <w:rFonts w:ascii="Book Antiqua" w:hAnsi="Book Antiqua"/>
          <w:sz w:val="24"/>
          <w:szCs w:val="24"/>
          <w:vertAlign w:val="superscript"/>
          <w:lang w:eastAsia="zh-CN"/>
        </w:rPr>
        <w:t>[</w:t>
      </w:r>
      <w:proofErr w:type="gramEnd"/>
      <w:r w:rsidRPr="007A0378">
        <w:rPr>
          <w:rFonts w:ascii="Book Antiqua" w:hAnsi="Book Antiqua"/>
          <w:sz w:val="24"/>
          <w:szCs w:val="24"/>
          <w:vertAlign w:val="superscript"/>
          <w:lang w:eastAsia="zh-CN"/>
        </w:rPr>
        <w:t>7]</w:t>
      </w:r>
      <w:r w:rsidRPr="007A0378">
        <w:rPr>
          <w:rFonts w:ascii="Book Antiqua" w:hAnsi="Book Antiqua"/>
          <w:sz w:val="24"/>
          <w:szCs w:val="24"/>
        </w:rPr>
        <w:t xml:space="preserve">. </w:t>
      </w:r>
    </w:p>
    <w:p w14:paraId="62CE32FB" w14:textId="2F78261D" w:rsidR="00F15DE2" w:rsidRPr="007A0378" w:rsidRDefault="00F15DE2" w:rsidP="007A0378">
      <w:pPr>
        <w:snapToGrid w:val="0"/>
        <w:spacing w:after="0" w:line="360" w:lineRule="auto"/>
        <w:ind w:firstLineChars="100" w:firstLine="240"/>
        <w:jc w:val="both"/>
        <w:rPr>
          <w:rFonts w:ascii="Book Antiqua" w:hAnsi="Book Antiqua"/>
          <w:sz w:val="24"/>
          <w:szCs w:val="24"/>
          <w:lang w:eastAsia="zh-CN"/>
        </w:rPr>
      </w:pPr>
      <w:r w:rsidRPr="007A0378">
        <w:rPr>
          <w:rFonts w:ascii="Book Antiqua" w:hAnsi="Book Antiqua"/>
          <w:sz w:val="24"/>
          <w:szCs w:val="24"/>
        </w:rPr>
        <w:t>Other limitations are technical and they include</w:t>
      </w:r>
      <w:r w:rsidRPr="007A0378">
        <w:rPr>
          <w:rFonts w:ascii="Book Antiqua" w:hAnsi="Book Antiqua"/>
          <w:sz w:val="24"/>
          <w:szCs w:val="24"/>
          <w:vertAlign w:val="superscript"/>
          <w:lang w:eastAsia="zh-CN"/>
        </w:rPr>
        <w:t>[8]</w:t>
      </w:r>
      <w:r w:rsidRPr="007A0378">
        <w:rPr>
          <w:rFonts w:ascii="Book Antiqua" w:hAnsi="Book Antiqua"/>
          <w:sz w:val="24"/>
          <w:szCs w:val="24"/>
        </w:rPr>
        <w:t>:</w:t>
      </w:r>
      <w:r w:rsidRPr="007A0378">
        <w:rPr>
          <w:rFonts w:ascii="Book Antiqua" w:hAnsi="Book Antiqua"/>
          <w:sz w:val="24"/>
          <w:szCs w:val="24"/>
          <w:lang w:eastAsia="zh-CN"/>
        </w:rPr>
        <w:t xml:space="preserve"> (1) </w:t>
      </w:r>
      <w:r w:rsidR="00901AB9" w:rsidRPr="007A0378">
        <w:rPr>
          <w:rFonts w:ascii="Book Antiqua" w:hAnsi="Book Antiqua"/>
          <w:sz w:val="24"/>
          <w:szCs w:val="24"/>
        </w:rPr>
        <w:t>a</w:t>
      </w:r>
      <w:r w:rsidRPr="007A0378">
        <w:rPr>
          <w:rFonts w:ascii="Book Antiqua" w:hAnsi="Book Antiqua"/>
          <w:sz w:val="24"/>
          <w:szCs w:val="24"/>
        </w:rPr>
        <w:t xml:space="preserve"> lack of standardization on the quantity of a normal GRV, 15 m</w:t>
      </w:r>
      <w:r w:rsidRPr="007A0378">
        <w:rPr>
          <w:rFonts w:ascii="Book Antiqua" w:hAnsi="Book Antiqua"/>
          <w:caps/>
          <w:sz w:val="24"/>
          <w:szCs w:val="24"/>
        </w:rPr>
        <w:t>l</w:t>
      </w:r>
      <w:r w:rsidRPr="007A0378">
        <w:rPr>
          <w:rFonts w:ascii="Book Antiqua" w:hAnsi="Book Antiqua"/>
          <w:sz w:val="24"/>
          <w:szCs w:val="24"/>
        </w:rPr>
        <w:t xml:space="preserve"> to 500 m</w:t>
      </w:r>
      <w:r w:rsidRPr="007A0378">
        <w:rPr>
          <w:rFonts w:ascii="Book Antiqua" w:hAnsi="Book Antiqua"/>
          <w:caps/>
          <w:sz w:val="24"/>
          <w:szCs w:val="24"/>
        </w:rPr>
        <w:t>l</w:t>
      </w:r>
      <w:r w:rsidRPr="007A0378">
        <w:rPr>
          <w:rFonts w:ascii="Book Antiqua" w:hAnsi="Book Antiqua"/>
          <w:sz w:val="24"/>
          <w:szCs w:val="24"/>
        </w:rPr>
        <w:t xml:space="preserve"> has been described as an upper limit</w:t>
      </w:r>
      <w:r w:rsidRPr="007A0378">
        <w:rPr>
          <w:rFonts w:ascii="Book Antiqua" w:hAnsi="Book Antiqua"/>
          <w:sz w:val="24"/>
          <w:szCs w:val="24"/>
          <w:lang w:eastAsia="zh-CN"/>
        </w:rPr>
        <w:t xml:space="preserve">; (2) </w:t>
      </w:r>
      <w:r w:rsidR="00901AB9" w:rsidRPr="007A0378">
        <w:rPr>
          <w:rFonts w:ascii="Book Antiqua" w:hAnsi="Book Antiqua"/>
          <w:sz w:val="24"/>
          <w:szCs w:val="24"/>
        </w:rPr>
        <w:t xml:space="preserve">location </w:t>
      </w:r>
      <w:r w:rsidRPr="007A0378">
        <w:rPr>
          <w:rFonts w:ascii="Book Antiqua" w:hAnsi="Book Antiqua"/>
          <w:sz w:val="24"/>
          <w:szCs w:val="24"/>
        </w:rPr>
        <w:t>of the tip of the tube</w:t>
      </w:r>
      <w:r w:rsidRPr="007A0378">
        <w:rPr>
          <w:rFonts w:ascii="Book Antiqua" w:hAnsi="Book Antiqua"/>
          <w:sz w:val="24"/>
          <w:szCs w:val="24"/>
          <w:lang w:eastAsia="zh-CN"/>
        </w:rPr>
        <w:t xml:space="preserve">; (3) </w:t>
      </w:r>
      <w:r w:rsidR="00901AB9" w:rsidRPr="007A0378">
        <w:rPr>
          <w:rFonts w:ascii="Book Antiqua" w:hAnsi="Book Antiqua"/>
          <w:sz w:val="24"/>
          <w:szCs w:val="24"/>
        </w:rPr>
        <w:t xml:space="preserve">different </w:t>
      </w:r>
      <w:r w:rsidRPr="007A0378">
        <w:rPr>
          <w:rFonts w:ascii="Book Antiqua" w:hAnsi="Book Antiqua"/>
          <w:sz w:val="24"/>
          <w:szCs w:val="24"/>
        </w:rPr>
        <w:t>volumes depending on the bore of the catheter</w:t>
      </w:r>
      <w:r w:rsidRPr="007A0378">
        <w:rPr>
          <w:rFonts w:ascii="Book Antiqua" w:hAnsi="Book Antiqua"/>
          <w:sz w:val="24"/>
          <w:szCs w:val="24"/>
          <w:lang w:eastAsia="zh-CN"/>
        </w:rPr>
        <w:t xml:space="preserve">; and (4) </w:t>
      </w:r>
      <w:r w:rsidR="00901AB9" w:rsidRPr="007A0378">
        <w:rPr>
          <w:rFonts w:ascii="Book Antiqua" w:hAnsi="Book Antiqua"/>
          <w:sz w:val="24"/>
          <w:szCs w:val="24"/>
        </w:rPr>
        <w:t xml:space="preserve">inconsistent </w:t>
      </w:r>
      <w:r w:rsidRPr="007A0378">
        <w:rPr>
          <w:rFonts w:ascii="Book Antiqua" w:hAnsi="Book Antiqua"/>
          <w:sz w:val="24"/>
          <w:szCs w:val="24"/>
        </w:rPr>
        <w:t>frequency of measurements</w:t>
      </w:r>
      <w:r w:rsidRPr="007A0378">
        <w:rPr>
          <w:rFonts w:ascii="Book Antiqua" w:hAnsi="Book Antiqua"/>
          <w:sz w:val="24"/>
          <w:szCs w:val="24"/>
          <w:lang w:eastAsia="zh-CN"/>
        </w:rPr>
        <w:t>.</w:t>
      </w:r>
    </w:p>
    <w:p w14:paraId="1B86B601" w14:textId="1FC855E8" w:rsidR="00F15DE2" w:rsidRPr="007A0378" w:rsidRDefault="00F15DE2" w:rsidP="007A0378">
      <w:pPr>
        <w:snapToGrid w:val="0"/>
        <w:spacing w:after="0" w:line="360" w:lineRule="auto"/>
        <w:ind w:firstLineChars="100" w:firstLine="240"/>
        <w:jc w:val="both"/>
        <w:rPr>
          <w:rFonts w:ascii="Book Antiqua" w:hAnsi="Book Antiqua"/>
          <w:sz w:val="24"/>
          <w:szCs w:val="24"/>
        </w:rPr>
      </w:pPr>
      <w:r w:rsidRPr="007A0378">
        <w:rPr>
          <w:rFonts w:ascii="Book Antiqua" w:hAnsi="Book Antiqua"/>
          <w:sz w:val="24"/>
          <w:szCs w:val="24"/>
        </w:rPr>
        <w:t>Several small studies have looked into the correlation of different volumes of GRV (150-250 m</w:t>
      </w:r>
      <w:r w:rsidRPr="007A0378">
        <w:rPr>
          <w:rFonts w:ascii="Book Antiqua" w:hAnsi="Book Antiqua"/>
          <w:caps/>
          <w:sz w:val="24"/>
          <w:szCs w:val="24"/>
        </w:rPr>
        <w:t>l</w:t>
      </w:r>
      <w:r w:rsidRPr="007A0378">
        <w:rPr>
          <w:rFonts w:ascii="Book Antiqua" w:hAnsi="Book Antiqua"/>
          <w:sz w:val="24"/>
          <w:szCs w:val="24"/>
        </w:rPr>
        <w:t xml:space="preserve">), and it has been shown to be a sensitive marker for delayed gastric emptying when compared to scintigraphy and acetaminophen absorption test, but, the negative predictive value was low, thus a lot of the patients with a negative test still had abnormal gastric emptying. More importantly having an abnormal GRV did not correlate to any significant clinical </w:t>
      </w:r>
      <w:proofErr w:type="gramStart"/>
      <w:r w:rsidRPr="007A0378">
        <w:rPr>
          <w:rFonts w:ascii="Book Antiqua" w:hAnsi="Book Antiqua"/>
          <w:sz w:val="24"/>
          <w:szCs w:val="24"/>
        </w:rPr>
        <w:t>outcome</w:t>
      </w:r>
      <w:r w:rsidRPr="007A0378">
        <w:rPr>
          <w:rFonts w:ascii="Book Antiqua" w:hAnsi="Book Antiqua"/>
          <w:sz w:val="24"/>
          <w:szCs w:val="24"/>
          <w:vertAlign w:val="superscript"/>
          <w:lang w:eastAsia="zh-CN"/>
        </w:rPr>
        <w:t>[</w:t>
      </w:r>
      <w:proofErr w:type="gramEnd"/>
      <w:r w:rsidRPr="007A0378">
        <w:rPr>
          <w:rFonts w:ascii="Book Antiqua" w:hAnsi="Book Antiqua"/>
          <w:sz w:val="24"/>
          <w:szCs w:val="24"/>
          <w:vertAlign w:val="superscript"/>
          <w:lang w:eastAsia="zh-CN"/>
        </w:rPr>
        <w:t>9,10]</w:t>
      </w:r>
      <w:r w:rsidRPr="007A0378">
        <w:rPr>
          <w:rFonts w:ascii="Book Antiqua" w:hAnsi="Book Antiqua"/>
          <w:sz w:val="24"/>
          <w:szCs w:val="24"/>
        </w:rPr>
        <w:t xml:space="preserve">. </w:t>
      </w:r>
    </w:p>
    <w:p w14:paraId="1A0110A5" w14:textId="2C35D7D0" w:rsidR="00F15DE2" w:rsidRPr="007A0378" w:rsidRDefault="00F15DE2" w:rsidP="007A0378">
      <w:pPr>
        <w:snapToGrid w:val="0"/>
        <w:spacing w:after="0" w:line="360" w:lineRule="auto"/>
        <w:ind w:firstLineChars="100" w:firstLine="240"/>
        <w:jc w:val="both"/>
        <w:rPr>
          <w:rFonts w:ascii="Book Antiqua" w:hAnsi="Book Antiqua"/>
          <w:sz w:val="24"/>
          <w:szCs w:val="24"/>
        </w:rPr>
      </w:pPr>
      <w:r w:rsidRPr="007A0378">
        <w:rPr>
          <w:rFonts w:ascii="Book Antiqua" w:hAnsi="Book Antiqua"/>
          <w:sz w:val="24"/>
          <w:szCs w:val="24"/>
        </w:rPr>
        <w:t xml:space="preserve">The clinical impact from checking GRV is underfeeding and early enteral nutrition has been shown to improve outcomes of critically ill patients, on the other hand checking GRV has not been shown to decrease vomiting or aspiration. In a 205 patients study, subjects were divided in two groups, one group had feedings held if a GRV were </w:t>
      </w:r>
      <w:r w:rsidRPr="007A0378">
        <w:rPr>
          <w:rFonts w:ascii="Book Antiqua" w:hAnsi="Book Antiqua"/>
          <w:sz w:val="24"/>
          <w:szCs w:val="24"/>
        </w:rPr>
        <w:lastRenderedPageBreak/>
        <w:t>&gt;</w:t>
      </w:r>
      <w:r w:rsidRPr="007A0378">
        <w:rPr>
          <w:rFonts w:ascii="Book Antiqua" w:hAnsi="Book Antiqua"/>
          <w:sz w:val="24"/>
          <w:szCs w:val="24"/>
          <w:lang w:eastAsia="zh-CN"/>
        </w:rPr>
        <w:t xml:space="preserve"> </w:t>
      </w:r>
      <w:r w:rsidRPr="007A0378">
        <w:rPr>
          <w:rFonts w:ascii="Book Antiqua" w:hAnsi="Book Antiqua"/>
          <w:sz w:val="24"/>
          <w:szCs w:val="24"/>
        </w:rPr>
        <w:t>250 m</w:t>
      </w:r>
      <w:r w:rsidRPr="007A0378">
        <w:rPr>
          <w:rFonts w:ascii="Book Antiqua" w:hAnsi="Book Antiqua"/>
          <w:caps/>
          <w:sz w:val="24"/>
          <w:szCs w:val="24"/>
        </w:rPr>
        <w:t>l</w:t>
      </w:r>
      <w:r w:rsidRPr="007A0378">
        <w:rPr>
          <w:rFonts w:ascii="Book Antiqua" w:hAnsi="Book Antiqua"/>
          <w:sz w:val="24"/>
          <w:szCs w:val="24"/>
        </w:rPr>
        <w:t xml:space="preserve">, the second group did not have GRV checked. Patients in the non GRV group achieved higher delivery of EN plus vomiting episodes and clinical aspiration events were not statistically different than the patient’s in the GRV </w:t>
      </w:r>
      <w:proofErr w:type="gramStart"/>
      <w:r w:rsidRPr="007A0378">
        <w:rPr>
          <w:rFonts w:ascii="Book Antiqua" w:hAnsi="Book Antiqua"/>
          <w:sz w:val="24"/>
          <w:szCs w:val="24"/>
        </w:rPr>
        <w:t>group</w:t>
      </w:r>
      <w:r w:rsidRPr="007A0378">
        <w:rPr>
          <w:rFonts w:ascii="Book Antiqua" w:hAnsi="Book Antiqua"/>
          <w:sz w:val="24"/>
          <w:szCs w:val="24"/>
          <w:vertAlign w:val="superscript"/>
          <w:lang w:eastAsia="zh-CN"/>
        </w:rPr>
        <w:t>[</w:t>
      </w:r>
      <w:proofErr w:type="gramEnd"/>
      <w:r w:rsidRPr="007A0378">
        <w:rPr>
          <w:rFonts w:ascii="Book Antiqua" w:hAnsi="Book Antiqua"/>
          <w:sz w:val="24"/>
          <w:szCs w:val="24"/>
          <w:vertAlign w:val="superscript"/>
          <w:lang w:eastAsia="zh-CN"/>
        </w:rPr>
        <w:t>11]</w:t>
      </w:r>
      <w:r w:rsidRPr="007A0378">
        <w:rPr>
          <w:rFonts w:ascii="Book Antiqua" w:hAnsi="Book Antiqua"/>
          <w:sz w:val="24"/>
          <w:szCs w:val="24"/>
        </w:rPr>
        <w:t xml:space="preserve">. </w:t>
      </w:r>
    </w:p>
    <w:p w14:paraId="35E839F9" w14:textId="77777777" w:rsidR="00F15DE2" w:rsidRPr="007A0378" w:rsidRDefault="00F15DE2" w:rsidP="007A0378">
      <w:pPr>
        <w:snapToGrid w:val="0"/>
        <w:spacing w:after="0" w:line="360" w:lineRule="auto"/>
        <w:ind w:firstLineChars="100" w:firstLine="240"/>
        <w:jc w:val="both"/>
        <w:rPr>
          <w:rFonts w:ascii="Book Antiqua" w:hAnsi="Book Antiqua"/>
          <w:sz w:val="24"/>
          <w:szCs w:val="24"/>
        </w:rPr>
      </w:pPr>
      <w:r w:rsidRPr="007A0378">
        <w:rPr>
          <w:rFonts w:ascii="Book Antiqua" w:hAnsi="Book Antiqua"/>
          <w:sz w:val="24"/>
          <w:szCs w:val="24"/>
        </w:rPr>
        <w:t>Based on this data we do not recommend monitoring of GRV in the critically ill patient, but this does not mean that we should not address gastric intolerance manifested as nausea and/or vomiting.</w:t>
      </w:r>
    </w:p>
    <w:p w14:paraId="2904C97E" w14:textId="77777777" w:rsidR="00F15DE2" w:rsidRPr="007A0378" w:rsidRDefault="00F15DE2" w:rsidP="007A0378">
      <w:pPr>
        <w:snapToGrid w:val="0"/>
        <w:spacing w:after="0" w:line="360" w:lineRule="auto"/>
        <w:jc w:val="both"/>
        <w:rPr>
          <w:rFonts w:ascii="Book Antiqua" w:hAnsi="Book Antiqua"/>
          <w:sz w:val="24"/>
          <w:szCs w:val="24"/>
          <w:lang w:eastAsia="zh-CN"/>
        </w:rPr>
      </w:pPr>
    </w:p>
    <w:p w14:paraId="37B2BDEA" w14:textId="2F5AF570" w:rsidR="00F15DE2" w:rsidRPr="007A0378" w:rsidRDefault="00F15DE2" w:rsidP="007A0378">
      <w:pPr>
        <w:snapToGrid w:val="0"/>
        <w:spacing w:after="0" w:line="360" w:lineRule="auto"/>
        <w:jc w:val="both"/>
        <w:rPr>
          <w:rFonts w:ascii="Book Antiqua" w:hAnsi="Book Antiqua"/>
          <w:b/>
          <w:i/>
          <w:sz w:val="24"/>
          <w:szCs w:val="24"/>
          <w:lang w:eastAsia="zh-CN"/>
        </w:rPr>
      </w:pPr>
      <w:r w:rsidRPr="007A0378">
        <w:rPr>
          <w:rFonts w:ascii="Book Antiqua" w:hAnsi="Book Antiqua"/>
          <w:b/>
          <w:i/>
          <w:sz w:val="24"/>
          <w:szCs w:val="24"/>
          <w:vertAlign w:val="superscript"/>
        </w:rPr>
        <w:t>13</w:t>
      </w:r>
      <w:r w:rsidRPr="007A0378">
        <w:rPr>
          <w:rFonts w:ascii="Book Antiqua" w:hAnsi="Book Antiqua"/>
          <w:b/>
          <w:i/>
          <w:sz w:val="24"/>
          <w:szCs w:val="24"/>
        </w:rPr>
        <w:t xml:space="preserve">C-octanoate </w:t>
      </w:r>
      <w:proofErr w:type="gramStart"/>
      <w:r w:rsidRPr="007A0378">
        <w:rPr>
          <w:rFonts w:ascii="Book Antiqua" w:hAnsi="Book Antiqua"/>
          <w:b/>
          <w:i/>
          <w:sz w:val="24"/>
          <w:szCs w:val="24"/>
        </w:rPr>
        <w:t>breath</w:t>
      </w:r>
      <w:proofErr w:type="gramEnd"/>
      <w:r w:rsidRPr="007A0378">
        <w:rPr>
          <w:rFonts w:ascii="Book Antiqua" w:hAnsi="Book Antiqua"/>
          <w:b/>
          <w:i/>
          <w:sz w:val="24"/>
          <w:szCs w:val="24"/>
        </w:rPr>
        <w:t xml:space="preserve"> test</w:t>
      </w:r>
    </w:p>
    <w:p w14:paraId="5F2C9D5C" w14:textId="272A57E8" w:rsidR="00F15DE2" w:rsidRPr="007A0378" w:rsidRDefault="00F15DE2" w:rsidP="007A0378">
      <w:pPr>
        <w:snapToGrid w:val="0"/>
        <w:spacing w:after="0" w:line="360" w:lineRule="auto"/>
        <w:jc w:val="both"/>
        <w:rPr>
          <w:rFonts w:ascii="Book Antiqua" w:hAnsi="Book Antiqua"/>
          <w:sz w:val="24"/>
          <w:szCs w:val="24"/>
        </w:rPr>
      </w:pPr>
      <w:r w:rsidRPr="007A0378">
        <w:rPr>
          <w:rFonts w:ascii="Book Antiqua" w:hAnsi="Book Antiqua"/>
          <w:sz w:val="24"/>
          <w:szCs w:val="24"/>
        </w:rPr>
        <w:t xml:space="preserve">The </w:t>
      </w:r>
      <w:proofErr w:type="spellStart"/>
      <w:r w:rsidRPr="007A0378">
        <w:rPr>
          <w:rFonts w:ascii="Book Antiqua" w:hAnsi="Book Antiqua"/>
          <w:sz w:val="24"/>
          <w:szCs w:val="24"/>
        </w:rPr>
        <w:t>octonoate</w:t>
      </w:r>
      <w:proofErr w:type="spellEnd"/>
      <w:r w:rsidRPr="007A0378">
        <w:rPr>
          <w:rFonts w:ascii="Book Antiqua" w:hAnsi="Book Antiqua"/>
          <w:sz w:val="24"/>
          <w:szCs w:val="24"/>
        </w:rPr>
        <w:t xml:space="preserve"> breath test has been developed as a non-invasive technique that is less cumbersome than scintigraphy since does not require patient transportation outside of the intensive care unit. It has been studied against scintigraphy in the critically ill population undergoing mechanical ventilation. In this test, carbon-13 (a non-radioactive isotope) is added to a test meal of 100 m</w:t>
      </w:r>
      <w:r w:rsidRPr="007A0378">
        <w:rPr>
          <w:rFonts w:ascii="Book Antiqua" w:hAnsi="Book Antiqua"/>
          <w:caps/>
          <w:sz w:val="24"/>
          <w:szCs w:val="24"/>
        </w:rPr>
        <w:t>l</w:t>
      </w:r>
      <w:r w:rsidRPr="007A0378">
        <w:rPr>
          <w:rFonts w:ascii="Book Antiqua" w:hAnsi="Book Antiqua"/>
          <w:sz w:val="24"/>
          <w:szCs w:val="24"/>
        </w:rPr>
        <w:t xml:space="preserve"> of </w:t>
      </w:r>
      <w:proofErr w:type="spellStart"/>
      <w:r w:rsidRPr="007A0378">
        <w:rPr>
          <w:rFonts w:ascii="Book Antiqua" w:hAnsi="Book Antiqua"/>
          <w:sz w:val="24"/>
          <w:szCs w:val="24"/>
        </w:rPr>
        <w:t>octanoic</w:t>
      </w:r>
      <w:proofErr w:type="spellEnd"/>
      <w:r w:rsidRPr="007A0378">
        <w:rPr>
          <w:rFonts w:ascii="Book Antiqua" w:hAnsi="Book Antiqua"/>
          <w:sz w:val="24"/>
          <w:szCs w:val="24"/>
        </w:rPr>
        <w:t xml:space="preserve"> acid. </w:t>
      </w:r>
      <w:r w:rsidRPr="007A0378">
        <w:rPr>
          <w:rFonts w:ascii="Book Antiqua" w:hAnsi="Book Antiqua"/>
          <w:sz w:val="24"/>
          <w:szCs w:val="24"/>
          <w:vertAlign w:val="superscript"/>
        </w:rPr>
        <w:t>13</w:t>
      </w:r>
      <w:r w:rsidRPr="007A0378">
        <w:rPr>
          <w:rFonts w:ascii="Book Antiqua" w:hAnsi="Book Antiqua"/>
          <w:sz w:val="24"/>
          <w:szCs w:val="24"/>
        </w:rPr>
        <w:t>C-Octanoic acid is not absorbed in the stomach but is rapidly absorbed by the duodenum and then metabolized in the liver to produce</w:t>
      </w:r>
      <w:r w:rsidRPr="007A0378">
        <w:rPr>
          <w:rFonts w:ascii="Book Antiqua" w:hAnsi="Book Antiqua"/>
          <w:sz w:val="24"/>
          <w:szCs w:val="24"/>
          <w:lang w:eastAsia="zh-CN"/>
        </w:rPr>
        <w:t xml:space="preserve"> </w:t>
      </w:r>
      <w:r w:rsidRPr="007A0378">
        <w:rPr>
          <w:rFonts w:ascii="Book Antiqua" w:hAnsi="Book Antiqua"/>
          <w:sz w:val="24"/>
          <w:szCs w:val="24"/>
          <w:vertAlign w:val="superscript"/>
        </w:rPr>
        <w:t>13</w:t>
      </w:r>
      <w:r w:rsidRPr="007A0378">
        <w:rPr>
          <w:rFonts w:ascii="Book Antiqua" w:hAnsi="Book Antiqua"/>
          <w:sz w:val="24"/>
          <w:szCs w:val="24"/>
        </w:rPr>
        <w:t>CO</w:t>
      </w:r>
      <w:r w:rsidRPr="007A0378">
        <w:rPr>
          <w:rFonts w:ascii="Book Antiqua" w:hAnsi="Book Antiqua"/>
          <w:sz w:val="24"/>
          <w:szCs w:val="24"/>
          <w:vertAlign w:val="subscript"/>
        </w:rPr>
        <w:t>2</w:t>
      </w:r>
      <w:r w:rsidRPr="007A0378">
        <w:rPr>
          <w:rFonts w:ascii="Book Antiqua" w:hAnsi="Book Antiqua"/>
          <w:sz w:val="24"/>
          <w:szCs w:val="24"/>
        </w:rPr>
        <w:t>.</w:t>
      </w:r>
      <w:r w:rsidRPr="007A0378">
        <w:rPr>
          <w:rFonts w:ascii="Book Antiqua" w:hAnsi="Book Antiqua"/>
          <w:sz w:val="24"/>
          <w:szCs w:val="24"/>
          <w:vertAlign w:val="subscript"/>
        </w:rPr>
        <w:t xml:space="preserve"> </w:t>
      </w:r>
      <w:r w:rsidRPr="007A0378">
        <w:rPr>
          <w:rFonts w:ascii="Book Antiqua" w:hAnsi="Book Antiqua"/>
          <w:sz w:val="24"/>
          <w:szCs w:val="24"/>
        </w:rPr>
        <w:t xml:space="preserve">Once the test meal is given, the </w:t>
      </w:r>
      <w:r w:rsidRPr="007A0378">
        <w:rPr>
          <w:rFonts w:ascii="Book Antiqua" w:hAnsi="Book Antiqua"/>
          <w:sz w:val="24"/>
          <w:szCs w:val="24"/>
          <w:vertAlign w:val="superscript"/>
        </w:rPr>
        <w:t>13</w:t>
      </w:r>
      <w:r w:rsidRPr="007A0378">
        <w:rPr>
          <w:rFonts w:ascii="Book Antiqua" w:hAnsi="Book Antiqua"/>
          <w:sz w:val="24"/>
          <w:szCs w:val="24"/>
        </w:rPr>
        <w:t>CO2 enrichment of the exhaled air is measured with an isotope ratio mass spectrometer at standard times for 3 to 6 h; due to the properties of the isotope this measurement is reflective of gastric emptying. The biggest study to date showed that this test had an 89% sensitivity and a 67% specificity in identifying delayed gastric emptying when compared to scintigraphy, giving it a 92% PPV and a 57% NPV. Also the authors also concluded that the wide confidence interval (45%-88%) made it a good option to test gastric emptying in the research setting but not in a real life clinical setting</w:t>
      </w:r>
      <w:r w:rsidRPr="007A0378">
        <w:rPr>
          <w:rFonts w:ascii="Book Antiqua" w:hAnsi="Book Antiqua"/>
          <w:sz w:val="24"/>
          <w:szCs w:val="24"/>
          <w:vertAlign w:val="superscript"/>
          <w:lang w:eastAsia="zh-CN"/>
        </w:rPr>
        <w:t>[12]</w:t>
      </w:r>
      <w:r w:rsidRPr="007A0378">
        <w:rPr>
          <w:rFonts w:ascii="Book Antiqua" w:hAnsi="Book Antiqua"/>
          <w:sz w:val="24"/>
          <w:szCs w:val="24"/>
        </w:rPr>
        <w:t xml:space="preserve">. Other limitations include the high cost and size of spectrometer </w:t>
      </w:r>
      <w:proofErr w:type="gramStart"/>
      <w:r w:rsidRPr="007A0378">
        <w:rPr>
          <w:rFonts w:ascii="Book Antiqua" w:hAnsi="Book Antiqua"/>
          <w:sz w:val="24"/>
          <w:szCs w:val="24"/>
        </w:rPr>
        <w:t>units</w:t>
      </w:r>
      <w:r w:rsidRPr="007A0378">
        <w:rPr>
          <w:rFonts w:ascii="Book Antiqua" w:hAnsi="Book Antiqua"/>
          <w:sz w:val="24"/>
          <w:szCs w:val="24"/>
          <w:vertAlign w:val="superscript"/>
          <w:lang w:eastAsia="zh-CN"/>
        </w:rPr>
        <w:t>[</w:t>
      </w:r>
      <w:proofErr w:type="gramEnd"/>
      <w:r w:rsidRPr="007A0378">
        <w:rPr>
          <w:rFonts w:ascii="Book Antiqua" w:hAnsi="Book Antiqua"/>
          <w:sz w:val="24"/>
          <w:szCs w:val="24"/>
          <w:vertAlign w:val="superscript"/>
          <w:lang w:eastAsia="zh-CN"/>
        </w:rPr>
        <w:t>13]</w:t>
      </w:r>
      <w:r w:rsidRPr="007A0378">
        <w:rPr>
          <w:rFonts w:ascii="Book Antiqua" w:hAnsi="Book Antiqua"/>
          <w:sz w:val="24"/>
          <w:szCs w:val="24"/>
        </w:rPr>
        <w:t>.</w:t>
      </w:r>
    </w:p>
    <w:p w14:paraId="4D9DCD14" w14:textId="77777777" w:rsidR="00F15DE2" w:rsidRPr="007A0378" w:rsidRDefault="00F15DE2" w:rsidP="007A0378">
      <w:pPr>
        <w:snapToGrid w:val="0"/>
        <w:spacing w:after="0" w:line="360" w:lineRule="auto"/>
        <w:jc w:val="both"/>
        <w:rPr>
          <w:rFonts w:ascii="Book Antiqua" w:hAnsi="Book Antiqua"/>
          <w:sz w:val="24"/>
          <w:szCs w:val="24"/>
          <w:lang w:eastAsia="zh-CN"/>
        </w:rPr>
      </w:pPr>
    </w:p>
    <w:p w14:paraId="39D15F5E" w14:textId="77777777" w:rsidR="00F15DE2" w:rsidRPr="007A0378" w:rsidRDefault="00F15DE2" w:rsidP="007A0378">
      <w:pPr>
        <w:snapToGrid w:val="0"/>
        <w:spacing w:after="0" w:line="360" w:lineRule="auto"/>
        <w:jc w:val="both"/>
        <w:rPr>
          <w:rFonts w:ascii="Book Antiqua" w:hAnsi="Book Antiqua"/>
          <w:b/>
          <w:i/>
          <w:sz w:val="24"/>
          <w:szCs w:val="24"/>
        </w:rPr>
      </w:pPr>
      <w:r w:rsidRPr="007A0378">
        <w:rPr>
          <w:rFonts w:ascii="Book Antiqua" w:hAnsi="Book Antiqua"/>
          <w:b/>
          <w:i/>
          <w:sz w:val="24"/>
          <w:szCs w:val="24"/>
        </w:rPr>
        <w:t xml:space="preserve">Prevention and treatment of gastric </w:t>
      </w:r>
      <w:proofErr w:type="spellStart"/>
      <w:r w:rsidRPr="007A0378">
        <w:rPr>
          <w:rFonts w:ascii="Book Antiqua" w:hAnsi="Book Antiqua"/>
          <w:b/>
          <w:i/>
          <w:sz w:val="24"/>
          <w:szCs w:val="24"/>
        </w:rPr>
        <w:t>dysmotility</w:t>
      </w:r>
      <w:proofErr w:type="spellEnd"/>
    </w:p>
    <w:p w14:paraId="30447097" w14:textId="77777777" w:rsidR="00F15DE2" w:rsidRPr="007A0378" w:rsidRDefault="00F15DE2" w:rsidP="007A0378">
      <w:pPr>
        <w:snapToGrid w:val="0"/>
        <w:spacing w:after="0" w:line="360" w:lineRule="auto"/>
        <w:jc w:val="both"/>
        <w:rPr>
          <w:rFonts w:ascii="Book Antiqua" w:hAnsi="Book Antiqua"/>
          <w:sz w:val="24"/>
          <w:szCs w:val="24"/>
        </w:rPr>
      </w:pPr>
      <w:r w:rsidRPr="007A0378">
        <w:rPr>
          <w:rFonts w:ascii="Book Antiqua" w:hAnsi="Book Antiqua"/>
          <w:sz w:val="24"/>
          <w:szCs w:val="24"/>
        </w:rPr>
        <w:t xml:space="preserve">Interventions to prevent and treat gastric </w:t>
      </w:r>
      <w:proofErr w:type="spellStart"/>
      <w:r w:rsidRPr="007A0378">
        <w:rPr>
          <w:rFonts w:ascii="Book Antiqua" w:hAnsi="Book Antiqua"/>
          <w:sz w:val="24"/>
          <w:szCs w:val="24"/>
        </w:rPr>
        <w:t>dysmotility</w:t>
      </w:r>
      <w:proofErr w:type="spellEnd"/>
      <w:r w:rsidRPr="007A0378">
        <w:rPr>
          <w:rFonts w:ascii="Book Antiqua" w:hAnsi="Book Antiqua"/>
          <w:sz w:val="24"/>
          <w:szCs w:val="24"/>
        </w:rPr>
        <w:t xml:space="preserve"> include: The use of continuous feeding vs. intermittent bolus feeding, post-pyloric feeding and </w:t>
      </w:r>
      <w:proofErr w:type="spellStart"/>
      <w:r w:rsidRPr="007A0378">
        <w:rPr>
          <w:rFonts w:ascii="Book Antiqua" w:hAnsi="Book Antiqua"/>
          <w:sz w:val="24"/>
          <w:szCs w:val="24"/>
        </w:rPr>
        <w:t>prokinetics</w:t>
      </w:r>
      <w:proofErr w:type="spellEnd"/>
      <w:r w:rsidRPr="007A0378">
        <w:rPr>
          <w:rFonts w:ascii="Book Antiqua" w:hAnsi="Book Antiqua"/>
          <w:sz w:val="24"/>
          <w:szCs w:val="24"/>
        </w:rPr>
        <w:t>.</w:t>
      </w:r>
    </w:p>
    <w:p w14:paraId="4CA029B8" w14:textId="3293EA28" w:rsidR="00F15DE2" w:rsidRPr="007A0378" w:rsidRDefault="00F15DE2" w:rsidP="007A0378">
      <w:pPr>
        <w:snapToGrid w:val="0"/>
        <w:spacing w:after="0" w:line="360" w:lineRule="auto"/>
        <w:ind w:firstLineChars="100" w:firstLine="240"/>
        <w:jc w:val="both"/>
        <w:rPr>
          <w:rFonts w:ascii="Book Antiqua" w:hAnsi="Book Antiqua"/>
          <w:sz w:val="24"/>
          <w:szCs w:val="24"/>
        </w:rPr>
      </w:pPr>
      <w:r w:rsidRPr="007A0378">
        <w:rPr>
          <w:rFonts w:ascii="Book Antiqua" w:hAnsi="Book Antiqua"/>
          <w:sz w:val="24"/>
          <w:szCs w:val="24"/>
        </w:rPr>
        <w:t xml:space="preserve">Continuous infusions of enteral feeds have the theoretical advantage of decreasing the amount of regurgitation and aspiration compared to intermittent boluses, unfortunately the evidence is scant. Small </w:t>
      </w:r>
      <w:proofErr w:type="gramStart"/>
      <w:r w:rsidRPr="007A0378">
        <w:rPr>
          <w:rFonts w:ascii="Book Antiqua" w:hAnsi="Book Antiqua"/>
          <w:sz w:val="24"/>
          <w:szCs w:val="24"/>
        </w:rPr>
        <w:t>trials</w:t>
      </w:r>
      <w:r w:rsidRPr="007A0378">
        <w:rPr>
          <w:rFonts w:ascii="Book Antiqua" w:hAnsi="Book Antiqua"/>
          <w:sz w:val="24"/>
          <w:szCs w:val="24"/>
          <w:vertAlign w:val="superscript"/>
          <w:lang w:eastAsia="zh-CN"/>
        </w:rPr>
        <w:t>[</w:t>
      </w:r>
      <w:proofErr w:type="gramEnd"/>
      <w:r w:rsidRPr="007A0378">
        <w:rPr>
          <w:rFonts w:ascii="Book Antiqua" w:hAnsi="Book Antiqua"/>
          <w:sz w:val="24"/>
          <w:szCs w:val="24"/>
          <w:vertAlign w:val="superscript"/>
          <w:lang w:eastAsia="zh-CN"/>
        </w:rPr>
        <w:t xml:space="preserve">14,15] </w:t>
      </w:r>
      <w:r w:rsidRPr="007A0378">
        <w:rPr>
          <w:rFonts w:ascii="Book Antiqua" w:hAnsi="Book Antiqua"/>
          <w:sz w:val="24"/>
          <w:szCs w:val="24"/>
        </w:rPr>
        <w:t xml:space="preserve">suggest a decreased incidence of </w:t>
      </w:r>
      <w:r w:rsidRPr="007A0378">
        <w:rPr>
          <w:rFonts w:ascii="Book Antiqua" w:hAnsi="Book Antiqua"/>
          <w:sz w:val="24"/>
          <w:szCs w:val="24"/>
        </w:rPr>
        <w:lastRenderedPageBreak/>
        <w:t xml:space="preserve">elevated gastric residuals and due to this more success in meeting caloric needs with the continuous methods but there is no difference in hard clinical outcomes. The current recommendations of the American Society of Parenteral and Enteral Nutrition (ASPEN) are to choose continuous feedings on those patients that are intolerant to bolus feeding and those that are high risk for </w:t>
      </w:r>
      <w:proofErr w:type="gramStart"/>
      <w:r w:rsidRPr="007A0378">
        <w:rPr>
          <w:rFonts w:ascii="Book Antiqua" w:hAnsi="Book Antiqua"/>
          <w:sz w:val="24"/>
          <w:szCs w:val="24"/>
        </w:rPr>
        <w:t>aspiration</w:t>
      </w:r>
      <w:bookmarkStart w:id="57" w:name="_Ref470184594"/>
      <w:r w:rsidRPr="007A0378">
        <w:rPr>
          <w:rFonts w:ascii="Book Antiqua" w:hAnsi="Book Antiqua"/>
          <w:sz w:val="24"/>
          <w:szCs w:val="24"/>
          <w:vertAlign w:val="superscript"/>
          <w:lang w:eastAsia="zh-CN"/>
        </w:rPr>
        <w:t>[</w:t>
      </w:r>
      <w:proofErr w:type="gramEnd"/>
      <w:r w:rsidRPr="007A0378">
        <w:rPr>
          <w:rFonts w:ascii="Book Antiqua" w:hAnsi="Book Antiqua"/>
          <w:sz w:val="24"/>
          <w:szCs w:val="24"/>
          <w:vertAlign w:val="superscript"/>
          <w:lang w:eastAsia="zh-CN"/>
        </w:rPr>
        <w:t>16]</w:t>
      </w:r>
      <w:r w:rsidRPr="007A0378">
        <w:rPr>
          <w:rFonts w:ascii="Book Antiqua" w:hAnsi="Book Antiqua"/>
          <w:sz w:val="24"/>
          <w:szCs w:val="24"/>
        </w:rPr>
        <w:t xml:space="preserve">. </w:t>
      </w:r>
      <w:bookmarkEnd w:id="57"/>
    </w:p>
    <w:p w14:paraId="376D6205" w14:textId="04301CC8" w:rsidR="00F15DE2" w:rsidRPr="007A0378" w:rsidRDefault="00F15DE2" w:rsidP="007A0378">
      <w:pPr>
        <w:snapToGrid w:val="0"/>
        <w:spacing w:after="0" w:line="360" w:lineRule="auto"/>
        <w:ind w:firstLineChars="100" w:firstLine="240"/>
        <w:jc w:val="both"/>
        <w:rPr>
          <w:rFonts w:ascii="Book Antiqua" w:hAnsi="Book Antiqua"/>
          <w:sz w:val="24"/>
          <w:szCs w:val="24"/>
        </w:rPr>
      </w:pPr>
      <w:r w:rsidRPr="007A0378">
        <w:rPr>
          <w:rFonts w:ascii="Book Antiqua" w:hAnsi="Book Antiqua"/>
          <w:sz w:val="24"/>
          <w:szCs w:val="24"/>
        </w:rPr>
        <w:t xml:space="preserve">Another possible solution would be to place the enteral feeding tube past the pylorus to prevent regurgitation and aspiration of gastric contents. A recent meta-analysis showed that there was a decrease in the incidence of pneumonias, but there was no significant difference in nutritional outcomes, length of stay or hospital </w:t>
      </w:r>
      <w:proofErr w:type="gramStart"/>
      <w:r w:rsidRPr="007A0378">
        <w:rPr>
          <w:rFonts w:ascii="Book Antiqua" w:hAnsi="Book Antiqua"/>
          <w:sz w:val="24"/>
          <w:szCs w:val="24"/>
        </w:rPr>
        <w:t>mortality</w:t>
      </w:r>
      <w:r w:rsidRPr="007A0378">
        <w:rPr>
          <w:rFonts w:ascii="Book Antiqua" w:hAnsi="Book Antiqua"/>
          <w:sz w:val="24"/>
          <w:szCs w:val="24"/>
          <w:vertAlign w:val="superscript"/>
          <w:lang w:eastAsia="zh-CN"/>
        </w:rPr>
        <w:t>[</w:t>
      </w:r>
      <w:proofErr w:type="gramEnd"/>
      <w:r w:rsidRPr="007A0378">
        <w:rPr>
          <w:rFonts w:ascii="Book Antiqua" w:hAnsi="Book Antiqua"/>
          <w:sz w:val="24"/>
          <w:szCs w:val="24"/>
          <w:vertAlign w:val="superscript"/>
          <w:lang w:eastAsia="zh-CN"/>
        </w:rPr>
        <w:t>17]</w:t>
      </w:r>
      <w:r w:rsidRPr="007A0378">
        <w:rPr>
          <w:rFonts w:ascii="Book Antiqua" w:hAnsi="Book Antiqua"/>
          <w:sz w:val="24"/>
          <w:szCs w:val="24"/>
        </w:rPr>
        <w:t>. But, placing a post-pyloric tube can be technically difficult and delay initiation of enteral nutrition, due to that the ASPEN guidelines suggest to use the gastric route routinely and favor the post-pyloric route to patients at high risk of aspiration or those that showed intolerance.</w:t>
      </w:r>
    </w:p>
    <w:p w14:paraId="7A561C0D" w14:textId="77777777" w:rsidR="00F15DE2" w:rsidRPr="007A0378" w:rsidRDefault="00F15DE2" w:rsidP="007A0378">
      <w:pPr>
        <w:snapToGrid w:val="0"/>
        <w:spacing w:after="0" w:line="360" w:lineRule="auto"/>
        <w:ind w:firstLineChars="100" w:firstLine="240"/>
        <w:jc w:val="both"/>
        <w:rPr>
          <w:rFonts w:ascii="Book Antiqua" w:hAnsi="Book Antiqua"/>
          <w:sz w:val="24"/>
          <w:szCs w:val="24"/>
        </w:rPr>
      </w:pPr>
      <w:r w:rsidRPr="007A0378">
        <w:rPr>
          <w:rFonts w:ascii="Book Antiqua" w:hAnsi="Book Antiqua"/>
          <w:sz w:val="24"/>
          <w:szCs w:val="24"/>
        </w:rPr>
        <w:t xml:space="preserve">The use of </w:t>
      </w:r>
      <w:proofErr w:type="spellStart"/>
      <w:r w:rsidRPr="007A0378">
        <w:rPr>
          <w:rFonts w:ascii="Book Antiqua" w:hAnsi="Book Antiqua"/>
          <w:sz w:val="24"/>
          <w:szCs w:val="24"/>
        </w:rPr>
        <w:t>prokinetics</w:t>
      </w:r>
      <w:proofErr w:type="spellEnd"/>
      <w:r w:rsidRPr="007A0378">
        <w:rPr>
          <w:rFonts w:ascii="Book Antiqua" w:hAnsi="Book Antiqua"/>
          <w:sz w:val="24"/>
          <w:szCs w:val="24"/>
        </w:rPr>
        <w:t xml:space="preserve"> has been associated with decreased GRV but no significant change in length of stay or </w:t>
      </w:r>
      <w:proofErr w:type="gramStart"/>
      <w:r w:rsidRPr="007A0378">
        <w:rPr>
          <w:rFonts w:ascii="Book Antiqua" w:hAnsi="Book Antiqua"/>
          <w:sz w:val="24"/>
          <w:szCs w:val="24"/>
        </w:rPr>
        <w:t>mortality</w:t>
      </w:r>
      <w:r w:rsidRPr="007A0378">
        <w:rPr>
          <w:rFonts w:ascii="Book Antiqua" w:hAnsi="Book Antiqua"/>
          <w:sz w:val="24"/>
          <w:szCs w:val="24"/>
          <w:vertAlign w:val="superscript"/>
        </w:rPr>
        <w:t>[</w:t>
      </w:r>
      <w:proofErr w:type="gramEnd"/>
      <w:r w:rsidRPr="007A0378">
        <w:fldChar w:fldCharType="begin"/>
      </w:r>
      <w:r w:rsidRPr="007A0378">
        <w:rPr>
          <w:rFonts w:ascii="Book Antiqua" w:hAnsi="Book Antiqua"/>
          <w:sz w:val="24"/>
          <w:szCs w:val="24"/>
          <w:vertAlign w:val="superscript"/>
        </w:rPr>
        <w:instrText xml:space="preserve"> NOTEREF _Ref470184594 \f  \* MERGEFORMAT </w:instrText>
      </w:r>
      <w:r w:rsidRPr="007A0378">
        <w:fldChar w:fldCharType="separate"/>
      </w:r>
      <w:r w:rsidRPr="007A0378">
        <w:rPr>
          <w:rStyle w:val="EndnoteReference"/>
          <w:rFonts w:ascii="Book Antiqua" w:hAnsi="Book Antiqua"/>
          <w:sz w:val="24"/>
          <w:szCs w:val="24"/>
        </w:rPr>
        <w:t>18</w:t>
      </w:r>
      <w:r w:rsidRPr="007A0378">
        <w:rPr>
          <w:rStyle w:val="EndnoteReference"/>
          <w:rFonts w:ascii="Book Antiqua" w:hAnsi="Book Antiqua"/>
          <w:sz w:val="24"/>
          <w:szCs w:val="24"/>
        </w:rPr>
        <w:fldChar w:fldCharType="end"/>
      </w:r>
      <w:r w:rsidRPr="007A0378">
        <w:rPr>
          <w:rStyle w:val="EndnoteReference"/>
          <w:rFonts w:ascii="Book Antiqua" w:hAnsi="Book Antiqua"/>
          <w:sz w:val="24"/>
          <w:szCs w:val="24"/>
        </w:rPr>
        <w:t>]</w:t>
      </w:r>
      <w:r w:rsidRPr="007A0378">
        <w:rPr>
          <w:rFonts w:ascii="Book Antiqua" w:hAnsi="Book Antiqua"/>
          <w:sz w:val="24"/>
          <w:szCs w:val="24"/>
        </w:rPr>
        <w:t>. The most commonly studied agents include erythromycin at a dose of 3-7 mg/kg/d and metoclopramide at a dose of 10 mg every 4 h. If one chooses to use these agents, we must be aware of the side effects that include QT prolongation and diarrhea with both agents and tardive dyskinesia in the case of metoclopramide.</w:t>
      </w:r>
    </w:p>
    <w:p w14:paraId="547F0E71" w14:textId="77777777" w:rsidR="00F15DE2" w:rsidRPr="007A0378" w:rsidRDefault="00F15DE2" w:rsidP="007A0378">
      <w:pPr>
        <w:snapToGrid w:val="0"/>
        <w:spacing w:after="0" w:line="360" w:lineRule="auto"/>
        <w:jc w:val="both"/>
        <w:rPr>
          <w:rFonts w:ascii="Book Antiqua" w:hAnsi="Book Antiqua"/>
          <w:sz w:val="24"/>
          <w:szCs w:val="24"/>
        </w:rPr>
      </w:pPr>
    </w:p>
    <w:p w14:paraId="2959D84C" w14:textId="77777777" w:rsidR="00F15DE2" w:rsidRPr="007A0378" w:rsidRDefault="00F15DE2" w:rsidP="007A0378">
      <w:pPr>
        <w:snapToGrid w:val="0"/>
        <w:spacing w:after="0" w:line="360" w:lineRule="auto"/>
        <w:jc w:val="both"/>
        <w:rPr>
          <w:rFonts w:ascii="Book Antiqua" w:hAnsi="Book Antiqua"/>
          <w:b/>
          <w:caps/>
          <w:sz w:val="24"/>
          <w:szCs w:val="24"/>
        </w:rPr>
      </w:pPr>
      <w:r w:rsidRPr="007A0378">
        <w:rPr>
          <w:rFonts w:ascii="Book Antiqua" w:hAnsi="Book Antiqua"/>
          <w:b/>
          <w:caps/>
          <w:sz w:val="24"/>
          <w:szCs w:val="24"/>
        </w:rPr>
        <w:t>Lower GI dysmotility</w:t>
      </w:r>
    </w:p>
    <w:p w14:paraId="76CBADE1" w14:textId="77777777" w:rsidR="00F15DE2" w:rsidRPr="007A0378" w:rsidRDefault="00F15DE2" w:rsidP="007A0378">
      <w:pPr>
        <w:snapToGrid w:val="0"/>
        <w:spacing w:after="0" w:line="360" w:lineRule="auto"/>
        <w:jc w:val="both"/>
        <w:rPr>
          <w:rFonts w:ascii="Book Antiqua" w:hAnsi="Book Antiqua"/>
          <w:sz w:val="24"/>
          <w:szCs w:val="24"/>
        </w:rPr>
      </w:pPr>
      <w:r w:rsidRPr="007A0378">
        <w:rPr>
          <w:rFonts w:ascii="Book Antiqua" w:hAnsi="Book Antiqua"/>
          <w:sz w:val="24"/>
          <w:szCs w:val="24"/>
        </w:rPr>
        <w:t xml:space="preserve">Lower GI </w:t>
      </w:r>
      <w:proofErr w:type="spellStart"/>
      <w:r w:rsidRPr="007A0378">
        <w:rPr>
          <w:rFonts w:ascii="Book Antiqua" w:hAnsi="Book Antiqua"/>
          <w:sz w:val="24"/>
          <w:szCs w:val="24"/>
        </w:rPr>
        <w:t>dysmotility</w:t>
      </w:r>
      <w:proofErr w:type="spellEnd"/>
      <w:r w:rsidRPr="007A0378">
        <w:rPr>
          <w:rFonts w:ascii="Book Antiqua" w:hAnsi="Book Antiqua"/>
          <w:sz w:val="24"/>
          <w:szCs w:val="24"/>
        </w:rPr>
        <w:t xml:space="preserve"> can be manifested in the ICU as ileus, acute colonic pseudo obstruction and diarrhea. </w:t>
      </w:r>
    </w:p>
    <w:p w14:paraId="7EDA7B82" w14:textId="77777777" w:rsidR="00F15DE2" w:rsidRPr="007A0378" w:rsidRDefault="00F15DE2" w:rsidP="007A0378">
      <w:pPr>
        <w:snapToGrid w:val="0"/>
        <w:spacing w:after="0" w:line="360" w:lineRule="auto"/>
        <w:jc w:val="both"/>
        <w:rPr>
          <w:rFonts w:ascii="Book Antiqua" w:hAnsi="Book Antiqua"/>
          <w:sz w:val="24"/>
          <w:szCs w:val="24"/>
          <w:lang w:eastAsia="zh-CN"/>
        </w:rPr>
      </w:pPr>
    </w:p>
    <w:p w14:paraId="1EC12449" w14:textId="77777777" w:rsidR="00F15DE2" w:rsidRPr="007A0378" w:rsidRDefault="00F15DE2" w:rsidP="007A0378">
      <w:pPr>
        <w:snapToGrid w:val="0"/>
        <w:spacing w:after="0" w:line="360" w:lineRule="auto"/>
        <w:jc w:val="both"/>
        <w:rPr>
          <w:rFonts w:ascii="Book Antiqua" w:hAnsi="Book Antiqua"/>
          <w:b/>
          <w:i/>
          <w:sz w:val="24"/>
          <w:szCs w:val="24"/>
        </w:rPr>
      </w:pPr>
      <w:r w:rsidRPr="007A0378">
        <w:rPr>
          <w:rFonts w:ascii="Book Antiqua" w:hAnsi="Book Antiqua"/>
          <w:b/>
          <w:i/>
          <w:sz w:val="24"/>
          <w:szCs w:val="24"/>
        </w:rPr>
        <w:t xml:space="preserve">Evaluation of lower GI </w:t>
      </w:r>
      <w:proofErr w:type="spellStart"/>
      <w:r w:rsidRPr="007A0378">
        <w:rPr>
          <w:rFonts w:ascii="Book Antiqua" w:hAnsi="Book Antiqua"/>
          <w:b/>
          <w:i/>
          <w:sz w:val="24"/>
          <w:szCs w:val="24"/>
        </w:rPr>
        <w:t>dysmotility</w:t>
      </w:r>
      <w:proofErr w:type="spellEnd"/>
    </w:p>
    <w:p w14:paraId="7299DA4F" w14:textId="77777777" w:rsidR="00F15DE2" w:rsidRPr="007A0378" w:rsidRDefault="00F15DE2" w:rsidP="007A0378">
      <w:pPr>
        <w:snapToGrid w:val="0"/>
        <w:spacing w:after="0" w:line="360" w:lineRule="auto"/>
        <w:jc w:val="both"/>
        <w:rPr>
          <w:rFonts w:ascii="Book Antiqua" w:hAnsi="Book Antiqua"/>
          <w:sz w:val="24"/>
          <w:szCs w:val="24"/>
        </w:rPr>
      </w:pPr>
      <w:r w:rsidRPr="007A0378">
        <w:rPr>
          <w:rFonts w:ascii="Book Antiqua" w:hAnsi="Book Antiqua"/>
          <w:sz w:val="24"/>
          <w:szCs w:val="24"/>
        </w:rPr>
        <w:t>Unfortunately none of the usual tests used in the outpatient setting to evaluate motility disorders has been validated or found useful in the intensive care unit setting. The clinician is left with his clinical exam acumen and the usual routine tests performed the critically ill, this is why is important to suspect these disorders and look for them on our daily exam. We will describe the most common clinical presentations.</w:t>
      </w:r>
    </w:p>
    <w:p w14:paraId="13590815" w14:textId="77777777" w:rsidR="00F15DE2" w:rsidRPr="007A0378" w:rsidRDefault="00F15DE2" w:rsidP="007A0378">
      <w:pPr>
        <w:snapToGrid w:val="0"/>
        <w:spacing w:after="0" w:line="360" w:lineRule="auto"/>
        <w:jc w:val="both"/>
        <w:rPr>
          <w:rFonts w:ascii="Book Antiqua" w:hAnsi="Book Antiqua"/>
          <w:sz w:val="24"/>
          <w:szCs w:val="24"/>
          <w:lang w:eastAsia="zh-CN"/>
        </w:rPr>
      </w:pPr>
    </w:p>
    <w:p w14:paraId="5997B903" w14:textId="77777777" w:rsidR="00F15DE2" w:rsidRPr="007A0378" w:rsidRDefault="00F15DE2" w:rsidP="007A0378">
      <w:pPr>
        <w:snapToGrid w:val="0"/>
        <w:spacing w:after="0" w:line="360" w:lineRule="auto"/>
        <w:jc w:val="both"/>
        <w:rPr>
          <w:rFonts w:ascii="Book Antiqua" w:hAnsi="Book Antiqua"/>
          <w:b/>
          <w:i/>
          <w:sz w:val="24"/>
          <w:szCs w:val="24"/>
        </w:rPr>
      </w:pPr>
      <w:r w:rsidRPr="007A0378">
        <w:rPr>
          <w:rFonts w:ascii="Book Antiqua" w:hAnsi="Book Antiqua"/>
          <w:b/>
          <w:i/>
          <w:sz w:val="24"/>
          <w:szCs w:val="24"/>
        </w:rPr>
        <w:t>Ileus</w:t>
      </w:r>
    </w:p>
    <w:p w14:paraId="2CA18873" w14:textId="12943683" w:rsidR="00F15DE2" w:rsidRPr="007A0378" w:rsidRDefault="00F15DE2" w:rsidP="007A0378">
      <w:pPr>
        <w:snapToGrid w:val="0"/>
        <w:spacing w:after="0" w:line="360" w:lineRule="auto"/>
        <w:jc w:val="both"/>
        <w:rPr>
          <w:rFonts w:ascii="Book Antiqua" w:hAnsi="Book Antiqua"/>
          <w:sz w:val="24"/>
          <w:szCs w:val="24"/>
        </w:rPr>
      </w:pPr>
      <w:r w:rsidRPr="007A0378">
        <w:rPr>
          <w:rFonts w:ascii="Book Antiqua" w:hAnsi="Book Antiqua"/>
          <w:sz w:val="24"/>
          <w:szCs w:val="24"/>
        </w:rPr>
        <w:t>Ileus is defined as the absence of physiologic motility in the bowel, leading to a lack of progression of bowel contents through the gastrointestinal tract. A more specific definition has been described and this includes: absence of a bowel movement for ≥ 3 days, treatment for constipation, and one of the following: (1) radiologic confirmed ileus</w:t>
      </w:r>
      <w:r w:rsidR="00901AB9">
        <w:rPr>
          <w:rFonts w:ascii="Book Antiqua" w:hAnsi="Book Antiqua" w:hint="eastAsia"/>
          <w:sz w:val="24"/>
          <w:szCs w:val="24"/>
          <w:lang w:eastAsia="zh-CN"/>
        </w:rPr>
        <w:t xml:space="preserve">; </w:t>
      </w:r>
      <w:r w:rsidRPr="007A0378">
        <w:rPr>
          <w:rFonts w:ascii="Book Antiqua" w:hAnsi="Book Antiqua"/>
          <w:sz w:val="24"/>
          <w:szCs w:val="24"/>
        </w:rPr>
        <w:t>(2) feed intolerance</w:t>
      </w:r>
      <w:r w:rsidR="00901AB9">
        <w:rPr>
          <w:rFonts w:ascii="Book Antiqua" w:hAnsi="Book Antiqua" w:hint="eastAsia"/>
          <w:sz w:val="24"/>
          <w:szCs w:val="24"/>
          <w:lang w:eastAsia="zh-CN"/>
        </w:rPr>
        <w:t>;</w:t>
      </w:r>
      <w:r w:rsidRPr="007A0378">
        <w:rPr>
          <w:rFonts w:ascii="Book Antiqua" w:hAnsi="Book Antiqua"/>
          <w:sz w:val="24"/>
          <w:szCs w:val="24"/>
        </w:rPr>
        <w:t xml:space="preserve"> (3) abdominal distention</w:t>
      </w:r>
      <w:r w:rsidR="00901AB9">
        <w:rPr>
          <w:rFonts w:ascii="Book Antiqua" w:hAnsi="Book Antiqua" w:hint="eastAsia"/>
          <w:sz w:val="24"/>
          <w:szCs w:val="24"/>
          <w:lang w:eastAsia="zh-CN"/>
        </w:rPr>
        <w:t>;</w:t>
      </w:r>
      <w:r w:rsidRPr="007A0378">
        <w:rPr>
          <w:rFonts w:ascii="Book Antiqua" w:hAnsi="Book Antiqua"/>
          <w:sz w:val="24"/>
          <w:szCs w:val="24"/>
        </w:rPr>
        <w:t xml:space="preserve"> or (4) need for gastric decompression. This has to be differentiated from acute mechanical obstruction that may be a surgical emergency. It has been reported to occur in 20%-50% of the ICU </w:t>
      </w:r>
      <w:proofErr w:type="gramStart"/>
      <w:r w:rsidRPr="007A0378">
        <w:rPr>
          <w:rFonts w:ascii="Book Antiqua" w:hAnsi="Book Antiqua"/>
          <w:sz w:val="24"/>
          <w:szCs w:val="24"/>
        </w:rPr>
        <w:t>population</w:t>
      </w:r>
      <w:r w:rsidRPr="007A0378">
        <w:rPr>
          <w:rFonts w:ascii="Book Antiqua" w:hAnsi="Book Antiqua"/>
          <w:sz w:val="24"/>
          <w:szCs w:val="24"/>
          <w:vertAlign w:val="superscript"/>
          <w:lang w:eastAsia="zh-CN"/>
        </w:rPr>
        <w:t>[</w:t>
      </w:r>
      <w:proofErr w:type="gramEnd"/>
      <w:r w:rsidRPr="007A0378">
        <w:rPr>
          <w:rFonts w:ascii="Book Antiqua" w:hAnsi="Book Antiqua"/>
          <w:sz w:val="24"/>
          <w:szCs w:val="24"/>
          <w:vertAlign w:val="superscript"/>
          <w:lang w:eastAsia="zh-CN"/>
        </w:rPr>
        <w:t>18]</w:t>
      </w:r>
      <w:r w:rsidRPr="007A0378">
        <w:rPr>
          <w:rFonts w:ascii="Book Antiqua" w:hAnsi="Book Antiqua"/>
          <w:sz w:val="24"/>
          <w:szCs w:val="24"/>
        </w:rPr>
        <w:t>. The average duration of the episode is 6.5 d</w:t>
      </w:r>
      <w:r w:rsidRPr="007A0378">
        <w:rPr>
          <w:rFonts w:ascii="Book Antiqua" w:hAnsi="Book Antiqua"/>
          <w:sz w:val="24"/>
          <w:szCs w:val="24"/>
          <w:lang w:eastAsia="zh-CN"/>
        </w:rPr>
        <w:t xml:space="preserve"> </w:t>
      </w:r>
      <w:r w:rsidRPr="007A0378">
        <w:rPr>
          <w:rFonts w:ascii="Book Antiqua" w:hAnsi="Book Antiqua"/>
          <w:sz w:val="24"/>
          <w:szCs w:val="24"/>
        </w:rPr>
        <w:t xml:space="preserve">and is associated with longer ICU stays as well as </w:t>
      </w:r>
      <w:proofErr w:type="gramStart"/>
      <w:r w:rsidRPr="007A0378">
        <w:rPr>
          <w:rFonts w:ascii="Book Antiqua" w:hAnsi="Book Antiqua"/>
          <w:sz w:val="24"/>
          <w:szCs w:val="24"/>
        </w:rPr>
        <w:t>underfeeding</w:t>
      </w:r>
      <w:r w:rsidRPr="007A0378">
        <w:rPr>
          <w:rFonts w:ascii="Book Antiqua" w:hAnsi="Book Antiqua"/>
          <w:sz w:val="24"/>
          <w:szCs w:val="24"/>
          <w:vertAlign w:val="superscript"/>
          <w:lang w:eastAsia="zh-CN"/>
        </w:rPr>
        <w:t>[</w:t>
      </w:r>
      <w:proofErr w:type="gramEnd"/>
      <w:r w:rsidRPr="007A0378">
        <w:rPr>
          <w:rFonts w:ascii="Book Antiqua" w:hAnsi="Book Antiqua"/>
          <w:sz w:val="24"/>
          <w:szCs w:val="24"/>
          <w:vertAlign w:val="superscript"/>
          <w:lang w:eastAsia="zh-CN"/>
        </w:rPr>
        <w:t>19]</w:t>
      </w:r>
      <w:r w:rsidRPr="007A0378">
        <w:rPr>
          <w:rFonts w:ascii="Book Antiqua" w:hAnsi="Book Antiqua"/>
          <w:sz w:val="24"/>
          <w:szCs w:val="24"/>
        </w:rPr>
        <w:t xml:space="preserve">. </w:t>
      </w:r>
    </w:p>
    <w:p w14:paraId="4BFC6DE2" w14:textId="77777777" w:rsidR="00F15DE2" w:rsidRPr="007A0378" w:rsidRDefault="00F15DE2" w:rsidP="007A0378">
      <w:pPr>
        <w:snapToGrid w:val="0"/>
        <w:spacing w:after="0" w:line="360" w:lineRule="auto"/>
        <w:jc w:val="both"/>
        <w:rPr>
          <w:rFonts w:ascii="Book Antiqua" w:hAnsi="Book Antiqua"/>
          <w:sz w:val="24"/>
          <w:szCs w:val="24"/>
          <w:lang w:eastAsia="zh-CN"/>
        </w:rPr>
      </w:pPr>
    </w:p>
    <w:p w14:paraId="2E10433B" w14:textId="77777777" w:rsidR="00F15DE2" w:rsidRPr="007A0378" w:rsidRDefault="00F15DE2" w:rsidP="007A0378">
      <w:pPr>
        <w:snapToGrid w:val="0"/>
        <w:spacing w:after="0" w:line="360" w:lineRule="auto"/>
        <w:jc w:val="both"/>
        <w:rPr>
          <w:rFonts w:ascii="Book Antiqua" w:hAnsi="Book Antiqua"/>
          <w:b/>
          <w:i/>
          <w:sz w:val="24"/>
          <w:szCs w:val="24"/>
        </w:rPr>
      </w:pPr>
      <w:r w:rsidRPr="007A0378">
        <w:rPr>
          <w:rFonts w:ascii="Book Antiqua" w:hAnsi="Book Antiqua"/>
          <w:b/>
          <w:i/>
          <w:sz w:val="24"/>
          <w:szCs w:val="24"/>
        </w:rPr>
        <w:t>Risk factors</w:t>
      </w:r>
    </w:p>
    <w:p w14:paraId="40EFF6E4" w14:textId="2E423509" w:rsidR="00F15DE2" w:rsidRPr="007A0378" w:rsidRDefault="00F15DE2" w:rsidP="007A0378">
      <w:pPr>
        <w:snapToGrid w:val="0"/>
        <w:spacing w:after="0" w:line="360" w:lineRule="auto"/>
        <w:jc w:val="both"/>
        <w:rPr>
          <w:rFonts w:ascii="Book Antiqua" w:hAnsi="Book Antiqua"/>
          <w:sz w:val="24"/>
          <w:szCs w:val="24"/>
        </w:rPr>
      </w:pPr>
      <w:r w:rsidRPr="007A0378">
        <w:rPr>
          <w:rFonts w:ascii="Book Antiqua" w:hAnsi="Book Antiqua"/>
          <w:sz w:val="24"/>
          <w:szCs w:val="24"/>
        </w:rPr>
        <w:t xml:space="preserve">The critically ill patient population is specially primed to develop ileus. Inflammation, narcotic use, vasopressor use and electrolyte imbalances makes them susceptible to a disequilibrium between sympathetic and parasympathetic forces. Common clinical entities that predispose to ileus include: abdominal surgery, sepsis, pancreatitis, peritonitis, narcotic use, anticholinergic use, hypokalemia, hypomagnesemia, hyperglycemia, acidosis, hypoxia, hypothermia, renal failure and mechanical </w:t>
      </w:r>
      <w:proofErr w:type="gramStart"/>
      <w:r w:rsidRPr="007A0378">
        <w:rPr>
          <w:rFonts w:ascii="Book Antiqua" w:hAnsi="Book Antiqua"/>
          <w:sz w:val="24"/>
          <w:szCs w:val="24"/>
        </w:rPr>
        <w:t>ventilation</w:t>
      </w:r>
      <w:r w:rsidRPr="007A0378">
        <w:rPr>
          <w:rFonts w:ascii="Book Antiqua" w:hAnsi="Book Antiqua"/>
          <w:sz w:val="24"/>
          <w:szCs w:val="24"/>
          <w:vertAlign w:val="superscript"/>
          <w:lang w:eastAsia="zh-CN"/>
        </w:rPr>
        <w:t>[</w:t>
      </w:r>
      <w:proofErr w:type="gramEnd"/>
      <w:r w:rsidRPr="007A0378">
        <w:rPr>
          <w:rFonts w:ascii="Book Antiqua" w:hAnsi="Book Antiqua"/>
          <w:sz w:val="24"/>
          <w:szCs w:val="24"/>
          <w:vertAlign w:val="superscript"/>
          <w:lang w:eastAsia="zh-CN"/>
        </w:rPr>
        <w:t>20]</w:t>
      </w:r>
      <w:r w:rsidRPr="007A0378">
        <w:rPr>
          <w:rFonts w:ascii="Book Antiqua" w:hAnsi="Book Antiqua"/>
          <w:sz w:val="24"/>
          <w:szCs w:val="24"/>
        </w:rPr>
        <w:t xml:space="preserve">. </w:t>
      </w:r>
    </w:p>
    <w:p w14:paraId="50DF551B" w14:textId="77777777" w:rsidR="00F15DE2" w:rsidRPr="007A0378" w:rsidRDefault="00F15DE2" w:rsidP="007A0378">
      <w:pPr>
        <w:snapToGrid w:val="0"/>
        <w:spacing w:after="0" w:line="360" w:lineRule="auto"/>
        <w:jc w:val="both"/>
        <w:rPr>
          <w:rFonts w:ascii="Book Antiqua" w:hAnsi="Book Antiqua"/>
          <w:sz w:val="24"/>
          <w:szCs w:val="24"/>
          <w:lang w:eastAsia="zh-CN"/>
        </w:rPr>
      </w:pPr>
    </w:p>
    <w:p w14:paraId="22D0C334" w14:textId="77777777" w:rsidR="00F15DE2" w:rsidRPr="007A0378" w:rsidRDefault="00F15DE2" w:rsidP="007A0378">
      <w:pPr>
        <w:snapToGrid w:val="0"/>
        <w:spacing w:after="0" w:line="360" w:lineRule="auto"/>
        <w:jc w:val="both"/>
        <w:rPr>
          <w:rFonts w:ascii="Book Antiqua" w:hAnsi="Book Antiqua"/>
          <w:b/>
          <w:i/>
          <w:sz w:val="24"/>
          <w:szCs w:val="24"/>
        </w:rPr>
      </w:pPr>
      <w:r w:rsidRPr="007A0378">
        <w:rPr>
          <w:rFonts w:ascii="Book Antiqua" w:hAnsi="Book Antiqua"/>
          <w:b/>
          <w:i/>
          <w:sz w:val="24"/>
          <w:szCs w:val="24"/>
        </w:rPr>
        <w:t>Clinical manifestations</w:t>
      </w:r>
    </w:p>
    <w:p w14:paraId="3DDD65ED" w14:textId="77777777" w:rsidR="00F15DE2" w:rsidRPr="007A0378" w:rsidRDefault="00F15DE2" w:rsidP="007A0378">
      <w:pPr>
        <w:snapToGrid w:val="0"/>
        <w:spacing w:after="0" w:line="360" w:lineRule="auto"/>
        <w:jc w:val="both"/>
        <w:rPr>
          <w:rFonts w:ascii="Book Antiqua" w:hAnsi="Book Antiqua"/>
          <w:sz w:val="24"/>
          <w:szCs w:val="24"/>
        </w:rPr>
      </w:pPr>
      <w:r w:rsidRPr="007A0378">
        <w:rPr>
          <w:rFonts w:ascii="Book Antiqua" w:hAnsi="Book Antiqua"/>
          <w:sz w:val="24"/>
          <w:szCs w:val="24"/>
        </w:rPr>
        <w:t>Ileus is usually manifested as inability to tolerate feeds, nausea, vomiting, abdominal distension, constipation and obstipation. The imaging studies show the presence of gas distension of bowel loops and air fluid levels within them (Fig</w:t>
      </w:r>
      <w:r w:rsidRPr="007A0378">
        <w:rPr>
          <w:rFonts w:ascii="Book Antiqua" w:hAnsi="Book Antiqua"/>
          <w:sz w:val="24"/>
          <w:szCs w:val="24"/>
          <w:lang w:eastAsia="zh-CN"/>
        </w:rPr>
        <w:t>ure</w:t>
      </w:r>
      <w:r w:rsidRPr="007A0378">
        <w:rPr>
          <w:rFonts w:ascii="Book Antiqua" w:hAnsi="Book Antiqua"/>
          <w:sz w:val="24"/>
          <w:szCs w:val="24"/>
        </w:rPr>
        <w:t xml:space="preserve"> 1). When severe enough it can develop into abdominal compartment syndrome, which is a life threatening emergency.</w:t>
      </w:r>
    </w:p>
    <w:p w14:paraId="719C0C3D" w14:textId="77777777" w:rsidR="00F15DE2" w:rsidRPr="007A0378" w:rsidRDefault="00F15DE2" w:rsidP="007A0378">
      <w:pPr>
        <w:snapToGrid w:val="0"/>
        <w:spacing w:after="0" w:line="360" w:lineRule="auto"/>
        <w:jc w:val="both"/>
        <w:rPr>
          <w:rFonts w:ascii="Book Antiqua" w:hAnsi="Book Antiqua"/>
          <w:b/>
          <w:sz w:val="24"/>
          <w:szCs w:val="24"/>
          <w:lang w:eastAsia="zh-CN"/>
        </w:rPr>
      </w:pPr>
    </w:p>
    <w:p w14:paraId="0A8E6385" w14:textId="77777777" w:rsidR="00F15DE2" w:rsidRPr="007A0378" w:rsidRDefault="00F15DE2" w:rsidP="007A0378">
      <w:pPr>
        <w:snapToGrid w:val="0"/>
        <w:spacing w:after="0" w:line="360" w:lineRule="auto"/>
        <w:jc w:val="both"/>
        <w:rPr>
          <w:rFonts w:ascii="Book Antiqua" w:hAnsi="Book Antiqua"/>
          <w:b/>
          <w:caps/>
          <w:sz w:val="24"/>
          <w:szCs w:val="24"/>
        </w:rPr>
      </w:pPr>
      <w:r w:rsidRPr="007A0378">
        <w:rPr>
          <w:rFonts w:ascii="Book Antiqua" w:hAnsi="Book Antiqua"/>
          <w:b/>
          <w:caps/>
          <w:sz w:val="24"/>
          <w:szCs w:val="24"/>
        </w:rPr>
        <w:t>Treatment</w:t>
      </w:r>
    </w:p>
    <w:p w14:paraId="138C9340" w14:textId="77777777" w:rsidR="00F15DE2" w:rsidRPr="007A0378" w:rsidRDefault="00F15DE2" w:rsidP="007A0378">
      <w:pPr>
        <w:snapToGrid w:val="0"/>
        <w:spacing w:after="0" w:line="360" w:lineRule="auto"/>
        <w:jc w:val="both"/>
        <w:rPr>
          <w:rFonts w:ascii="Book Antiqua" w:hAnsi="Book Antiqua"/>
          <w:sz w:val="24"/>
          <w:szCs w:val="24"/>
        </w:rPr>
      </w:pPr>
      <w:r w:rsidRPr="007A0378">
        <w:rPr>
          <w:rFonts w:ascii="Book Antiqua" w:hAnsi="Book Antiqua"/>
          <w:sz w:val="24"/>
          <w:szCs w:val="24"/>
        </w:rPr>
        <w:lastRenderedPageBreak/>
        <w:t>The basic management of ileus includes the correction of electrolyte abnormalities, avoidance of opioid agonists, avoidance of anticholinergic drugs, mobilization and early enteral feedings when possible.</w:t>
      </w:r>
    </w:p>
    <w:p w14:paraId="12F9BEFE" w14:textId="77777777" w:rsidR="00F15DE2" w:rsidRPr="007A0378" w:rsidRDefault="00F15DE2" w:rsidP="007A0378">
      <w:pPr>
        <w:snapToGrid w:val="0"/>
        <w:spacing w:after="0" w:line="360" w:lineRule="auto"/>
        <w:ind w:firstLineChars="100" w:firstLine="240"/>
        <w:jc w:val="both"/>
        <w:rPr>
          <w:rFonts w:ascii="Book Antiqua" w:hAnsi="Book Antiqua"/>
          <w:sz w:val="24"/>
          <w:szCs w:val="24"/>
        </w:rPr>
      </w:pPr>
      <w:r w:rsidRPr="007A0378">
        <w:rPr>
          <w:rFonts w:ascii="Book Antiqua" w:hAnsi="Book Antiqua"/>
          <w:sz w:val="24"/>
          <w:szCs w:val="24"/>
        </w:rPr>
        <w:t xml:space="preserve">Other therapies may include the use of gastric decompression, </w:t>
      </w:r>
      <w:proofErr w:type="spellStart"/>
      <w:r w:rsidRPr="007A0378">
        <w:rPr>
          <w:rFonts w:ascii="Book Antiqua" w:hAnsi="Book Antiqua"/>
          <w:sz w:val="24"/>
          <w:szCs w:val="24"/>
        </w:rPr>
        <w:t>osmotive</w:t>
      </w:r>
      <w:proofErr w:type="spellEnd"/>
      <w:r w:rsidRPr="007A0378">
        <w:rPr>
          <w:rFonts w:ascii="Book Antiqua" w:hAnsi="Book Antiqua"/>
          <w:sz w:val="24"/>
          <w:szCs w:val="24"/>
        </w:rPr>
        <w:t xml:space="preserve"> laxatives, opioid antagonists and </w:t>
      </w:r>
      <w:proofErr w:type="spellStart"/>
      <w:r w:rsidRPr="007A0378">
        <w:rPr>
          <w:rFonts w:ascii="Book Antiqua" w:hAnsi="Book Antiqua"/>
          <w:sz w:val="24"/>
          <w:szCs w:val="24"/>
        </w:rPr>
        <w:t>promotility</w:t>
      </w:r>
      <w:proofErr w:type="spellEnd"/>
      <w:r w:rsidRPr="007A0378">
        <w:rPr>
          <w:rFonts w:ascii="Book Antiqua" w:hAnsi="Book Antiqua"/>
          <w:sz w:val="24"/>
          <w:szCs w:val="24"/>
        </w:rPr>
        <w:t xml:space="preserve"> agents. </w:t>
      </w:r>
    </w:p>
    <w:p w14:paraId="1220C75B" w14:textId="0F893D2D" w:rsidR="00F15DE2" w:rsidRPr="007A0378" w:rsidRDefault="00F15DE2" w:rsidP="007A0378">
      <w:pPr>
        <w:snapToGrid w:val="0"/>
        <w:spacing w:after="0" w:line="360" w:lineRule="auto"/>
        <w:ind w:firstLineChars="100" w:firstLine="240"/>
        <w:jc w:val="both"/>
        <w:rPr>
          <w:rFonts w:ascii="Book Antiqua" w:hAnsi="Book Antiqua"/>
          <w:sz w:val="24"/>
          <w:szCs w:val="24"/>
        </w:rPr>
      </w:pPr>
      <w:r w:rsidRPr="007A0378">
        <w:rPr>
          <w:rFonts w:ascii="Book Antiqua" w:hAnsi="Book Antiqua"/>
          <w:sz w:val="24"/>
          <w:szCs w:val="24"/>
        </w:rPr>
        <w:t xml:space="preserve">A double blinded study comparing the use of placebo </w:t>
      </w:r>
      <w:r w:rsidRPr="007A0378">
        <w:rPr>
          <w:rFonts w:ascii="Book Antiqua" w:hAnsi="Book Antiqua"/>
          <w:i/>
          <w:sz w:val="24"/>
          <w:szCs w:val="24"/>
        </w:rPr>
        <w:t>vs</w:t>
      </w:r>
      <w:r w:rsidRPr="007A0378">
        <w:rPr>
          <w:rFonts w:ascii="Book Antiqua" w:hAnsi="Book Antiqua"/>
          <w:sz w:val="24"/>
          <w:szCs w:val="24"/>
          <w:lang w:eastAsia="zh-CN"/>
        </w:rPr>
        <w:t xml:space="preserve"> </w:t>
      </w:r>
      <w:r w:rsidRPr="007A0378">
        <w:rPr>
          <w:rFonts w:ascii="Book Antiqua" w:hAnsi="Book Antiqua"/>
          <w:sz w:val="24"/>
          <w:szCs w:val="24"/>
        </w:rPr>
        <w:t xml:space="preserve">polyethylene glycol </w:t>
      </w:r>
      <w:r w:rsidRPr="007A0378">
        <w:rPr>
          <w:rFonts w:ascii="Book Antiqua" w:hAnsi="Book Antiqua"/>
          <w:i/>
          <w:sz w:val="24"/>
          <w:szCs w:val="24"/>
        </w:rPr>
        <w:t>vs</w:t>
      </w:r>
      <w:r w:rsidRPr="007A0378">
        <w:rPr>
          <w:rFonts w:ascii="Book Antiqua" w:hAnsi="Book Antiqua"/>
          <w:sz w:val="24"/>
          <w:szCs w:val="24"/>
          <w:lang w:eastAsia="zh-CN"/>
        </w:rPr>
        <w:t xml:space="preserve"> </w:t>
      </w:r>
      <w:r w:rsidRPr="007A0378">
        <w:rPr>
          <w:rFonts w:ascii="Book Antiqua" w:hAnsi="Book Antiqua"/>
          <w:sz w:val="24"/>
          <w:szCs w:val="24"/>
        </w:rPr>
        <w:t xml:space="preserve">lactulose in ICU patients with 3 or more days without a bowel movement showed that, both lactulose and polyethylene glycol are better in promoting defecation than placebo. Patients receiving polyethylene glycol had a lower incidence of acute intestinal pseudo obstruction. Early defecation was associated to a decreased LOS. Based on these findings is reasonable to start </w:t>
      </w:r>
      <w:proofErr w:type="spellStart"/>
      <w:r w:rsidRPr="007A0378">
        <w:rPr>
          <w:rFonts w:ascii="Book Antiqua" w:hAnsi="Book Antiqua"/>
          <w:sz w:val="24"/>
          <w:szCs w:val="24"/>
        </w:rPr>
        <w:t>osmotive</w:t>
      </w:r>
      <w:proofErr w:type="spellEnd"/>
      <w:r w:rsidRPr="007A0378">
        <w:rPr>
          <w:rFonts w:ascii="Book Antiqua" w:hAnsi="Book Antiqua"/>
          <w:sz w:val="24"/>
          <w:szCs w:val="24"/>
        </w:rPr>
        <w:t xml:space="preserve"> laxatives in this patient </w:t>
      </w:r>
      <w:proofErr w:type="gramStart"/>
      <w:r w:rsidRPr="007A0378">
        <w:rPr>
          <w:rFonts w:ascii="Book Antiqua" w:hAnsi="Book Antiqua"/>
          <w:sz w:val="24"/>
          <w:szCs w:val="24"/>
        </w:rPr>
        <w:t>population</w:t>
      </w:r>
      <w:r w:rsidRPr="007A0378">
        <w:rPr>
          <w:rFonts w:ascii="Book Antiqua" w:hAnsi="Book Antiqua"/>
          <w:sz w:val="24"/>
          <w:szCs w:val="24"/>
          <w:vertAlign w:val="superscript"/>
          <w:lang w:eastAsia="zh-CN"/>
        </w:rPr>
        <w:t>[</w:t>
      </w:r>
      <w:proofErr w:type="gramEnd"/>
      <w:r w:rsidRPr="007A0378">
        <w:rPr>
          <w:rFonts w:ascii="Book Antiqua" w:hAnsi="Book Antiqua"/>
          <w:sz w:val="24"/>
          <w:szCs w:val="24"/>
          <w:vertAlign w:val="superscript"/>
          <w:lang w:eastAsia="zh-CN"/>
        </w:rPr>
        <w:t>21]</w:t>
      </w:r>
      <w:r w:rsidRPr="007A0378">
        <w:rPr>
          <w:rFonts w:ascii="Book Antiqua" w:hAnsi="Book Antiqua"/>
          <w:sz w:val="24"/>
          <w:szCs w:val="24"/>
        </w:rPr>
        <w:t xml:space="preserve">. </w:t>
      </w:r>
    </w:p>
    <w:p w14:paraId="0E8CA090" w14:textId="259E6E54" w:rsidR="00F15DE2" w:rsidRPr="007A0378" w:rsidRDefault="00F15DE2" w:rsidP="007A0378">
      <w:pPr>
        <w:snapToGrid w:val="0"/>
        <w:spacing w:after="0" w:line="360" w:lineRule="auto"/>
        <w:ind w:firstLineChars="100" w:firstLine="240"/>
        <w:jc w:val="both"/>
        <w:rPr>
          <w:rFonts w:ascii="Book Antiqua" w:hAnsi="Book Antiqua"/>
          <w:sz w:val="24"/>
          <w:szCs w:val="24"/>
        </w:rPr>
      </w:pPr>
      <w:r w:rsidRPr="007A0378">
        <w:rPr>
          <w:rFonts w:ascii="Book Antiqua" w:hAnsi="Book Antiqua"/>
          <w:sz w:val="24"/>
          <w:szCs w:val="24"/>
        </w:rPr>
        <w:t xml:space="preserve">The use of </w:t>
      </w:r>
      <w:proofErr w:type="spellStart"/>
      <w:r w:rsidRPr="007A0378">
        <w:rPr>
          <w:rFonts w:ascii="Book Antiqua" w:hAnsi="Book Antiqua"/>
          <w:sz w:val="24"/>
          <w:szCs w:val="24"/>
        </w:rPr>
        <w:t>promotility</w:t>
      </w:r>
      <w:proofErr w:type="spellEnd"/>
      <w:r w:rsidRPr="007A0378">
        <w:rPr>
          <w:rFonts w:ascii="Book Antiqua" w:hAnsi="Book Antiqua"/>
          <w:sz w:val="24"/>
          <w:szCs w:val="24"/>
        </w:rPr>
        <w:t xml:space="preserve"> agents in ileus seems more controversial. Erythromycin has been tried due to the theoretical effect on the motilin receptor. Despite this theoretical mechanism the trials have consistently failed to show any positive effect and its use comes with risk of a prolonged QT and arrhythmias. So we recommend against its </w:t>
      </w:r>
      <w:proofErr w:type="gramStart"/>
      <w:r w:rsidRPr="007A0378">
        <w:rPr>
          <w:rFonts w:ascii="Book Antiqua" w:hAnsi="Book Antiqua"/>
          <w:sz w:val="24"/>
          <w:szCs w:val="24"/>
        </w:rPr>
        <w:t>use</w:t>
      </w:r>
      <w:r w:rsidRPr="007A0378">
        <w:rPr>
          <w:rFonts w:ascii="Book Antiqua" w:hAnsi="Book Antiqua"/>
          <w:sz w:val="24"/>
          <w:szCs w:val="24"/>
          <w:vertAlign w:val="superscript"/>
          <w:lang w:eastAsia="zh-CN"/>
        </w:rPr>
        <w:t>[</w:t>
      </w:r>
      <w:proofErr w:type="gramEnd"/>
      <w:r w:rsidRPr="007A0378">
        <w:rPr>
          <w:rFonts w:ascii="Book Antiqua" w:hAnsi="Book Antiqua"/>
          <w:sz w:val="24"/>
          <w:szCs w:val="24"/>
          <w:vertAlign w:val="superscript"/>
          <w:lang w:eastAsia="zh-CN"/>
        </w:rPr>
        <w:t>22]</w:t>
      </w:r>
      <w:r w:rsidRPr="007A0378">
        <w:rPr>
          <w:rFonts w:ascii="Book Antiqua" w:hAnsi="Book Antiqua"/>
          <w:sz w:val="24"/>
          <w:szCs w:val="24"/>
        </w:rPr>
        <w:t>. Metoclopramide has also been tried but results have been conflicting and no clear role exists for its use.</w:t>
      </w:r>
    </w:p>
    <w:p w14:paraId="43F8781F" w14:textId="77777777" w:rsidR="00F15DE2" w:rsidRPr="007A0378" w:rsidRDefault="00F15DE2" w:rsidP="007A0378">
      <w:pPr>
        <w:snapToGrid w:val="0"/>
        <w:spacing w:after="0" w:line="360" w:lineRule="auto"/>
        <w:jc w:val="both"/>
        <w:rPr>
          <w:rFonts w:ascii="Book Antiqua" w:hAnsi="Book Antiqua"/>
          <w:sz w:val="24"/>
          <w:szCs w:val="24"/>
          <w:lang w:eastAsia="zh-CN"/>
        </w:rPr>
      </w:pPr>
    </w:p>
    <w:p w14:paraId="2E2525DD" w14:textId="77777777" w:rsidR="00F15DE2" w:rsidRPr="007A0378" w:rsidRDefault="00F15DE2" w:rsidP="007A0378">
      <w:pPr>
        <w:snapToGrid w:val="0"/>
        <w:spacing w:after="0" w:line="360" w:lineRule="auto"/>
        <w:jc w:val="both"/>
        <w:rPr>
          <w:rFonts w:ascii="Book Antiqua" w:hAnsi="Book Antiqua"/>
          <w:b/>
          <w:i/>
          <w:sz w:val="24"/>
          <w:szCs w:val="24"/>
        </w:rPr>
      </w:pPr>
      <w:r w:rsidRPr="007A0378">
        <w:rPr>
          <w:rFonts w:ascii="Book Antiqua" w:hAnsi="Book Antiqua"/>
          <w:b/>
          <w:i/>
          <w:sz w:val="24"/>
          <w:szCs w:val="24"/>
        </w:rPr>
        <w:t>Acute colonic pseudo obstruction</w:t>
      </w:r>
      <w:r w:rsidRPr="007A0378">
        <w:rPr>
          <w:rFonts w:ascii="Book Antiqua" w:hAnsi="Book Antiqua"/>
          <w:b/>
          <w:i/>
          <w:sz w:val="24"/>
          <w:szCs w:val="24"/>
          <w:lang w:eastAsia="zh-CN"/>
        </w:rPr>
        <w:t xml:space="preserve"> </w:t>
      </w:r>
      <w:r w:rsidRPr="007A0378">
        <w:rPr>
          <w:rFonts w:ascii="Book Antiqua" w:hAnsi="Book Antiqua"/>
          <w:b/>
          <w:i/>
          <w:sz w:val="24"/>
          <w:szCs w:val="24"/>
        </w:rPr>
        <w:t>(Ogilvie’s Syndrome)</w:t>
      </w:r>
    </w:p>
    <w:p w14:paraId="622A58A3" w14:textId="253D7704" w:rsidR="00F15DE2" w:rsidRPr="007A0378" w:rsidRDefault="00F15DE2" w:rsidP="007A0378">
      <w:pPr>
        <w:snapToGrid w:val="0"/>
        <w:spacing w:after="0" w:line="360" w:lineRule="auto"/>
        <w:jc w:val="both"/>
        <w:rPr>
          <w:rFonts w:ascii="Book Antiqua" w:hAnsi="Book Antiqua"/>
          <w:sz w:val="24"/>
          <w:szCs w:val="24"/>
        </w:rPr>
      </w:pPr>
      <w:r w:rsidRPr="007A0378">
        <w:rPr>
          <w:rFonts w:ascii="Book Antiqua" w:hAnsi="Book Antiqua"/>
          <w:sz w:val="24"/>
          <w:szCs w:val="24"/>
        </w:rPr>
        <w:t xml:space="preserve">Acute colonic pseudo obstruction is a potentially fatal condition defined as an acute dilatation of the colon without a mechanical obstruction. Clinically is characterized by abdominal distension, commonly constipation, but flatus or stools may pass as well, an abdominal exam that may be benign but also it can present with exquisite abdominal tenderness, especially at the level of the cecum. The most feared complication would be perforation that usually happens in the </w:t>
      </w:r>
      <w:proofErr w:type="gramStart"/>
      <w:r w:rsidRPr="007A0378">
        <w:rPr>
          <w:rFonts w:ascii="Book Antiqua" w:hAnsi="Book Antiqua"/>
          <w:sz w:val="24"/>
          <w:szCs w:val="24"/>
        </w:rPr>
        <w:t>cecum</w:t>
      </w:r>
      <w:r w:rsidRPr="007A0378">
        <w:rPr>
          <w:rFonts w:ascii="Book Antiqua" w:hAnsi="Book Antiqua"/>
          <w:sz w:val="24"/>
          <w:szCs w:val="24"/>
          <w:vertAlign w:val="superscript"/>
          <w:lang w:eastAsia="zh-CN"/>
        </w:rPr>
        <w:t>[</w:t>
      </w:r>
      <w:proofErr w:type="gramEnd"/>
      <w:r w:rsidRPr="007A0378">
        <w:rPr>
          <w:rFonts w:ascii="Book Antiqua" w:hAnsi="Book Antiqua"/>
          <w:sz w:val="24"/>
          <w:szCs w:val="24"/>
          <w:vertAlign w:val="superscript"/>
          <w:lang w:eastAsia="zh-CN"/>
        </w:rPr>
        <w:t>23]</w:t>
      </w:r>
      <w:r w:rsidRPr="007A0378">
        <w:rPr>
          <w:rFonts w:ascii="Book Antiqua" w:hAnsi="Book Antiqua"/>
          <w:sz w:val="24"/>
          <w:szCs w:val="24"/>
        </w:rPr>
        <w:t xml:space="preserve">. </w:t>
      </w:r>
    </w:p>
    <w:p w14:paraId="0D975EC0" w14:textId="77777777" w:rsidR="00F15DE2" w:rsidRPr="007A0378" w:rsidRDefault="00F15DE2" w:rsidP="007A0378">
      <w:pPr>
        <w:snapToGrid w:val="0"/>
        <w:spacing w:after="0" w:line="360" w:lineRule="auto"/>
        <w:ind w:firstLineChars="100" w:firstLine="240"/>
        <w:jc w:val="both"/>
        <w:rPr>
          <w:rFonts w:ascii="Book Antiqua" w:hAnsi="Book Antiqua"/>
          <w:sz w:val="24"/>
          <w:szCs w:val="24"/>
        </w:rPr>
      </w:pPr>
      <w:r w:rsidRPr="007A0378">
        <w:rPr>
          <w:rFonts w:ascii="Book Antiqua" w:hAnsi="Book Antiqua"/>
          <w:sz w:val="24"/>
          <w:szCs w:val="24"/>
        </w:rPr>
        <w:t>The pathophysiology is thought to be an imbalance between the parasympathetic/sympathetic signals. Clinical factors predisposing to this condition are multiple and include medications, surgery, critical illness, neurologic factors and metabolic factors</w:t>
      </w:r>
      <w:r w:rsidRPr="007A0378">
        <w:rPr>
          <w:rFonts w:ascii="Book Antiqua" w:hAnsi="Book Antiqua"/>
          <w:sz w:val="24"/>
          <w:szCs w:val="24"/>
          <w:lang w:eastAsia="zh-CN"/>
        </w:rPr>
        <w:t xml:space="preserve"> </w:t>
      </w:r>
      <w:r w:rsidRPr="007A0378">
        <w:rPr>
          <w:rFonts w:ascii="Book Antiqua" w:hAnsi="Book Antiqua"/>
          <w:sz w:val="24"/>
          <w:szCs w:val="24"/>
        </w:rPr>
        <w:t xml:space="preserve">(Table 3). </w:t>
      </w:r>
    </w:p>
    <w:p w14:paraId="031AB70F" w14:textId="77777777" w:rsidR="00F15DE2" w:rsidRPr="007A0378" w:rsidRDefault="00F15DE2" w:rsidP="007A0378">
      <w:pPr>
        <w:snapToGrid w:val="0"/>
        <w:spacing w:after="0" w:line="360" w:lineRule="auto"/>
        <w:jc w:val="both"/>
        <w:rPr>
          <w:rFonts w:ascii="Book Antiqua" w:hAnsi="Book Antiqua"/>
          <w:sz w:val="24"/>
          <w:szCs w:val="24"/>
          <w:lang w:eastAsia="zh-CN"/>
        </w:rPr>
      </w:pPr>
    </w:p>
    <w:p w14:paraId="32ED5C9E" w14:textId="77777777" w:rsidR="00F15DE2" w:rsidRPr="007A0378" w:rsidRDefault="00F15DE2" w:rsidP="007A0378">
      <w:pPr>
        <w:snapToGrid w:val="0"/>
        <w:spacing w:after="0" w:line="360" w:lineRule="auto"/>
        <w:jc w:val="both"/>
        <w:rPr>
          <w:rFonts w:ascii="Book Antiqua" w:hAnsi="Book Antiqua"/>
          <w:b/>
          <w:i/>
          <w:sz w:val="24"/>
          <w:szCs w:val="24"/>
        </w:rPr>
      </w:pPr>
      <w:r w:rsidRPr="007A0378">
        <w:rPr>
          <w:rFonts w:ascii="Book Antiqua" w:hAnsi="Book Antiqua"/>
          <w:b/>
          <w:i/>
          <w:sz w:val="24"/>
          <w:szCs w:val="24"/>
        </w:rPr>
        <w:lastRenderedPageBreak/>
        <w:t>Differential diagnosis</w:t>
      </w:r>
    </w:p>
    <w:p w14:paraId="5706ECA5" w14:textId="5CC13C56" w:rsidR="00F15DE2" w:rsidRPr="007A0378" w:rsidRDefault="00F15DE2" w:rsidP="007A0378">
      <w:pPr>
        <w:snapToGrid w:val="0"/>
        <w:spacing w:after="0" w:line="360" w:lineRule="auto"/>
        <w:jc w:val="both"/>
        <w:rPr>
          <w:rFonts w:ascii="Book Antiqua" w:hAnsi="Book Antiqua"/>
          <w:sz w:val="24"/>
          <w:szCs w:val="24"/>
        </w:rPr>
      </w:pPr>
      <w:r w:rsidRPr="007A0378">
        <w:rPr>
          <w:rFonts w:ascii="Book Antiqua" w:hAnsi="Book Antiqua"/>
          <w:sz w:val="24"/>
          <w:szCs w:val="24"/>
        </w:rPr>
        <w:t xml:space="preserve">The most important alternative diagnosis to rule out is toxic megacolon and mechanical obstruction. Mechanical obstruction can be easily ruled out by the presence of gas on all colonic segments on an abdominal plain film. If there is doubt a CT of the abdomen and pelvis with oral contrast can clarify the situation. Differentiating between Ogilvie’s and toxic megacolon can be more difficult. In the general population the most common cause of toxic megacolon is inflammatory bowel disease, in the critically ill the most common cause is </w:t>
      </w:r>
      <w:r w:rsidRPr="007A0378">
        <w:rPr>
          <w:rFonts w:ascii="Book Antiqua" w:hAnsi="Book Antiqua"/>
          <w:i/>
          <w:sz w:val="24"/>
          <w:szCs w:val="24"/>
        </w:rPr>
        <w:t>C. difficile</w:t>
      </w:r>
      <w:r w:rsidRPr="007A0378">
        <w:rPr>
          <w:rFonts w:ascii="Book Antiqua" w:hAnsi="Book Antiqua"/>
          <w:sz w:val="24"/>
          <w:szCs w:val="24"/>
        </w:rPr>
        <w:t xml:space="preserve"> </w:t>
      </w:r>
      <w:proofErr w:type="gramStart"/>
      <w:r w:rsidRPr="007A0378">
        <w:rPr>
          <w:rFonts w:ascii="Book Antiqua" w:hAnsi="Book Antiqua"/>
          <w:sz w:val="24"/>
          <w:szCs w:val="24"/>
        </w:rPr>
        <w:t>infection</w:t>
      </w:r>
      <w:r w:rsidRPr="007A0378">
        <w:rPr>
          <w:rFonts w:ascii="Book Antiqua" w:hAnsi="Book Antiqua"/>
          <w:sz w:val="24"/>
          <w:szCs w:val="24"/>
          <w:vertAlign w:val="superscript"/>
          <w:lang w:eastAsia="zh-CN"/>
        </w:rPr>
        <w:t>[</w:t>
      </w:r>
      <w:proofErr w:type="gramEnd"/>
      <w:r w:rsidRPr="007A0378">
        <w:rPr>
          <w:rFonts w:ascii="Book Antiqua" w:hAnsi="Book Antiqua"/>
          <w:sz w:val="24"/>
          <w:szCs w:val="24"/>
          <w:vertAlign w:val="superscript"/>
          <w:lang w:eastAsia="zh-CN"/>
        </w:rPr>
        <w:t>24]</w:t>
      </w:r>
      <w:r w:rsidRPr="007A0378">
        <w:rPr>
          <w:rFonts w:ascii="Book Antiqua" w:hAnsi="Book Antiqua"/>
          <w:sz w:val="24"/>
          <w:szCs w:val="24"/>
        </w:rPr>
        <w:t xml:space="preserve">. A thorough history and physical is warranted, other diagnostic tools include stools samples to test for C. difficile toxins or </w:t>
      </w:r>
      <w:r w:rsidRPr="007A0378">
        <w:rPr>
          <w:rFonts w:ascii="Book Antiqua" w:hAnsi="Book Antiqua"/>
          <w:i/>
          <w:sz w:val="24"/>
          <w:szCs w:val="24"/>
        </w:rPr>
        <w:t>C. difficile</w:t>
      </w:r>
      <w:r w:rsidRPr="007A0378">
        <w:rPr>
          <w:rFonts w:ascii="Book Antiqua" w:hAnsi="Book Antiqua"/>
          <w:sz w:val="24"/>
          <w:szCs w:val="24"/>
        </w:rPr>
        <w:t xml:space="preserve"> PCR, CT abdomen pelvis and limited endoscopy with biopsies.</w:t>
      </w:r>
    </w:p>
    <w:p w14:paraId="3FB15F37" w14:textId="77777777" w:rsidR="00F15DE2" w:rsidRPr="007A0378" w:rsidRDefault="00F15DE2" w:rsidP="007A0378">
      <w:pPr>
        <w:snapToGrid w:val="0"/>
        <w:spacing w:after="0" w:line="360" w:lineRule="auto"/>
        <w:jc w:val="both"/>
        <w:rPr>
          <w:rFonts w:ascii="Book Antiqua" w:hAnsi="Book Antiqua"/>
          <w:sz w:val="24"/>
          <w:szCs w:val="24"/>
          <w:lang w:eastAsia="zh-CN"/>
        </w:rPr>
      </w:pPr>
    </w:p>
    <w:p w14:paraId="129EA2B1" w14:textId="77777777" w:rsidR="00F15DE2" w:rsidRPr="007A0378" w:rsidRDefault="00F15DE2" w:rsidP="007A0378">
      <w:pPr>
        <w:snapToGrid w:val="0"/>
        <w:spacing w:after="0" w:line="360" w:lineRule="auto"/>
        <w:jc w:val="both"/>
        <w:rPr>
          <w:rFonts w:ascii="Book Antiqua" w:hAnsi="Book Antiqua"/>
          <w:b/>
          <w:i/>
          <w:sz w:val="24"/>
          <w:szCs w:val="24"/>
        </w:rPr>
      </w:pPr>
      <w:r w:rsidRPr="007A0378">
        <w:rPr>
          <w:rFonts w:ascii="Book Antiqua" w:hAnsi="Book Antiqua"/>
          <w:b/>
          <w:i/>
          <w:sz w:val="24"/>
          <w:szCs w:val="24"/>
        </w:rPr>
        <w:t>Treatment</w:t>
      </w:r>
    </w:p>
    <w:p w14:paraId="6AD40E61" w14:textId="77777777" w:rsidR="00F15DE2" w:rsidRPr="007A0378" w:rsidRDefault="00F15DE2" w:rsidP="007A0378">
      <w:pPr>
        <w:snapToGrid w:val="0"/>
        <w:spacing w:after="0" w:line="360" w:lineRule="auto"/>
        <w:jc w:val="both"/>
        <w:rPr>
          <w:rFonts w:ascii="Book Antiqua" w:hAnsi="Book Antiqua"/>
          <w:sz w:val="24"/>
          <w:szCs w:val="24"/>
        </w:rPr>
      </w:pPr>
      <w:r w:rsidRPr="007A0378">
        <w:rPr>
          <w:rFonts w:ascii="Book Antiqua" w:hAnsi="Book Antiqua"/>
          <w:sz w:val="24"/>
          <w:szCs w:val="24"/>
        </w:rPr>
        <w:t>The first step in management include treating underlying conditions, managing electrolyte abnormalities, avoid opiates, early mobilization when feasible and early enteral nutrition.</w:t>
      </w:r>
    </w:p>
    <w:p w14:paraId="64389446" w14:textId="55F20A06" w:rsidR="00F15DE2" w:rsidRPr="007A0378" w:rsidRDefault="00F15DE2" w:rsidP="007A0378">
      <w:pPr>
        <w:snapToGrid w:val="0"/>
        <w:spacing w:after="0" w:line="360" w:lineRule="auto"/>
        <w:ind w:firstLineChars="100" w:firstLine="240"/>
        <w:jc w:val="both"/>
        <w:rPr>
          <w:rFonts w:ascii="Book Antiqua" w:hAnsi="Book Antiqua"/>
          <w:sz w:val="24"/>
          <w:szCs w:val="24"/>
        </w:rPr>
      </w:pPr>
      <w:r w:rsidRPr="007A0378">
        <w:rPr>
          <w:rFonts w:ascii="Book Antiqua" w:hAnsi="Book Antiqua"/>
          <w:sz w:val="24"/>
          <w:szCs w:val="24"/>
        </w:rPr>
        <w:t>When this therapy fail after 24-48 h</w:t>
      </w:r>
      <w:r w:rsidRPr="007A0378">
        <w:rPr>
          <w:rFonts w:ascii="Book Antiqua" w:hAnsi="Book Antiqua"/>
          <w:sz w:val="24"/>
          <w:szCs w:val="24"/>
          <w:lang w:eastAsia="zh-CN"/>
        </w:rPr>
        <w:t xml:space="preserve"> </w:t>
      </w:r>
      <w:r w:rsidRPr="007A0378">
        <w:rPr>
          <w:rFonts w:ascii="Book Antiqua" w:hAnsi="Book Antiqua"/>
          <w:sz w:val="24"/>
          <w:szCs w:val="24"/>
        </w:rPr>
        <w:t>and the risk of rupture is present, defined as cecum diameter &gt;</w:t>
      </w:r>
      <w:r w:rsidRPr="007A0378">
        <w:rPr>
          <w:rFonts w:ascii="Book Antiqua" w:hAnsi="Book Antiqua"/>
          <w:sz w:val="24"/>
          <w:szCs w:val="24"/>
          <w:lang w:eastAsia="zh-CN"/>
        </w:rPr>
        <w:t xml:space="preserve"> </w:t>
      </w:r>
      <w:r w:rsidRPr="007A0378">
        <w:rPr>
          <w:rFonts w:ascii="Book Antiqua" w:hAnsi="Book Antiqua"/>
          <w:sz w:val="24"/>
          <w:szCs w:val="24"/>
        </w:rPr>
        <w:t xml:space="preserve">12 </w:t>
      </w:r>
      <w:proofErr w:type="gramStart"/>
      <w:r w:rsidRPr="007A0378">
        <w:rPr>
          <w:rFonts w:ascii="Book Antiqua" w:hAnsi="Book Antiqua"/>
          <w:sz w:val="24"/>
          <w:szCs w:val="24"/>
        </w:rPr>
        <w:t>cm</w:t>
      </w:r>
      <w:r w:rsidRPr="007A0378">
        <w:rPr>
          <w:rFonts w:ascii="Book Antiqua" w:hAnsi="Book Antiqua"/>
          <w:sz w:val="24"/>
          <w:szCs w:val="24"/>
          <w:vertAlign w:val="superscript"/>
          <w:lang w:eastAsia="zh-CN"/>
        </w:rPr>
        <w:t>[</w:t>
      </w:r>
      <w:proofErr w:type="gramEnd"/>
      <w:r w:rsidRPr="007A0378">
        <w:rPr>
          <w:rFonts w:ascii="Book Antiqua" w:hAnsi="Book Antiqua"/>
          <w:sz w:val="24"/>
          <w:szCs w:val="24"/>
          <w:vertAlign w:val="superscript"/>
          <w:lang w:eastAsia="zh-CN"/>
        </w:rPr>
        <w:t>25]</w:t>
      </w:r>
      <w:r w:rsidRPr="007A0378">
        <w:rPr>
          <w:rFonts w:ascii="Book Antiqua" w:hAnsi="Book Antiqua"/>
          <w:sz w:val="24"/>
          <w:szCs w:val="24"/>
        </w:rPr>
        <w:t xml:space="preserve">. We must proceed with other options that include neostigmine use, endoscopic decompression, percutaneous </w:t>
      </w:r>
      <w:proofErr w:type="spellStart"/>
      <w:r w:rsidRPr="007A0378">
        <w:rPr>
          <w:rFonts w:ascii="Book Antiqua" w:hAnsi="Book Antiqua"/>
          <w:sz w:val="24"/>
          <w:szCs w:val="24"/>
        </w:rPr>
        <w:t>cecal</w:t>
      </w:r>
      <w:proofErr w:type="spellEnd"/>
      <w:r w:rsidRPr="007A0378">
        <w:rPr>
          <w:rFonts w:ascii="Book Antiqua" w:hAnsi="Book Antiqua"/>
          <w:sz w:val="24"/>
          <w:szCs w:val="24"/>
        </w:rPr>
        <w:t xml:space="preserve"> decompression or surgical management.</w:t>
      </w:r>
    </w:p>
    <w:p w14:paraId="699D36FD" w14:textId="4B8D365C" w:rsidR="00F15DE2" w:rsidRPr="007A0378" w:rsidRDefault="00F15DE2" w:rsidP="007A0378">
      <w:pPr>
        <w:snapToGrid w:val="0"/>
        <w:spacing w:after="0" w:line="360" w:lineRule="auto"/>
        <w:ind w:firstLineChars="100" w:firstLine="240"/>
        <w:jc w:val="both"/>
        <w:rPr>
          <w:rFonts w:ascii="Book Antiqua" w:hAnsi="Book Antiqua"/>
          <w:sz w:val="24"/>
          <w:szCs w:val="24"/>
        </w:rPr>
      </w:pPr>
      <w:r w:rsidRPr="007A0378">
        <w:rPr>
          <w:rFonts w:ascii="Book Antiqua" w:hAnsi="Book Antiqua"/>
          <w:sz w:val="24"/>
          <w:szCs w:val="24"/>
        </w:rPr>
        <w:t xml:space="preserve">Neostigmine is successful in achieving decompression in more than 88% of </w:t>
      </w:r>
      <w:proofErr w:type="gramStart"/>
      <w:r w:rsidRPr="007A0378">
        <w:rPr>
          <w:rFonts w:ascii="Book Antiqua" w:hAnsi="Book Antiqua"/>
          <w:sz w:val="24"/>
          <w:szCs w:val="24"/>
        </w:rPr>
        <w:t>cases</w:t>
      </w:r>
      <w:r w:rsidRPr="007A0378">
        <w:rPr>
          <w:rFonts w:ascii="Book Antiqua" w:hAnsi="Book Antiqua"/>
          <w:sz w:val="24"/>
          <w:szCs w:val="24"/>
          <w:vertAlign w:val="superscript"/>
          <w:lang w:eastAsia="zh-CN"/>
        </w:rPr>
        <w:t>[</w:t>
      </w:r>
      <w:proofErr w:type="gramEnd"/>
      <w:r w:rsidRPr="007A0378">
        <w:rPr>
          <w:rFonts w:ascii="Book Antiqua" w:hAnsi="Book Antiqua"/>
          <w:sz w:val="24"/>
          <w:szCs w:val="24"/>
          <w:vertAlign w:val="superscript"/>
          <w:lang w:eastAsia="zh-CN"/>
        </w:rPr>
        <w:t>26]</w:t>
      </w:r>
      <w:r w:rsidRPr="007A0378">
        <w:rPr>
          <w:rFonts w:ascii="Book Antiqua" w:hAnsi="Book Antiqua"/>
          <w:sz w:val="24"/>
          <w:szCs w:val="24"/>
        </w:rPr>
        <w:t>. The drug is used at a dose of 2 mg intravenously given slowly over 5 min</w:t>
      </w:r>
      <w:r w:rsidRPr="007A0378">
        <w:rPr>
          <w:rFonts w:ascii="Book Antiqua" w:hAnsi="Book Antiqua"/>
          <w:sz w:val="24"/>
          <w:szCs w:val="24"/>
          <w:lang w:eastAsia="zh-CN"/>
        </w:rPr>
        <w:t xml:space="preserve"> </w:t>
      </w:r>
      <w:r w:rsidRPr="007A0378">
        <w:rPr>
          <w:rFonts w:ascii="Book Antiqua" w:hAnsi="Book Antiqua"/>
          <w:sz w:val="24"/>
          <w:szCs w:val="24"/>
        </w:rPr>
        <w:t>with monitoring of vital signs continuously for at least 30 min. Side effects include bradycardia, hypotension, nausea, vomiting and abdominal cramping.</w:t>
      </w:r>
    </w:p>
    <w:p w14:paraId="4F5387E3" w14:textId="11D5056B" w:rsidR="00F15DE2" w:rsidRPr="007A0378" w:rsidRDefault="00F15DE2" w:rsidP="007A0378">
      <w:pPr>
        <w:snapToGrid w:val="0"/>
        <w:spacing w:after="0" w:line="360" w:lineRule="auto"/>
        <w:ind w:firstLineChars="100" w:firstLine="240"/>
        <w:jc w:val="both"/>
        <w:rPr>
          <w:rFonts w:ascii="Book Antiqua" w:hAnsi="Book Antiqua"/>
          <w:sz w:val="24"/>
          <w:szCs w:val="24"/>
        </w:rPr>
      </w:pPr>
      <w:r w:rsidRPr="007A0378">
        <w:rPr>
          <w:rFonts w:ascii="Book Antiqua" w:hAnsi="Book Antiqua"/>
          <w:sz w:val="24"/>
          <w:szCs w:val="24"/>
        </w:rPr>
        <w:t>Endoscopic decompression is les commonly used due to the risk of perforation, when performed this should be followed by the placement of a decompression tube since this increases the success rate from 50% to 80%</w:t>
      </w:r>
      <w:r w:rsidRPr="007A0378">
        <w:rPr>
          <w:rFonts w:ascii="Book Antiqua" w:hAnsi="Book Antiqua"/>
          <w:sz w:val="24"/>
          <w:szCs w:val="24"/>
          <w:vertAlign w:val="superscript"/>
          <w:lang w:eastAsia="zh-CN"/>
        </w:rPr>
        <w:t>[27]</w:t>
      </w:r>
      <w:r w:rsidRPr="007A0378">
        <w:rPr>
          <w:rFonts w:ascii="Book Antiqua" w:hAnsi="Book Antiqua"/>
          <w:sz w:val="24"/>
          <w:szCs w:val="24"/>
        </w:rPr>
        <w:t>.</w:t>
      </w:r>
      <w:r w:rsidRPr="007A0378">
        <w:rPr>
          <w:rFonts w:ascii="Book Antiqua" w:hAnsi="Book Antiqua"/>
          <w:sz w:val="24"/>
          <w:szCs w:val="24"/>
          <w:lang w:eastAsia="zh-CN"/>
        </w:rPr>
        <w:t xml:space="preserve"> </w:t>
      </w:r>
      <w:r w:rsidRPr="007A0378">
        <w:rPr>
          <w:rFonts w:ascii="Book Antiqua" w:hAnsi="Book Antiqua"/>
          <w:sz w:val="24"/>
          <w:szCs w:val="24"/>
        </w:rPr>
        <w:t xml:space="preserve">In patients in whom these therapies fail, the next step according to the American Society of Gastroenterology and Endoscopy guidelines should be either percutaneous </w:t>
      </w:r>
      <w:proofErr w:type="spellStart"/>
      <w:r w:rsidRPr="007A0378">
        <w:rPr>
          <w:rFonts w:ascii="Book Antiqua" w:hAnsi="Book Antiqua"/>
          <w:sz w:val="24"/>
          <w:szCs w:val="24"/>
        </w:rPr>
        <w:t>cecostomy</w:t>
      </w:r>
      <w:proofErr w:type="spellEnd"/>
      <w:r w:rsidRPr="007A0378">
        <w:rPr>
          <w:rFonts w:ascii="Book Antiqua" w:hAnsi="Book Antiqua"/>
          <w:sz w:val="24"/>
          <w:szCs w:val="24"/>
        </w:rPr>
        <w:t xml:space="preserve"> or surgical </w:t>
      </w:r>
      <w:proofErr w:type="gramStart"/>
      <w:r w:rsidRPr="007A0378">
        <w:rPr>
          <w:rFonts w:ascii="Book Antiqua" w:hAnsi="Book Antiqua"/>
          <w:sz w:val="24"/>
          <w:szCs w:val="24"/>
        </w:rPr>
        <w:t>management</w:t>
      </w:r>
      <w:r w:rsidRPr="007A0378">
        <w:rPr>
          <w:rFonts w:ascii="Book Antiqua" w:hAnsi="Book Antiqua"/>
          <w:sz w:val="24"/>
          <w:szCs w:val="24"/>
          <w:vertAlign w:val="superscript"/>
          <w:lang w:eastAsia="zh-CN"/>
        </w:rPr>
        <w:t>[</w:t>
      </w:r>
      <w:proofErr w:type="gramEnd"/>
      <w:r w:rsidRPr="007A0378">
        <w:rPr>
          <w:rFonts w:ascii="Book Antiqua" w:hAnsi="Book Antiqua"/>
          <w:sz w:val="24"/>
          <w:szCs w:val="24"/>
          <w:vertAlign w:val="superscript"/>
          <w:lang w:eastAsia="zh-CN"/>
        </w:rPr>
        <w:t>28]</w:t>
      </w:r>
      <w:r w:rsidRPr="007A0378">
        <w:rPr>
          <w:rFonts w:ascii="Book Antiqua" w:hAnsi="Book Antiqua"/>
          <w:sz w:val="24"/>
          <w:szCs w:val="24"/>
        </w:rPr>
        <w:t xml:space="preserve">. </w:t>
      </w:r>
    </w:p>
    <w:p w14:paraId="5290F298" w14:textId="77777777" w:rsidR="00F15DE2" w:rsidRPr="007A0378" w:rsidRDefault="00F15DE2" w:rsidP="007A0378">
      <w:pPr>
        <w:snapToGrid w:val="0"/>
        <w:spacing w:after="0" w:line="360" w:lineRule="auto"/>
        <w:jc w:val="both"/>
        <w:rPr>
          <w:rFonts w:ascii="Book Antiqua" w:hAnsi="Book Antiqua"/>
          <w:sz w:val="24"/>
          <w:szCs w:val="24"/>
          <w:lang w:eastAsia="zh-CN"/>
        </w:rPr>
      </w:pPr>
    </w:p>
    <w:p w14:paraId="1DB796F9" w14:textId="77777777" w:rsidR="00F15DE2" w:rsidRPr="007A0378" w:rsidRDefault="00F15DE2" w:rsidP="007A0378">
      <w:pPr>
        <w:snapToGrid w:val="0"/>
        <w:spacing w:after="0" w:line="360" w:lineRule="auto"/>
        <w:jc w:val="both"/>
        <w:rPr>
          <w:rFonts w:ascii="Book Antiqua" w:hAnsi="Book Antiqua"/>
          <w:b/>
          <w:caps/>
          <w:sz w:val="24"/>
          <w:szCs w:val="24"/>
        </w:rPr>
      </w:pPr>
      <w:r w:rsidRPr="007A0378">
        <w:rPr>
          <w:rFonts w:ascii="Book Antiqua" w:hAnsi="Book Antiqua"/>
          <w:b/>
          <w:caps/>
          <w:sz w:val="24"/>
          <w:szCs w:val="24"/>
        </w:rPr>
        <w:t>Diarrhea</w:t>
      </w:r>
    </w:p>
    <w:p w14:paraId="27279B8F" w14:textId="7F144446" w:rsidR="00F15DE2" w:rsidRPr="007A0378" w:rsidRDefault="00F15DE2" w:rsidP="007A0378">
      <w:pPr>
        <w:snapToGrid w:val="0"/>
        <w:spacing w:after="0" w:line="360" w:lineRule="auto"/>
        <w:jc w:val="both"/>
        <w:rPr>
          <w:rFonts w:ascii="Book Antiqua" w:hAnsi="Book Antiqua"/>
          <w:sz w:val="24"/>
          <w:szCs w:val="24"/>
        </w:rPr>
      </w:pPr>
      <w:r w:rsidRPr="007A0378">
        <w:rPr>
          <w:rFonts w:ascii="Book Antiqua" w:hAnsi="Book Antiqua"/>
          <w:sz w:val="24"/>
          <w:szCs w:val="24"/>
        </w:rPr>
        <w:lastRenderedPageBreak/>
        <w:t>Diarrhea in the ICU can be defined as &gt;</w:t>
      </w:r>
      <w:r w:rsidRPr="007A0378">
        <w:rPr>
          <w:rFonts w:ascii="Book Antiqua" w:hAnsi="Book Antiqua"/>
          <w:sz w:val="24"/>
          <w:szCs w:val="24"/>
          <w:lang w:eastAsia="zh-CN"/>
        </w:rPr>
        <w:t xml:space="preserve"> </w:t>
      </w:r>
      <w:r w:rsidRPr="007A0378">
        <w:rPr>
          <w:rFonts w:ascii="Book Antiqua" w:hAnsi="Book Antiqua"/>
          <w:sz w:val="24"/>
          <w:szCs w:val="24"/>
        </w:rPr>
        <w:t xml:space="preserve">3 loose stools a </w:t>
      </w:r>
      <w:proofErr w:type="gramStart"/>
      <w:r w:rsidRPr="007A0378">
        <w:rPr>
          <w:rFonts w:ascii="Book Antiqua" w:hAnsi="Book Antiqua"/>
          <w:sz w:val="24"/>
          <w:szCs w:val="24"/>
        </w:rPr>
        <w:t>day</w:t>
      </w:r>
      <w:r w:rsidRPr="007A0378">
        <w:rPr>
          <w:rFonts w:ascii="Book Antiqua" w:hAnsi="Book Antiqua"/>
          <w:sz w:val="24"/>
          <w:szCs w:val="24"/>
          <w:vertAlign w:val="superscript"/>
          <w:lang w:eastAsia="zh-CN"/>
        </w:rPr>
        <w:t>[</w:t>
      </w:r>
      <w:proofErr w:type="gramEnd"/>
      <w:r w:rsidRPr="007A0378">
        <w:rPr>
          <w:rFonts w:ascii="Book Antiqua" w:hAnsi="Book Antiqua"/>
          <w:sz w:val="24"/>
          <w:szCs w:val="24"/>
          <w:vertAlign w:val="superscript"/>
          <w:lang w:eastAsia="zh-CN"/>
        </w:rPr>
        <w:t>29]</w:t>
      </w:r>
      <w:r w:rsidRPr="007A0378">
        <w:rPr>
          <w:rFonts w:ascii="Book Antiqua" w:hAnsi="Book Antiqua"/>
          <w:sz w:val="24"/>
          <w:szCs w:val="24"/>
        </w:rPr>
        <w:t>. The incidence is around 20%</w:t>
      </w:r>
      <w:r w:rsidRPr="007A0378">
        <w:rPr>
          <w:rFonts w:ascii="Book Antiqua" w:hAnsi="Book Antiqua"/>
          <w:sz w:val="24"/>
          <w:szCs w:val="24"/>
          <w:vertAlign w:val="superscript"/>
          <w:lang w:eastAsia="zh-CN"/>
        </w:rPr>
        <w:t>[30]</w:t>
      </w:r>
      <w:r w:rsidRPr="007A0378">
        <w:rPr>
          <w:rFonts w:ascii="Book Antiqua" w:hAnsi="Book Antiqua"/>
          <w:sz w:val="24"/>
          <w:szCs w:val="24"/>
        </w:rPr>
        <w:t>. Diarrhea in the ICU can be divided as infectious and non-infectious. Due to its incidence and possible serious underlying conditions it should never be dismissed and proper workup should be sought.</w:t>
      </w:r>
    </w:p>
    <w:p w14:paraId="35879344" w14:textId="77777777" w:rsidR="00F15DE2" w:rsidRPr="007A0378" w:rsidRDefault="00F15DE2" w:rsidP="007A0378">
      <w:pPr>
        <w:snapToGrid w:val="0"/>
        <w:spacing w:after="0" w:line="360" w:lineRule="auto"/>
        <w:jc w:val="both"/>
        <w:rPr>
          <w:rFonts w:ascii="Book Antiqua" w:hAnsi="Book Antiqua"/>
          <w:sz w:val="24"/>
          <w:szCs w:val="24"/>
          <w:lang w:eastAsia="zh-CN"/>
        </w:rPr>
      </w:pPr>
    </w:p>
    <w:p w14:paraId="2D297B22" w14:textId="77777777" w:rsidR="00F15DE2" w:rsidRPr="007A0378" w:rsidRDefault="00F15DE2" w:rsidP="007A0378">
      <w:pPr>
        <w:snapToGrid w:val="0"/>
        <w:spacing w:after="0" w:line="360" w:lineRule="auto"/>
        <w:jc w:val="both"/>
        <w:rPr>
          <w:rFonts w:ascii="Book Antiqua" w:hAnsi="Book Antiqua"/>
          <w:b/>
          <w:i/>
          <w:sz w:val="24"/>
          <w:szCs w:val="24"/>
        </w:rPr>
      </w:pPr>
      <w:r w:rsidRPr="007A0378">
        <w:rPr>
          <w:rFonts w:ascii="Book Antiqua" w:hAnsi="Book Antiqua"/>
          <w:b/>
          <w:i/>
          <w:sz w:val="24"/>
          <w:szCs w:val="24"/>
        </w:rPr>
        <w:t>Infectious diarrhea</w:t>
      </w:r>
    </w:p>
    <w:p w14:paraId="2B65A29E" w14:textId="5210CF94" w:rsidR="00F15DE2" w:rsidRPr="007A0378" w:rsidRDefault="00F15DE2" w:rsidP="007A0378">
      <w:pPr>
        <w:snapToGrid w:val="0"/>
        <w:spacing w:after="0" w:line="360" w:lineRule="auto"/>
        <w:jc w:val="both"/>
        <w:rPr>
          <w:rFonts w:ascii="Book Antiqua" w:hAnsi="Book Antiqua"/>
          <w:sz w:val="24"/>
          <w:szCs w:val="24"/>
        </w:rPr>
      </w:pPr>
      <w:r w:rsidRPr="007A0378">
        <w:rPr>
          <w:rFonts w:ascii="Book Antiqua" w:hAnsi="Book Antiqua"/>
          <w:sz w:val="24"/>
          <w:szCs w:val="24"/>
        </w:rPr>
        <w:t xml:space="preserve">Clostridium difficile infection is the most common cause of infectious diarrhea in the ICU been present in 44% of patient with either infectious or non-infectious diarrhea in the </w:t>
      </w:r>
      <w:proofErr w:type="gramStart"/>
      <w:r w:rsidRPr="007A0378">
        <w:rPr>
          <w:rFonts w:ascii="Book Antiqua" w:hAnsi="Book Antiqua"/>
          <w:sz w:val="24"/>
          <w:szCs w:val="24"/>
        </w:rPr>
        <w:t>ICU</w:t>
      </w:r>
      <w:r w:rsidRPr="007A0378">
        <w:rPr>
          <w:rFonts w:ascii="Book Antiqua" w:hAnsi="Book Antiqua"/>
          <w:sz w:val="24"/>
          <w:szCs w:val="24"/>
          <w:vertAlign w:val="superscript"/>
          <w:lang w:eastAsia="zh-CN"/>
        </w:rPr>
        <w:t>[</w:t>
      </w:r>
      <w:proofErr w:type="gramEnd"/>
      <w:r w:rsidRPr="007A0378">
        <w:rPr>
          <w:rFonts w:ascii="Book Antiqua" w:hAnsi="Book Antiqua"/>
          <w:sz w:val="24"/>
          <w:szCs w:val="24"/>
          <w:vertAlign w:val="superscript"/>
          <w:lang w:eastAsia="zh-CN"/>
        </w:rPr>
        <w:t>31]</w:t>
      </w:r>
      <w:r w:rsidRPr="007A0378">
        <w:rPr>
          <w:rFonts w:ascii="Book Antiqua" w:hAnsi="Book Antiqua"/>
          <w:sz w:val="24"/>
          <w:szCs w:val="24"/>
        </w:rPr>
        <w:t>. Other enteric pathogens include</w:t>
      </w:r>
      <w:r w:rsidRPr="007A0378">
        <w:rPr>
          <w:rFonts w:ascii="Book Antiqua" w:hAnsi="Book Antiqua"/>
          <w:i/>
          <w:sz w:val="24"/>
          <w:szCs w:val="24"/>
        </w:rPr>
        <w:t xml:space="preserve"> </w:t>
      </w:r>
      <w:r w:rsidRPr="007A0378">
        <w:rPr>
          <w:rFonts w:ascii="Book Antiqua" w:hAnsi="Book Antiqua"/>
          <w:i/>
          <w:caps/>
          <w:sz w:val="24"/>
          <w:szCs w:val="24"/>
        </w:rPr>
        <w:t>s</w:t>
      </w:r>
      <w:r w:rsidRPr="007A0378">
        <w:rPr>
          <w:rFonts w:ascii="Book Antiqua" w:hAnsi="Book Antiqua"/>
          <w:i/>
          <w:sz w:val="24"/>
          <w:szCs w:val="24"/>
        </w:rPr>
        <w:t>almonella</w:t>
      </w:r>
      <w:r w:rsidRPr="007A0378">
        <w:rPr>
          <w:rFonts w:ascii="Book Antiqua" w:hAnsi="Book Antiqua"/>
          <w:sz w:val="24"/>
          <w:szCs w:val="24"/>
        </w:rPr>
        <w:t>,</w:t>
      </w:r>
      <w:r w:rsidRPr="007A0378">
        <w:rPr>
          <w:rFonts w:ascii="Book Antiqua" w:hAnsi="Book Antiqua"/>
          <w:i/>
          <w:sz w:val="24"/>
          <w:szCs w:val="24"/>
        </w:rPr>
        <w:t xml:space="preserve"> C. perfringens</w:t>
      </w:r>
      <w:r w:rsidRPr="007A0378">
        <w:rPr>
          <w:rFonts w:ascii="Book Antiqua" w:hAnsi="Book Antiqua"/>
          <w:sz w:val="24"/>
          <w:szCs w:val="24"/>
        </w:rPr>
        <w:t xml:space="preserve">, </w:t>
      </w:r>
      <w:r w:rsidRPr="007A0378">
        <w:rPr>
          <w:rFonts w:ascii="Book Antiqua" w:hAnsi="Book Antiqua"/>
          <w:i/>
          <w:sz w:val="24"/>
          <w:szCs w:val="24"/>
        </w:rPr>
        <w:t>S. aureus</w:t>
      </w:r>
      <w:r w:rsidRPr="007A0378">
        <w:rPr>
          <w:rFonts w:ascii="Book Antiqua" w:hAnsi="Book Antiqua"/>
          <w:sz w:val="24"/>
          <w:szCs w:val="24"/>
        </w:rPr>
        <w:t xml:space="preserve"> and </w:t>
      </w:r>
      <w:r w:rsidRPr="007A0378">
        <w:rPr>
          <w:rFonts w:ascii="Book Antiqua" w:hAnsi="Book Antiqua"/>
          <w:i/>
          <w:sz w:val="24"/>
          <w:szCs w:val="24"/>
        </w:rPr>
        <w:t>P. aeruginosa</w:t>
      </w:r>
      <w:r w:rsidRPr="007A0378">
        <w:rPr>
          <w:rFonts w:ascii="Book Antiqua" w:hAnsi="Book Antiqua"/>
          <w:sz w:val="24"/>
          <w:szCs w:val="24"/>
        </w:rPr>
        <w:t xml:space="preserve">. Antibiotic use is the most widely recognized risk factor for infectious diarrhea in the ICU; other risk factors include gastric acid </w:t>
      </w:r>
      <w:proofErr w:type="gramStart"/>
      <w:r w:rsidRPr="007A0378">
        <w:rPr>
          <w:rFonts w:ascii="Book Antiqua" w:hAnsi="Book Antiqua"/>
          <w:sz w:val="24"/>
          <w:szCs w:val="24"/>
        </w:rPr>
        <w:t>suppression</w:t>
      </w:r>
      <w:r w:rsidRPr="007A0378">
        <w:rPr>
          <w:rFonts w:ascii="Book Antiqua" w:hAnsi="Book Antiqua"/>
          <w:sz w:val="24"/>
          <w:szCs w:val="24"/>
          <w:vertAlign w:val="superscript"/>
          <w:lang w:eastAsia="zh-CN"/>
        </w:rPr>
        <w:t>[</w:t>
      </w:r>
      <w:proofErr w:type="gramEnd"/>
      <w:r w:rsidRPr="007A0378">
        <w:rPr>
          <w:rFonts w:ascii="Book Antiqua" w:hAnsi="Book Antiqua"/>
          <w:sz w:val="24"/>
          <w:szCs w:val="24"/>
          <w:vertAlign w:val="superscript"/>
          <w:lang w:eastAsia="zh-CN"/>
        </w:rPr>
        <w:t>27]</w:t>
      </w:r>
      <w:r w:rsidRPr="007A0378">
        <w:rPr>
          <w:rFonts w:ascii="Book Antiqua" w:hAnsi="Book Antiqua"/>
          <w:sz w:val="24"/>
          <w:szCs w:val="24"/>
        </w:rPr>
        <w:t>, advanced age and illness severity. A review of C. difficile infection is beyond the scope of this review article.</w:t>
      </w:r>
    </w:p>
    <w:p w14:paraId="751C4403" w14:textId="77777777" w:rsidR="00F15DE2" w:rsidRPr="007A0378" w:rsidRDefault="00F15DE2" w:rsidP="007A0378">
      <w:pPr>
        <w:snapToGrid w:val="0"/>
        <w:spacing w:after="0" w:line="360" w:lineRule="auto"/>
        <w:jc w:val="both"/>
        <w:rPr>
          <w:rFonts w:ascii="Book Antiqua" w:hAnsi="Book Antiqua"/>
          <w:sz w:val="24"/>
          <w:szCs w:val="24"/>
          <w:lang w:eastAsia="zh-CN"/>
        </w:rPr>
      </w:pPr>
    </w:p>
    <w:p w14:paraId="586A2545" w14:textId="77777777" w:rsidR="00F15DE2" w:rsidRPr="007A0378" w:rsidRDefault="00F15DE2" w:rsidP="007A0378">
      <w:pPr>
        <w:snapToGrid w:val="0"/>
        <w:spacing w:after="0" w:line="360" w:lineRule="auto"/>
        <w:jc w:val="both"/>
        <w:rPr>
          <w:rFonts w:ascii="Book Antiqua" w:hAnsi="Book Antiqua"/>
          <w:b/>
          <w:i/>
          <w:sz w:val="24"/>
          <w:szCs w:val="24"/>
        </w:rPr>
      </w:pPr>
      <w:r w:rsidRPr="007A0378">
        <w:rPr>
          <w:rFonts w:ascii="Book Antiqua" w:hAnsi="Book Antiqua"/>
          <w:b/>
          <w:i/>
          <w:sz w:val="24"/>
          <w:szCs w:val="24"/>
        </w:rPr>
        <w:t>Non-infectious diarrhea</w:t>
      </w:r>
    </w:p>
    <w:p w14:paraId="7B249D68" w14:textId="5C320395" w:rsidR="00F15DE2" w:rsidRPr="007A0378" w:rsidRDefault="00F15DE2" w:rsidP="007A0378">
      <w:pPr>
        <w:snapToGrid w:val="0"/>
        <w:spacing w:after="0" w:line="360" w:lineRule="auto"/>
        <w:jc w:val="both"/>
        <w:rPr>
          <w:rFonts w:ascii="Book Antiqua" w:hAnsi="Book Antiqua"/>
          <w:sz w:val="24"/>
          <w:szCs w:val="24"/>
          <w:lang w:eastAsia="zh-CN"/>
        </w:rPr>
      </w:pPr>
      <w:r w:rsidRPr="007A0378">
        <w:rPr>
          <w:rFonts w:ascii="Book Antiqua" w:hAnsi="Book Antiqua"/>
          <w:sz w:val="24"/>
          <w:szCs w:val="24"/>
        </w:rPr>
        <w:t>The most common causes for non-infectious diarrhea in the ICU include antibiotic associated diarrhea, enteral feeding associated diarrhea and medications. Regarding antibiotic associated diarrhea, when</w:t>
      </w:r>
      <w:r w:rsidRPr="007A0378">
        <w:rPr>
          <w:rFonts w:ascii="Book Antiqua" w:hAnsi="Book Antiqua"/>
          <w:i/>
          <w:sz w:val="24"/>
          <w:szCs w:val="24"/>
        </w:rPr>
        <w:t xml:space="preserve"> C. difficile</w:t>
      </w:r>
      <w:r w:rsidRPr="007A0378">
        <w:rPr>
          <w:rFonts w:ascii="Book Antiqua" w:hAnsi="Book Antiqua"/>
          <w:sz w:val="24"/>
          <w:szCs w:val="24"/>
        </w:rPr>
        <w:t xml:space="preserve"> is not found the theory behind this condition is the reduction on the concentration of anaerobic organisms in the gut with subsequent reduction of carbohydrate fermentation leading to an osmotic </w:t>
      </w:r>
      <w:proofErr w:type="gramStart"/>
      <w:r w:rsidRPr="007A0378">
        <w:rPr>
          <w:rFonts w:ascii="Book Antiqua" w:hAnsi="Book Antiqua"/>
          <w:sz w:val="24"/>
          <w:szCs w:val="24"/>
        </w:rPr>
        <w:t>diarrhea</w:t>
      </w:r>
      <w:r w:rsidRPr="007A0378">
        <w:rPr>
          <w:rFonts w:ascii="Book Antiqua" w:hAnsi="Book Antiqua"/>
          <w:sz w:val="24"/>
          <w:szCs w:val="24"/>
          <w:vertAlign w:val="superscript"/>
          <w:lang w:eastAsia="zh-CN"/>
        </w:rPr>
        <w:t>[</w:t>
      </w:r>
      <w:proofErr w:type="gramEnd"/>
      <w:r w:rsidRPr="007A0378">
        <w:rPr>
          <w:rFonts w:ascii="Book Antiqua" w:hAnsi="Book Antiqua"/>
          <w:sz w:val="24"/>
          <w:szCs w:val="24"/>
          <w:vertAlign w:val="superscript"/>
          <w:lang w:eastAsia="zh-CN"/>
        </w:rPr>
        <w:t>31]</w:t>
      </w:r>
      <w:r w:rsidRPr="007A0378">
        <w:rPr>
          <w:rFonts w:ascii="Book Antiqua" w:hAnsi="Book Antiqua"/>
          <w:sz w:val="24"/>
          <w:szCs w:val="24"/>
          <w:lang w:eastAsia="zh-CN"/>
        </w:rPr>
        <w:t>.</w:t>
      </w:r>
    </w:p>
    <w:p w14:paraId="46B79AB6" w14:textId="2B61CAD2" w:rsidR="00F15DE2" w:rsidRPr="007A0378" w:rsidRDefault="00F15DE2" w:rsidP="007A0378">
      <w:pPr>
        <w:snapToGrid w:val="0"/>
        <w:spacing w:after="0" w:line="360" w:lineRule="auto"/>
        <w:ind w:firstLineChars="100" w:firstLine="240"/>
        <w:jc w:val="both"/>
        <w:rPr>
          <w:rFonts w:ascii="Book Antiqua" w:hAnsi="Book Antiqua"/>
          <w:sz w:val="24"/>
          <w:szCs w:val="24"/>
        </w:rPr>
      </w:pPr>
      <w:r w:rsidRPr="007A0378">
        <w:rPr>
          <w:rFonts w:ascii="Book Antiqua" w:hAnsi="Book Antiqua"/>
          <w:sz w:val="24"/>
          <w:szCs w:val="24"/>
        </w:rPr>
        <w:t xml:space="preserve">Enteral feeding associated diarrhea is commonly quoted as the cause of diarrhea during ICU rounds. Interestingly a recent meta-analysis comparing total parenteral nutrition </w:t>
      </w:r>
      <w:r w:rsidRPr="007A0378">
        <w:rPr>
          <w:rFonts w:ascii="Book Antiqua" w:hAnsi="Book Antiqua"/>
          <w:i/>
          <w:sz w:val="24"/>
          <w:szCs w:val="24"/>
        </w:rPr>
        <w:t>vs</w:t>
      </w:r>
      <w:r w:rsidRPr="007A0378">
        <w:rPr>
          <w:rFonts w:ascii="Book Antiqua" w:hAnsi="Book Antiqua"/>
          <w:sz w:val="24"/>
          <w:szCs w:val="24"/>
          <w:lang w:eastAsia="zh-CN"/>
        </w:rPr>
        <w:t xml:space="preserve"> </w:t>
      </w:r>
      <w:r w:rsidRPr="007A0378">
        <w:rPr>
          <w:rFonts w:ascii="Book Antiqua" w:hAnsi="Book Antiqua"/>
          <w:sz w:val="24"/>
          <w:szCs w:val="24"/>
        </w:rPr>
        <w:t xml:space="preserve">enteral nutrition did not find a higher incidence of diarrhea in the enteral feeds </w:t>
      </w:r>
      <w:proofErr w:type="gramStart"/>
      <w:r w:rsidRPr="007A0378">
        <w:rPr>
          <w:rFonts w:ascii="Book Antiqua" w:hAnsi="Book Antiqua"/>
          <w:sz w:val="24"/>
          <w:szCs w:val="24"/>
        </w:rPr>
        <w:t>group</w:t>
      </w:r>
      <w:r w:rsidRPr="007A0378">
        <w:rPr>
          <w:rFonts w:ascii="Book Antiqua" w:hAnsi="Book Antiqua"/>
          <w:sz w:val="24"/>
          <w:szCs w:val="24"/>
          <w:vertAlign w:val="superscript"/>
          <w:lang w:eastAsia="zh-CN"/>
        </w:rPr>
        <w:t>[</w:t>
      </w:r>
      <w:proofErr w:type="gramEnd"/>
      <w:r w:rsidRPr="007A0378">
        <w:rPr>
          <w:rFonts w:ascii="Book Antiqua" w:hAnsi="Book Antiqua"/>
          <w:sz w:val="24"/>
          <w:szCs w:val="24"/>
          <w:vertAlign w:val="superscript"/>
          <w:lang w:eastAsia="zh-CN"/>
        </w:rPr>
        <w:t>32]</w:t>
      </w:r>
      <w:r w:rsidRPr="007A0378">
        <w:rPr>
          <w:rFonts w:ascii="Book Antiqua" w:hAnsi="Book Antiqua"/>
          <w:sz w:val="24"/>
          <w:szCs w:val="24"/>
        </w:rPr>
        <w:t>. A common sense approach would be to avoid high caloric density formulations due to their osmotic effects when possible. Fiber use to decrease diarrhea has been proven effective in the non-</w:t>
      </w:r>
      <w:proofErr w:type="spellStart"/>
      <w:r w:rsidRPr="007A0378">
        <w:rPr>
          <w:rFonts w:ascii="Book Antiqua" w:hAnsi="Book Antiqua"/>
          <w:sz w:val="24"/>
          <w:szCs w:val="24"/>
        </w:rPr>
        <w:t>icu</w:t>
      </w:r>
      <w:proofErr w:type="spellEnd"/>
      <w:r w:rsidRPr="007A0378">
        <w:rPr>
          <w:rFonts w:ascii="Book Antiqua" w:hAnsi="Book Antiqua"/>
          <w:sz w:val="24"/>
          <w:szCs w:val="24"/>
        </w:rPr>
        <w:t xml:space="preserve"> population, but this effects have not been reproduced in the ICU population. </w:t>
      </w:r>
      <w:proofErr w:type="spellStart"/>
      <w:r w:rsidRPr="007A0378">
        <w:rPr>
          <w:rFonts w:ascii="Book Antiqua" w:hAnsi="Book Antiqua"/>
          <w:sz w:val="24"/>
          <w:szCs w:val="24"/>
        </w:rPr>
        <w:t>Prbiotics</w:t>
      </w:r>
      <w:proofErr w:type="spellEnd"/>
      <w:r w:rsidRPr="007A0378">
        <w:rPr>
          <w:rFonts w:ascii="Book Antiqua" w:hAnsi="Book Antiqua"/>
          <w:sz w:val="24"/>
          <w:szCs w:val="24"/>
        </w:rPr>
        <w:t xml:space="preserve"> also did not change its </w:t>
      </w:r>
      <w:proofErr w:type="gramStart"/>
      <w:r w:rsidRPr="007A0378">
        <w:rPr>
          <w:rFonts w:ascii="Book Antiqua" w:hAnsi="Book Antiqua"/>
          <w:sz w:val="24"/>
          <w:szCs w:val="24"/>
        </w:rPr>
        <w:t>incidence</w:t>
      </w:r>
      <w:r w:rsidRPr="007A0378">
        <w:rPr>
          <w:rFonts w:ascii="Book Antiqua" w:hAnsi="Book Antiqua"/>
          <w:sz w:val="24"/>
          <w:szCs w:val="24"/>
          <w:vertAlign w:val="superscript"/>
          <w:lang w:eastAsia="zh-CN"/>
        </w:rPr>
        <w:t>[</w:t>
      </w:r>
      <w:proofErr w:type="gramEnd"/>
      <w:r w:rsidRPr="007A0378">
        <w:rPr>
          <w:rFonts w:ascii="Book Antiqua" w:hAnsi="Book Antiqua"/>
          <w:sz w:val="24"/>
          <w:szCs w:val="24"/>
          <w:vertAlign w:val="superscript"/>
          <w:lang w:eastAsia="zh-CN"/>
        </w:rPr>
        <w:t>33]</w:t>
      </w:r>
      <w:r w:rsidRPr="007A0378">
        <w:rPr>
          <w:rFonts w:ascii="Book Antiqua" w:hAnsi="Book Antiqua"/>
          <w:sz w:val="24"/>
          <w:szCs w:val="24"/>
        </w:rPr>
        <w:t xml:space="preserve">. </w:t>
      </w:r>
    </w:p>
    <w:p w14:paraId="0CB72298" w14:textId="77777777" w:rsidR="00F15DE2" w:rsidRPr="007A0378" w:rsidRDefault="00F15DE2" w:rsidP="007A0378">
      <w:pPr>
        <w:snapToGrid w:val="0"/>
        <w:spacing w:after="0" w:line="360" w:lineRule="auto"/>
        <w:jc w:val="both"/>
        <w:rPr>
          <w:rFonts w:ascii="Book Antiqua" w:hAnsi="Book Antiqua"/>
          <w:b/>
          <w:sz w:val="24"/>
          <w:szCs w:val="24"/>
          <w:lang w:eastAsia="zh-CN"/>
        </w:rPr>
      </w:pPr>
    </w:p>
    <w:p w14:paraId="68B6D8F7" w14:textId="77777777" w:rsidR="00F15DE2" w:rsidRPr="007A0378" w:rsidRDefault="00F15DE2" w:rsidP="007A0378">
      <w:pPr>
        <w:snapToGrid w:val="0"/>
        <w:spacing w:after="0" w:line="360" w:lineRule="auto"/>
        <w:jc w:val="both"/>
        <w:rPr>
          <w:rFonts w:ascii="Book Antiqua" w:hAnsi="Book Antiqua"/>
          <w:b/>
          <w:caps/>
          <w:sz w:val="24"/>
          <w:szCs w:val="24"/>
        </w:rPr>
      </w:pPr>
      <w:r w:rsidRPr="007A0378">
        <w:rPr>
          <w:rFonts w:ascii="Book Antiqua" w:hAnsi="Book Antiqua"/>
          <w:b/>
          <w:caps/>
          <w:sz w:val="24"/>
          <w:szCs w:val="24"/>
        </w:rPr>
        <w:t>Conclusion</w:t>
      </w:r>
    </w:p>
    <w:p w14:paraId="49AE5AF7" w14:textId="77777777" w:rsidR="00F15DE2" w:rsidRPr="007A0378" w:rsidRDefault="00F15DE2" w:rsidP="007A0378">
      <w:pPr>
        <w:snapToGrid w:val="0"/>
        <w:spacing w:after="0" w:line="360" w:lineRule="auto"/>
        <w:jc w:val="both"/>
        <w:rPr>
          <w:rFonts w:ascii="Book Antiqua" w:hAnsi="Book Antiqua"/>
          <w:sz w:val="24"/>
          <w:szCs w:val="24"/>
        </w:rPr>
      </w:pPr>
      <w:r w:rsidRPr="007A0378">
        <w:rPr>
          <w:rFonts w:ascii="Book Antiqua" w:hAnsi="Book Antiqua"/>
          <w:sz w:val="24"/>
          <w:szCs w:val="24"/>
        </w:rPr>
        <w:lastRenderedPageBreak/>
        <w:t xml:space="preserve">GI </w:t>
      </w:r>
      <w:proofErr w:type="spellStart"/>
      <w:r w:rsidRPr="007A0378">
        <w:rPr>
          <w:rFonts w:ascii="Book Antiqua" w:hAnsi="Book Antiqua"/>
          <w:sz w:val="24"/>
          <w:szCs w:val="24"/>
        </w:rPr>
        <w:t>dysmotility</w:t>
      </w:r>
      <w:proofErr w:type="spellEnd"/>
      <w:r w:rsidRPr="007A0378">
        <w:rPr>
          <w:rFonts w:ascii="Book Antiqua" w:hAnsi="Book Antiqua"/>
          <w:sz w:val="24"/>
          <w:szCs w:val="24"/>
        </w:rPr>
        <w:t xml:space="preserve"> is a common but often overlooked occurrence in the critically ill patients. By itself it may be the reflection of end organ damage and deterioration as well as a sign of a serious underlying disorder. The clinician should pay close attention to it and initiate the appropriate work up as soon as possible to prevent grim outcomes.</w:t>
      </w:r>
    </w:p>
    <w:p w14:paraId="40E48A66" w14:textId="2D6F3101" w:rsidR="002878B1" w:rsidRDefault="002878B1">
      <w:pPr>
        <w:rPr>
          <w:rFonts w:ascii="Book Antiqua" w:hAnsi="Book Antiqua"/>
          <w:sz w:val="24"/>
          <w:szCs w:val="24"/>
          <w:lang w:eastAsia="zh-CN"/>
        </w:rPr>
      </w:pPr>
      <w:r>
        <w:rPr>
          <w:rFonts w:ascii="Book Antiqua" w:hAnsi="Book Antiqua"/>
          <w:sz w:val="24"/>
          <w:szCs w:val="24"/>
          <w:lang w:eastAsia="zh-CN"/>
        </w:rPr>
        <w:br w:type="page"/>
      </w:r>
    </w:p>
    <w:p w14:paraId="1DB7B0A8" w14:textId="2B00E6D6" w:rsidR="00F15DE2" w:rsidRDefault="002878B1" w:rsidP="007A0378">
      <w:pPr>
        <w:snapToGrid w:val="0"/>
        <w:spacing w:after="0" w:line="360" w:lineRule="auto"/>
        <w:jc w:val="both"/>
        <w:rPr>
          <w:rFonts w:ascii="Book Antiqua" w:hAnsi="Book Antiqua"/>
          <w:b/>
          <w:caps/>
          <w:sz w:val="24"/>
          <w:szCs w:val="24"/>
          <w:lang w:eastAsia="zh-CN"/>
        </w:rPr>
      </w:pPr>
      <w:r w:rsidRPr="002878B1">
        <w:rPr>
          <w:rFonts w:ascii="Book Antiqua" w:hAnsi="Book Antiqua" w:hint="eastAsia"/>
          <w:b/>
          <w:caps/>
          <w:sz w:val="24"/>
          <w:szCs w:val="24"/>
          <w:lang w:eastAsia="zh-CN"/>
        </w:rPr>
        <w:lastRenderedPageBreak/>
        <w:t>ReFERENCES</w:t>
      </w:r>
    </w:p>
    <w:p w14:paraId="79D52940" w14:textId="77777777" w:rsidR="002878B1" w:rsidRPr="002878B1" w:rsidRDefault="002878B1" w:rsidP="002878B1">
      <w:pPr>
        <w:widowControl w:val="0"/>
        <w:snapToGrid w:val="0"/>
        <w:spacing w:after="0" w:line="360" w:lineRule="auto"/>
        <w:jc w:val="both"/>
        <w:rPr>
          <w:rFonts w:ascii="Book Antiqua" w:hAnsi="Book Antiqua" w:cs="Times New Roman"/>
          <w:kern w:val="2"/>
          <w:sz w:val="24"/>
          <w:szCs w:val="24"/>
          <w:lang w:eastAsia="zh-CN"/>
        </w:rPr>
      </w:pPr>
      <w:proofErr w:type="gramStart"/>
      <w:r w:rsidRPr="002878B1">
        <w:rPr>
          <w:rFonts w:ascii="Book Antiqua" w:hAnsi="Book Antiqua" w:cs="Times New Roman"/>
          <w:kern w:val="2"/>
          <w:sz w:val="24"/>
          <w:szCs w:val="24"/>
          <w:lang w:eastAsia="zh-CN"/>
        </w:rPr>
        <w:t xml:space="preserve">1 </w:t>
      </w:r>
      <w:r w:rsidRPr="002878B1">
        <w:rPr>
          <w:rFonts w:ascii="Book Antiqua" w:hAnsi="Book Antiqua" w:cs="Times New Roman"/>
          <w:b/>
          <w:kern w:val="2"/>
          <w:sz w:val="24"/>
          <w:szCs w:val="24"/>
          <w:lang w:eastAsia="zh-CN"/>
        </w:rPr>
        <w:t>Binder HJ.</w:t>
      </w:r>
      <w:proofErr w:type="gramEnd"/>
      <w:r w:rsidRPr="002878B1">
        <w:rPr>
          <w:rFonts w:ascii="Book Antiqua" w:hAnsi="Book Antiqua" w:cs="Times New Roman" w:hint="eastAsia"/>
          <w:b/>
          <w:kern w:val="2"/>
          <w:sz w:val="24"/>
          <w:szCs w:val="24"/>
          <w:lang w:eastAsia="zh-CN"/>
        </w:rPr>
        <w:t xml:space="preserve"> </w:t>
      </w:r>
      <w:proofErr w:type="gramStart"/>
      <w:r w:rsidRPr="002878B1">
        <w:rPr>
          <w:rFonts w:ascii="Book Antiqua" w:hAnsi="Book Antiqua" w:cs="Times New Roman"/>
          <w:kern w:val="2"/>
          <w:sz w:val="24"/>
          <w:szCs w:val="24"/>
          <w:lang w:eastAsia="zh-CN"/>
        </w:rPr>
        <w:t>Organization of the Gastrointestinal System.</w:t>
      </w:r>
      <w:proofErr w:type="gramEnd"/>
      <w:r w:rsidRPr="002878B1">
        <w:rPr>
          <w:rFonts w:ascii="Book Antiqua" w:hAnsi="Book Antiqua" w:cs="Times New Roman"/>
          <w:kern w:val="2"/>
          <w:sz w:val="24"/>
          <w:szCs w:val="24"/>
          <w:lang w:eastAsia="zh-CN"/>
        </w:rPr>
        <w:t xml:space="preserve"> In: Boron WE, </w:t>
      </w:r>
      <w:proofErr w:type="spellStart"/>
      <w:r w:rsidRPr="002878B1">
        <w:rPr>
          <w:rFonts w:ascii="Book Antiqua" w:hAnsi="Book Antiqua" w:cs="Times New Roman"/>
          <w:kern w:val="2"/>
          <w:sz w:val="24"/>
          <w:szCs w:val="24"/>
          <w:lang w:eastAsia="zh-CN"/>
        </w:rPr>
        <w:t>Boulpaep</w:t>
      </w:r>
      <w:proofErr w:type="spellEnd"/>
      <w:r w:rsidRPr="002878B1">
        <w:rPr>
          <w:rFonts w:ascii="Book Antiqua" w:hAnsi="Book Antiqua" w:cs="Times New Roman"/>
          <w:kern w:val="2"/>
          <w:sz w:val="24"/>
          <w:szCs w:val="24"/>
          <w:lang w:eastAsia="zh-CN"/>
        </w:rPr>
        <w:t xml:space="preserve"> E. Medical Physiology. 3rd ed. Philadelphia, PA: Elsevier; 2017: 852</w:t>
      </w:r>
      <w:r w:rsidRPr="002878B1">
        <w:rPr>
          <w:rFonts w:ascii="Book Antiqua" w:hAnsi="Book Antiqua" w:cs="Times New Roman" w:hint="eastAsia"/>
          <w:kern w:val="2"/>
          <w:sz w:val="24"/>
          <w:szCs w:val="24"/>
          <w:lang w:eastAsia="zh-CN"/>
        </w:rPr>
        <w:t>-</w:t>
      </w:r>
      <w:r w:rsidRPr="002878B1">
        <w:rPr>
          <w:rFonts w:ascii="Book Antiqua" w:hAnsi="Book Antiqua" w:cs="Times New Roman"/>
          <w:kern w:val="2"/>
          <w:sz w:val="24"/>
          <w:szCs w:val="24"/>
          <w:lang w:eastAsia="zh-CN"/>
        </w:rPr>
        <w:t>862</w:t>
      </w:r>
    </w:p>
    <w:p w14:paraId="019C7EC7" w14:textId="77777777" w:rsidR="002878B1" w:rsidRPr="002878B1" w:rsidRDefault="002878B1" w:rsidP="002878B1">
      <w:pPr>
        <w:widowControl w:val="0"/>
        <w:snapToGrid w:val="0"/>
        <w:spacing w:after="0" w:line="360" w:lineRule="auto"/>
        <w:jc w:val="both"/>
        <w:rPr>
          <w:rFonts w:ascii="Book Antiqua" w:hAnsi="Book Antiqua" w:cs="Times New Roman"/>
          <w:kern w:val="2"/>
          <w:sz w:val="24"/>
          <w:szCs w:val="24"/>
          <w:lang w:eastAsia="zh-CN"/>
        </w:rPr>
      </w:pPr>
      <w:r w:rsidRPr="002878B1">
        <w:rPr>
          <w:rFonts w:ascii="Book Antiqua" w:hAnsi="Book Antiqua" w:cs="Times New Roman"/>
          <w:kern w:val="2"/>
          <w:sz w:val="24"/>
          <w:szCs w:val="24"/>
          <w:lang w:eastAsia="zh-CN"/>
        </w:rPr>
        <w:t xml:space="preserve">2 </w:t>
      </w:r>
      <w:proofErr w:type="spellStart"/>
      <w:r w:rsidRPr="002878B1">
        <w:rPr>
          <w:rFonts w:ascii="Book Antiqua" w:hAnsi="Book Antiqua" w:cs="Times New Roman"/>
          <w:b/>
          <w:kern w:val="2"/>
          <w:sz w:val="24"/>
          <w:szCs w:val="24"/>
          <w:lang w:eastAsia="zh-CN"/>
        </w:rPr>
        <w:t>Reintam</w:t>
      </w:r>
      <w:proofErr w:type="spellEnd"/>
      <w:r w:rsidRPr="002878B1">
        <w:rPr>
          <w:rFonts w:ascii="Book Antiqua" w:hAnsi="Book Antiqua" w:cs="Times New Roman"/>
          <w:b/>
          <w:kern w:val="2"/>
          <w:sz w:val="24"/>
          <w:szCs w:val="24"/>
          <w:lang w:eastAsia="zh-CN"/>
        </w:rPr>
        <w:t xml:space="preserve"> A</w:t>
      </w:r>
      <w:r w:rsidRPr="002878B1">
        <w:rPr>
          <w:rFonts w:ascii="Book Antiqua" w:hAnsi="Book Antiqua" w:cs="Times New Roman"/>
          <w:kern w:val="2"/>
          <w:sz w:val="24"/>
          <w:szCs w:val="24"/>
          <w:lang w:eastAsia="zh-CN"/>
        </w:rPr>
        <w:t xml:space="preserve">, </w:t>
      </w:r>
      <w:proofErr w:type="spellStart"/>
      <w:r w:rsidRPr="002878B1">
        <w:rPr>
          <w:rFonts w:ascii="Book Antiqua" w:hAnsi="Book Antiqua" w:cs="Times New Roman"/>
          <w:kern w:val="2"/>
          <w:sz w:val="24"/>
          <w:szCs w:val="24"/>
          <w:lang w:eastAsia="zh-CN"/>
        </w:rPr>
        <w:t>Parm</w:t>
      </w:r>
      <w:proofErr w:type="spellEnd"/>
      <w:r w:rsidRPr="002878B1">
        <w:rPr>
          <w:rFonts w:ascii="Book Antiqua" w:hAnsi="Book Antiqua" w:cs="Times New Roman"/>
          <w:kern w:val="2"/>
          <w:sz w:val="24"/>
          <w:szCs w:val="24"/>
          <w:lang w:eastAsia="zh-CN"/>
        </w:rPr>
        <w:t xml:space="preserve"> P, </w:t>
      </w:r>
      <w:proofErr w:type="spellStart"/>
      <w:r w:rsidRPr="002878B1">
        <w:rPr>
          <w:rFonts w:ascii="Book Antiqua" w:hAnsi="Book Antiqua" w:cs="Times New Roman"/>
          <w:kern w:val="2"/>
          <w:sz w:val="24"/>
          <w:szCs w:val="24"/>
          <w:lang w:eastAsia="zh-CN"/>
        </w:rPr>
        <w:t>Redlich</w:t>
      </w:r>
      <w:proofErr w:type="spellEnd"/>
      <w:r w:rsidRPr="002878B1">
        <w:rPr>
          <w:rFonts w:ascii="Book Antiqua" w:hAnsi="Book Antiqua" w:cs="Times New Roman"/>
          <w:kern w:val="2"/>
          <w:sz w:val="24"/>
          <w:szCs w:val="24"/>
          <w:lang w:eastAsia="zh-CN"/>
        </w:rPr>
        <w:t xml:space="preserve"> U, </w:t>
      </w:r>
      <w:proofErr w:type="spellStart"/>
      <w:r w:rsidRPr="002878B1">
        <w:rPr>
          <w:rFonts w:ascii="Book Antiqua" w:hAnsi="Book Antiqua" w:cs="Times New Roman"/>
          <w:kern w:val="2"/>
          <w:sz w:val="24"/>
          <w:szCs w:val="24"/>
          <w:lang w:eastAsia="zh-CN"/>
        </w:rPr>
        <w:t>Tooding</w:t>
      </w:r>
      <w:proofErr w:type="spellEnd"/>
      <w:r w:rsidRPr="002878B1">
        <w:rPr>
          <w:rFonts w:ascii="Book Antiqua" w:hAnsi="Book Antiqua" w:cs="Times New Roman"/>
          <w:kern w:val="2"/>
          <w:sz w:val="24"/>
          <w:szCs w:val="24"/>
          <w:lang w:eastAsia="zh-CN"/>
        </w:rPr>
        <w:t xml:space="preserve"> LM, </w:t>
      </w:r>
      <w:proofErr w:type="spellStart"/>
      <w:r w:rsidRPr="002878B1">
        <w:rPr>
          <w:rFonts w:ascii="Book Antiqua" w:hAnsi="Book Antiqua" w:cs="Times New Roman"/>
          <w:kern w:val="2"/>
          <w:sz w:val="24"/>
          <w:szCs w:val="24"/>
          <w:lang w:eastAsia="zh-CN"/>
        </w:rPr>
        <w:t>Starkopf</w:t>
      </w:r>
      <w:proofErr w:type="spellEnd"/>
      <w:r w:rsidRPr="002878B1">
        <w:rPr>
          <w:rFonts w:ascii="Book Antiqua" w:hAnsi="Book Antiqua" w:cs="Times New Roman"/>
          <w:kern w:val="2"/>
          <w:sz w:val="24"/>
          <w:szCs w:val="24"/>
          <w:lang w:eastAsia="zh-CN"/>
        </w:rPr>
        <w:t xml:space="preserve"> J, </w:t>
      </w:r>
      <w:proofErr w:type="spellStart"/>
      <w:r w:rsidRPr="002878B1">
        <w:rPr>
          <w:rFonts w:ascii="Book Antiqua" w:hAnsi="Book Antiqua" w:cs="Times New Roman"/>
          <w:kern w:val="2"/>
          <w:sz w:val="24"/>
          <w:szCs w:val="24"/>
          <w:lang w:eastAsia="zh-CN"/>
        </w:rPr>
        <w:t>Köhler</w:t>
      </w:r>
      <w:proofErr w:type="spellEnd"/>
      <w:r w:rsidRPr="002878B1">
        <w:rPr>
          <w:rFonts w:ascii="Book Antiqua" w:hAnsi="Book Antiqua" w:cs="Times New Roman"/>
          <w:kern w:val="2"/>
          <w:sz w:val="24"/>
          <w:szCs w:val="24"/>
          <w:lang w:eastAsia="zh-CN"/>
        </w:rPr>
        <w:t xml:space="preserve"> F, Spies C, Kern H. Gastrointestinal failure in intensive care: a retrospective clinical study in three different intensive care units in Germany and Estonia. </w:t>
      </w:r>
      <w:r w:rsidRPr="002878B1">
        <w:rPr>
          <w:rFonts w:ascii="Book Antiqua" w:hAnsi="Book Antiqua" w:cs="Times New Roman"/>
          <w:i/>
          <w:kern w:val="2"/>
          <w:sz w:val="24"/>
          <w:szCs w:val="24"/>
          <w:lang w:eastAsia="zh-CN"/>
        </w:rPr>
        <w:t xml:space="preserve">BMC </w:t>
      </w:r>
      <w:proofErr w:type="spellStart"/>
      <w:r w:rsidRPr="002878B1">
        <w:rPr>
          <w:rFonts w:ascii="Book Antiqua" w:hAnsi="Book Antiqua" w:cs="Times New Roman"/>
          <w:i/>
          <w:kern w:val="2"/>
          <w:sz w:val="24"/>
          <w:szCs w:val="24"/>
          <w:lang w:eastAsia="zh-CN"/>
        </w:rPr>
        <w:t>Gastroenterol</w:t>
      </w:r>
      <w:proofErr w:type="spellEnd"/>
      <w:r w:rsidRPr="002878B1">
        <w:rPr>
          <w:rFonts w:ascii="Book Antiqua" w:hAnsi="Book Antiqua" w:cs="Times New Roman"/>
          <w:kern w:val="2"/>
          <w:sz w:val="24"/>
          <w:szCs w:val="24"/>
          <w:lang w:eastAsia="zh-CN"/>
        </w:rPr>
        <w:t xml:space="preserve"> 2006; </w:t>
      </w:r>
      <w:r w:rsidRPr="002878B1">
        <w:rPr>
          <w:rFonts w:ascii="Book Antiqua" w:hAnsi="Book Antiqua" w:cs="Times New Roman"/>
          <w:b/>
          <w:kern w:val="2"/>
          <w:sz w:val="24"/>
          <w:szCs w:val="24"/>
          <w:lang w:eastAsia="zh-CN"/>
        </w:rPr>
        <w:t>6</w:t>
      </w:r>
      <w:r w:rsidRPr="002878B1">
        <w:rPr>
          <w:rFonts w:ascii="Book Antiqua" w:hAnsi="Book Antiqua" w:cs="Times New Roman"/>
          <w:kern w:val="2"/>
          <w:sz w:val="24"/>
          <w:szCs w:val="24"/>
          <w:lang w:eastAsia="zh-CN"/>
        </w:rPr>
        <w:t>: 19 [PMID: 16792799 DOI: 10.1186/1471-230X-6-19]</w:t>
      </w:r>
    </w:p>
    <w:p w14:paraId="6BB85BCD" w14:textId="77777777" w:rsidR="002878B1" w:rsidRPr="002878B1" w:rsidRDefault="002878B1" w:rsidP="002878B1">
      <w:pPr>
        <w:widowControl w:val="0"/>
        <w:snapToGrid w:val="0"/>
        <w:spacing w:after="0" w:line="360" w:lineRule="auto"/>
        <w:jc w:val="both"/>
        <w:rPr>
          <w:rFonts w:ascii="Book Antiqua" w:hAnsi="Book Antiqua" w:cs="Times New Roman"/>
          <w:kern w:val="2"/>
          <w:sz w:val="24"/>
          <w:szCs w:val="24"/>
          <w:lang w:eastAsia="zh-CN"/>
        </w:rPr>
      </w:pPr>
      <w:proofErr w:type="gramStart"/>
      <w:r w:rsidRPr="002878B1">
        <w:rPr>
          <w:rFonts w:ascii="Book Antiqua" w:hAnsi="Book Antiqua" w:cs="Times New Roman"/>
          <w:kern w:val="2"/>
          <w:sz w:val="24"/>
          <w:szCs w:val="24"/>
          <w:lang w:eastAsia="zh-CN"/>
        </w:rPr>
        <w:t xml:space="preserve">3 </w:t>
      </w:r>
      <w:r w:rsidRPr="002878B1">
        <w:rPr>
          <w:rFonts w:ascii="Book Antiqua" w:hAnsi="Book Antiqua" w:cs="Times New Roman"/>
          <w:b/>
          <w:kern w:val="2"/>
          <w:sz w:val="24"/>
          <w:szCs w:val="24"/>
          <w:lang w:eastAsia="zh-CN"/>
        </w:rPr>
        <w:t>Taylor RW</w:t>
      </w:r>
      <w:r w:rsidRPr="002878B1">
        <w:rPr>
          <w:rFonts w:ascii="Book Antiqua" w:hAnsi="Book Antiqua" w:cs="Times New Roman"/>
          <w:kern w:val="2"/>
          <w:sz w:val="24"/>
          <w:szCs w:val="24"/>
          <w:lang w:eastAsia="zh-CN"/>
        </w:rPr>
        <w:t>.</w:t>
      </w:r>
      <w:proofErr w:type="gramEnd"/>
      <w:r w:rsidRPr="002878B1">
        <w:rPr>
          <w:rFonts w:ascii="Book Antiqua" w:hAnsi="Book Antiqua" w:cs="Times New Roman"/>
          <w:kern w:val="2"/>
          <w:sz w:val="24"/>
          <w:szCs w:val="24"/>
          <w:lang w:eastAsia="zh-CN"/>
        </w:rPr>
        <w:t xml:space="preserve"> Gut Motility Issues in Critical Illness. </w:t>
      </w:r>
      <w:proofErr w:type="spellStart"/>
      <w:r w:rsidRPr="002878B1">
        <w:rPr>
          <w:rFonts w:ascii="Book Antiqua" w:hAnsi="Book Antiqua" w:cs="Times New Roman"/>
          <w:i/>
          <w:kern w:val="2"/>
          <w:sz w:val="24"/>
          <w:szCs w:val="24"/>
          <w:lang w:eastAsia="zh-CN"/>
        </w:rPr>
        <w:t>Crit</w:t>
      </w:r>
      <w:proofErr w:type="spellEnd"/>
      <w:r w:rsidRPr="002878B1">
        <w:rPr>
          <w:rFonts w:ascii="Book Antiqua" w:hAnsi="Book Antiqua" w:cs="Times New Roman"/>
          <w:i/>
          <w:kern w:val="2"/>
          <w:sz w:val="24"/>
          <w:szCs w:val="24"/>
          <w:lang w:eastAsia="zh-CN"/>
        </w:rPr>
        <w:t xml:space="preserve"> Care </w:t>
      </w:r>
      <w:proofErr w:type="spellStart"/>
      <w:r w:rsidRPr="002878B1">
        <w:rPr>
          <w:rFonts w:ascii="Book Antiqua" w:hAnsi="Book Antiqua" w:cs="Times New Roman"/>
          <w:i/>
          <w:kern w:val="2"/>
          <w:sz w:val="24"/>
          <w:szCs w:val="24"/>
          <w:lang w:eastAsia="zh-CN"/>
        </w:rPr>
        <w:t>Clin</w:t>
      </w:r>
      <w:proofErr w:type="spellEnd"/>
      <w:r w:rsidRPr="002878B1">
        <w:rPr>
          <w:rFonts w:ascii="Book Antiqua" w:hAnsi="Book Antiqua" w:cs="Times New Roman"/>
          <w:kern w:val="2"/>
          <w:sz w:val="24"/>
          <w:szCs w:val="24"/>
          <w:lang w:eastAsia="zh-CN"/>
        </w:rPr>
        <w:t xml:space="preserve"> 2016; </w:t>
      </w:r>
      <w:r w:rsidRPr="002878B1">
        <w:rPr>
          <w:rFonts w:ascii="Book Antiqua" w:hAnsi="Book Antiqua" w:cs="Times New Roman"/>
          <w:b/>
          <w:kern w:val="2"/>
          <w:sz w:val="24"/>
          <w:szCs w:val="24"/>
          <w:lang w:eastAsia="zh-CN"/>
        </w:rPr>
        <w:t>32</w:t>
      </w:r>
      <w:r w:rsidRPr="002878B1">
        <w:rPr>
          <w:rFonts w:ascii="Book Antiqua" w:hAnsi="Book Antiqua" w:cs="Times New Roman"/>
          <w:kern w:val="2"/>
          <w:sz w:val="24"/>
          <w:szCs w:val="24"/>
          <w:lang w:eastAsia="zh-CN"/>
        </w:rPr>
        <w:t>: 191-201 [PMID: 27016161 DOI: 10.1016/j.ccc.2015.11.003]</w:t>
      </w:r>
    </w:p>
    <w:p w14:paraId="1AA6BA91" w14:textId="77777777" w:rsidR="002878B1" w:rsidRPr="002878B1" w:rsidRDefault="002878B1" w:rsidP="002878B1">
      <w:pPr>
        <w:widowControl w:val="0"/>
        <w:snapToGrid w:val="0"/>
        <w:spacing w:after="0" w:line="360" w:lineRule="auto"/>
        <w:jc w:val="both"/>
        <w:rPr>
          <w:rFonts w:ascii="Book Antiqua" w:hAnsi="Book Antiqua" w:cs="Times New Roman"/>
          <w:kern w:val="2"/>
          <w:sz w:val="24"/>
          <w:szCs w:val="24"/>
          <w:lang w:eastAsia="zh-CN"/>
        </w:rPr>
      </w:pPr>
      <w:r w:rsidRPr="002878B1">
        <w:rPr>
          <w:rFonts w:ascii="Book Antiqua" w:hAnsi="Book Antiqua" w:cs="Times New Roman"/>
          <w:kern w:val="2"/>
          <w:sz w:val="24"/>
          <w:szCs w:val="24"/>
          <w:lang w:eastAsia="zh-CN"/>
        </w:rPr>
        <w:t xml:space="preserve">4 </w:t>
      </w:r>
      <w:r w:rsidRPr="002878B1">
        <w:rPr>
          <w:rFonts w:ascii="Book Antiqua" w:hAnsi="Book Antiqua" w:cs="Times New Roman"/>
          <w:b/>
          <w:kern w:val="2"/>
          <w:sz w:val="24"/>
          <w:szCs w:val="24"/>
          <w:lang w:eastAsia="zh-CN"/>
        </w:rPr>
        <w:t>Khayyam U</w:t>
      </w:r>
      <w:r w:rsidRPr="002878B1">
        <w:rPr>
          <w:rFonts w:ascii="Book Antiqua" w:hAnsi="Book Antiqua" w:cs="Times New Roman"/>
          <w:kern w:val="2"/>
          <w:sz w:val="24"/>
          <w:szCs w:val="24"/>
          <w:lang w:eastAsia="zh-CN"/>
        </w:rPr>
        <w:t xml:space="preserve">, </w:t>
      </w:r>
      <w:proofErr w:type="spellStart"/>
      <w:r w:rsidRPr="002878B1">
        <w:rPr>
          <w:rFonts w:ascii="Book Antiqua" w:hAnsi="Book Antiqua" w:cs="Times New Roman"/>
          <w:kern w:val="2"/>
          <w:sz w:val="24"/>
          <w:szCs w:val="24"/>
          <w:lang w:eastAsia="zh-CN"/>
        </w:rPr>
        <w:t>Sachdeva</w:t>
      </w:r>
      <w:proofErr w:type="spellEnd"/>
      <w:r w:rsidRPr="002878B1">
        <w:rPr>
          <w:rFonts w:ascii="Book Antiqua" w:hAnsi="Book Antiqua" w:cs="Times New Roman"/>
          <w:kern w:val="2"/>
          <w:sz w:val="24"/>
          <w:szCs w:val="24"/>
          <w:lang w:eastAsia="zh-CN"/>
        </w:rPr>
        <w:t xml:space="preserve"> P, Gomez J, </w:t>
      </w:r>
      <w:proofErr w:type="spellStart"/>
      <w:r w:rsidRPr="002878B1">
        <w:rPr>
          <w:rFonts w:ascii="Book Antiqua" w:hAnsi="Book Antiqua" w:cs="Times New Roman"/>
          <w:kern w:val="2"/>
          <w:sz w:val="24"/>
          <w:szCs w:val="24"/>
          <w:lang w:eastAsia="zh-CN"/>
        </w:rPr>
        <w:t>Ramzan</w:t>
      </w:r>
      <w:proofErr w:type="spellEnd"/>
      <w:r w:rsidRPr="002878B1">
        <w:rPr>
          <w:rFonts w:ascii="Book Antiqua" w:hAnsi="Book Antiqua" w:cs="Times New Roman"/>
          <w:kern w:val="2"/>
          <w:sz w:val="24"/>
          <w:szCs w:val="24"/>
          <w:lang w:eastAsia="zh-CN"/>
        </w:rPr>
        <w:t xml:space="preserve"> Z, Smith MS, Maurer AH, Fisher RS, Parkman HP. Assessment of symptoms during gastric emptying scintigraphy to correlate symptoms to delayed gastric emptying. </w:t>
      </w:r>
      <w:proofErr w:type="spellStart"/>
      <w:r w:rsidRPr="002878B1">
        <w:rPr>
          <w:rFonts w:ascii="Book Antiqua" w:hAnsi="Book Antiqua" w:cs="Times New Roman"/>
          <w:i/>
          <w:kern w:val="2"/>
          <w:sz w:val="24"/>
          <w:szCs w:val="24"/>
          <w:lang w:eastAsia="zh-CN"/>
        </w:rPr>
        <w:t>Neurogastroenterol</w:t>
      </w:r>
      <w:proofErr w:type="spellEnd"/>
      <w:r w:rsidRPr="002878B1">
        <w:rPr>
          <w:rFonts w:ascii="Book Antiqua" w:hAnsi="Book Antiqua" w:cs="Times New Roman"/>
          <w:i/>
          <w:kern w:val="2"/>
          <w:sz w:val="24"/>
          <w:szCs w:val="24"/>
          <w:lang w:eastAsia="zh-CN"/>
        </w:rPr>
        <w:t xml:space="preserve"> </w:t>
      </w:r>
      <w:proofErr w:type="spellStart"/>
      <w:r w:rsidRPr="002878B1">
        <w:rPr>
          <w:rFonts w:ascii="Book Antiqua" w:hAnsi="Book Antiqua" w:cs="Times New Roman"/>
          <w:i/>
          <w:kern w:val="2"/>
          <w:sz w:val="24"/>
          <w:szCs w:val="24"/>
          <w:lang w:eastAsia="zh-CN"/>
        </w:rPr>
        <w:t>Motil</w:t>
      </w:r>
      <w:proofErr w:type="spellEnd"/>
      <w:r w:rsidRPr="002878B1">
        <w:rPr>
          <w:rFonts w:ascii="Book Antiqua" w:hAnsi="Book Antiqua" w:cs="Times New Roman"/>
          <w:kern w:val="2"/>
          <w:sz w:val="24"/>
          <w:szCs w:val="24"/>
          <w:lang w:eastAsia="zh-CN"/>
        </w:rPr>
        <w:t xml:space="preserve"> 2010; </w:t>
      </w:r>
      <w:r w:rsidRPr="002878B1">
        <w:rPr>
          <w:rFonts w:ascii="Book Antiqua" w:hAnsi="Book Antiqua" w:cs="Times New Roman"/>
          <w:b/>
          <w:kern w:val="2"/>
          <w:sz w:val="24"/>
          <w:szCs w:val="24"/>
          <w:lang w:eastAsia="zh-CN"/>
        </w:rPr>
        <w:t>22</w:t>
      </w:r>
      <w:r w:rsidRPr="002878B1">
        <w:rPr>
          <w:rFonts w:ascii="Book Antiqua" w:hAnsi="Book Antiqua" w:cs="Times New Roman"/>
          <w:kern w:val="2"/>
          <w:sz w:val="24"/>
          <w:szCs w:val="24"/>
          <w:lang w:eastAsia="zh-CN"/>
        </w:rPr>
        <w:t>: 539-545 [PMID: 20082665 DOI: 10.1111/j.1365-2982.2009.01454.x]</w:t>
      </w:r>
    </w:p>
    <w:p w14:paraId="09500BB2" w14:textId="77777777" w:rsidR="002878B1" w:rsidRPr="002878B1" w:rsidRDefault="002878B1" w:rsidP="002878B1">
      <w:pPr>
        <w:widowControl w:val="0"/>
        <w:snapToGrid w:val="0"/>
        <w:spacing w:after="0" w:line="360" w:lineRule="auto"/>
        <w:jc w:val="both"/>
        <w:rPr>
          <w:rFonts w:ascii="Book Antiqua" w:hAnsi="Book Antiqua" w:cs="Times New Roman"/>
          <w:kern w:val="2"/>
          <w:sz w:val="24"/>
          <w:szCs w:val="24"/>
          <w:lang w:eastAsia="zh-CN"/>
        </w:rPr>
      </w:pPr>
      <w:r w:rsidRPr="002878B1">
        <w:rPr>
          <w:rFonts w:ascii="Book Antiqua" w:hAnsi="Book Antiqua" w:cs="Times New Roman"/>
          <w:kern w:val="2"/>
          <w:sz w:val="24"/>
          <w:szCs w:val="24"/>
          <w:lang w:eastAsia="zh-CN"/>
        </w:rPr>
        <w:t xml:space="preserve">5 </w:t>
      </w:r>
      <w:proofErr w:type="spellStart"/>
      <w:r w:rsidRPr="002878B1">
        <w:rPr>
          <w:rFonts w:ascii="Book Antiqua" w:hAnsi="Book Antiqua" w:cs="Times New Roman"/>
          <w:b/>
          <w:kern w:val="2"/>
          <w:sz w:val="24"/>
          <w:szCs w:val="24"/>
          <w:lang w:eastAsia="zh-CN"/>
        </w:rPr>
        <w:t>Mutlu</w:t>
      </w:r>
      <w:proofErr w:type="spellEnd"/>
      <w:r w:rsidRPr="002878B1">
        <w:rPr>
          <w:rFonts w:ascii="Book Antiqua" w:hAnsi="Book Antiqua" w:cs="Times New Roman"/>
          <w:b/>
          <w:kern w:val="2"/>
          <w:sz w:val="24"/>
          <w:szCs w:val="24"/>
          <w:lang w:eastAsia="zh-CN"/>
        </w:rPr>
        <w:t xml:space="preserve"> GM</w:t>
      </w:r>
      <w:r w:rsidRPr="002878B1">
        <w:rPr>
          <w:rFonts w:ascii="Book Antiqua" w:hAnsi="Book Antiqua" w:cs="Times New Roman"/>
          <w:kern w:val="2"/>
          <w:sz w:val="24"/>
          <w:szCs w:val="24"/>
          <w:lang w:eastAsia="zh-CN"/>
        </w:rPr>
        <w:t xml:space="preserve">, </w:t>
      </w:r>
      <w:proofErr w:type="spellStart"/>
      <w:r w:rsidRPr="002878B1">
        <w:rPr>
          <w:rFonts w:ascii="Book Antiqua" w:hAnsi="Book Antiqua" w:cs="Times New Roman"/>
          <w:kern w:val="2"/>
          <w:sz w:val="24"/>
          <w:szCs w:val="24"/>
          <w:lang w:eastAsia="zh-CN"/>
        </w:rPr>
        <w:t>Mutlu</w:t>
      </w:r>
      <w:proofErr w:type="spellEnd"/>
      <w:r w:rsidRPr="002878B1">
        <w:rPr>
          <w:rFonts w:ascii="Book Antiqua" w:hAnsi="Book Antiqua" w:cs="Times New Roman"/>
          <w:kern w:val="2"/>
          <w:sz w:val="24"/>
          <w:szCs w:val="24"/>
          <w:lang w:eastAsia="zh-CN"/>
        </w:rPr>
        <w:t xml:space="preserve"> EA, Factor P. GI complications in patients receiving mechanical ventilation. </w:t>
      </w:r>
      <w:r w:rsidRPr="002878B1">
        <w:rPr>
          <w:rFonts w:ascii="Book Antiqua" w:hAnsi="Book Antiqua" w:cs="Times New Roman"/>
          <w:i/>
          <w:kern w:val="2"/>
          <w:sz w:val="24"/>
          <w:szCs w:val="24"/>
          <w:lang w:eastAsia="zh-CN"/>
        </w:rPr>
        <w:t>Chest</w:t>
      </w:r>
      <w:r w:rsidRPr="002878B1">
        <w:rPr>
          <w:rFonts w:ascii="Book Antiqua" w:hAnsi="Book Antiqua" w:cs="Times New Roman"/>
          <w:kern w:val="2"/>
          <w:sz w:val="24"/>
          <w:szCs w:val="24"/>
          <w:lang w:eastAsia="zh-CN"/>
        </w:rPr>
        <w:t xml:space="preserve"> 2001; </w:t>
      </w:r>
      <w:r w:rsidRPr="002878B1">
        <w:rPr>
          <w:rFonts w:ascii="Book Antiqua" w:hAnsi="Book Antiqua" w:cs="Times New Roman"/>
          <w:b/>
          <w:kern w:val="2"/>
          <w:sz w:val="24"/>
          <w:szCs w:val="24"/>
          <w:lang w:eastAsia="zh-CN"/>
        </w:rPr>
        <w:t>119</w:t>
      </w:r>
      <w:r w:rsidRPr="002878B1">
        <w:rPr>
          <w:rFonts w:ascii="Book Antiqua" w:hAnsi="Book Antiqua" w:cs="Times New Roman"/>
          <w:kern w:val="2"/>
          <w:sz w:val="24"/>
          <w:szCs w:val="24"/>
          <w:lang w:eastAsia="zh-CN"/>
        </w:rPr>
        <w:t>: 1222-1241 [PMID: 11296191]</w:t>
      </w:r>
    </w:p>
    <w:p w14:paraId="5EDD55EC" w14:textId="77777777" w:rsidR="002878B1" w:rsidRPr="002878B1" w:rsidRDefault="002878B1" w:rsidP="002878B1">
      <w:pPr>
        <w:widowControl w:val="0"/>
        <w:snapToGrid w:val="0"/>
        <w:spacing w:after="0" w:line="360" w:lineRule="auto"/>
        <w:jc w:val="both"/>
        <w:rPr>
          <w:rFonts w:ascii="Book Antiqua" w:hAnsi="Book Antiqua" w:cs="Times New Roman"/>
          <w:kern w:val="2"/>
          <w:sz w:val="24"/>
          <w:szCs w:val="24"/>
          <w:lang w:eastAsia="zh-CN"/>
        </w:rPr>
      </w:pPr>
      <w:r w:rsidRPr="002878B1">
        <w:rPr>
          <w:rFonts w:ascii="Book Antiqua" w:hAnsi="Book Antiqua" w:cs="Times New Roman"/>
          <w:kern w:val="2"/>
          <w:sz w:val="24"/>
          <w:szCs w:val="24"/>
          <w:lang w:eastAsia="zh-CN"/>
        </w:rPr>
        <w:t xml:space="preserve">6 </w:t>
      </w:r>
      <w:proofErr w:type="spellStart"/>
      <w:r w:rsidRPr="002878B1">
        <w:rPr>
          <w:rFonts w:ascii="Book Antiqua" w:hAnsi="Book Antiqua" w:cs="Times New Roman"/>
          <w:b/>
          <w:kern w:val="2"/>
          <w:sz w:val="24"/>
          <w:szCs w:val="24"/>
          <w:lang w:eastAsia="zh-CN"/>
        </w:rPr>
        <w:t>Kar</w:t>
      </w:r>
      <w:proofErr w:type="spellEnd"/>
      <w:r w:rsidRPr="002878B1">
        <w:rPr>
          <w:rFonts w:ascii="Book Antiqua" w:hAnsi="Book Antiqua" w:cs="Times New Roman"/>
          <w:b/>
          <w:kern w:val="2"/>
          <w:sz w:val="24"/>
          <w:szCs w:val="24"/>
          <w:lang w:eastAsia="zh-CN"/>
        </w:rPr>
        <w:t xml:space="preserve"> P</w:t>
      </w:r>
      <w:r w:rsidRPr="002878B1">
        <w:rPr>
          <w:rFonts w:ascii="Book Antiqua" w:hAnsi="Book Antiqua" w:cs="Times New Roman"/>
          <w:kern w:val="2"/>
          <w:sz w:val="24"/>
          <w:szCs w:val="24"/>
          <w:lang w:eastAsia="zh-CN"/>
        </w:rPr>
        <w:t xml:space="preserve">, Jones KL, Horowitz M, Chapman MJ, Deane AM. </w:t>
      </w:r>
      <w:proofErr w:type="gramStart"/>
      <w:r w:rsidRPr="002878B1">
        <w:rPr>
          <w:rFonts w:ascii="Book Antiqua" w:hAnsi="Book Antiqua" w:cs="Times New Roman"/>
          <w:kern w:val="2"/>
          <w:sz w:val="24"/>
          <w:szCs w:val="24"/>
          <w:lang w:eastAsia="zh-CN"/>
        </w:rPr>
        <w:t>Measurement of gastric emptying in the critically ill.</w:t>
      </w:r>
      <w:proofErr w:type="gramEnd"/>
      <w:r w:rsidRPr="002878B1">
        <w:rPr>
          <w:rFonts w:ascii="Book Antiqua" w:hAnsi="Book Antiqua" w:cs="Times New Roman"/>
          <w:kern w:val="2"/>
          <w:sz w:val="24"/>
          <w:szCs w:val="24"/>
          <w:lang w:eastAsia="zh-CN"/>
        </w:rPr>
        <w:t xml:space="preserve"> </w:t>
      </w:r>
      <w:proofErr w:type="spellStart"/>
      <w:r w:rsidRPr="002878B1">
        <w:rPr>
          <w:rFonts w:ascii="Book Antiqua" w:hAnsi="Book Antiqua" w:cs="Times New Roman"/>
          <w:i/>
          <w:kern w:val="2"/>
          <w:sz w:val="24"/>
          <w:szCs w:val="24"/>
          <w:lang w:eastAsia="zh-CN"/>
        </w:rPr>
        <w:t>Clin</w:t>
      </w:r>
      <w:proofErr w:type="spellEnd"/>
      <w:r w:rsidRPr="002878B1">
        <w:rPr>
          <w:rFonts w:ascii="Book Antiqua" w:hAnsi="Book Antiqua" w:cs="Times New Roman"/>
          <w:i/>
          <w:kern w:val="2"/>
          <w:sz w:val="24"/>
          <w:szCs w:val="24"/>
          <w:lang w:eastAsia="zh-CN"/>
        </w:rPr>
        <w:t xml:space="preserve"> </w:t>
      </w:r>
      <w:proofErr w:type="spellStart"/>
      <w:r w:rsidRPr="002878B1">
        <w:rPr>
          <w:rFonts w:ascii="Book Antiqua" w:hAnsi="Book Antiqua" w:cs="Times New Roman"/>
          <w:i/>
          <w:kern w:val="2"/>
          <w:sz w:val="24"/>
          <w:szCs w:val="24"/>
          <w:lang w:eastAsia="zh-CN"/>
        </w:rPr>
        <w:t>Nutr</w:t>
      </w:r>
      <w:proofErr w:type="spellEnd"/>
      <w:r w:rsidRPr="002878B1">
        <w:rPr>
          <w:rFonts w:ascii="Book Antiqua" w:hAnsi="Book Antiqua" w:cs="Times New Roman"/>
          <w:kern w:val="2"/>
          <w:sz w:val="24"/>
          <w:szCs w:val="24"/>
          <w:lang w:eastAsia="zh-CN"/>
        </w:rPr>
        <w:t xml:space="preserve"> 2015; </w:t>
      </w:r>
      <w:r w:rsidRPr="002878B1">
        <w:rPr>
          <w:rFonts w:ascii="Book Antiqua" w:hAnsi="Book Antiqua" w:cs="Times New Roman"/>
          <w:b/>
          <w:kern w:val="2"/>
          <w:sz w:val="24"/>
          <w:szCs w:val="24"/>
          <w:lang w:eastAsia="zh-CN"/>
        </w:rPr>
        <w:t>34</w:t>
      </w:r>
      <w:r w:rsidRPr="002878B1">
        <w:rPr>
          <w:rFonts w:ascii="Book Antiqua" w:hAnsi="Book Antiqua" w:cs="Times New Roman"/>
          <w:kern w:val="2"/>
          <w:sz w:val="24"/>
          <w:szCs w:val="24"/>
          <w:lang w:eastAsia="zh-CN"/>
        </w:rPr>
        <w:t>: 557-564 [PMID: 25491245 DOI: 10.1016/j.clnu.2014.11.003]</w:t>
      </w:r>
    </w:p>
    <w:p w14:paraId="6C3629A8" w14:textId="77777777" w:rsidR="002878B1" w:rsidRPr="002878B1" w:rsidRDefault="002878B1" w:rsidP="002878B1">
      <w:pPr>
        <w:widowControl w:val="0"/>
        <w:snapToGrid w:val="0"/>
        <w:spacing w:after="0" w:line="360" w:lineRule="auto"/>
        <w:jc w:val="both"/>
        <w:rPr>
          <w:rFonts w:ascii="Book Antiqua" w:hAnsi="Book Antiqua" w:cs="Times New Roman"/>
          <w:kern w:val="2"/>
          <w:sz w:val="24"/>
          <w:szCs w:val="24"/>
          <w:lang w:eastAsia="zh-CN"/>
        </w:rPr>
      </w:pPr>
      <w:proofErr w:type="gramStart"/>
      <w:r w:rsidRPr="002878B1">
        <w:rPr>
          <w:rFonts w:ascii="Book Antiqua" w:hAnsi="Book Antiqua" w:cs="Times New Roman"/>
          <w:kern w:val="2"/>
          <w:sz w:val="24"/>
          <w:szCs w:val="24"/>
          <w:lang w:eastAsia="zh-CN"/>
        </w:rPr>
        <w:t xml:space="preserve">7 </w:t>
      </w:r>
      <w:proofErr w:type="spellStart"/>
      <w:r w:rsidRPr="002878B1">
        <w:rPr>
          <w:rFonts w:ascii="Book Antiqua" w:hAnsi="Book Antiqua" w:cs="Times New Roman"/>
          <w:b/>
          <w:kern w:val="2"/>
          <w:sz w:val="24"/>
          <w:szCs w:val="24"/>
          <w:lang w:eastAsia="zh-CN"/>
        </w:rPr>
        <w:t>DeLegge</w:t>
      </w:r>
      <w:proofErr w:type="spellEnd"/>
      <w:r w:rsidRPr="002878B1">
        <w:rPr>
          <w:rFonts w:ascii="Book Antiqua" w:hAnsi="Book Antiqua" w:cs="Times New Roman"/>
          <w:b/>
          <w:kern w:val="2"/>
          <w:sz w:val="24"/>
          <w:szCs w:val="24"/>
          <w:lang w:eastAsia="zh-CN"/>
        </w:rPr>
        <w:t xml:space="preserve"> MH</w:t>
      </w:r>
      <w:r w:rsidRPr="002878B1">
        <w:rPr>
          <w:rFonts w:ascii="Book Antiqua" w:hAnsi="Book Antiqua" w:cs="Times New Roman"/>
          <w:kern w:val="2"/>
          <w:sz w:val="24"/>
          <w:szCs w:val="24"/>
          <w:lang w:eastAsia="zh-CN"/>
        </w:rPr>
        <w:t>.</w:t>
      </w:r>
      <w:proofErr w:type="gramEnd"/>
      <w:r w:rsidRPr="002878B1">
        <w:rPr>
          <w:rFonts w:ascii="Book Antiqua" w:hAnsi="Book Antiqua" w:cs="Times New Roman"/>
          <w:kern w:val="2"/>
          <w:sz w:val="24"/>
          <w:szCs w:val="24"/>
          <w:lang w:eastAsia="zh-CN"/>
        </w:rPr>
        <w:t xml:space="preserve"> Managing gastric residual volumes in the critically ill patient: an update. </w:t>
      </w:r>
      <w:proofErr w:type="spellStart"/>
      <w:r w:rsidRPr="002878B1">
        <w:rPr>
          <w:rFonts w:ascii="Book Antiqua" w:hAnsi="Book Antiqua" w:cs="Times New Roman"/>
          <w:i/>
          <w:kern w:val="2"/>
          <w:sz w:val="24"/>
          <w:szCs w:val="24"/>
          <w:lang w:eastAsia="zh-CN"/>
        </w:rPr>
        <w:t>Curr</w:t>
      </w:r>
      <w:proofErr w:type="spellEnd"/>
      <w:r w:rsidRPr="002878B1">
        <w:rPr>
          <w:rFonts w:ascii="Book Antiqua" w:hAnsi="Book Antiqua" w:cs="Times New Roman"/>
          <w:i/>
          <w:kern w:val="2"/>
          <w:sz w:val="24"/>
          <w:szCs w:val="24"/>
          <w:lang w:eastAsia="zh-CN"/>
        </w:rPr>
        <w:t xml:space="preserve"> </w:t>
      </w:r>
      <w:proofErr w:type="spellStart"/>
      <w:r w:rsidRPr="002878B1">
        <w:rPr>
          <w:rFonts w:ascii="Book Antiqua" w:hAnsi="Book Antiqua" w:cs="Times New Roman"/>
          <w:i/>
          <w:kern w:val="2"/>
          <w:sz w:val="24"/>
          <w:szCs w:val="24"/>
          <w:lang w:eastAsia="zh-CN"/>
        </w:rPr>
        <w:t>Opin</w:t>
      </w:r>
      <w:proofErr w:type="spellEnd"/>
      <w:r w:rsidRPr="002878B1">
        <w:rPr>
          <w:rFonts w:ascii="Book Antiqua" w:hAnsi="Book Antiqua" w:cs="Times New Roman"/>
          <w:i/>
          <w:kern w:val="2"/>
          <w:sz w:val="24"/>
          <w:szCs w:val="24"/>
          <w:lang w:eastAsia="zh-CN"/>
        </w:rPr>
        <w:t xml:space="preserve"> </w:t>
      </w:r>
      <w:proofErr w:type="spellStart"/>
      <w:r w:rsidRPr="002878B1">
        <w:rPr>
          <w:rFonts w:ascii="Book Antiqua" w:hAnsi="Book Antiqua" w:cs="Times New Roman"/>
          <w:i/>
          <w:kern w:val="2"/>
          <w:sz w:val="24"/>
          <w:szCs w:val="24"/>
          <w:lang w:eastAsia="zh-CN"/>
        </w:rPr>
        <w:t>Clin</w:t>
      </w:r>
      <w:proofErr w:type="spellEnd"/>
      <w:r w:rsidRPr="002878B1">
        <w:rPr>
          <w:rFonts w:ascii="Book Antiqua" w:hAnsi="Book Antiqua" w:cs="Times New Roman"/>
          <w:i/>
          <w:kern w:val="2"/>
          <w:sz w:val="24"/>
          <w:szCs w:val="24"/>
          <w:lang w:eastAsia="zh-CN"/>
        </w:rPr>
        <w:t xml:space="preserve"> </w:t>
      </w:r>
      <w:proofErr w:type="spellStart"/>
      <w:r w:rsidRPr="002878B1">
        <w:rPr>
          <w:rFonts w:ascii="Book Antiqua" w:hAnsi="Book Antiqua" w:cs="Times New Roman"/>
          <w:i/>
          <w:kern w:val="2"/>
          <w:sz w:val="24"/>
          <w:szCs w:val="24"/>
          <w:lang w:eastAsia="zh-CN"/>
        </w:rPr>
        <w:t>Nutr</w:t>
      </w:r>
      <w:proofErr w:type="spellEnd"/>
      <w:r w:rsidRPr="002878B1">
        <w:rPr>
          <w:rFonts w:ascii="Book Antiqua" w:hAnsi="Book Antiqua" w:cs="Times New Roman"/>
          <w:i/>
          <w:kern w:val="2"/>
          <w:sz w:val="24"/>
          <w:szCs w:val="24"/>
          <w:lang w:eastAsia="zh-CN"/>
        </w:rPr>
        <w:t xml:space="preserve"> </w:t>
      </w:r>
      <w:proofErr w:type="spellStart"/>
      <w:r w:rsidRPr="002878B1">
        <w:rPr>
          <w:rFonts w:ascii="Book Antiqua" w:hAnsi="Book Antiqua" w:cs="Times New Roman"/>
          <w:i/>
          <w:kern w:val="2"/>
          <w:sz w:val="24"/>
          <w:szCs w:val="24"/>
          <w:lang w:eastAsia="zh-CN"/>
        </w:rPr>
        <w:t>Metab</w:t>
      </w:r>
      <w:proofErr w:type="spellEnd"/>
      <w:r w:rsidRPr="002878B1">
        <w:rPr>
          <w:rFonts w:ascii="Book Antiqua" w:hAnsi="Book Antiqua" w:cs="Times New Roman"/>
          <w:i/>
          <w:kern w:val="2"/>
          <w:sz w:val="24"/>
          <w:szCs w:val="24"/>
          <w:lang w:eastAsia="zh-CN"/>
        </w:rPr>
        <w:t xml:space="preserve"> Care</w:t>
      </w:r>
      <w:r w:rsidRPr="002878B1">
        <w:rPr>
          <w:rFonts w:ascii="Book Antiqua" w:hAnsi="Book Antiqua" w:cs="Times New Roman"/>
          <w:kern w:val="2"/>
          <w:sz w:val="24"/>
          <w:szCs w:val="24"/>
          <w:lang w:eastAsia="zh-CN"/>
        </w:rPr>
        <w:t xml:space="preserve"> 2011; </w:t>
      </w:r>
      <w:r w:rsidRPr="002878B1">
        <w:rPr>
          <w:rFonts w:ascii="Book Antiqua" w:hAnsi="Book Antiqua" w:cs="Times New Roman"/>
          <w:b/>
          <w:kern w:val="2"/>
          <w:sz w:val="24"/>
          <w:szCs w:val="24"/>
          <w:lang w:eastAsia="zh-CN"/>
        </w:rPr>
        <w:t>14</w:t>
      </w:r>
      <w:r w:rsidRPr="002878B1">
        <w:rPr>
          <w:rFonts w:ascii="Book Antiqua" w:hAnsi="Book Antiqua" w:cs="Times New Roman"/>
          <w:kern w:val="2"/>
          <w:sz w:val="24"/>
          <w:szCs w:val="24"/>
          <w:lang w:eastAsia="zh-CN"/>
        </w:rPr>
        <w:t>: 193-196 [PMID: 21102316 DOI: 10.1097/MCO.0b013e328341ede7]</w:t>
      </w:r>
    </w:p>
    <w:p w14:paraId="74E8F396" w14:textId="77777777" w:rsidR="002878B1" w:rsidRPr="002878B1" w:rsidRDefault="002878B1" w:rsidP="002878B1">
      <w:pPr>
        <w:widowControl w:val="0"/>
        <w:snapToGrid w:val="0"/>
        <w:spacing w:after="0" w:line="360" w:lineRule="auto"/>
        <w:jc w:val="both"/>
        <w:rPr>
          <w:rFonts w:ascii="Book Antiqua" w:hAnsi="Book Antiqua" w:cs="Times New Roman"/>
          <w:kern w:val="2"/>
          <w:sz w:val="24"/>
          <w:szCs w:val="24"/>
          <w:lang w:eastAsia="zh-CN"/>
        </w:rPr>
      </w:pPr>
      <w:r w:rsidRPr="002878B1">
        <w:rPr>
          <w:rFonts w:ascii="Book Antiqua" w:hAnsi="Book Antiqua" w:cs="Times New Roman"/>
          <w:kern w:val="2"/>
          <w:sz w:val="24"/>
          <w:szCs w:val="24"/>
          <w:lang w:eastAsia="zh-CN"/>
        </w:rPr>
        <w:t xml:space="preserve">8 </w:t>
      </w:r>
      <w:proofErr w:type="gramStart"/>
      <w:r w:rsidRPr="002878B1">
        <w:rPr>
          <w:rFonts w:ascii="Book Antiqua" w:hAnsi="Book Antiqua" w:cs="Times New Roman"/>
          <w:b/>
          <w:kern w:val="2"/>
          <w:sz w:val="24"/>
          <w:szCs w:val="24"/>
          <w:lang w:eastAsia="zh-CN"/>
        </w:rPr>
        <w:t>Hurt</w:t>
      </w:r>
      <w:proofErr w:type="gramEnd"/>
      <w:r w:rsidRPr="002878B1">
        <w:rPr>
          <w:rFonts w:ascii="Book Antiqua" w:hAnsi="Book Antiqua" w:cs="Times New Roman"/>
          <w:b/>
          <w:kern w:val="2"/>
          <w:sz w:val="24"/>
          <w:szCs w:val="24"/>
          <w:lang w:eastAsia="zh-CN"/>
        </w:rPr>
        <w:t xml:space="preserve"> RT</w:t>
      </w:r>
      <w:r w:rsidRPr="002878B1">
        <w:rPr>
          <w:rFonts w:ascii="Book Antiqua" w:hAnsi="Book Antiqua" w:cs="Times New Roman"/>
          <w:kern w:val="2"/>
          <w:sz w:val="24"/>
          <w:szCs w:val="24"/>
          <w:lang w:eastAsia="zh-CN"/>
        </w:rPr>
        <w:t xml:space="preserve">, </w:t>
      </w:r>
      <w:proofErr w:type="spellStart"/>
      <w:r w:rsidRPr="002878B1">
        <w:rPr>
          <w:rFonts w:ascii="Book Antiqua" w:hAnsi="Book Antiqua" w:cs="Times New Roman"/>
          <w:kern w:val="2"/>
          <w:sz w:val="24"/>
          <w:szCs w:val="24"/>
          <w:lang w:eastAsia="zh-CN"/>
        </w:rPr>
        <w:t>McClave</w:t>
      </w:r>
      <w:proofErr w:type="spellEnd"/>
      <w:r w:rsidRPr="002878B1">
        <w:rPr>
          <w:rFonts w:ascii="Book Antiqua" w:hAnsi="Book Antiqua" w:cs="Times New Roman"/>
          <w:kern w:val="2"/>
          <w:sz w:val="24"/>
          <w:szCs w:val="24"/>
          <w:lang w:eastAsia="zh-CN"/>
        </w:rPr>
        <w:t xml:space="preserve"> SA. Gastric residual volumes in critical illness: what do they really mean? </w:t>
      </w:r>
      <w:proofErr w:type="spellStart"/>
      <w:r w:rsidRPr="002878B1">
        <w:rPr>
          <w:rFonts w:ascii="Book Antiqua" w:hAnsi="Book Antiqua" w:cs="Times New Roman"/>
          <w:i/>
          <w:kern w:val="2"/>
          <w:sz w:val="24"/>
          <w:szCs w:val="24"/>
          <w:lang w:eastAsia="zh-CN"/>
        </w:rPr>
        <w:t>Crit</w:t>
      </w:r>
      <w:proofErr w:type="spellEnd"/>
      <w:r w:rsidRPr="002878B1">
        <w:rPr>
          <w:rFonts w:ascii="Book Antiqua" w:hAnsi="Book Antiqua" w:cs="Times New Roman"/>
          <w:i/>
          <w:kern w:val="2"/>
          <w:sz w:val="24"/>
          <w:szCs w:val="24"/>
          <w:lang w:eastAsia="zh-CN"/>
        </w:rPr>
        <w:t xml:space="preserve"> Care </w:t>
      </w:r>
      <w:proofErr w:type="spellStart"/>
      <w:r w:rsidRPr="002878B1">
        <w:rPr>
          <w:rFonts w:ascii="Book Antiqua" w:hAnsi="Book Antiqua" w:cs="Times New Roman"/>
          <w:i/>
          <w:kern w:val="2"/>
          <w:sz w:val="24"/>
          <w:szCs w:val="24"/>
          <w:lang w:eastAsia="zh-CN"/>
        </w:rPr>
        <w:t>Clin</w:t>
      </w:r>
      <w:proofErr w:type="spellEnd"/>
      <w:r w:rsidRPr="002878B1">
        <w:rPr>
          <w:rFonts w:ascii="Book Antiqua" w:hAnsi="Book Antiqua" w:cs="Times New Roman"/>
          <w:kern w:val="2"/>
          <w:sz w:val="24"/>
          <w:szCs w:val="24"/>
          <w:lang w:eastAsia="zh-CN"/>
        </w:rPr>
        <w:t xml:space="preserve"> 2010; </w:t>
      </w:r>
      <w:r w:rsidRPr="002878B1">
        <w:rPr>
          <w:rFonts w:ascii="Book Antiqua" w:hAnsi="Book Antiqua" w:cs="Times New Roman"/>
          <w:b/>
          <w:kern w:val="2"/>
          <w:sz w:val="24"/>
          <w:szCs w:val="24"/>
          <w:lang w:eastAsia="zh-CN"/>
        </w:rPr>
        <w:t>26</w:t>
      </w:r>
      <w:r w:rsidRPr="002878B1">
        <w:rPr>
          <w:rFonts w:ascii="Book Antiqua" w:hAnsi="Book Antiqua" w:cs="Times New Roman"/>
          <w:kern w:val="2"/>
          <w:sz w:val="24"/>
          <w:szCs w:val="24"/>
          <w:lang w:eastAsia="zh-CN"/>
        </w:rPr>
        <w:t>: 481-490, viii-</w:t>
      </w:r>
      <w:proofErr w:type="spellStart"/>
      <w:r w:rsidRPr="002878B1">
        <w:rPr>
          <w:rFonts w:ascii="Book Antiqua" w:hAnsi="Book Antiqua" w:cs="Times New Roman"/>
          <w:kern w:val="2"/>
          <w:sz w:val="24"/>
          <w:szCs w:val="24"/>
          <w:lang w:eastAsia="zh-CN"/>
        </w:rPr>
        <w:t>viix</w:t>
      </w:r>
      <w:proofErr w:type="spellEnd"/>
      <w:r w:rsidRPr="002878B1">
        <w:rPr>
          <w:rFonts w:ascii="Book Antiqua" w:hAnsi="Book Antiqua" w:cs="Times New Roman"/>
          <w:kern w:val="2"/>
          <w:sz w:val="24"/>
          <w:szCs w:val="24"/>
          <w:lang w:eastAsia="zh-CN"/>
        </w:rPr>
        <w:t xml:space="preserve"> [PMID: 20643301 DOI: 10.1016/j.ccc.2010.04.010]</w:t>
      </w:r>
    </w:p>
    <w:p w14:paraId="27D5AE5D" w14:textId="77777777" w:rsidR="002878B1" w:rsidRPr="002878B1" w:rsidRDefault="002878B1" w:rsidP="002878B1">
      <w:pPr>
        <w:widowControl w:val="0"/>
        <w:snapToGrid w:val="0"/>
        <w:spacing w:after="0" w:line="360" w:lineRule="auto"/>
        <w:jc w:val="both"/>
        <w:rPr>
          <w:rFonts w:ascii="Book Antiqua" w:hAnsi="Book Antiqua" w:cs="Times New Roman"/>
          <w:kern w:val="2"/>
          <w:sz w:val="24"/>
          <w:szCs w:val="24"/>
          <w:lang w:eastAsia="zh-CN"/>
        </w:rPr>
      </w:pPr>
      <w:r w:rsidRPr="002878B1">
        <w:rPr>
          <w:rFonts w:ascii="Book Antiqua" w:hAnsi="Book Antiqua" w:cs="Times New Roman"/>
          <w:kern w:val="2"/>
          <w:sz w:val="24"/>
          <w:szCs w:val="24"/>
          <w:lang w:eastAsia="zh-CN"/>
        </w:rPr>
        <w:t xml:space="preserve">9 </w:t>
      </w:r>
      <w:proofErr w:type="spellStart"/>
      <w:r w:rsidRPr="002878B1">
        <w:rPr>
          <w:rFonts w:ascii="Book Antiqua" w:hAnsi="Book Antiqua" w:cs="Times New Roman"/>
          <w:b/>
          <w:kern w:val="2"/>
          <w:sz w:val="24"/>
          <w:szCs w:val="24"/>
          <w:lang w:eastAsia="zh-CN"/>
        </w:rPr>
        <w:t>Landzinski</w:t>
      </w:r>
      <w:proofErr w:type="spellEnd"/>
      <w:r w:rsidRPr="002878B1">
        <w:rPr>
          <w:rFonts w:ascii="Book Antiqua" w:hAnsi="Book Antiqua" w:cs="Times New Roman"/>
          <w:b/>
          <w:kern w:val="2"/>
          <w:sz w:val="24"/>
          <w:szCs w:val="24"/>
          <w:lang w:eastAsia="zh-CN"/>
        </w:rPr>
        <w:t xml:space="preserve"> J</w:t>
      </w:r>
      <w:r w:rsidRPr="002878B1">
        <w:rPr>
          <w:rFonts w:ascii="Book Antiqua" w:hAnsi="Book Antiqua" w:cs="Times New Roman"/>
          <w:kern w:val="2"/>
          <w:sz w:val="24"/>
          <w:szCs w:val="24"/>
          <w:lang w:eastAsia="zh-CN"/>
        </w:rPr>
        <w:t xml:space="preserve">, Kiser TH, Fish DN, </w:t>
      </w:r>
      <w:proofErr w:type="spellStart"/>
      <w:r w:rsidRPr="002878B1">
        <w:rPr>
          <w:rFonts w:ascii="Book Antiqua" w:hAnsi="Book Antiqua" w:cs="Times New Roman"/>
          <w:kern w:val="2"/>
          <w:sz w:val="24"/>
          <w:szCs w:val="24"/>
          <w:lang w:eastAsia="zh-CN"/>
        </w:rPr>
        <w:t>Wischmeyer</w:t>
      </w:r>
      <w:proofErr w:type="spellEnd"/>
      <w:r w:rsidRPr="002878B1">
        <w:rPr>
          <w:rFonts w:ascii="Book Antiqua" w:hAnsi="Book Antiqua" w:cs="Times New Roman"/>
          <w:kern w:val="2"/>
          <w:sz w:val="24"/>
          <w:szCs w:val="24"/>
          <w:lang w:eastAsia="zh-CN"/>
        </w:rPr>
        <w:t xml:space="preserve"> PE, </w:t>
      </w:r>
      <w:proofErr w:type="spellStart"/>
      <w:r w:rsidRPr="002878B1">
        <w:rPr>
          <w:rFonts w:ascii="Book Antiqua" w:hAnsi="Book Antiqua" w:cs="Times New Roman"/>
          <w:kern w:val="2"/>
          <w:sz w:val="24"/>
          <w:szCs w:val="24"/>
          <w:lang w:eastAsia="zh-CN"/>
        </w:rPr>
        <w:t>MacLaren</w:t>
      </w:r>
      <w:proofErr w:type="spellEnd"/>
      <w:r w:rsidRPr="002878B1">
        <w:rPr>
          <w:rFonts w:ascii="Book Antiqua" w:hAnsi="Book Antiqua" w:cs="Times New Roman"/>
          <w:kern w:val="2"/>
          <w:sz w:val="24"/>
          <w:szCs w:val="24"/>
          <w:lang w:eastAsia="zh-CN"/>
        </w:rPr>
        <w:t xml:space="preserve"> R. Gastric motility function in critically ill patients tolerant vs intolerant to gastric nutrition. </w:t>
      </w:r>
      <w:r w:rsidRPr="002878B1">
        <w:rPr>
          <w:rFonts w:ascii="Book Antiqua" w:hAnsi="Book Antiqua" w:cs="Times New Roman"/>
          <w:i/>
          <w:kern w:val="2"/>
          <w:sz w:val="24"/>
          <w:szCs w:val="24"/>
          <w:lang w:eastAsia="zh-CN"/>
        </w:rPr>
        <w:t xml:space="preserve">JPEN J </w:t>
      </w:r>
      <w:proofErr w:type="spellStart"/>
      <w:r w:rsidRPr="002878B1">
        <w:rPr>
          <w:rFonts w:ascii="Book Antiqua" w:hAnsi="Book Antiqua" w:cs="Times New Roman"/>
          <w:i/>
          <w:kern w:val="2"/>
          <w:sz w:val="24"/>
          <w:szCs w:val="24"/>
          <w:lang w:eastAsia="zh-CN"/>
        </w:rPr>
        <w:t>Parenter</w:t>
      </w:r>
      <w:proofErr w:type="spellEnd"/>
      <w:r w:rsidRPr="002878B1">
        <w:rPr>
          <w:rFonts w:ascii="Book Antiqua" w:hAnsi="Book Antiqua" w:cs="Times New Roman"/>
          <w:i/>
          <w:kern w:val="2"/>
          <w:sz w:val="24"/>
          <w:szCs w:val="24"/>
          <w:lang w:eastAsia="zh-CN"/>
        </w:rPr>
        <w:t xml:space="preserve"> Enteral </w:t>
      </w:r>
      <w:proofErr w:type="spellStart"/>
      <w:r w:rsidRPr="002878B1">
        <w:rPr>
          <w:rFonts w:ascii="Book Antiqua" w:hAnsi="Book Antiqua" w:cs="Times New Roman"/>
          <w:i/>
          <w:kern w:val="2"/>
          <w:sz w:val="24"/>
          <w:szCs w:val="24"/>
          <w:lang w:eastAsia="zh-CN"/>
        </w:rPr>
        <w:t>Nutr</w:t>
      </w:r>
      <w:proofErr w:type="spellEnd"/>
      <w:r w:rsidRPr="002878B1">
        <w:rPr>
          <w:rFonts w:ascii="Book Antiqua" w:hAnsi="Book Antiqua" w:cs="Times New Roman"/>
          <w:kern w:val="2"/>
          <w:sz w:val="24"/>
          <w:szCs w:val="24"/>
          <w:lang w:eastAsia="zh-CN"/>
        </w:rPr>
        <w:t xml:space="preserve"> 2008; </w:t>
      </w:r>
      <w:r w:rsidRPr="002878B1">
        <w:rPr>
          <w:rFonts w:ascii="Book Antiqua" w:hAnsi="Book Antiqua" w:cs="Times New Roman"/>
          <w:b/>
          <w:kern w:val="2"/>
          <w:sz w:val="24"/>
          <w:szCs w:val="24"/>
          <w:lang w:eastAsia="zh-CN"/>
        </w:rPr>
        <w:t>32</w:t>
      </w:r>
      <w:r w:rsidRPr="002878B1">
        <w:rPr>
          <w:rFonts w:ascii="Book Antiqua" w:hAnsi="Book Antiqua" w:cs="Times New Roman"/>
          <w:kern w:val="2"/>
          <w:sz w:val="24"/>
          <w:szCs w:val="24"/>
          <w:lang w:eastAsia="zh-CN"/>
        </w:rPr>
        <w:t>: 45-50 [PMID: 18165446]</w:t>
      </w:r>
    </w:p>
    <w:p w14:paraId="4B8EFCC7" w14:textId="77777777" w:rsidR="002878B1" w:rsidRPr="002878B1" w:rsidRDefault="002878B1" w:rsidP="002878B1">
      <w:pPr>
        <w:widowControl w:val="0"/>
        <w:snapToGrid w:val="0"/>
        <w:spacing w:after="0" w:line="360" w:lineRule="auto"/>
        <w:jc w:val="both"/>
        <w:rPr>
          <w:rFonts w:ascii="Book Antiqua" w:hAnsi="Book Antiqua" w:cs="Times New Roman"/>
          <w:kern w:val="2"/>
          <w:sz w:val="24"/>
          <w:szCs w:val="24"/>
          <w:lang w:eastAsia="zh-CN"/>
        </w:rPr>
      </w:pPr>
      <w:r w:rsidRPr="002878B1">
        <w:rPr>
          <w:rFonts w:ascii="Book Antiqua" w:hAnsi="Book Antiqua" w:cs="Times New Roman"/>
          <w:kern w:val="2"/>
          <w:sz w:val="24"/>
          <w:szCs w:val="24"/>
          <w:lang w:eastAsia="zh-CN"/>
        </w:rPr>
        <w:t xml:space="preserve">10 </w:t>
      </w:r>
      <w:proofErr w:type="spellStart"/>
      <w:r w:rsidRPr="002878B1">
        <w:rPr>
          <w:rFonts w:ascii="Book Antiqua" w:hAnsi="Book Antiqua" w:cs="Times New Roman"/>
          <w:b/>
          <w:kern w:val="2"/>
          <w:sz w:val="24"/>
          <w:szCs w:val="24"/>
          <w:lang w:eastAsia="zh-CN"/>
        </w:rPr>
        <w:t>Goetze</w:t>
      </w:r>
      <w:proofErr w:type="spellEnd"/>
      <w:r w:rsidRPr="002878B1">
        <w:rPr>
          <w:rFonts w:ascii="Book Antiqua" w:hAnsi="Book Antiqua" w:cs="Times New Roman"/>
          <w:b/>
          <w:kern w:val="2"/>
          <w:sz w:val="24"/>
          <w:szCs w:val="24"/>
          <w:lang w:eastAsia="zh-CN"/>
        </w:rPr>
        <w:t xml:space="preserve"> O</w:t>
      </w:r>
      <w:r w:rsidRPr="002878B1">
        <w:rPr>
          <w:rFonts w:ascii="Book Antiqua" w:hAnsi="Book Antiqua" w:cs="Times New Roman"/>
          <w:kern w:val="2"/>
          <w:sz w:val="24"/>
          <w:szCs w:val="24"/>
          <w:lang w:eastAsia="zh-CN"/>
        </w:rPr>
        <w:t xml:space="preserve">, </w:t>
      </w:r>
      <w:proofErr w:type="spellStart"/>
      <w:r w:rsidRPr="002878B1">
        <w:rPr>
          <w:rFonts w:ascii="Book Antiqua" w:hAnsi="Book Antiqua" w:cs="Times New Roman"/>
          <w:kern w:val="2"/>
          <w:sz w:val="24"/>
          <w:szCs w:val="24"/>
          <w:lang w:eastAsia="zh-CN"/>
        </w:rPr>
        <w:t>Nikodem</w:t>
      </w:r>
      <w:proofErr w:type="spellEnd"/>
      <w:r w:rsidRPr="002878B1">
        <w:rPr>
          <w:rFonts w:ascii="Book Antiqua" w:hAnsi="Book Antiqua" w:cs="Times New Roman"/>
          <w:kern w:val="2"/>
          <w:sz w:val="24"/>
          <w:szCs w:val="24"/>
          <w:lang w:eastAsia="zh-CN"/>
        </w:rPr>
        <w:t xml:space="preserve"> AB, </w:t>
      </w:r>
      <w:proofErr w:type="spellStart"/>
      <w:r w:rsidRPr="002878B1">
        <w:rPr>
          <w:rFonts w:ascii="Book Antiqua" w:hAnsi="Book Antiqua" w:cs="Times New Roman"/>
          <w:kern w:val="2"/>
          <w:sz w:val="24"/>
          <w:szCs w:val="24"/>
          <w:lang w:eastAsia="zh-CN"/>
        </w:rPr>
        <w:t>Wiezcorek</w:t>
      </w:r>
      <w:proofErr w:type="spellEnd"/>
      <w:r w:rsidRPr="002878B1">
        <w:rPr>
          <w:rFonts w:ascii="Book Antiqua" w:hAnsi="Book Antiqua" w:cs="Times New Roman"/>
          <w:kern w:val="2"/>
          <w:sz w:val="24"/>
          <w:szCs w:val="24"/>
          <w:lang w:eastAsia="zh-CN"/>
        </w:rPr>
        <w:t xml:space="preserve"> J, </w:t>
      </w:r>
      <w:proofErr w:type="spellStart"/>
      <w:r w:rsidRPr="002878B1">
        <w:rPr>
          <w:rFonts w:ascii="Book Antiqua" w:hAnsi="Book Antiqua" w:cs="Times New Roman"/>
          <w:kern w:val="2"/>
          <w:sz w:val="24"/>
          <w:szCs w:val="24"/>
          <w:lang w:eastAsia="zh-CN"/>
        </w:rPr>
        <w:t>Banasch</w:t>
      </w:r>
      <w:proofErr w:type="spellEnd"/>
      <w:r w:rsidRPr="002878B1">
        <w:rPr>
          <w:rFonts w:ascii="Book Antiqua" w:hAnsi="Book Antiqua" w:cs="Times New Roman"/>
          <w:kern w:val="2"/>
          <w:sz w:val="24"/>
          <w:szCs w:val="24"/>
          <w:lang w:eastAsia="zh-CN"/>
        </w:rPr>
        <w:t xml:space="preserve"> M, </w:t>
      </w:r>
      <w:proofErr w:type="spellStart"/>
      <w:r w:rsidRPr="002878B1">
        <w:rPr>
          <w:rFonts w:ascii="Book Antiqua" w:hAnsi="Book Antiqua" w:cs="Times New Roman"/>
          <w:kern w:val="2"/>
          <w:sz w:val="24"/>
          <w:szCs w:val="24"/>
          <w:lang w:eastAsia="zh-CN"/>
        </w:rPr>
        <w:t>Przuntek</w:t>
      </w:r>
      <w:proofErr w:type="spellEnd"/>
      <w:r w:rsidRPr="002878B1">
        <w:rPr>
          <w:rFonts w:ascii="Book Antiqua" w:hAnsi="Book Antiqua" w:cs="Times New Roman"/>
          <w:kern w:val="2"/>
          <w:sz w:val="24"/>
          <w:szCs w:val="24"/>
          <w:lang w:eastAsia="zh-CN"/>
        </w:rPr>
        <w:t xml:space="preserve"> H, Mueller T, Schmidt WE, </w:t>
      </w:r>
      <w:proofErr w:type="spellStart"/>
      <w:r w:rsidRPr="002878B1">
        <w:rPr>
          <w:rFonts w:ascii="Book Antiqua" w:hAnsi="Book Antiqua" w:cs="Times New Roman"/>
          <w:kern w:val="2"/>
          <w:sz w:val="24"/>
          <w:szCs w:val="24"/>
          <w:lang w:eastAsia="zh-CN"/>
        </w:rPr>
        <w:t>Woitalla</w:t>
      </w:r>
      <w:proofErr w:type="spellEnd"/>
      <w:r w:rsidRPr="002878B1">
        <w:rPr>
          <w:rFonts w:ascii="Book Antiqua" w:hAnsi="Book Antiqua" w:cs="Times New Roman"/>
          <w:kern w:val="2"/>
          <w:sz w:val="24"/>
          <w:szCs w:val="24"/>
          <w:lang w:eastAsia="zh-CN"/>
        </w:rPr>
        <w:t xml:space="preserve"> D. Predictors of gastric emptying in Parkinson's disease. </w:t>
      </w:r>
      <w:proofErr w:type="spellStart"/>
      <w:r w:rsidRPr="002878B1">
        <w:rPr>
          <w:rFonts w:ascii="Book Antiqua" w:hAnsi="Book Antiqua" w:cs="Times New Roman"/>
          <w:i/>
          <w:kern w:val="2"/>
          <w:sz w:val="24"/>
          <w:szCs w:val="24"/>
          <w:lang w:eastAsia="zh-CN"/>
        </w:rPr>
        <w:t>Neurogastroenterol</w:t>
      </w:r>
      <w:proofErr w:type="spellEnd"/>
      <w:r w:rsidRPr="002878B1">
        <w:rPr>
          <w:rFonts w:ascii="Book Antiqua" w:hAnsi="Book Antiqua" w:cs="Times New Roman"/>
          <w:i/>
          <w:kern w:val="2"/>
          <w:sz w:val="24"/>
          <w:szCs w:val="24"/>
          <w:lang w:eastAsia="zh-CN"/>
        </w:rPr>
        <w:t xml:space="preserve"> </w:t>
      </w:r>
      <w:proofErr w:type="spellStart"/>
      <w:r w:rsidRPr="002878B1">
        <w:rPr>
          <w:rFonts w:ascii="Book Antiqua" w:hAnsi="Book Antiqua" w:cs="Times New Roman"/>
          <w:i/>
          <w:kern w:val="2"/>
          <w:sz w:val="24"/>
          <w:szCs w:val="24"/>
          <w:lang w:eastAsia="zh-CN"/>
        </w:rPr>
        <w:t>Motil</w:t>
      </w:r>
      <w:proofErr w:type="spellEnd"/>
      <w:r w:rsidRPr="002878B1">
        <w:rPr>
          <w:rFonts w:ascii="Book Antiqua" w:hAnsi="Book Antiqua" w:cs="Times New Roman"/>
          <w:kern w:val="2"/>
          <w:sz w:val="24"/>
          <w:szCs w:val="24"/>
          <w:lang w:eastAsia="zh-CN"/>
        </w:rPr>
        <w:t xml:space="preserve"> 2006; </w:t>
      </w:r>
      <w:r w:rsidRPr="002878B1">
        <w:rPr>
          <w:rFonts w:ascii="Book Antiqua" w:hAnsi="Book Antiqua" w:cs="Times New Roman"/>
          <w:b/>
          <w:kern w:val="2"/>
          <w:sz w:val="24"/>
          <w:szCs w:val="24"/>
          <w:lang w:eastAsia="zh-CN"/>
        </w:rPr>
        <w:t>18</w:t>
      </w:r>
      <w:r w:rsidRPr="002878B1">
        <w:rPr>
          <w:rFonts w:ascii="Book Antiqua" w:hAnsi="Book Antiqua" w:cs="Times New Roman"/>
          <w:kern w:val="2"/>
          <w:sz w:val="24"/>
          <w:szCs w:val="24"/>
          <w:lang w:eastAsia="zh-CN"/>
        </w:rPr>
        <w:t>: 369-375 [PMID: 16629864 DOI: 10.1111/j.1365-</w:t>
      </w:r>
      <w:r w:rsidRPr="002878B1">
        <w:rPr>
          <w:rFonts w:ascii="Book Antiqua" w:hAnsi="Book Antiqua" w:cs="Times New Roman"/>
          <w:kern w:val="2"/>
          <w:sz w:val="24"/>
          <w:szCs w:val="24"/>
          <w:lang w:eastAsia="zh-CN"/>
        </w:rPr>
        <w:lastRenderedPageBreak/>
        <w:t>2982.2006.00780.x]</w:t>
      </w:r>
    </w:p>
    <w:p w14:paraId="478433B6" w14:textId="77777777" w:rsidR="002878B1" w:rsidRPr="002878B1" w:rsidRDefault="002878B1" w:rsidP="002878B1">
      <w:pPr>
        <w:widowControl w:val="0"/>
        <w:snapToGrid w:val="0"/>
        <w:spacing w:after="0" w:line="360" w:lineRule="auto"/>
        <w:jc w:val="both"/>
        <w:rPr>
          <w:rFonts w:ascii="Book Antiqua" w:hAnsi="Book Antiqua" w:cs="Times New Roman"/>
          <w:kern w:val="2"/>
          <w:sz w:val="24"/>
          <w:szCs w:val="24"/>
          <w:lang w:eastAsia="zh-CN"/>
        </w:rPr>
      </w:pPr>
      <w:r w:rsidRPr="002878B1">
        <w:rPr>
          <w:rFonts w:ascii="Book Antiqua" w:hAnsi="Book Antiqua" w:cs="Times New Roman"/>
          <w:kern w:val="2"/>
          <w:sz w:val="24"/>
          <w:szCs w:val="24"/>
          <w:lang w:eastAsia="zh-CN"/>
        </w:rPr>
        <w:t xml:space="preserve">11 </w:t>
      </w:r>
      <w:proofErr w:type="spellStart"/>
      <w:r w:rsidRPr="002878B1">
        <w:rPr>
          <w:rFonts w:ascii="Book Antiqua" w:hAnsi="Book Antiqua" w:cs="Times New Roman"/>
          <w:b/>
          <w:kern w:val="2"/>
          <w:sz w:val="24"/>
          <w:szCs w:val="24"/>
          <w:lang w:eastAsia="zh-CN"/>
        </w:rPr>
        <w:t>Poulard</w:t>
      </w:r>
      <w:proofErr w:type="spellEnd"/>
      <w:r w:rsidRPr="002878B1">
        <w:rPr>
          <w:rFonts w:ascii="Book Antiqua" w:hAnsi="Book Antiqua" w:cs="Times New Roman"/>
          <w:b/>
          <w:kern w:val="2"/>
          <w:sz w:val="24"/>
          <w:szCs w:val="24"/>
          <w:lang w:eastAsia="zh-CN"/>
        </w:rPr>
        <w:t xml:space="preserve"> F</w:t>
      </w:r>
      <w:r w:rsidRPr="002878B1">
        <w:rPr>
          <w:rFonts w:ascii="Book Antiqua" w:hAnsi="Book Antiqua" w:cs="Times New Roman"/>
          <w:kern w:val="2"/>
          <w:sz w:val="24"/>
          <w:szCs w:val="24"/>
          <w:lang w:eastAsia="zh-CN"/>
        </w:rPr>
        <w:t xml:space="preserve">, </w:t>
      </w:r>
      <w:proofErr w:type="spellStart"/>
      <w:r w:rsidRPr="002878B1">
        <w:rPr>
          <w:rFonts w:ascii="Book Antiqua" w:hAnsi="Book Antiqua" w:cs="Times New Roman"/>
          <w:kern w:val="2"/>
          <w:sz w:val="24"/>
          <w:szCs w:val="24"/>
          <w:lang w:eastAsia="zh-CN"/>
        </w:rPr>
        <w:t>Dimet</w:t>
      </w:r>
      <w:proofErr w:type="spellEnd"/>
      <w:r w:rsidRPr="002878B1">
        <w:rPr>
          <w:rFonts w:ascii="Book Antiqua" w:hAnsi="Book Antiqua" w:cs="Times New Roman"/>
          <w:kern w:val="2"/>
          <w:sz w:val="24"/>
          <w:szCs w:val="24"/>
          <w:lang w:eastAsia="zh-CN"/>
        </w:rPr>
        <w:t xml:space="preserve"> J, Martin-</w:t>
      </w:r>
      <w:proofErr w:type="spellStart"/>
      <w:r w:rsidRPr="002878B1">
        <w:rPr>
          <w:rFonts w:ascii="Book Antiqua" w:hAnsi="Book Antiqua" w:cs="Times New Roman"/>
          <w:kern w:val="2"/>
          <w:sz w:val="24"/>
          <w:szCs w:val="24"/>
          <w:lang w:eastAsia="zh-CN"/>
        </w:rPr>
        <w:t>Lefevre</w:t>
      </w:r>
      <w:proofErr w:type="spellEnd"/>
      <w:r w:rsidRPr="002878B1">
        <w:rPr>
          <w:rFonts w:ascii="Book Antiqua" w:hAnsi="Book Antiqua" w:cs="Times New Roman"/>
          <w:kern w:val="2"/>
          <w:sz w:val="24"/>
          <w:szCs w:val="24"/>
          <w:lang w:eastAsia="zh-CN"/>
        </w:rPr>
        <w:t xml:space="preserve"> L, Bontemps F, </w:t>
      </w:r>
      <w:proofErr w:type="spellStart"/>
      <w:r w:rsidRPr="002878B1">
        <w:rPr>
          <w:rFonts w:ascii="Book Antiqua" w:hAnsi="Book Antiqua" w:cs="Times New Roman"/>
          <w:kern w:val="2"/>
          <w:sz w:val="24"/>
          <w:szCs w:val="24"/>
          <w:lang w:eastAsia="zh-CN"/>
        </w:rPr>
        <w:t>Fiancette</w:t>
      </w:r>
      <w:proofErr w:type="spellEnd"/>
      <w:r w:rsidRPr="002878B1">
        <w:rPr>
          <w:rFonts w:ascii="Book Antiqua" w:hAnsi="Book Antiqua" w:cs="Times New Roman"/>
          <w:kern w:val="2"/>
          <w:sz w:val="24"/>
          <w:szCs w:val="24"/>
          <w:lang w:eastAsia="zh-CN"/>
        </w:rPr>
        <w:t xml:space="preserve"> M, </w:t>
      </w:r>
      <w:proofErr w:type="spellStart"/>
      <w:r w:rsidRPr="002878B1">
        <w:rPr>
          <w:rFonts w:ascii="Book Antiqua" w:hAnsi="Book Antiqua" w:cs="Times New Roman"/>
          <w:kern w:val="2"/>
          <w:sz w:val="24"/>
          <w:szCs w:val="24"/>
          <w:lang w:eastAsia="zh-CN"/>
        </w:rPr>
        <w:t>Clementi</w:t>
      </w:r>
      <w:proofErr w:type="spellEnd"/>
      <w:r w:rsidRPr="002878B1">
        <w:rPr>
          <w:rFonts w:ascii="Book Antiqua" w:hAnsi="Book Antiqua" w:cs="Times New Roman"/>
          <w:kern w:val="2"/>
          <w:sz w:val="24"/>
          <w:szCs w:val="24"/>
          <w:lang w:eastAsia="zh-CN"/>
        </w:rPr>
        <w:t xml:space="preserve"> E, </w:t>
      </w:r>
      <w:proofErr w:type="spellStart"/>
      <w:r w:rsidRPr="002878B1">
        <w:rPr>
          <w:rFonts w:ascii="Book Antiqua" w:hAnsi="Book Antiqua" w:cs="Times New Roman"/>
          <w:kern w:val="2"/>
          <w:sz w:val="24"/>
          <w:szCs w:val="24"/>
          <w:lang w:eastAsia="zh-CN"/>
        </w:rPr>
        <w:t>Lebert</w:t>
      </w:r>
      <w:proofErr w:type="spellEnd"/>
      <w:r w:rsidRPr="002878B1">
        <w:rPr>
          <w:rFonts w:ascii="Book Antiqua" w:hAnsi="Book Antiqua" w:cs="Times New Roman"/>
          <w:kern w:val="2"/>
          <w:sz w:val="24"/>
          <w:szCs w:val="24"/>
          <w:lang w:eastAsia="zh-CN"/>
        </w:rPr>
        <w:t xml:space="preserve"> C, </w:t>
      </w:r>
      <w:proofErr w:type="spellStart"/>
      <w:r w:rsidRPr="002878B1">
        <w:rPr>
          <w:rFonts w:ascii="Book Antiqua" w:hAnsi="Book Antiqua" w:cs="Times New Roman"/>
          <w:kern w:val="2"/>
          <w:sz w:val="24"/>
          <w:szCs w:val="24"/>
          <w:lang w:eastAsia="zh-CN"/>
        </w:rPr>
        <w:t>Renard</w:t>
      </w:r>
      <w:proofErr w:type="spellEnd"/>
      <w:r w:rsidRPr="002878B1">
        <w:rPr>
          <w:rFonts w:ascii="Book Antiqua" w:hAnsi="Book Antiqua" w:cs="Times New Roman"/>
          <w:kern w:val="2"/>
          <w:sz w:val="24"/>
          <w:szCs w:val="24"/>
          <w:lang w:eastAsia="zh-CN"/>
        </w:rPr>
        <w:t xml:space="preserve"> B, </w:t>
      </w:r>
      <w:proofErr w:type="spellStart"/>
      <w:r w:rsidRPr="002878B1">
        <w:rPr>
          <w:rFonts w:ascii="Book Antiqua" w:hAnsi="Book Antiqua" w:cs="Times New Roman"/>
          <w:kern w:val="2"/>
          <w:sz w:val="24"/>
          <w:szCs w:val="24"/>
          <w:lang w:eastAsia="zh-CN"/>
        </w:rPr>
        <w:t>Reignier</w:t>
      </w:r>
      <w:proofErr w:type="spellEnd"/>
      <w:r w:rsidRPr="002878B1">
        <w:rPr>
          <w:rFonts w:ascii="Book Antiqua" w:hAnsi="Book Antiqua" w:cs="Times New Roman"/>
          <w:kern w:val="2"/>
          <w:sz w:val="24"/>
          <w:szCs w:val="24"/>
          <w:lang w:eastAsia="zh-CN"/>
        </w:rPr>
        <w:t xml:space="preserve"> J. Impact of not measuring residual gastric volume in mechanically ventilated patients receiving early enteral feeding: a prospective before-after study. </w:t>
      </w:r>
      <w:r w:rsidRPr="002878B1">
        <w:rPr>
          <w:rFonts w:ascii="Book Antiqua" w:hAnsi="Book Antiqua" w:cs="Times New Roman"/>
          <w:i/>
          <w:kern w:val="2"/>
          <w:sz w:val="24"/>
          <w:szCs w:val="24"/>
          <w:lang w:eastAsia="zh-CN"/>
        </w:rPr>
        <w:t xml:space="preserve">JPEN J </w:t>
      </w:r>
      <w:proofErr w:type="spellStart"/>
      <w:r w:rsidRPr="002878B1">
        <w:rPr>
          <w:rFonts w:ascii="Book Antiqua" w:hAnsi="Book Antiqua" w:cs="Times New Roman"/>
          <w:i/>
          <w:kern w:val="2"/>
          <w:sz w:val="24"/>
          <w:szCs w:val="24"/>
          <w:lang w:eastAsia="zh-CN"/>
        </w:rPr>
        <w:t>Parenter</w:t>
      </w:r>
      <w:proofErr w:type="spellEnd"/>
      <w:r w:rsidRPr="002878B1">
        <w:rPr>
          <w:rFonts w:ascii="Book Antiqua" w:hAnsi="Book Antiqua" w:cs="Times New Roman"/>
          <w:i/>
          <w:kern w:val="2"/>
          <w:sz w:val="24"/>
          <w:szCs w:val="24"/>
          <w:lang w:eastAsia="zh-CN"/>
        </w:rPr>
        <w:t xml:space="preserve"> Enteral </w:t>
      </w:r>
      <w:proofErr w:type="spellStart"/>
      <w:r w:rsidRPr="002878B1">
        <w:rPr>
          <w:rFonts w:ascii="Book Antiqua" w:hAnsi="Book Antiqua" w:cs="Times New Roman"/>
          <w:i/>
          <w:kern w:val="2"/>
          <w:sz w:val="24"/>
          <w:szCs w:val="24"/>
          <w:lang w:eastAsia="zh-CN"/>
        </w:rPr>
        <w:t>Nutr</w:t>
      </w:r>
      <w:proofErr w:type="spellEnd"/>
      <w:r w:rsidRPr="002878B1">
        <w:rPr>
          <w:rFonts w:ascii="Book Antiqua" w:hAnsi="Book Antiqua" w:cs="Times New Roman"/>
          <w:kern w:val="2"/>
          <w:sz w:val="24"/>
          <w:szCs w:val="24"/>
          <w:lang w:eastAsia="zh-CN"/>
        </w:rPr>
        <w:t xml:space="preserve"> 2010; </w:t>
      </w:r>
      <w:r w:rsidRPr="002878B1">
        <w:rPr>
          <w:rFonts w:ascii="Book Antiqua" w:hAnsi="Book Antiqua" w:cs="Times New Roman"/>
          <w:b/>
          <w:kern w:val="2"/>
          <w:sz w:val="24"/>
          <w:szCs w:val="24"/>
          <w:lang w:eastAsia="zh-CN"/>
        </w:rPr>
        <w:t>34</w:t>
      </w:r>
      <w:r w:rsidRPr="002878B1">
        <w:rPr>
          <w:rFonts w:ascii="Book Antiqua" w:hAnsi="Book Antiqua" w:cs="Times New Roman"/>
          <w:kern w:val="2"/>
          <w:sz w:val="24"/>
          <w:szCs w:val="24"/>
          <w:lang w:eastAsia="zh-CN"/>
        </w:rPr>
        <w:t>: 125-130 [PMID: 19861528 DOI: 10.1177/0148607109344745]</w:t>
      </w:r>
    </w:p>
    <w:p w14:paraId="35C0A9A8" w14:textId="77777777" w:rsidR="002878B1" w:rsidRPr="002878B1" w:rsidRDefault="002878B1" w:rsidP="002878B1">
      <w:pPr>
        <w:widowControl w:val="0"/>
        <w:snapToGrid w:val="0"/>
        <w:spacing w:after="0" w:line="360" w:lineRule="auto"/>
        <w:jc w:val="both"/>
        <w:rPr>
          <w:rFonts w:ascii="Book Antiqua" w:hAnsi="Book Antiqua" w:cs="Times New Roman"/>
          <w:kern w:val="2"/>
          <w:sz w:val="24"/>
          <w:szCs w:val="24"/>
          <w:lang w:eastAsia="zh-CN"/>
        </w:rPr>
      </w:pPr>
      <w:r w:rsidRPr="002878B1">
        <w:rPr>
          <w:rFonts w:ascii="Book Antiqua" w:hAnsi="Book Antiqua" w:cs="Times New Roman"/>
          <w:kern w:val="2"/>
          <w:sz w:val="24"/>
          <w:szCs w:val="24"/>
          <w:lang w:eastAsia="zh-CN"/>
        </w:rPr>
        <w:t xml:space="preserve">12 </w:t>
      </w:r>
      <w:r w:rsidRPr="002878B1">
        <w:rPr>
          <w:rFonts w:ascii="Book Antiqua" w:hAnsi="Book Antiqua" w:cs="Times New Roman"/>
          <w:b/>
          <w:kern w:val="2"/>
          <w:sz w:val="24"/>
          <w:szCs w:val="24"/>
          <w:lang w:eastAsia="zh-CN"/>
        </w:rPr>
        <w:t>Nguyen NQ</w:t>
      </w:r>
      <w:r w:rsidRPr="002878B1">
        <w:rPr>
          <w:rFonts w:ascii="Book Antiqua" w:hAnsi="Book Antiqua" w:cs="Times New Roman"/>
          <w:kern w:val="2"/>
          <w:sz w:val="24"/>
          <w:szCs w:val="24"/>
          <w:lang w:eastAsia="zh-CN"/>
        </w:rPr>
        <w:t xml:space="preserve">, Bryant LK, </w:t>
      </w:r>
      <w:proofErr w:type="spellStart"/>
      <w:r w:rsidRPr="002878B1">
        <w:rPr>
          <w:rFonts w:ascii="Book Antiqua" w:hAnsi="Book Antiqua" w:cs="Times New Roman"/>
          <w:kern w:val="2"/>
          <w:sz w:val="24"/>
          <w:szCs w:val="24"/>
          <w:lang w:eastAsia="zh-CN"/>
        </w:rPr>
        <w:t>Burgstad</w:t>
      </w:r>
      <w:proofErr w:type="spellEnd"/>
      <w:r w:rsidRPr="002878B1">
        <w:rPr>
          <w:rFonts w:ascii="Book Antiqua" w:hAnsi="Book Antiqua" w:cs="Times New Roman"/>
          <w:kern w:val="2"/>
          <w:sz w:val="24"/>
          <w:szCs w:val="24"/>
          <w:lang w:eastAsia="zh-CN"/>
        </w:rPr>
        <w:t xml:space="preserve"> CM, Chapman M, Deane A, </w:t>
      </w:r>
      <w:proofErr w:type="spellStart"/>
      <w:r w:rsidRPr="002878B1">
        <w:rPr>
          <w:rFonts w:ascii="Book Antiqua" w:hAnsi="Book Antiqua" w:cs="Times New Roman"/>
          <w:kern w:val="2"/>
          <w:sz w:val="24"/>
          <w:szCs w:val="24"/>
          <w:lang w:eastAsia="zh-CN"/>
        </w:rPr>
        <w:t>Bellon</w:t>
      </w:r>
      <w:proofErr w:type="spellEnd"/>
      <w:r w:rsidRPr="002878B1">
        <w:rPr>
          <w:rFonts w:ascii="Book Antiqua" w:hAnsi="Book Antiqua" w:cs="Times New Roman"/>
          <w:kern w:val="2"/>
          <w:sz w:val="24"/>
          <w:szCs w:val="24"/>
          <w:lang w:eastAsia="zh-CN"/>
        </w:rPr>
        <w:t xml:space="preserve"> M, Lange K, </w:t>
      </w:r>
      <w:proofErr w:type="spellStart"/>
      <w:r w:rsidRPr="002878B1">
        <w:rPr>
          <w:rFonts w:ascii="Book Antiqua" w:hAnsi="Book Antiqua" w:cs="Times New Roman"/>
          <w:kern w:val="2"/>
          <w:sz w:val="24"/>
          <w:szCs w:val="24"/>
          <w:lang w:eastAsia="zh-CN"/>
        </w:rPr>
        <w:t>Bartholomeuz</w:t>
      </w:r>
      <w:proofErr w:type="spellEnd"/>
      <w:r w:rsidRPr="002878B1">
        <w:rPr>
          <w:rFonts w:ascii="Book Antiqua" w:hAnsi="Book Antiqua" w:cs="Times New Roman"/>
          <w:kern w:val="2"/>
          <w:sz w:val="24"/>
          <w:szCs w:val="24"/>
          <w:lang w:eastAsia="zh-CN"/>
        </w:rPr>
        <w:t xml:space="preserve"> D, Horowitz M, Holloway RH, Fraser RJ. Gastric emptying measurement of liquid nutrients using the (</w:t>
      </w:r>
      <w:proofErr w:type="gramStart"/>
      <w:r w:rsidRPr="002878B1">
        <w:rPr>
          <w:rFonts w:ascii="Book Antiqua" w:hAnsi="Book Antiqua" w:cs="Times New Roman"/>
          <w:kern w:val="2"/>
          <w:sz w:val="24"/>
          <w:szCs w:val="24"/>
          <w:lang w:eastAsia="zh-CN"/>
        </w:rPr>
        <w:t>13)C</w:t>
      </w:r>
      <w:proofErr w:type="gramEnd"/>
      <w:r w:rsidRPr="002878B1">
        <w:rPr>
          <w:rFonts w:ascii="Book Antiqua" w:hAnsi="Book Antiqua" w:cs="Times New Roman"/>
          <w:kern w:val="2"/>
          <w:sz w:val="24"/>
          <w:szCs w:val="24"/>
          <w:lang w:eastAsia="zh-CN"/>
        </w:rPr>
        <w:t>-</w:t>
      </w:r>
      <w:proofErr w:type="spellStart"/>
      <w:r w:rsidRPr="002878B1">
        <w:rPr>
          <w:rFonts w:ascii="Book Antiqua" w:hAnsi="Book Antiqua" w:cs="Times New Roman"/>
          <w:kern w:val="2"/>
          <w:sz w:val="24"/>
          <w:szCs w:val="24"/>
          <w:lang w:eastAsia="zh-CN"/>
        </w:rPr>
        <w:t>octanoate</w:t>
      </w:r>
      <w:proofErr w:type="spellEnd"/>
      <w:r w:rsidRPr="002878B1">
        <w:rPr>
          <w:rFonts w:ascii="Book Antiqua" w:hAnsi="Book Antiqua" w:cs="Times New Roman"/>
          <w:kern w:val="2"/>
          <w:sz w:val="24"/>
          <w:szCs w:val="24"/>
          <w:lang w:eastAsia="zh-CN"/>
        </w:rPr>
        <w:t xml:space="preserve"> breath test in critically ill patients: a comparison with scintigraphy. </w:t>
      </w:r>
      <w:r w:rsidRPr="002878B1">
        <w:rPr>
          <w:rFonts w:ascii="Book Antiqua" w:hAnsi="Book Antiqua" w:cs="Times New Roman"/>
          <w:i/>
          <w:kern w:val="2"/>
          <w:sz w:val="24"/>
          <w:szCs w:val="24"/>
          <w:lang w:eastAsia="zh-CN"/>
        </w:rPr>
        <w:t>Intensive Care Med</w:t>
      </w:r>
      <w:r w:rsidRPr="002878B1">
        <w:rPr>
          <w:rFonts w:ascii="Book Antiqua" w:hAnsi="Book Antiqua" w:cs="Times New Roman"/>
          <w:kern w:val="2"/>
          <w:sz w:val="24"/>
          <w:szCs w:val="24"/>
          <w:lang w:eastAsia="zh-CN"/>
        </w:rPr>
        <w:t xml:space="preserve"> 2013; </w:t>
      </w:r>
      <w:r w:rsidRPr="002878B1">
        <w:rPr>
          <w:rFonts w:ascii="Book Antiqua" w:hAnsi="Book Antiqua" w:cs="Times New Roman"/>
          <w:b/>
          <w:kern w:val="2"/>
          <w:sz w:val="24"/>
          <w:szCs w:val="24"/>
          <w:lang w:eastAsia="zh-CN"/>
        </w:rPr>
        <w:t>39</w:t>
      </w:r>
      <w:r w:rsidRPr="002878B1">
        <w:rPr>
          <w:rFonts w:ascii="Book Antiqua" w:hAnsi="Book Antiqua" w:cs="Times New Roman"/>
          <w:kern w:val="2"/>
          <w:sz w:val="24"/>
          <w:szCs w:val="24"/>
          <w:lang w:eastAsia="zh-CN"/>
        </w:rPr>
        <w:t>: 1238-1246 [PMID: 23471513 DOI: 10.1007/s00134-013-2881-4]</w:t>
      </w:r>
    </w:p>
    <w:p w14:paraId="3B395205" w14:textId="77777777" w:rsidR="002878B1" w:rsidRPr="002878B1" w:rsidRDefault="002878B1" w:rsidP="002878B1">
      <w:pPr>
        <w:widowControl w:val="0"/>
        <w:snapToGrid w:val="0"/>
        <w:spacing w:after="0" w:line="360" w:lineRule="auto"/>
        <w:jc w:val="both"/>
        <w:rPr>
          <w:rFonts w:ascii="Book Antiqua" w:hAnsi="Book Antiqua" w:cs="Times New Roman"/>
          <w:kern w:val="2"/>
          <w:sz w:val="24"/>
          <w:szCs w:val="24"/>
          <w:lang w:eastAsia="zh-CN"/>
        </w:rPr>
      </w:pPr>
      <w:r w:rsidRPr="002878B1">
        <w:rPr>
          <w:rFonts w:ascii="Book Antiqua" w:hAnsi="Book Antiqua" w:cs="Times New Roman"/>
          <w:kern w:val="2"/>
          <w:sz w:val="24"/>
          <w:szCs w:val="24"/>
          <w:lang w:eastAsia="zh-CN"/>
        </w:rPr>
        <w:t xml:space="preserve">13 </w:t>
      </w:r>
      <w:r w:rsidRPr="002878B1">
        <w:rPr>
          <w:rFonts w:ascii="Book Antiqua" w:hAnsi="Book Antiqua" w:cs="Times New Roman"/>
          <w:b/>
          <w:kern w:val="2"/>
          <w:sz w:val="24"/>
          <w:szCs w:val="24"/>
          <w:lang w:eastAsia="zh-CN"/>
        </w:rPr>
        <w:t>Siddiqui I</w:t>
      </w:r>
      <w:r w:rsidRPr="002878B1">
        <w:rPr>
          <w:rFonts w:ascii="Book Antiqua" w:hAnsi="Book Antiqua" w:cs="Times New Roman"/>
          <w:kern w:val="2"/>
          <w:sz w:val="24"/>
          <w:szCs w:val="24"/>
          <w:lang w:eastAsia="zh-CN"/>
        </w:rPr>
        <w:t xml:space="preserve">, Ahmed S, </w:t>
      </w:r>
      <w:proofErr w:type="spellStart"/>
      <w:r w:rsidRPr="002878B1">
        <w:rPr>
          <w:rFonts w:ascii="Book Antiqua" w:hAnsi="Book Antiqua" w:cs="Times New Roman"/>
          <w:kern w:val="2"/>
          <w:sz w:val="24"/>
          <w:szCs w:val="24"/>
          <w:lang w:eastAsia="zh-CN"/>
        </w:rPr>
        <w:t>Abid</w:t>
      </w:r>
      <w:proofErr w:type="spellEnd"/>
      <w:r w:rsidRPr="002878B1">
        <w:rPr>
          <w:rFonts w:ascii="Book Antiqua" w:hAnsi="Book Antiqua" w:cs="Times New Roman"/>
          <w:kern w:val="2"/>
          <w:sz w:val="24"/>
          <w:szCs w:val="24"/>
          <w:lang w:eastAsia="zh-CN"/>
        </w:rPr>
        <w:t xml:space="preserve"> S. Update on diagnostic value of breath test in gastrointestinal and liver diseases. </w:t>
      </w:r>
      <w:r w:rsidRPr="002878B1">
        <w:rPr>
          <w:rFonts w:ascii="Book Antiqua" w:hAnsi="Book Antiqua" w:cs="Times New Roman"/>
          <w:i/>
          <w:kern w:val="2"/>
          <w:sz w:val="24"/>
          <w:szCs w:val="24"/>
          <w:lang w:eastAsia="zh-CN"/>
        </w:rPr>
        <w:t xml:space="preserve">World J </w:t>
      </w:r>
      <w:proofErr w:type="spellStart"/>
      <w:r w:rsidRPr="002878B1">
        <w:rPr>
          <w:rFonts w:ascii="Book Antiqua" w:hAnsi="Book Antiqua" w:cs="Times New Roman"/>
          <w:i/>
          <w:kern w:val="2"/>
          <w:sz w:val="24"/>
          <w:szCs w:val="24"/>
          <w:lang w:eastAsia="zh-CN"/>
        </w:rPr>
        <w:t>Gastrointest</w:t>
      </w:r>
      <w:proofErr w:type="spellEnd"/>
      <w:r w:rsidRPr="002878B1">
        <w:rPr>
          <w:rFonts w:ascii="Book Antiqua" w:hAnsi="Book Antiqua" w:cs="Times New Roman"/>
          <w:i/>
          <w:kern w:val="2"/>
          <w:sz w:val="24"/>
          <w:szCs w:val="24"/>
          <w:lang w:eastAsia="zh-CN"/>
        </w:rPr>
        <w:t xml:space="preserve"> </w:t>
      </w:r>
      <w:proofErr w:type="spellStart"/>
      <w:r w:rsidRPr="002878B1">
        <w:rPr>
          <w:rFonts w:ascii="Book Antiqua" w:hAnsi="Book Antiqua" w:cs="Times New Roman"/>
          <w:i/>
          <w:kern w:val="2"/>
          <w:sz w:val="24"/>
          <w:szCs w:val="24"/>
          <w:lang w:eastAsia="zh-CN"/>
        </w:rPr>
        <w:t>Pathophysiol</w:t>
      </w:r>
      <w:proofErr w:type="spellEnd"/>
      <w:r w:rsidRPr="002878B1">
        <w:rPr>
          <w:rFonts w:ascii="Book Antiqua" w:hAnsi="Book Antiqua" w:cs="Times New Roman"/>
          <w:kern w:val="2"/>
          <w:sz w:val="24"/>
          <w:szCs w:val="24"/>
          <w:lang w:eastAsia="zh-CN"/>
        </w:rPr>
        <w:t xml:space="preserve"> 2016; </w:t>
      </w:r>
      <w:r w:rsidRPr="002878B1">
        <w:rPr>
          <w:rFonts w:ascii="Book Antiqua" w:hAnsi="Book Antiqua" w:cs="Times New Roman"/>
          <w:b/>
          <w:kern w:val="2"/>
          <w:sz w:val="24"/>
          <w:szCs w:val="24"/>
          <w:lang w:eastAsia="zh-CN"/>
        </w:rPr>
        <w:t>7</w:t>
      </w:r>
      <w:r w:rsidRPr="002878B1">
        <w:rPr>
          <w:rFonts w:ascii="Book Antiqua" w:hAnsi="Book Antiqua" w:cs="Times New Roman"/>
          <w:kern w:val="2"/>
          <w:sz w:val="24"/>
          <w:szCs w:val="24"/>
          <w:lang w:eastAsia="zh-CN"/>
        </w:rPr>
        <w:t>: 256-265 [PMID: 27574563 DOI: 10.4291/wjgp.v7.i3.256]</w:t>
      </w:r>
    </w:p>
    <w:p w14:paraId="210C684E" w14:textId="77777777" w:rsidR="002878B1" w:rsidRPr="002878B1" w:rsidRDefault="002878B1" w:rsidP="002878B1">
      <w:pPr>
        <w:widowControl w:val="0"/>
        <w:snapToGrid w:val="0"/>
        <w:spacing w:after="0" w:line="360" w:lineRule="auto"/>
        <w:jc w:val="both"/>
        <w:rPr>
          <w:rFonts w:ascii="Book Antiqua" w:hAnsi="Book Antiqua" w:cs="Times New Roman"/>
          <w:kern w:val="2"/>
          <w:sz w:val="24"/>
          <w:szCs w:val="24"/>
          <w:lang w:eastAsia="zh-CN"/>
        </w:rPr>
      </w:pPr>
      <w:r w:rsidRPr="002878B1">
        <w:rPr>
          <w:rFonts w:ascii="Book Antiqua" w:hAnsi="Book Antiqua" w:cs="Times New Roman"/>
          <w:kern w:val="2"/>
          <w:sz w:val="24"/>
          <w:szCs w:val="24"/>
          <w:lang w:eastAsia="zh-CN"/>
        </w:rPr>
        <w:t xml:space="preserve">14 </w:t>
      </w:r>
      <w:proofErr w:type="spellStart"/>
      <w:r w:rsidRPr="002878B1">
        <w:rPr>
          <w:rFonts w:ascii="Book Antiqua" w:hAnsi="Book Antiqua" w:cs="Times New Roman"/>
          <w:b/>
          <w:kern w:val="2"/>
          <w:sz w:val="24"/>
          <w:szCs w:val="24"/>
          <w:lang w:eastAsia="zh-CN"/>
        </w:rPr>
        <w:t>Bonten</w:t>
      </w:r>
      <w:proofErr w:type="spellEnd"/>
      <w:r w:rsidRPr="002878B1">
        <w:rPr>
          <w:rFonts w:ascii="Book Antiqua" w:hAnsi="Book Antiqua" w:cs="Times New Roman"/>
          <w:b/>
          <w:kern w:val="2"/>
          <w:sz w:val="24"/>
          <w:szCs w:val="24"/>
          <w:lang w:eastAsia="zh-CN"/>
        </w:rPr>
        <w:t xml:space="preserve"> MJ</w:t>
      </w:r>
      <w:r w:rsidRPr="002878B1">
        <w:rPr>
          <w:rFonts w:ascii="Book Antiqua" w:hAnsi="Book Antiqua" w:cs="Times New Roman"/>
          <w:kern w:val="2"/>
          <w:sz w:val="24"/>
          <w:szCs w:val="24"/>
          <w:lang w:eastAsia="zh-CN"/>
        </w:rPr>
        <w:t xml:space="preserve">, Gaillard CA, van der </w:t>
      </w:r>
      <w:proofErr w:type="spellStart"/>
      <w:r w:rsidRPr="002878B1">
        <w:rPr>
          <w:rFonts w:ascii="Book Antiqua" w:hAnsi="Book Antiqua" w:cs="Times New Roman"/>
          <w:kern w:val="2"/>
          <w:sz w:val="24"/>
          <w:szCs w:val="24"/>
          <w:lang w:eastAsia="zh-CN"/>
        </w:rPr>
        <w:t>Hulst</w:t>
      </w:r>
      <w:proofErr w:type="spellEnd"/>
      <w:r w:rsidRPr="002878B1">
        <w:rPr>
          <w:rFonts w:ascii="Book Antiqua" w:hAnsi="Book Antiqua" w:cs="Times New Roman"/>
          <w:kern w:val="2"/>
          <w:sz w:val="24"/>
          <w:szCs w:val="24"/>
          <w:lang w:eastAsia="zh-CN"/>
        </w:rPr>
        <w:t xml:space="preserve"> R, de </w:t>
      </w:r>
      <w:proofErr w:type="spellStart"/>
      <w:r w:rsidRPr="002878B1">
        <w:rPr>
          <w:rFonts w:ascii="Book Antiqua" w:hAnsi="Book Antiqua" w:cs="Times New Roman"/>
          <w:kern w:val="2"/>
          <w:sz w:val="24"/>
          <w:szCs w:val="24"/>
          <w:lang w:eastAsia="zh-CN"/>
        </w:rPr>
        <w:t>Leeuw</w:t>
      </w:r>
      <w:proofErr w:type="spellEnd"/>
      <w:r w:rsidRPr="002878B1">
        <w:rPr>
          <w:rFonts w:ascii="Book Antiqua" w:hAnsi="Book Antiqua" w:cs="Times New Roman"/>
          <w:kern w:val="2"/>
          <w:sz w:val="24"/>
          <w:szCs w:val="24"/>
          <w:lang w:eastAsia="zh-CN"/>
        </w:rPr>
        <w:t xml:space="preserve"> PW, van der </w:t>
      </w:r>
      <w:proofErr w:type="spellStart"/>
      <w:r w:rsidRPr="002878B1">
        <w:rPr>
          <w:rFonts w:ascii="Book Antiqua" w:hAnsi="Book Antiqua" w:cs="Times New Roman"/>
          <w:kern w:val="2"/>
          <w:sz w:val="24"/>
          <w:szCs w:val="24"/>
          <w:lang w:eastAsia="zh-CN"/>
        </w:rPr>
        <w:t>Geest</w:t>
      </w:r>
      <w:proofErr w:type="spellEnd"/>
      <w:r w:rsidRPr="002878B1">
        <w:rPr>
          <w:rFonts w:ascii="Book Antiqua" w:hAnsi="Book Antiqua" w:cs="Times New Roman"/>
          <w:kern w:val="2"/>
          <w:sz w:val="24"/>
          <w:szCs w:val="24"/>
          <w:lang w:eastAsia="zh-CN"/>
        </w:rPr>
        <w:t xml:space="preserve"> S, </w:t>
      </w:r>
      <w:proofErr w:type="spellStart"/>
      <w:r w:rsidRPr="002878B1">
        <w:rPr>
          <w:rFonts w:ascii="Book Antiqua" w:hAnsi="Book Antiqua" w:cs="Times New Roman"/>
          <w:kern w:val="2"/>
          <w:sz w:val="24"/>
          <w:szCs w:val="24"/>
          <w:lang w:eastAsia="zh-CN"/>
        </w:rPr>
        <w:t>Stobberingh</w:t>
      </w:r>
      <w:proofErr w:type="spellEnd"/>
      <w:r w:rsidRPr="002878B1">
        <w:rPr>
          <w:rFonts w:ascii="Book Antiqua" w:hAnsi="Book Antiqua" w:cs="Times New Roman"/>
          <w:kern w:val="2"/>
          <w:sz w:val="24"/>
          <w:szCs w:val="24"/>
          <w:lang w:eastAsia="zh-CN"/>
        </w:rPr>
        <w:t xml:space="preserve"> EE, </w:t>
      </w:r>
      <w:proofErr w:type="spellStart"/>
      <w:r w:rsidRPr="002878B1">
        <w:rPr>
          <w:rFonts w:ascii="Book Antiqua" w:hAnsi="Book Antiqua" w:cs="Times New Roman"/>
          <w:kern w:val="2"/>
          <w:sz w:val="24"/>
          <w:szCs w:val="24"/>
          <w:lang w:eastAsia="zh-CN"/>
        </w:rPr>
        <w:t>Soeters</w:t>
      </w:r>
      <w:proofErr w:type="spellEnd"/>
      <w:r w:rsidRPr="002878B1">
        <w:rPr>
          <w:rFonts w:ascii="Book Antiqua" w:hAnsi="Book Antiqua" w:cs="Times New Roman"/>
          <w:kern w:val="2"/>
          <w:sz w:val="24"/>
          <w:szCs w:val="24"/>
          <w:lang w:eastAsia="zh-CN"/>
        </w:rPr>
        <w:t xml:space="preserve"> PB. Intermittent enteral feeding: the influence on respiratory and digestive tract colonization in mechanically ventilated intensive-care-unit patients. </w:t>
      </w:r>
      <w:r w:rsidRPr="002878B1">
        <w:rPr>
          <w:rFonts w:ascii="Book Antiqua" w:hAnsi="Book Antiqua" w:cs="Times New Roman"/>
          <w:i/>
          <w:kern w:val="2"/>
          <w:sz w:val="24"/>
          <w:szCs w:val="24"/>
          <w:lang w:eastAsia="zh-CN"/>
        </w:rPr>
        <w:t xml:space="preserve">Am J </w:t>
      </w:r>
      <w:proofErr w:type="spellStart"/>
      <w:r w:rsidRPr="002878B1">
        <w:rPr>
          <w:rFonts w:ascii="Book Antiqua" w:hAnsi="Book Antiqua" w:cs="Times New Roman"/>
          <w:i/>
          <w:kern w:val="2"/>
          <w:sz w:val="24"/>
          <w:szCs w:val="24"/>
          <w:lang w:eastAsia="zh-CN"/>
        </w:rPr>
        <w:t>Respir</w:t>
      </w:r>
      <w:proofErr w:type="spellEnd"/>
      <w:r w:rsidRPr="002878B1">
        <w:rPr>
          <w:rFonts w:ascii="Book Antiqua" w:hAnsi="Book Antiqua" w:cs="Times New Roman"/>
          <w:i/>
          <w:kern w:val="2"/>
          <w:sz w:val="24"/>
          <w:szCs w:val="24"/>
          <w:lang w:eastAsia="zh-CN"/>
        </w:rPr>
        <w:t xml:space="preserve"> </w:t>
      </w:r>
      <w:proofErr w:type="spellStart"/>
      <w:r w:rsidRPr="002878B1">
        <w:rPr>
          <w:rFonts w:ascii="Book Antiqua" w:hAnsi="Book Antiqua" w:cs="Times New Roman"/>
          <w:i/>
          <w:kern w:val="2"/>
          <w:sz w:val="24"/>
          <w:szCs w:val="24"/>
          <w:lang w:eastAsia="zh-CN"/>
        </w:rPr>
        <w:t>Crit</w:t>
      </w:r>
      <w:proofErr w:type="spellEnd"/>
      <w:r w:rsidRPr="002878B1">
        <w:rPr>
          <w:rFonts w:ascii="Book Antiqua" w:hAnsi="Book Antiqua" w:cs="Times New Roman"/>
          <w:i/>
          <w:kern w:val="2"/>
          <w:sz w:val="24"/>
          <w:szCs w:val="24"/>
          <w:lang w:eastAsia="zh-CN"/>
        </w:rPr>
        <w:t xml:space="preserve"> Care Med</w:t>
      </w:r>
      <w:r w:rsidRPr="002878B1">
        <w:rPr>
          <w:rFonts w:ascii="Book Antiqua" w:hAnsi="Book Antiqua" w:cs="Times New Roman"/>
          <w:kern w:val="2"/>
          <w:sz w:val="24"/>
          <w:szCs w:val="24"/>
          <w:lang w:eastAsia="zh-CN"/>
        </w:rPr>
        <w:t xml:space="preserve"> 1996; </w:t>
      </w:r>
      <w:r w:rsidRPr="002878B1">
        <w:rPr>
          <w:rFonts w:ascii="Book Antiqua" w:hAnsi="Book Antiqua" w:cs="Times New Roman"/>
          <w:b/>
          <w:kern w:val="2"/>
          <w:sz w:val="24"/>
          <w:szCs w:val="24"/>
          <w:lang w:eastAsia="zh-CN"/>
        </w:rPr>
        <w:t>154</w:t>
      </w:r>
      <w:r w:rsidRPr="002878B1">
        <w:rPr>
          <w:rFonts w:ascii="Book Antiqua" w:hAnsi="Book Antiqua" w:cs="Times New Roman"/>
          <w:kern w:val="2"/>
          <w:sz w:val="24"/>
          <w:szCs w:val="24"/>
          <w:lang w:eastAsia="zh-CN"/>
        </w:rPr>
        <w:t>: 394-399 [PMID: 8756812 DOI: 10.1164/ajrccm.154.2.8756812]</w:t>
      </w:r>
    </w:p>
    <w:p w14:paraId="740A2DAF" w14:textId="77777777" w:rsidR="002878B1" w:rsidRPr="002878B1" w:rsidRDefault="002878B1" w:rsidP="002878B1">
      <w:pPr>
        <w:widowControl w:val="0"/>
        <w:snapToGrid w:val="0"/>
        <w:spacing w:after="0" w:line="360" w:lineRule="auto"/>
        <w:jc w:val="both"/>
        <w:rPr>
          <w:rFonts w:ascii="Book Antiqua" w:hAnsi="Book Antiqua" w:cs="Times New Roman"/>
          <w:kern w:val="2"/>
          <w:sz w:val="24"/>
          <w:szCs w:val="24"/>
          <w:lang w:eastAsia="zh-CN"/>
        </w:rPr>
      </w:pPr>
      <w:r w:rsidRPr="002878B1">
        <w:rPr>
          <w:rFonts w:ascii="Book Antiqua" w:hAnsi="Book Antiqua" w:cs="Times New Roman"/>
          <w:kern w:val="2"/>
          <w:sz w:val="24"/>
          <w:szCs w:val="24"/>
          <w:lang w:eastAsia="zh-CN"/>
        </w:rPr>
        <w:t xml:space="preserve">15 </w:t>
      </w:r>
      <w:proofErr w:type="spellStart"/>
      <w:r w:rsidRPr="002878B1">
        <w:rPr>
          <w:rFonts w:ascii="Book Antiqua" w:hAnsi="Book Antiqua" w:cs="Times New Roman"/>
          <w:b/>
          <w:kern w:val="2"/>
          <w:sz w:val="24"/>
          <w:szCs w:val="24"/>
          <w:lang w:eastAsia="zh-CN"/>
        </w:rPr>
        <w:t>Ciocon</w:t>
      </w:r>
      <w:proofErr w:type="spellEnd"/>
      <w:r w:rsidRPr="002878B1">
        <w:rPr>
          <w:rFonts w:ascii="Book Antiqua" w:hAnsi="Book Antiqua" w:cs="Times New Roman"/>
          <w:b/>
          <w:kern w:val="2"/>
          <w:sz w:val="24"/>
          <w:szCs w:val="24"/>
          <w:lang w:eastAsia="zh-CN"/>
        </w:rPr>
        <w:t xml:space="preserve"> JO</w:t>
      </w:r>
      <w:r w:rsidRPr="002878B1">
        <w:rPr>
          <w:rFonts w:ascii="Book Antiqua" w:hAnsi="Book Antiqua" w:cs="Times New Roman"/>
          <w:kern w:val="2"/>
          <w:sz w:val="24"/>
          <w:szCs w:val="24"/>
          <w:lang w:eastAsia="zh-CN"/>
        </w:rPr>
        <w:t>, Galindo-</w:t>
      </w:r>
      <w:proofErr w:type="spellStart"/>
      <w:r w:rsidRPr="002878B1">
        <w:rPr>
          <w:rFonts w:ascii="Book Antiqua" w:hAnsi="Book Antiqua" w:cs="Times New Roman"/>
          <w:kern w:val="2"/>
          <w:sz w:val="24"/>
          <w:szCs w:val="24"/>
          <w:lang w:eastAsia="zh-CN"/>
        </w:rPr>
        <w:t>Ciocon</w:t>
      </w:r>
      <w:proofErr w:type="spellEnd"/>
      <w:r w:rsidRPr="002878B1">
        <w:rPr>
          <w:rFonts w:ascii="Book Antiqua" w:hAnsi="Book Antiqua" w:cs="Times New Roman"/>
          <w:kern w:val="2"/>
          <w:sz w:val="24"/>
          <w:szCs w:val="24"/>
          <w:lang w:eastAsia="zh-CN"/>
        </w:rPr>
        <w:t xml:space="preserve"> DJ, </w:t>
      </w:r>
      <w:proofErr w:type="spellStart"/>
      <w:r w:rsidRPr="002878B1">
        <w:rPr>
          <w:rFonts w:ascii="Book Antiqua" w:hAnsi="Book Antiqua" w:cs="Times New Roman"/>
          <w:kern w:val="2"/>
          <w:sz w:val="24"/>
          <w:szCs w:val="24"/>
          <w:lang w:eastAsia="zh-CN"/>
        </w:rPr>
        <w:t>Tiessen</w:t>
      </w:r>
      <w:proofErr w:type="spellEnd"/>
      <w:r w:rsidRPr="002878B1">
        <w:rPr>
          <w:rFonts w:ascii="Book Antiqua" w:hAnsi="Book Antiqua" w:cs="Times New Roman"/>
          <w:kern w:val="2"/>
          <w:sz w:val="24"/>
          <w:szCs w:val="24"/>
          <w:lang w:eastAsia="zh-CN"/>
        </w:rPr>
        <w:t xml:space="preserve"> C, Galindo D. Continuous compared with intermittent tube feeding in the elderly. </w:t>
      </w:r>
      <w:r w:rsidRPr="002878B1">
        <w:rPr>
          <w:rFonts w:ascii="Book Antiqua" w:hAnsi="Book Antiqua" w:cs="Times New Roman"/>
          <w:i/>
          <w:kern w:val="2"/>
          <w:sz w:val="24"/>
          <w:szCs w:val="24"/>
          <w:lang w:eastAsia="zh-CN"/>
        </w:rPr>
        <w:t xml:space="preserve">JPEN J </w:t>
      </w:r>
      <w:proofErr w:type="spellStart"/>
      <w:r w:rsidRPr="002878B1">
        <w:rPr>
          <w:rFonts w:ascii="Book Antiqua" w:hAnsi="Book Antiqua" w:cs="Times New Roman"/>
          <w:i/>
          <w:kern w:val="2"/>
          <w:sz w:val="24"/>
          <w:szCs w:val="24"/>
          <w:lang w:eastAsia="zh-CN"/>
        </w:rPr>
        <w:t>Parenter</w:t>
      </w:r>
      <w:proofErr w:type="spellEnd"/>
      <w:r w:rsidRPr="002878B1">
        <w:rPr>
          <w:rFonts w:ascii="Book Antiqua" w:hAnsi="Book Antiqua" w:cs="Times New Roman"/>
          <w:i/>
          <w:kern w:val="2"/>
          <w:sz w:val="24"/>
          <w:szCs w:val="24"/>
          <w:lang w:eastAsia="zh-CN"/>
        </w:rPr>
        <w:t xml:space="preserve"> Enteral </w:t>
      </w:r>
      <w:proofErr w:type="spellStart"/>
      <w:r w:rsidRPr="002878B1">
        <w:rPr>
          <w:rFonts w:ascii="Book Antiqua" w:hAnsi="Book Antiqua" w:cs="Times New Roman"/>
          <w:i/>
          <w:kern w:val="2"/>
          <w:sz w:val="24"/>
          <w:szCs w:val="24"/>
          <w:lang w:eastAsia="zh-CN"/>
        </w:rPr>
        <w:t>Nutr</w:t>
      </w:r>
      <w:proofErr w:type="spellEnd"/>
      <w:r w:rsidRPr="002878B1">
        <w:rPr>
          <w:rFonts w:ascii="Book Antiqua" w:hAnsi="Book Antiqua" w:cs="Times New Roman"/>
          <w:kern w:val="2"/>
          <w:sz w:val="24"/>
          <w:szCs w:val="24"/>
          <w:lang w:eastAsia="zh-CN"/>
        </w:rPr>
        <w:t xml:space="preserve"> 1992; </w:t>
      </w:r>
      <w:r w:rsidRPr="002878B1">
        <w:rPr>
          <w:rFonts w:ascii="Book Antiqua" w:hAnsi="Book Antiqua" w:cs="Times New Roman"/>
          <w:b/>
          <w:kern w:val="2"/>
          <w:sz w:val="24"/>
          <w:szCs w:val="24"/>
          <w:lang w:eastAsia="zh-CN"/>
        </w:rPr>
        <w:t>16</w:t>
      </w:r>
      <w:r w:rsidRPr="002878B1">
        <w:rPr>
          <w:rFonts w:ascii="Book Antiqua" w:hAnsi="Book Antiqua" w:cs="Times New Roman"/>
          <w:kern w:val="2"/>
          <w:sz w:val="24"/>
          <w:szCs w:val="24"/>
          <w:lang w:eastAsia="zh-CN"/>
        </w:rPr>
        <w:t>: 525-528 [PMID: 1494208]</w:t>
      </w:r>
    </w:p>
    <w:p w14:paraId="45877900" w14:textId="77777777" w:rsidR="002878B1" w:rsidRPr="002878B1" w:rsidRDefault="002878B1" w:rsidP="002878B1">
      <w:pPr>
        <w:widowControl w:val="0"/>
        <w:snapToGrid w:val="0"/>
        <w:spacing w:after="0" w:line="360" w:lineRule="auto"/>
        <w:jc w:val="both"/>
        <w:rPr>
          <w:rFonts w:ascii="Book Antiqua" w:hAnsi="Book Antiqua" w:cs="Times New Roman"/>
          <w:kern w:val="2"/>
          <w:sz w:val="24"/>
          <w:szCs w:val="24"/>
          <w:lang w:eastAsia="zh-CN"/>
        </w:rPr>
      </w:pPr>
      <w:r w:rsidRPr="002878B1">
        <w:rPr>
          <w:rFonts w:ascii="Book Antiqua" w:hAnsi="Book Antiqua" w:cs="Times New Roman"/>
          <w:kern w:val="2"/>
          <w:sz w:val="24"/>
          <w:szCs w:val="24"/>
          <w:lang w:eastAsia="zh-CN"/>
        </w:rPr>
        <w:t xml:space="preserve">16 </w:t>
      </w:r>
      <w:proofErr w:type="spellStart"/>
      <w:r w:rsidRPr="002878B1">
        <w:rPr>
          <w:rFonts w:ascii="Book Antiqua" w:hAnsi="Book Antiqua" w:cs="Times New Roman"/>
          <w:b/>
          <w:kern w:val="2"/>
          <w:sz w:val="24"/>
          <w:szCs w:val="24"/>
          <w:lang w:eastAsia="zh-CN"/>
        </w:rPr>
        <w:t>McClave</w:t>
      </w:r>
      <w:proofErr w:type="spellEnd"/>
      <w:r w:rsidRPr="002878B1">
        <w:rPr>
          <w:rFonts w:ascii="Book Antiqua" w:hAnsi="Book Antiqua" w:cs="Times New Roman"/>
          <w:b/>
          <w:kern w:val="2"/>
          <w:sz w:val="24"/>
          <w:szCs w:val="24"/>
          <w:lang w:eastAsia="zh-CN"/>
        </w:rPr>
        <w:t xml:space="preserve"> SA</w:t>
      </w:r>
      <w:r w:rsidRPr="002878B1">
        <w:rPr>
          <w:rFonts w:ascii="Book Antiqua" w:hAnsi="Book Antiqua" w:cs="Times New Roman"/>
          <w:kern w:val="2"/>
          <w:sz w:val="24"/>
          <w:szCs w:val="24"/>
          <w:lang w:eastAsia="zh-CN"/>
        </w:rPr>
        <w:t xml:space="preserve">, Taylor BE, Martindale RG, Warren MM, Johnson DR, </w:t>
      </w:r>
      <w:proofErr w:type="spellStart"/>
      <w:r w:rsidRPr="002878B1">
        <w:rPr>
          <w:rFonts w:ascii="Book Antiqua" w:hAnsi="Book Antiqua" w:cs="Times New Roman"/>
          <w:kern w:val="2"/>
          <w:sz w:val="24"/>
          <w:szCs w:val="24"/>
          <w:lang w:eastAsia="zh-CN"/>
        </w:rPr>
        <w:t>Braunschweig</w:t>
      </w:r>
      <w:proofErr w:type="spellEnd"/>
      <w:r w:rsidRPr="002878B1">
        <w:rPr>
          <w:rFonts w:ascii="Book Antiqua" w:hAnsi="Book Antiqua" w:cs="Times New Roman"/>
          <w:kern w:val="2"/>
          <w:sz w:val="24"/>
          <w:szCs w:val="24"/>
          <w:lang w:eastAsia="zh-CN"/>
        </w:rPr>
        <w:t xml:space="preserve"> C, McCarthy MS, </w:t>
      </w:r>
      <w:proofErr w:type="spellStart"/>
      <w:r w:rsidRPr="002878B1">
        <w:rPr>
          <w:rFonts w:ascii="Book Antiqua" w:hAnsi="Book Antiqua" w:cs="Times New Roman"/>
          <w:kern w:val="2"/>
          <w:sz w:val="24"/>
          <w:szCs w:val="24"/>
          <w:lang w:eastAsia="zh-CN"/>
        </w:rPr>
        <w:t>Davanos</w:t>
      </w:r>
      <w:proofErr w:type="spellEnd"/>
      <w:r w:rsidRPr="002878B1">
        <w:rPr>
          <w:rFonts w:ascii="Book Antiqua" w:hAnsi="Book Antiqua" w:cs="Times New Roman"/>
          <w:kern w:val="2"/>
          <w:sz w:val="24"/>
          <w:szCs w:val="24"/>
          <w:lang w:eastAsia="zh-CN"/>
        </w:rPr>
        <w:t xml:space="preserve"> E, Rice TW, </w:t>
      </w:r>
      <w:proofErr w:type="spellStart"/>
      <w:r w:rsidRPr="002878B1">
        <w:rPr>
          <w:rFonts w:ascii="Book Antiqua" w:hAnsi="Book Antiqua" w:cs="Times New Roman"/>
          <w:kern w:val="2"/>
          <w:sz w:val="24"/>
          <w:szCs w:val="24"/>
          <w:lang w:eastAsia="zh-CN"/>
        </w:rPr>
        <w:t>Cresci</w:t>
      </w:r>
      <w:proofErr w:type="spellEnd"/>
      <w:r w:rsidRPr="002878B1">
        <w:rPr>
          <w:rFonts w:ascii="Book Antiqua" w:hAnsi="Book Antiqua" w:cs="Times New Roman"/>
          <w:kern w:val="2"/>
          <w:sz w:val="24"/>
          <w:szCs w:val="24"/>
          <w:lang w:eastAsia="zh-CN"/>
        </w:rPr>
        <w:t xml:space="preserve"> GA, </w:t>
      </w:r>
      <w:proofErr w:type="spellStart"/>
      <w:r w:rsidRPr="002878B1">
        <w:rPr>
          <w:rFonts w:ascii="Book Antiqua" w:hAnsi="Book Antiqua" w:cs="Times New Roman"/>
          <w:kern w:val="2"/>
          <w:sz w:val="24"/>
          <w:szCs w:val="24"/>
          <w:lang w:eastAsia="zh-CN"/>
        </w:rPr>
        <w:t>Gervasio</w:t>
      </w:r>
      <w:proofErr w:type="spellEnd"/>
      <w:r w:rsidRPr="002878B1">
        <w:rPr>
          <w:rFonts w:ascii="Book Antiqua" w:hAnsi="Book Antiqua" w:cs="Times New Roman"/>
          <w:kern w:val="2"/>
          <w:sz w:val="24"/>
          <w:szCs w:val="24"/>
          <w:lang w:eastAsia="zh-CN"/>
        </w:rPr>
        <w:t xml:space="preserve"> JM, Sacks GS, Roberts PR, </w:t>
      </w:r>
      <w:proofErr w:type="spellStart"/>
      <w:r w:rsidRPr="002878B1">
        <w:rPr>
          <w:rFonts w:ascii="Book Antiqua" w:hAnsi="Book Antiqua" w:cs="Times New Roman"/>
          <w:kern w:val="2"/>
          <w:sz w:val="24"/>
          <w:szCs w:val="24"/>
          <w:lang w:eastAsia="zh-CN"/>
        </w:rPr>
        <w:t>Compher</w:t>
      </w:r>
      <w:proofErr w:type="spellEnd"/>
      <w:r w:rsidRPr="002878B1">
        <w:rPr>
          <w:rFonts w:ascii="Book Antiqua" w:hAnsi="Book Antiqua" w:cs="Times New Roman"/>
          <w:kern w:val="2"/>
          <w:sz w:val="24"/>
          <w:szCs w:val="24"/>
          <w:lang w:eastAsia="zh-CN"/>
        </w:rPr>
        <w:t xml:space="preserve"> C; Society of Critical Care Medicine; American Society for Parenteral and Enteral Nutrition. Guidelines for the Provision and Assessment of Nutrition Support Therapy in the Adult Critically Ill Patient: Society of Critical Care Medicine (SCCM) and American Society for Parenteral and Enteral Nutrition (A.S.P.E.N.). </w:t>
      </w:r>
      <w:r w:rsidRPr="002878B1">
        <w:rPr>
          <w:rFonts w:ascii="Book Antiqua" w:hAnsi="Book Antiqua" w:cs="Times New Roman"/>
          <w:i/>
          <w:kern w:val="2"/>
          <w:sz w:val="24"/>
          <w:szCs w:val="24"/>
          <w:lang w:eastAsia="zh-CN"/>
        </w:rPr>
        <w:t xml:space="preserve">JPEN J </w:t>
      </w:r>
      <w:proofErr w:type="spellStart"/>
      <w:r w:rsidRPr="002878B1">
        <w:rPr>
          <w:rFonts w:ascii="Book Antiqua" w:hAnsi="Book Antiqua" w:cs="Times New Roman"/>
          <w:i/>
          <w:kern w:val="2"/>
          <w:sz w:val="24"/>
          <w:szCs w:val="24"/>
          <w:lang w:eastAsia="zh-CN"/>
        </w:rPr>
        <w:t>Parenter</w:t>
      </w:r>
      <w:proofErr w:type="spellEnd"/>
      <w:r w:rsidRPr="002878B1">
        <w:rPr>
          <w:rFonts w:ascii="Book Antiqua" w:hAnsi="Book Antiqua" w:cs="Times New Roman"/>
          <w:i/>
          <w:kern w:val="2"/>
          <w:sz w:val="24"/>
          <w:szCs w:val="24"/>
          <w:lang w:eastAsia="zh-CN"/>
        </w:rPr>
        <w:t xml:space="preserve"> Enteral </w:t>
      </w:r>
      <w:proofErr w:type="spellStart"/>
      <w:r w:rsidRPr="002878B1">
        <w:rPr>
          <w:rFonts w:ascii="Book Antiqua" w:hAnsi="Book Antiqua" w:cs="Times New Roman"/>
          <w:i/>
          <w:kern w:val="2"/>
          <w:sz w:val="24"/>
          <w:szCs w:val="24"/>
          <w:lang w:eastAsia="zh-CN"/>
        </w:rPr>
        <w:t>Nutr</w:t>
      </w:r>
      <w:proofErr w:type="spellEnd"/>
      <w:r w:rsidRPr="002878B1">
        <w:rPr>
          <w:rFonts w:ascii="Book Antiqua" w:hAnsi="Book Antiqua" w:cs="Times New Roman"/>
          <w:kern w:val="2"/>
          <w:sz w:val="24"/>
          <w:szCs w:val="24"/>
          <w:lang w:eastAsia="zh-CN"/>
        </w:rPr>
        <w:t xml:space="preserve"> 2016; </w:t>
      </w:r>
      <w:r w:rsidRPr="002878B1">
        <w:rPr>
          <w:rFonts w:ascii="Book Antiqua" w:hAnsi="Book Antiqua" w:cs="Times New Roman"/>
          <w:b/>
          <w:kern w:val="2"/>
          <w:sz w:val="24"/>
          <w:szCs w:val="24"/>
          <w:lang w:eastAsia="zh-CN"/>
        </w:rPr>
        <w:t>40</w:t>
      </w:r>
      <w:r w:rsidRPr="002878B1">
        <w:rPr>
          <w:rFonts w:ascii="Book Antiqua" w:hAnsi="Book Antiqua" w:cs="Times New Roman"/>
          <w:kern w:val="2"/>
          <w:sz w:val="24"/>
          <w:szCs w:val="24"/>
          <w:lang w:eastAsia="zh-CN"/>
        </w:rPr>
        <w:t>: 159-211 [PMID: 26773077 DOI: 10.1177/0148607115621863]</w:t>
      </w:r>
    </w:p>
    <w:p w14:paraId="7939DA86" w14:textId="2808CF51" w:rsidR="002878B1" w:rsidRPr="002878B1" w:rsidRDefault="002878B1" w:rsidP="002878B1">
      <w:pPr>
        <w:widowControl w:val="0"/>
        <w:snapToGrid w:val="0"/>
        <w:spacing w:after="0" w:line="360" w:lineRule="auto"/>
        <w:jc w:val="both"/>
        <w:rPr>
          <w:rFonts w:ascii="Book Antiqua" w:hAnsi="Book Antiqua" w:cs="Times New Roman"/>
          <w:kern w:val="2"/>
          <w:sz w:val="24"/>
          <w:szCs w:val="24"/>
          <w:lang w:eastAsia="zh-CN"/>
        </w:rPr>
      </w:pPr>
      <w:r w:rsidRPr="002878B1">
        <w:rPr>
          <w:rFonts w:ascii="Book Antiqua" w:hAnsi="Book Antiqua" w:cs="Times New Roman"/>
          <w:kern w:val="2"/>
          <w:sz w:val="24"/>
          <w:szCs w:val="24"/>
          <w:lang w:eastAsia="zh-CN"/>
        </w:rPr>
        <w:t xml:space="preserve">17 </w:t>
      </w:r>
      <w:proofErr w:type="spellStart"/>
      <w:r w:rsidRPr="002878B1">
        <w:rPr>
          <w:rFonts w:ascii="Book Antiqua" w:hAnsi="Book Antiqua" w:cs="Times New Roman"/>
          <w:b/>
          <w:kern w:val="2"/>
          <w:sz w:val="24"/>
          <w:szCs w:val="24"/>
          <w:lang w:eastAsia="zh-CN"/>
        </w:rPr>
        <w:t>Alkhawaja</w:t>
      </w:r>
      <w:proofErr w:type="spellEnd"/>
      <w:r w:rsidRPr="002878B1">
        <w:rPr>
          <w:rFonts w:ascii="Book Antiqua" w:hAnsi="Book Antiqua" w:cs="Times New Roman"/>
          <w:b/>
          <w:kern w:val="2"/>
          <w:sz w:val="24"/>
          <w:szCs w:val="24"/>
          <w:lang w:eastAsia="zh-CN"/>
        </w:rPr>
        <w:t xml:space="preserve"> S</w:t>
      </w:r>
      <w:r w:rsidRPr="002878B1">
        <w:rPr>
          <w:rFonts w:ascii="Book Antiqua" w:hAnsi="Book Antiqua" w:cs="Times New Roman"/>
          <w:kern w:val="2"/>
          <w:sz w:val="24"/>
          <w:szCs w:val="24"/>
          <w:lang w:eastAsia="zh-CN"/>
        </w:rPr>
        <w:t xml:space="preserve">, Martin C, Butler RJ, </w:t>
      </w:r>
      <w:proofErr w:type="spellStart"/>
      <w:r w:rsidRPr="002878B1">
        <w:rPr>
          <w:rFonts w:ascii="Book Antiqua" w:hAnsi="Book Antiqua" w:cs="Times New Roman"/>
          <w:kern w:val="2"/>
          <w:sz w:val="24"/>
          <w:szCs w:val="24"/>
          <w:lang w:eastAsia="zh-CN"/>
        </w:rPr>
        <w:t>Gwadry</w:t>
      </w:r>
      <w:proofErr w:type="spellEnd"/>
      <w:r w:rsidRPr="002878B1">
        <w:rPr>
          <w:rFonts w:ascii="Book Antiqua" w:hAnsi="Book Antiqua" w:cs="Times New Roman"/>
          <w:kern w:val="2"/>
          <w:sz w:val="24"/>
          <w:szCs w:val="24"/>
          <w:lang w:eastAsia="zh-CN"/>
        </w:rPr>
        <w:t xml:space="preserve">-Sridhar F. Post-pyloric versus gastric </w:t>
      </w:r>
      <w:r w:rsidRPr="002878B1">
        <w:rPr>
          <w:rFonts w:ascii="Book Antiqua" w:hAnsi="Book Antiqua" w:cs="Times New Roman"/>
          <w:kern w:val="2"/>
          <w:sz w:val="24"/>
          <w:szCs w:val="24"/>
          <w:lang w:eastAsia="zh-CN"/>
        </w:rPr>
        <w:lastRenderedPageBreak/>
        <w:t xml:space="preserve">tube feeding for preventing pneumonia and improving nutritional outcomes in critically ill adults. </w:t>
      </w:r>
      <w:r w:rsidRPr="002878B1">
        <w:rPr>
          <w:rFonts w:ascii="Book Antiqua" w:hAnsi="Book Antiqua" w:cs="Times New Roman"/>
          <w:i/>
          <w:kern w:val="2"/>
          <w:sz w:val="24"/>
          <w:szCs w:val="24"/>
          <w:lang w:eastAsia="zh-CN"/>
        </w:rPr>
        <w:t xml:space="preserve">Cochrane Database </w:t>
      </w:r>
      <w:proofErr w:type="spellStart"/>
      <w:r w:rsidRPr="002878B1">
        <w:rPr>
          <w:rFonts w:ascii="Book Antiqua" w:hAnsi="Book Antiqua" w:cs="Times New Roman"/>
          <w:i/>
          <w:kern w:val="2"/>
          <w:sz w:val="24"/>
          <w:szCs w:val="24"/>
          <w:lang w:eastAsia="zh-CN"/>
        </w:rPr>
        <w:t>Syst</w:t>
      </w:r>
      <w:proofErr w:type="spellEnd"/>
      <w:r w:rsidRPr="002878B1">
        <w:rPr>
          <w:rFonts w:ascii="Book Antiqua" w:hAnsi="Book Antiqua" w:cs="Times New Roman"/>
          <w:i/>
          <w:kern w:val="2"/>
          <w:sz w:val="24"/>
          <w:szCs w:val="24"/>
          <w:lang w:eastAsia="zh-CN"/>
        </w:rPr>
        <w:t xml:space="preserve"> Rev</w:t>
      </w:r>
      <w:r w:rsidRPr="002878B1">
        <w:rPr>
          <w:rFonts w:ascii="Book Antiqua" w:hAnsi="Book Antiqua" w:cs="Times New Roman"/>
          <w:kern w:val="2"/>
          <w:sz w:val="24"/>
          <w:szCs w:val="24"/>
          <w:lang w:eastAsia="zh-CN"/>
        </w:rPr>
        <w:t xml:space="preserve"> 2015;</w:t>
      </w:r>
      <w:r w:rsidRPr="00901AB9">
        <w:rPr>
          <w:rFonts w:ascii="Book Antiqua" w:hAnsi="Book Antiqua" w:cs="Times New Roman"/>
          <w:b/>
          <w:kern w:val="2"/>
          <w:sz w:val="24"/>
          <w:szCs w:val="24"/>
          <w:lang w:eastAsia="zh-CN"/>
        </w:rPr>
        <w:t xml:space="preserve"> </w:t>
      </w:r>
      <w:r w:rsidR="00901AB9" w:rsidRPr="00901AB9">
        <w:rPr>
          <w:rFonts w:ascii="Book Antiqua" w:hAnsi="Book Antiqua" w:cs="Times New Roman" w:hint="eastAsia"/>
          <w:b/>
          <w:kern w:val="2"/>
          <w:sz w:val="24"/>
          <w:szCs w:val="24"/>
          <w:lang w:eastAsia="zh-CN"/>
        </w:rPr>
        <w:t>(8)</w:t>
      </w:r>
      <w:r w:rsidRPr="00901AB9">
        <w:rPr>
          <w:rFonts w:ascii="Book Antiqua" w:hAnsi="Book Antiqua" w:cs="Times New Roman"/>
          <w:b/>
          <w:kern w:val="2"/>
          <w:sz w:val="24"/>
          <w:szCs w:val="24"/>
          <w:lang w:eastAsia="zh-CN"/>
        </w:rPr>
        <w:t xml:space="preserve">: </w:t>
      </w:r>
      <w:r w:rsidRPr="002878B1">
        <w:rPr>
          <w:rFonts w:ascii="Book Antiqua" w:hAnsi="Book Antiqua" w:cs="Times New Roman"/>
          <w:kern w:val="2"/>
          <w:sz w:val="24"/>
          <w:szCs w:val="24"/>
          <w:lang w:eastAsia="zh-CN"/>
        </w:rPr>
        <w:t>CD008875 [PMID: 26241698 DOI: 10.1002/14651858.CD008875.pub2]</w:t>
      </w:r>
    </w:p>
    <w:p w14:paraId="3B814B9A" w14:textId="77777777" w:rsidR="002878B1" w:rsidRPr="002878B1" w:rsidRDefault="002878B1" w:rsidP="002878B1">
      <w:pPr>
        <w:widowControl w:val="0"/>
        <w:snapToGrid w:val="0"/>
        <w:spacing w:after="0" w:line="360" w:lineRule="auto"/>
        <w:jc w:val="both"/>
        <w:rPr>
          <w:rFonts w:ascii="Book Antiqua" w:hAnsi="Book Antiqua" w:cs="Times New Roman"/>
          <w:kern w:val="2"/>
          <w:sz w:val="24"/>
          <w:szCs w:val="24"/>
          <w:lang w:eastAsia="zh-CN"/>
        </w:rPr>
      </w:pPr>
      <w:r w:rsidRPr="002878B1">
        <w:rPr>
          <w:rFonts w:ascii="Book Antiqua" w:hAnsi="Book Antiqua" w:cs="Times New Roman"/>
          <w:kern w:val="2"/>
          <w:sz w:val="24"/>
          <w:szCs w:val="24"/>
          <w:lang w:eastAsia="zh-CN"/>
        </w:rPr>
        <w:t xml:space="preserve">18 </w:t>
      </w:r>
      <w:proofErr w:type="spellStart"/>
      <w:r w:rsidRPr="002878B1">
        <w:rPr>
          <w:rFonts w:ascii="Book Antiqua" w:hAnsi="Book Antiqua" w:cs="Times New Roman"/>
          <w:b/>
          <w:kern w:val="2"/>
          <w:sz w:val="24"/>
          <w:szCs w:val="24"/>
          <w:lang w:eastAsia="zh-CN"/>
        </w:rPr>
        <w:t>Caddell</w:t>
      </w:r>
      <w:proofErr w:type="spellEnd"/>
      <w:r w:rsidRPr="002878B1">
        <w:rPr>
          <w:rFonts w:ascii="Book Antiqua" w:hAnsi="Book Antiqua" w:cs="Times New Roman"/>
          <w:b/>
          <w:kern w:val="2"/>
          <w:sz w:val="24"/>
          <w:szCs w:val="24"/>
          <w:lang w:eastAsia="zh-CN"/>
        </w:rPr>
        <w:t xml:space="preserve"> KA</w:t>
      </w:r>
      <w:r w:rsidRPr="002878B1">
        <w:rPr>
          <w:rFonts w:ascii="Book Antiqua" w:hAnsi="Book Antiqua" w:cs="Times New Roman"/>
          <w:kern w:val="2"/>
          <w:sz w:val="24"/>
          <w:szCs w:val="24"/>
          <w:lang w:eastAsia="zh-CN"/>
        </w:rPr>
        <w:t xml:space="preserve">, Martindale R, </w:t>
      </w:r>
      <w:proofErr w:type="spellStart"/>
      <w:r w:rsidRPr="002878B1">
        <w:rPr>
          <w:rFonts w:ascii="Book Antiqua" w:hAnsi="Book Antiqua" w:cs="Times New Roman"/>
          <w:kern w:val="2"/>
          <w:sz w:val="24"/>
          <w:szCs w:val="24"/>
          <w:lang w:eastAsia="zh-CN"/>
        </w:rPr>
        <w:t>McClave</w:t>
      </w:r>
      <w:proofErr w:type="spellEnd"/>
      <w:r w:rsidRPr="002878B1">
        <w:rPr>
          <w:rFonts w:ascii="Book Antiqua" w:hAnsi="Book Antiqua" w:cs="Times New Roman"/>
          <w:kern w:val="2"/>
          <w:sz w:val="24"/>
          <w:szCs w:val="24"/>
          <w:lang w:eastAsia="zh-CN"/>
        </w:rPr>
        <w:t xml:space="preserve"> SA, Miller K. Can the intestinal </w:t>
      </w:r>
      <w:proofErr w:type="spellStart"/>
      <w:r w:rsidRPr="002878B1">
        <w:rPr>
          <w:rFonts w:ascii="Book Antiqua" w:hAnsi="Book Antiqua" w:cs="Times New Roman"/>
          <w:kern w:val="2"/>
          <w:sz w:val="24"/>
          <w:szCs w:val="24"/>
          <w:lang w:eastAsia="zh-CN"/>
        </w:rPr>
        <w:t>dysmotility</w:t>
      </w:r>
      <w:proofErr w:type="spellEnd"/>
      <w:r w:rsidRPr="002878B1">
        <w:rPr>
          <w:rFonts w:ascii="Book Antiqua" w:hAnsi="Book Antiqua" w:cs="Times New Roman"/>
          <w:kern w:val="2"/>
          <w:sz w:val="24"/>
          <w:szCs w:val="24"/>
          <w:lang w:eastAsia="zh-CN"/>
        </w:rPr>
        <w:t xml:space="preserve"> of critical illness be differentiated from postoperative ileus? </w:t>
      </w:r>
      <w:proofErr w:type="spellStart"/>
      <w:r w:rsidRPr="002878B1">
        <w:rPr>
          <w:rFonts w:ascii="Book Antiqua" w:hAnsi="Book Antiqua" w:cs="Times New Roman"/>
          <w:i/>
          <w:kern w:val="2"/>
          <w:sz w:val="24"/>
          <w:szCs w:val="24"/>
          <w:lang w:eastAsia="zh-CN"/>
        </w:rPr>
        <w:t>Curr</w:t>
      </w:r>
      <w:proofErr w:type="spellEnd"/>
      <w:r w:rsidRPr="002878B1">
        <w:rPr>
          <w:rFonts w:ascii="Book Antiqua" w:hAnsi="Book Antiqua" w:cs="Times New Roman"/>
          <w:i/>
          <w:kern w:val="2"/>
          <w:sz w:val="24"/>
          <w:szCs w:val="24"/>
          <w:lang w:eastAsia="zh-CN"/>
        </w:rPr>
        <w:t xml:space="preserve"> </w:t>
      </w:r>
      <w:proofErr w:type="spellStart"/>
      <w:r w:rsidRPr="002878B1">
        <w:rPr>
          <w:rFonts w:ascii="Book Antiqua" w:hAnsi="Book Antiqua" w:cs="Times New Roman"/>
          <w:i/>
          <w:kern w:val="2"/>
          <w:sz w:val="24"/>
          <w:szCs w:val="24"/>
          <w:lang w:eastAsia="zh-CN"/>
        </w:rPr>
        <w:t>Gastroenterol</w:t>
      </w:r>
      <w:proofErr w:type="spellEnd"/>
      <w:r w:rsidRPr="002878B1">
        <w:rPr>
          <w:rFonts w:ascii="Book Antiqua" w:hAnsi="Book Antiqua" w:cs="Times New Roman"/>
          <w:i/>
          <w:kern w:val="2"/>
          <w:sz w:val="24"/>
          <w:szCs w:val="24"/>
          <w:lang w:eastAsia="zh-CN"/>
        </w:rPr>
        <w:t xml:space="preserve"> Rep</w:t>
      </w:r>
      <w:r w:rsidRPr="002878B1">
        <w:rPr>
          <w:rFonts w:ascii="Book Antiqua" w:hAnsi="Book Antiqua" w:cs="Times New Roman"/>
          <w:kern w:val="2"/>
          <w:sz w:val="24"/>
          <w:szCs w:val="24"/>
          <w:lang w:eastAsia="zh-CN"/>
        </w:rPr>
        <w:t xml:space="preserve"> 2011; </w:t>
      </w:r>
      <w:r w:rsidRPr="002878B1">
        <w:rPr>
          <w:rFonts w:ascii="Book Antiqua" w:hAnsi="Book Antiqua" w:cs="Times New Roman"/>
          <w:b/>
          <w:kern w:val="2"/>
          <w:sz w:val="24"/>
          <w:szCs w:val="24"/>
          <w:lang w:eastAsia="zh-CN"/>
        </w:rPr>
        <w:t>13</w:t>
      </w:r>
      <w:r w:rsidRPr="002878B1">
        <w:rPr>
          <w:rFonts w:ascii="Book Antiqua" w:hAnsi="Book Antiqua" w:cs="Times New Roman"/>
          <w:kern w:val="2"/>
          <w:sz w:val="24"/>
          <w:szCs w:val="24"/>
          <w:lang w:eastAsia="zh-CN"/>
        </w:rPr>
        <w:t>: 358-367 [PMID: 21626118 DOI: 10.1007/s11894-011-0206-8]</w:t>
      </w:r>
    </w:p>
    <w:p w14:paraId="6A3E35A0" w14:textId="77777777" w:rsidR="002878B1" w:rsidRPr="002878B1" w:rsidRDefault="002878B1" w:rsidP="002878B1">
      <w:pPr>
        <w:widowControl w:val="0"/>
        <w:snapToGrid w:val="0"/>
        <w:spacing w:after="0" w:line="360" w:lineRule="auto"/>
        <w:jc w:val="both"/>
        <w:rPr>
          <w:rFonts w:ascii="Book Antiqua" w:hAnsi="Book Antiqua" w:cs="Times New Roman"/>
          <w:kern w:val="2"/>
          <w:sz w:val="24"/>
          <w:szCs w:val="24"/>
          <w:lang w:eastAsia="zh-CN"/>
        </w:rPr>
      </w:pPr>
      <w:r w:rsidRPr="002878B1">
        <w:rPr>
          <w:rFonts w:ascii="Book Antiqua" w:hAnsi="Book Antiqua" w:cs="Times New Roman"/>
          <w:kern w:val="2"/>
          <w:sz w:val="24"/>
          <w:szCs w:val="24"/>
          <w:lang w:eastAsia="zh-CN"/>
        </w:rPr>
        <w:t xml:space="preserve">19 </w:t>
      </w:r>
      <w:r w:rsidRPr="002878B1">
        <w:rPr>
          <w:rFonts w:ascii="Book Antiqua" w:hAnsi="Book Antiqua" w:cs="Times New Roman"/>
          <w:b/>
          <w:kern w:val="2"/>
          <w:sz w:val="24"/>
          <w:szCs w:val="24"/>
          <w:lang w:eastAsia="zh-CN"/>
        </w:rPr>
        <w:t>Nguyen T</w:t>
      </w:r>
      <w:r w:rsidRPr="002878B1">
        <w:rPr>
          <w:rFonts w:ascii="Book Antiqua" w:hAnsi="Book Antiqua" w:cs="Times New Roman"/>
          <w:kern w:val="2"/>
          <w:sz w:val="24"/>
          <w:szCs w:val="24"/>
          <w:lang w:eastAsia="zh-CN"/>
        </w:rPr>
        <w:t xml:space="preserve">, </w:t>
      </w:r>
      <w:proofErr w:type="spellStart"/>
      <w:r w:rsidRPr="002878B1">
        <w:rPr>
          <w:rFonts w:ascii="Book Antiqua" w:hAnsi="Book Antiqua" w:cs="Times New Roman"/>
          <w:kern w:val="2"/>
          <w:sz w:val="24"/>
          <w:szCs w:val="24"/>
          <w:lang w:eastAsia="zh-CN"/>
        </w:rPr>
        <w:t>Frenette</w:t>
      </w:r>
      <w:proofErr w:type="spellEnd"/>
      <w:r w:rsidRPr="002878B1">
        <w:rPr>
          <w:rFonts w:ascii="Book Antiqua" w:hAnsi="Book Antiqua" w:cs="Times New Roman"/>
          <w:kern w:val="2"/>
          <w:sz w:val="24"/>
          <w:szCs w:val="24"/>
          <w:lang w:eastAsia="zh-CN"/>
        </w:rPr>
        <w:t xml:space="preserve"> AJ, </w:t>
      </w:r>
      <w:proofErr w:type="spellStart"/>
      <w:r w:rsidRPr="002878B1">
        <w:rPr>
          <w:rFonts w:ascii="Book Antiqua" w:hAnsi="Book Antiqua" w:cs="Times New Roman"/>
          <w:kern w:val="2"/>
          <w:sz w:val="24"/>
          <w:szCs w:val="24"/>
          <w:lang w:eastAsia="zh-CN"/>
        </w:rPr>
        <w:t>Johanson</w:t>
      </w:r>
      <w:proofErr w:type="spellEnd"/>
      <w:r w:rsidRPr="002878B1">
        <w:rPr>
          <w:rFonts w:ascii="Book Antiqua" w:hAnsi="Book Antiqua" w:cs="Times New Roman"/>
          <w:kern w:val="2"/>
          <w:sz w:val="24"/>
          <w:szCs w:val="24"/>
          <w:lang w:eastAsia="zh-CN"/>
        </w:rPr>
        <w:t xml:space="preserve"> C, Maclean RD, Patel R, Simpson A, Singh A, </w:t>
      </w:r>
      <w:proofErr w:type="spellStart"/>
      <w:r w:rsidRPr="002878B1">
        <w:rPr>
          <w:rFonts w:ascii="Book Antiqua" w:hAnsi="Book Antiqua" w:cs="Times New Roman"/>
          <w:kern w:val="2"/>
          <w:sz w:val="24"/>
          <w:szCs w:val="24"/>
          <w:lang w:eastAsia="zh-CN"/>
        </w:rPr>
        <w:t>Balchin</w:t>
      </w:r>
      <w:proofErr w:type="spellEnd"/>
      <w:r w:rsidRPr="002878B1">
        <w:rPr>
          <w:rFonts w:ascii="Book Antiqua" w:hAnsi="Book Antiqua" w:cs="Times New Roman"/>
          <w:kern w:val="2"/>
          <w:sz w:val="24"/>
          <w:szCs w:val="24"/>
          <w:lang w:eastAsia="zh-CN"/>
        </w:rPr>
        <w:t xml:space="preserve"> KS, Fergusson D, Kanji S. Impaired gastrointestinal transit and its associated morbidity in the intensive care unit. </w:t>
      </w:r>
      <w:r w:rsidRPr="002878B1">
        <w:rPr>
          <w:rFonts w:ascii="Book Antiqua" w:hAnsi="Book Antiqua" w:cs="Times New Roman"/>
          <w:i/>
          <w:kern w:val="2"/>
          <w:sz w:val="24"/>
          <w:szCs w:val="24"/>
          <w:lang w:eastAsia="zh-CN"/>
        </w:rPr>
        <w:t xml:space="preserve">J </w:t>
      </w:r>
      <w:proofErr w:type="spellStart"/>
      <w:r w:rsidRPr="002878B1">
        <w:rPr>
          <w:rFonts w:ascii="Book Antiqua" w:hAnsi="Book Antiqua" w:cs="Times New Roman"/>
          <w:i/>
          <w:kern w:val="2"/>
          <w:sz w:val="24"/>
          <w:szCs w:val="24"/>
          <w:lang w:eastAsia="zh-CN"/>
        </w:rPr>
        <w:t>Crit</w:t>
      </w:r>
      <w:proofErr w:type="spellEnd"/>
      <w:r w:rsidRPr="002878B1">
        <w:rPr>
          <w:rFonts w:ascii="Book Antiqua" w:hAnsi="Book Antiqua" w:cs="Times New Roman"/>
          <w:i/>
          <w:kern w:val="2"/>
          <w:sz w:val="24"/>
          <w:szCs w:val="24"/>
          <w:lang w:eastAsia="zh-CN"/>
        </w:rPr>
        <w:t xml:space="preserve"> Care</w:t>
      </w:r>
      <w:r w:rsidRPr="002878B1">
        <w:rPr>
          <w:rFonts w:ascii="Book Antiqua" w:hAnsi="Book Antiqua" w:cs="Times New Roman"/>
          <w:kern w:val="2"/>
          <w:sz w:val="24"/>
          <w:szCs w:val="24"/>
          <w:lang w:eastAsia="zh-CN"/>
        </w:rPr>
        <w:t xml:space="preserve"> 2013; </w:t>
      </w:r>
      <w:r w:rsidRPr="002878B1">
        <w:rPr>
          <w:rFonts w:ascii="Book Antiqua" w:hAnsi="Book Antiqua" w:cs="Times New Roman"/>
          <w:b/>
          <w:kern w:val="2"/>
          <w:sz w:val="24"/>
          <w:szCs w:val="24"/>
          <w:lang w:eastAsia="zh-CN"/>
        </w:rPr>
        <w:t>28</w:t>
      </w:r>
      <w:r w:rsidRPr="002878B1">
        <w:rPr>
          <w:rFonts w:ascii="Book Antiqua" w:hAnsi="Book Antiqua" w:cs="Times New Roman"/>
          <w:kern w:val="2"/>
          <w:sz w:val="24"/>
          <w:szCs w:val="24"/>
          <w:lang w:eastAsia="zh-CN"/>
        </w:rPr>
        <w:t>: 537.e11-537.e17 [PMID: 23333042 DOI: 10.1016/j.jcrc.2012.12.003]</w:t>
      </w:r>
    </w:p>
    <w:p w14:paraId="6F9C1D6E" w14:textId="77777777" w:rsidR="002878B1" w:rsidRPr="002878B1" w:rsidRDefault="002878B1" w:rsidP="002878B1">
      <w:pPr>
        <w:widowControl w:val="0"/>
        <w:snapToGrid w:val="0"/>
        <w:spacing w:after="0" w:line="360" w:lineRule="auto"/>
        <w:jc w:val="both"/>
        <w:rPr>
          <w:rFonts w:ascii="Book Antiqua" w:hAnsi="Book Antiqua" w:cs="Times New Roman"/>
          <w:kern w:val="2"/>
          <w:sz w:val="24"/>
          <w:szCs w:val="24"/>
          <w:lang w:eastAsia="zh-CN"/>
        </w:rPr>
      </w:pPr>
      <w:r w:rsidRPr="002878B1">
        <w:rPr>
          <w:rFonts w:ascii="Book Antiqua" w:hAnsi="Book Antiqua" w:cs="Times New Roman"/>
          <w:kern w:val="2"/>
          <w:sz w:val="24"/>
          <w:szCs w:val="24"/>
          <w:lang w:eastAsia="zh-CN"/>
        </w:rPr>
        <w:t xml:space="preserve">20 </w:t>
      </w:r>
      <w:proofErr w:type="spellStart"/>
      <w:r w:rsidRPr="002878B1">
        <w:rPr>
          <w:rFonts w:ascii="Book Antiqua" w:hAnsi="Book Antiqua" w:cs="Times New Roman"/>
          <w:b/>
          <w:kern w:val="2"/>
          <w:sz w:val="24"/>
          <w:szCs w:val="24"/>
          <w:lang w:eastAsia="zh-CN"/>
        </w:rPr>
        <w:t>Adike</w:t>
      </w:r>
      <w:proofErr w:type="spellEnd"/>
      <w:r w:rsidRPr="002878B1">
        <w:rPr>
          <w:rFonts w:ascii="Book Antiqua" w:hAnsi="Book Antiqua" w:cs="Times New Roman"/>
          <w:b/>
          <w:kern w:val="2"/>
          <w:sz w:val="24"/>
          <w:szCs w:val="24"/>
          <w:lang w:eastAsia="zh-CN"/>
        </w:rPr>
        <w:t xml:space="preserve"> A</w:t>
      </w:r>
      <w:r w:rsidRPr="002878B1">
        <w:rPr>
          <w:rFonts w:ascii="Book Antiqua" w:hAnsi="Book Antiqua" w:cs="Times New Roman"/>
          <w:kern w:val="2"/>
          <w:sz w:val="24"/>
          <w:szCs w:val="24"/>
          <w:lang w:eastAsia="zh-CN"/>
        </w:rPr>
        <w:t xml:space="preserve">, Quigley EM. Gastrointestinal motility problems in critical care: a clinical perspective. </w:t>
      </w:r>
      <w:r w:rsidRPr="002878B1">
        <w:rPr>
          <w:rFonts w:ascii="Book Antiqua" w:hAnsi="Book Antiqua" w:cs="Times New Roman"/>
          <w:i/>
          <w:kern w:val="2"/>
          <w:sz w:val="24"/>
          <w:szCs w:val="24"/>
          <w:lang w:eastAsia="zh-CN"/>
        </w:rPr>
        <w:t>J Dig Dis</w:t>
      </w:r>
      <w:r w:rsidRPr="002878B1">
        <w:rPr>
          <w:rFonts w:ascii="Book Antiqua" w:hAnsi="Book Antiqua" w:cs="Times New Roman"/>
          <w:kern w:val="2"/>
          <w:sz w:val="24"/>
          <w:szCs w:val="24"/>
          <w:lang w:eastAsia="zh-CN"/>
        </w:rPr>
        <w:t xml:space="preserve"> 2014; </w:t>
      </w:r>
      <w:r w:rsidRPr="002878B1">
        <w:rPr>
          <w:rFonts w:ascii="Book Antiqua" w:hAnsi="Book Antiqua" w:cs="Times New Roman"/>
          <w:b/>
          <w:kern w:val="2"/>
          <w:sz w:val="24"/>
          <w:szCs w:val="24"/>
          <w:lang w:eastAsia="zh-CN"/>
        </w:rPr>
        <w:t>15</w:t>
      </w:r>
      <w:r w:rsidRPr="002878B1">
        <w:rPr>
          <w:rFonts w:ascii="Book Antiqua" w:hAnsi="Book Antiqua" w:cs="Times New Roman"/>
          <w:kern w:val="2"/>
          <w:sz w:val="24"/>
          <w:szCs w:val="24"/>
          <w:lang w:eastAsia="zh-CN"/>
        </w:rPr>
        <w:t>: 335-344 [PMID: 24673805 DOI: 10.1111/1751-2980.12147]</w:t>
      </w:r>
    </w:p>
    <w:p w14:paraId="5321EACA" w14:textId="77777777" w:rsidR="002878B1" w:rsidRPr="002878B1" w:rsidRDefault="002878B1" w:rsidP="002878B1">
      <w:pPr>
        <w:widowControl w:val="0"/>
        <w:snapToGrid w:val="0"/>
        <w:spacing w:after="0" w:line="360" w:lineRule="auto"/>
        <w:jc w:val="both"/>
        <w:rPr>
          <w:rFonts w:ascii="Book Antiqua" w:hAnsi="Book Antiqua" w:cs="Times New Roman"/>
          <w:kern w:val="2"/>
          <w:sz w:val="24"/>
          <w:szCs w:val="24"/>
          <w:lang w:eastAsia="zh-CN"/>
        </w:rPr>
      </w:pPr>
      <w:r w:rsidRPr="002878B1">
        <w:rPr>
          <w:rFonts w:ascii="Book Antiqua" w:hAnsi="Book Antiqua" w:cs="Times New Roman"/>
          <w:kern w:val="2"/>
          <w:sz w:val="24"/>
          <w:szCs w:val="24"/>
          <w:lang w:eastAsia="zh-CN"/>
        </w:rPr>
        <w:t xml:space="preserve">21 </w:t>
      </w:r>
      <w:r w:rsidRPr="002878B1">
        <w:rPr>
          <w:rFonts w:ascii="Book Antiqua" w:hAnsi="Book Antiqua" w:cs="Times New Roman"/>
          <w:b/>
          <w:kern w:val="2"/>
          <w:sz w:val="24"/>
          <w:szCs w:val="24"/>
          <w:lang w:eastAsia="zh-CN"/>
        </w:rPr>
        <w:t xml:space="preserve">van der </w:t>
      </w:r>
      <w:proofErr w:type="spellStart"/>
      <w:r w:rsidRPr="002878B1">
        <w:rPr>
          <w:rFonts w:ascii="Book Antiqua" w:hAnsi="Book Antiqua" w:cs="Times New Roman"/>
          <w:b/>
          <w:kern w:val="2"/>
          <w:sz w:val="24"/>
          <w:szCs w:val="24"/>
          <w:lang w:eastAsia="zh-CN"/>
        </w:rPr>
        <w:t>Spoel</w:t>
      </w:r>
      <w:proofErr w:type="spellEnd"/>
      <w:r w:rsidRPr="002878B1">
        <w:rPr>
          <w:rFonts w:ascii="Book Antiqua" w:hAnsi="Book Antiqua" w:cs="Times New Roman"/>
          <w:b/>
          <w:kern w:val="2"/>
          <w:sz w:val="24"/>
          <w:szCs w:val="24"/>
          <w:lang w:eastAsia="zh-CN"/>
        </w:rPr>
        <w:t xml:space="preserve"> JI</w:t>
      </w:r>
      <w:r w:rsidRPr="002878B1">
        <w:rPr>
          <w:rFonts w:ascii="Book Antiqua" w:hAnsi="Book Antiqua" w:cs="Times New Roman"/>
          <w:kern w:val="2"/>
          <w:sz w:val="24"/>
          <w:szCs w:val="24"/>
          <w:lang w:eastAsia="zh-CN"/>
        </w:rPr>
        <w:t xml:space="preserve">, </w:t>
      </w:r>
      <w:proofErr w:type="spellStart"/>
      <w:r w:rsidRPr="002878B1">
        <w:rPr>
          <w:rFonts w:ascii="Book Antiqua" w:hAnsi="Book Antiqua" w:cs="Times New Roman"/>
          <w:kern w:val="2"/>
          <w:sz w:val="24"/>
          <w:szCs w:val="24"/>
          <w:lang w:eastAsia="zh-CN"/>
        </w:rPr>
        <w:t>Oudemans</w:t>
      </w:r>
      <w:proofErr w:type="spellEnd"/>
      <w:r w:rsidRPr="002878B1">
        <w:rPr>
          <w:rFonts w:ascii="Book Antiqua" w:hAnsi="Book Antiqua" w:cs="Times New Roman"/>
          <w:kern w:val="2"/>
          <w:sz w:val="24"/>
          <w:szCs w:val="24"/>
          <w:lang w:eastAsia="zh-CN"/>
        </w:rPr>
        <w:t xml:space="preserve">-van </w:t>
      </w:r>
      <w:proofErr w:type="spellStart"/>
      <w:r w:rsidRPr="002878B1">
        <w:rPr>
          <w:rFonts w:ascii="Book Antiqua" w:hAnsi="Book Antiqua" w:cs="Times New Roman"/>
          <w:kern w:val="2"/>
          <w:sz w:val="24"/>
          <w:szCs w:val="24"/>
          <w:lang w:eastAsia="zh-CN"/>
        </w:rPr>
        <w:t>Straaten</w:t>
      </w:r>
      <w:proofErr w:type="spellEnd"/>
      <w:r w:rsidRPr="002878B1">
        <w:rPr>
          <w:rFonts w:ascii="Book Antiqua" w:hAnsi="Book Antiqua" w:cs="Times New Roman"/>
          <w:kern w:val="2"/>
          <w:sz w:val="24"/>
          <w:szCs w:val="24"/>
          <w:lang w:eastAsia="zh-CN"/>
        </w:rPr>
        <w:t xml:space="preserve"> HM, Kuiper MA, van </w:t>
      </w:r>
      <w:proofErr w:type="spellStart"/>
      <w:r w:rsidRPr="002878B1">
        <w:rPr>
          <w:rFonts w:ascii="Book Antiqua" w:hAnsi="Book Antiqua" w:cs="Times New Roman"/>
          <w:kern w:val="2"/>
          <w:sz w:val="24"/>
          <w:szCs w:val="24"/>
          <w:lang w:eastAsia="zh-CN"/>
        </w:rPr>
        <w:t>Roon</w:t>
      </w:r>
      <w:proofErr w:type="spellEnd"/>
      <w:r w:rsidRPr="002878B1">
        <w:rPr>
          <w:rFonts w:ascii="Book Antiqua" w:hAnsi="Book Antiqua" w:cs="Times New Roman"/>
          <w:kern w:val="2"/>
          <w:sz w:val="24"/>
          <w:szCs w:val="24"/>
          <w:lang w:eastAsia="zh-CN"/>
        </w:rPr>
        <w:t xml:space="preserve"> EN, </w:t>
      </w:r>
      <w:proofErr w:type="spellStart"/>
      <w:r w:rsidRPr="002878B1">
        <w:rPr>
          <w:rFonts w:ascii="Book Antiqua" w:hAnsi="Book Antiqua" w:cs="Times New Roman"/>
          <w:kern w:val="2"/>
          <w:sz w:val="24"/>
          <w:szCs w:val="24"/>
          <w:lang w:eastAsia="zh-CN"/>
        </w:rPr>
        <w:t>Zandstra</w:t>
      </w:r>
      <w:proofErr w:type="spellEnd"/>
      <w:r w:rsidRPr="002878B1">
        <w:rPr>
          <w:rFonts w:ascii="Book Antiqua" w:hAnsi="Book Antiqua" w:cs="Times New Roman"/>
          <w:kern w:val="2"/>
          <w:sz w:val="24"/>
          <w:szCs w:val="24"/>
          <w:lang w:eastAsia="zh-CN"/>
        </w:rPr>
        <w:t xml:space="preserve"> DF, van der </w:t>
      </w:r>
      <w:proofErr w:type="spellStart"/>
      <w:r w:rsidRPr="002878B1">
        <w:rPr>
          <w:rFonts w:ascii="Book Antiqua" w:hAnsi="Book Antiqua" w:cs="Times New Roman"/>
          <w:kern w:val="2"/>
          <w:sz w:val="24"/>
          <w:szCs w:val="24"/>
          <w:lang w:eastAsia="zh-CN"/>
        </w:rPr>
        <w:t>Voort</w:t>
      </w:r>
      <w:proofErr w:type="spellEnd"/>
      <w:r w:rsidRPr="002878B1">
        <w:rPr>
          <w:rFonts w:ascii="Book Antiqua" w:hAnsi="Book Antiqua" w:cs="Times New Roman"/>
          <w:kern w:val="2"/>
          <w:sz w:val="24"/>
          <w:szCs w:val="24"/>
          <w:lang w:eastAsia="zh-CN"/>
        </w:rPr>
        <w:t xml:space="preserve"> PH. Laxation of critically ill patients with lactulose or polyethylene glycol: a two-center randomized, double-blind, placebo-controlled trial. </w:t>
      </w:r>
      <w:proofErr w:type="spellStart"/>
      <w:r w:rsidRPr="002878B1">
        <w:rPr>
          <w:rFonts w:ascii="Book Antiqua" w:hAnsi="Book Antiqua" w:cs="Times New Roman"/>
          <w:i/>
          <w:kern w:val="2"/>
          <w:sz w:val="24"/>
          <w:szCs w:val="24"/>
          <w:lang w:eastAsia="zh-CN"/>
        </w:rPr>
        <w:t>Crit</w:t>
      </w:r>
      <w:proofErr w:type="spellEnd"/>
      <w:r w:rsidRPr="002878B1">
        <w:rPr>
          <w:rFonts w:ascii="Book Antiqua" w:hAnsi="Book Antiqua" w:cs="Times New Roman"/>
          <w:i/>
          <w:kern w:val="2"/>
          <w:sz w:val="24"/>
          <w:szCs w:val="24"/>
          <w:lang w:eastAsia="zh-CN"/>
        </w:rPr>
        <w:t xml:space="preserve"> Care Med</w:t>
      </w:r>
      <w:r w:rsidRPr="002878B1">
        <w:rPr>
          <w:rFonts w:ascii="Book Antiqua" w:hAnsi="Book Antiqua" w:cs="Times New Roman"/>
          <w:kern w:val="2"/>
          <w:sz w:val="24"/>
          <w:szCs w:val="24"/>
          <w:lang w:eastAsia="zh-CN"/>
        </w:rPr>
        <w:t xml:space="preserve"> 2007; </w:t>
      </w:r>
      <w:r w:rsidRPr="002878B1">
        <w:rPr>
          <w:rFonts w:ascii="Book Antiqua" w:hAnsi="Book Antiqua" w:cs="Times New Roman"/>
          <w:b/>
          <w:kern w:val="2"/>
          <w:sz w:val="24"/>
          <w:szCs w:val="24"/>
          <w:lang w:eastAsia="zh-CN"/>
        </w:rPr>
        <w:t>35</w:t>
      </w:r>
      <w:r w:rsidRPr="002878B1">
        <w:rPr>
          <w:rFonts w:ascii="Book Antiqua" w:hAnsi="Book Antiqua" w:cs="Times New Roman"/>
          <w:kern w:val="2"/>
          <w:sz w:val="24"/>
          <w:szCs w:val="24"/>
          <w:lang w:eastAsia="zh-CN"/>
        </w:rPr>
        <w:t>: 2726-2731 [PMID: 17893628 DOI: 10.1097/01.CCM.0000287526.08794.29]</w:t>
      </w:r>
    </w:p>
    <w:p w14:paraId="57391B87" w14:textId="77777777" w:rsidR="002878B1" w:rsidRPr="002878B1" w:rsidRDefault="002878B1" w:rsidP="002878B1">
      <w:pPr>
        <w:widowControl w:val="0"/>
        <w:snapToGrid w:val="0"/>
        <w:spacing w:after="0" w:line="360" w:lineRule="auto"/>
        <w:jc w:val="both"/>
        <w:rPr>
          <w:rFonts w:ascii="Book Antiqua" w:hAnsi="Book Antiqua" w:cs="Times New Roman"/>
          <w:kern w:val="2"/>
          <w:sz w:val="24"/>
          <w:szCs w:val="24"/>
          <w:lang w:eastAsia="zh-CN"/>
        </w:rPr>
      </w:pPr>
      <w:r w:rsidRPr="002878B1">
        <w:rPr>
          <w:rFonts w:ascii="Book Antiqua" w:hAnsi="Book Antiqua" w:cs="Times New Roman"/>
          <w:kern w:val="2"/>
          <w:sz w:val="24"/>
          <w:szCs w:val="24"/>
          <w:lang w:eastAsia="zh-CN"/>
        </w:rPr>
        <w:t xml:space="preserve">22 </w:t>
      </w:r>
      <w:proofErr w:type="spellStart"/>
      <w:r w:rsidRPr="002878B1">
        <w:rPr>
          <w:rFonts w:ascii="Book Antiqua" w:hAnsi="Book Antiqua" w:cs="Times New Roman"/>
          <w:b/>
          <w:kern w:val="2"/>
          <w:sz w:val="24"/>
          <w:szCs w:val="24"/>
          <w:lang w:eastAsia="zh-CN"/>
        </w:rPr>
        <w:t>Traut</w:t>
      </w:r>
      <w:proofErr w:type="spellEnd"/>
      <w:r w:rsidRPr="002878B1">
        <w:rPr>
          <w:rFonts w:ascii="Book Antiqua" w:hAnsi="Book Antiqua" w:cs="Times New Roman"/>
          <w:b/>
          <w:kern w:val="2"/>
          <w:sz w:val="24"/>
          <w:szCs w:val="24"/>
          <w:lang w:eastAsia="zh-CN"/>
        </w:rPr>
        <w:t xml:space="preserve"> U</w:t>
      </w:r>
      <w:r w:rsidRPr="002878B1">
        <w:rPr>
          <w:rFonts w:ascii="Book Antiqua" w:hAnsi="Book Antiqua" w:cs="Times New Roman"/>
          <w:kern w:val="2"/>
          <w:sz w:val="24"/>
          <w:szCs w:val="24"/>
          <w:lang w:eastAsia="zh-CN"/>
        </w:rPr>
        <w:t xml:space="preserve">, </w:t>
      </w:r>
      <w:proofErr w:type="spellStart"/>
      <w:r w:rsidRPr="002878B1">
        <w:rPr>
          <w:rFonts w:ascii="Book Antiqua" w:hAnsi="Book Antiqua" w:cs="Times New Roman"/>
          <w:kern w:val="2"/>
          <w:sz w:val="24"/>
          <w:szCs w:val="24"/>
          <w:lang w:eastAsia="zh-CN"/>
        </w:rPr>
        <w:t>Brügger</w:t>
      </w:r>
      <w:proofErr w:type="spellEnd"/>
      <w:r w:rsidRPr="002878B1">
        <w:rPr>
          <w:rFonts w:ascii="Book Antiqua" w:hAnsi="Book Antiqua" w:cs="Times New Roman"/>
          <w:kern w:val="2"/>
          <w:sz w:val="24"/>
          <w:szCs w:val="24"/>
          <w:lang w:eastAsia="zh-CN"/>
        </w:rPr>
        <w:t xml:space="preserve"> L, Kunz R, Pauli-Magnus C, </w:t>
      </w:r>
      <w:proofErr w:type="spellStart"/>
      <w:r w:rsidRPr="002878B1">
        <w:rPr>
          <w:rFonts w:ascii="Book Antiqua" w:hAnsi="Book Antiqua" w:cs="Times New Roman"/>
          <w:kern w:val="2"/>
          <w:sz w:val="24"/>
          <w:szCs w:val="24"/>
          <w:lang w:eastAsia="zh-CN"/>
        </w:rPr>
        <w:t>Haug</w:t>
      </w:r>
      <w:proofErr w:type="spellEnd"/>
      <w:r w:rsidRPr="002878B1">
        <w:rPr>
          <w:rFonts w:ascii="Book Antiqua" w:hAnsi="Book Antiqua" w:cs="Times New Roman"/>
          <w:kern w:val="2"/>
          <w:sz w:val="24"/>
          <w:szCs w:val="24"/>
          <w:lang w:eastAsia="zh-CN"/>
        </w:rPr>
        <w:t xml:space="preserve"> K, Bucher HC, </w:t>
      </w:r>
      <w:proofErr w:type="spellStart"/>
      <w:r w:rsidRPr="002878B1">
        <w:rPr>
          <w:rFonts w:ascii="Book Antiqua" w:hAnsi="Book Antiqua" w:cs="Times New Roman"/>
          <w:kern w:val="2"/>
          <w:sz w:val="24"/>
          <w:szCs w:val="24"/>
          <w:lang w:eastAsia="zh-CN"/>
        </w:rPr>
        <w:t>Koller</w:t>
      </w:r>
      <w:proofErr w:type="spellEnd"/>
      <w:r w:rsidRPr="002878B1">
        <w:rPr>
          <w:rFonts w:ascii="Book Antiqua" w:hAnsi="Book Antiqua" w:cs="Times New Roman"/>
          <w:kern w:val="2"/>
          <w:sz w:val="24"/>
          <w:szCs w:val="24"/>
          <w:lang w:eastAsia="zh-CN"/>
        </w:rPr>
        <w:t xml:space="preserve"> MT. Systemic </w:t>
      </w:r>
      <w:proofErr w:type="spellStart"/>
      <w:r w:rsidRPr="002878B1">
        <w:rPr>
          <w:rFonts w:ascii="Book Antiqua" w:hAnsi="Book Antiqua" w:cs="Times New Roman"/>
          <w:kern w:val="2"/>
          <w:sz w:val="24"/>
          <w:szCs w:val="24"/>
          <w:lang w:eastAsia="zh-CN"/>
        </w:rPr>
        <w:t>prokinetic</w:t>
      </w:r>
      <w:proofErr w:type="spellEnd"/>
      <w:r w:rsidRPr="002878B1">
        <w:rPr>
          <w:rFonts w:ascii="Book Antiqua" w:hAnsi="Book Antiqua" w:cs="Times New Roman"/>
          <w:kern w:val="2"/>
          <w:sz w:val="24"/>
          <w:szCs w:val="24"/>
          <w:lang w:eastAsia="zh-CN"/>
        </w:rPr>
        <w:t xml:space="preserve"> pharmacologic treatment for postoperative </w:t>
      </w:r>
      <w:proofErr w:type="spellStart"/>
      <w:r w:rsidRPr="002878B1">
        <w:rPr>
          <w:rFonts w:ascii="Book Antiqua" w:hAnsi="Book Antiqua" w:cs="Times New Roman"/>
          <w:kern w:val="2"/>
          <w:sz w:val="24"/>
          <w:szCs w:val="24"/>
          <w:lang w:eastAsia="zh-CN"/>
        </w:rPr>
        <w:t>adynamic</w:t>
      </w:r>
      <w:proofErr w:type="spellEnd"/>
      <w:r w:rsidRPr="002878B1">
        <w:rPr>
          <w:rFonts w:ascii="Book Antiqua" w:hAnsi="Book Antiqua" w:cs="Times New Roman"/>
          <w:kern w:val="2"/>
          <w:sz w:val="24"/>
          <w:szCs w:val="24"/>
          <w:lang w:eastAsia="zh-CN"/>
        </w:rPr>
        <w:t xml:space="preserve"> ileus following abdominal surgery in adults. </w:t>
      </w:r>
      <w:r w:rsidRPr="002878B1">
        <w:rPr>
          <w:rFonts w:ascii="Book Antiqua" w:hAnsi="Book Antiqua" w:cs="Times New Roman"/>
          <w:i/>
          <w:kern w:val="2"/>
          <w:sz w:val="24"/>
          <w:szCs w:val="24"/>
          <w:lang w:eastAsia="zh-CN"/>
        </w:rPr>
        <w:t xml:space="preserve">Cochrane Database </w:t>
      </w:r>
      <w:proofErr w:type="spellStart"/>
      <w:r w:rsidRPr="002878B1">
        <w:rPr>
          <w:rFonts w:ascii="Book Antiqua" w:hAnsi="Book Antiqua" w:cs="Times New Roman"/>
          <w:i/>
          <w:kern w:val="2"/>
          <w:sz w:val="24"/>
          <w:szCs w:val="24"/>
          <w:lang w:eastAsia="zh-CN"/>
        </w:rPr>
        <w:t>Syst</w:t>
      </w:r>
      <w:proofErr w:type="spellEnd"/>
      <w:r w:rsidRPr="002878B1">
        <w:rPr>
          <w:rFonts w:ascii="Book Antiqua" w:hAnsi="Book Antiqua" w:cs="Times New Roman"/>
          <w:i/>
          <w:kern w:val="2"/>
          <w:sz w:val="24"/>
          <w:szCs w:val="24"/>
          <w:lang w:eastAsia="zh-CN"/>
        </w:rPr>
        <w:t xml:space="preserve"> Rev</w:t>
      </w:r>
      <w:r w:rsidRPr="002878B1">
        <w:rPr>
          <w:rFonts w:ascii="Book Antiqua" w:hAnsi="Book Antiqua" w:cs="Times New Roman"/>
          <w:kern w:val="2"/>
          <w:sz w:val="24"/>
          <w:szCs w:val="24"/>
          <w:lang w:eastAsia="zh-CN"/>
        </w:rPr>
        <w:t xml:space="preserve"> 2008; </w:t>
      </w:r>
      <w:r w:rsidRPr="00901AB9">
        <w:rPr>
          <w:rFonts w:ascii="Book Antiqua" w:hAnsi="Book Antiqua" w:cs="Times New Roman"/>
          <w:b/>
          <w:kern w:val="2"/>
          <w:sz w:val="24"/>
          <w:szCs w:val="24"/>
          <w:lang w:eastAsia="zh-CN"/>
        </w:rPr>
        <w:t>(1):</w:t>
      </w:r>
      <w:r w:rsidRPr="002878B1">
        <w:rPr>
          <w:rFonts w:ascii="Book Antiqua" w:hAnsi="Book Antiqua" w:cs="Times New Roman"/>
          <w:kern w:val="2"/>
          <w:sz w:val="24"/>
          <w:szCs w:val="24"/>
          <w:lang w:eastAsia="zh-CN"/>
        </w:rPr>
        <w:t xml:space="preserve"> CD004930 [PMID: 18254064 DOI: 10.1002/14651858.CD004930.pub3]</w:t>
      </w:r>
    </w:p>
    <w:p w14:paraId="44E1E335" w14:textId="77777777" w:rsidR="002878B1" w:rsidRPr="002878B1" w:rsidRDefault="002878B1" w:rsidP="002878B1">
      <w:pPr>
        <w:widowControl w:val="0"/>
        <w:snapToGrid w:val="0"/>
        <w:spacing w:after="0" w:line="360" w:lineRule="auto"/>
        <w:jc w:val="both"/>
        <w:rPr>
          <w:rFonts w:ascii="Book Antiqua" w:hAnsi="Book Antiqua" w:cs="Times New Roman"/>
          <w:kern w:val="2"/>
          <w:sz w:val="24"/>
          <w:szCs w:val="24"/>
          <w:lang w:eastAsia="zh-CN"/>
        </w:rPr>
      </w:pPr>
      <w:r w:rsidRPr="002878B1">
        <w:rPr>
          <w:rFonts w:ascii="Book Antiqua" w:hAnsi="Book Antiqua" w:cs="Times New Roman"/>
          <w:kern w:val="2"/>
          <w:sz w:val="24"/>
          <w:szCs w:val="24"/>
          <w:lang w:eastAsia="zh-CN"/>
        </w:rPr>
        <w:t xml:space="preserve">23 </w:t>
      </w:r>
      <w:r w:rsidRPr="002878B1">
        <w:rPr>
          <w:rFonts w:ascii="Book Antiqua" w:hAnsi="Book Antiqua" w:cs="Times New Roman"/>
          <w:b/>
          <w:kern w:val="2"/>
          <w:sz w:val="24"/>
          <w:szCs w:val="24"/>
          <w:lang w:eastAsia="zh-CN"/>
        </w:rPr>
        <w:t>Ogilvie WH</w:t>
      </w:r>
      <w:r w:rsidRPr="002878B1">
        <w:rPr>
          <w:rFonts w:ascii="Book Antiqua" w:hAnsi="Book Antiqua" w:cs="Times New Roman"/>
          <w:kern w:val="2"/>
          <w:sz w:val="24"/>
          <w:szCs w:val="24"/>
          <w:lang w:eastAsia="zh-CN"/>
        </w:rPr>
        <w:t xml:space="preserve">. William </w:t>
      </w:r>
      <w:proofErr w:type="spellStart"/>
      <w:r w:rsidRPr="002878B1">
        <w:rPr>
          <w:rFonts w:ascii="Book Antiqua" w:hAnsi="Book Antiqua" w:cs="Times New Roman"/>
          <w:kern w:val="2"/>
          <w:sz w:val="24"/>
          <w:szCs w:val="24"/>
          <w:lang w:eastAsia="zh-CN"/>
        </w:rPr>
        <w:t>Heneage</w:t>
      </w:r>
      <w:proofErr w:type="spellEnd"/>
      <w:r w:rsidRPr="002878B1">
        <w:rPr>
          <w:rFonts w:ascii="Book Antiqua" w:hAnsi="Book Antiqua" w:cs="Times New Roman"/>
          <w:kern w:val="2"/>
          <w:sz w:val="24"/>
          <w:szCs w:val="24"/>
          <w:lang w:eastAsia="zh-CN"/>
        </w:rPr>
        <w:t xml:space="preserve"> Ogilvie 1887-1971. </w:t>
      </w:r>
      <w:proofErr w:type="gramStart"/>
      <w:r w:rsidRPr="002878B1">
        <w:rPr>
          <w:rFonts w:ascii="Book Antiqua" w:hAnsi="Book Antiqua" w:cs="Times New Roman"/>
          <w:kern w:val="2"/>
          <w:sz w:val="24"/>
          <w:szCs w:val="24"/>
          <w:lang w:eastAsia="zh-CN"/>
        </w:rPr>
        <w:t>Large-intestine colic due to sympathetic deprivation.</w:t>
      </w:r>
      <w:proofErr w:type="gramEnd"/>
      <w:r w:rsidRPr="002878B1">
        <w:rPr>
          <w:rFonts w:ascii="Book Antiqua" w:hAnsi="Book Antiqua" w:cs="Times New Roman"/>
          <w:kern w:val="2"/>
          <w:sz w:val="24"/>
          <w:szCs w:val="24"/>
          <w:lang w:eastAsia="zh-CN"/>
        </w:rPr>
        <w:t xml:space="preserve"> </w:t>
      </w:r>
      <w:proofErr w:type="gramStart"/>
      <w:r w:rsidRPr="002878B1">
        <w:rPr>
          <w:rFonts w:ascii="Book Antiqua" w:hAnsi="Book Antiqua" w:cs="Times New Roman"/>
          <w:kern w:val="2"/>
          <w:sz w:val="24"/>
          <w:szCs w:val="24"/>
          <w:lang w:eastAsia="zh-CN"/>
        </w:rPr>
        <w:t>A new clinical syndrome.</w:t>
      </w:r>
      <w:proofErr w:type="gramEnd"/>
      <w:r w:rsidRPr="002878B1">
        <w:rPr>
          <w:rFonts w:ascii="Book Antiqua" w:hAnsi="Book Antiqua" w:cs="Times New Roman"/>
          <w:kern w:val="2"/>
          <w:sz w:val="24"/>
          <w:szCs w:val="24"/>
          <w:lang w:eastAsia="zh-CN"/>
        </w:rPr>
        <w:t xml:space="preserve"> </w:t>
      </w:r>
      <w:r w:rsidRPr="002878B1">
        <w:rPr>
          <w:rFonts w:ascii="Book Antiqua" w:hAnsi="Book Antiqua" w:cs="Times New Roman"/>
          <w:i/>
          <w:kern w:val="2"/>
          <w:sz w:val="24"/>
          <w:szCs w:val="24"/>
          <w:lang w:eastAsia="zh-CN"/>
        </w:rPr>
        <w:t>Dis Colon Rectum</w:t>
      </w:r>
      <w:r w:rsidRPr="002878B1">
        <w:rPr>
          <w:rFonts w:ascii="Book Antiqua" w:hAnsi="Book Antiqua" w:cs="Times New Roman"/>
          <w:kern w:val="2"/>
          <w:sz w:val="24"/>
          <w:szCs w:val="24"/>
          <w:lang w:eastAsia="zh-CN"/>
        </w:rPr>
        <w:t xml:space="preserve"> 1987; </w:t>
      </w:r>
      <w:r w:rsidRPr="002878B1">
        <w:rPr>
          <w:rFonts w:ascii="Book Antiqua" w:hAnsi="Book Antiqua" w:cs="Times New Roman"/>
          <w:b/>
          <w:kern w:val="2"/>
          <w:sz w:val="24"/>
          <w:szCs w:val="24"/>
          <w:lang w:eastAsia="zh-CN"/>
        </w:rPr>
        <w:t>30</w:t>
      </w:r>
      <w:r w:rsidRPr="002878B1">
        <w:rPr>
          <w:rFonts w:ascii="Book Antiqua" w:hAnsi="Book Antiqua" w:cs="Times New Roman"/>
          <w:kern w:val="2"/>
          <w:sz w:val="24"/>
          <w:szCs w:val="24"/>
          <w:lang w:eastAsia="zh-CN"/>
        </w:rPr>
        <w:t>: 984-987 [PMID: 3319452]</w:t>
      </w:r>
    </w:p>
    <w:p w14:paraId="28D647F0" w14:textId="77777777" w:rsidR="002878B1" w:rsidRPr="002878B1" w:rsidRDefault="002878B1" w:rsidP="002878B1">
      <w:pPr>
        <w:widowControl w:val="0"/>
        <w:snapToGrid w:val="0"/>
        <w:spacing w:after="0" w:line="360" w:lineRule="auto"/>
        <w:jc w:val="both"/>
        <w:rPr>
          <w:rFonts w:ascii="Book Antiqua" w:hAnsi="Book Antiqua" w:cs="Times New Roman"/>
          <w:kern w:val="2"/>
          <w:sz w:val="24"/>
          <w:szCs w:val="24"/>
          <w:lang w:eastAsia="zh-CN"/>
        </w:rPr>
      </w:pPr>
      <w:r w:rsidRPr="002878B1">
        <w:rPr>
          <w:rFonts w:ascii="Book Antiqua" w:hAnsi="Book Antiqua" w:cs="Times New Roman"/>
          <w:kern w:val="2"/>
          <w:sz w:val="24"/>
          <w:szCs w:val="24"/>
          <w:lang w:eastAsia="zh-CN"/>
        </w:rPr>
        <w:t xml:space="preserve">24 </w:t>
      </w:r>
      <w:proofErr w:type="spellStart"/>
      <w:r w:rsidRPr="002878B1">
        <w:rPr>
          <w:rFonts w:ascii="Book Antiqua" w:hAnsi="Book Antiqua" w:cs="Times New Roman"/>
          <w:b/>
          <w:kern w:val="2"/>
          <w:sz w:val="24"/>
          <w:szCs w:val="24"/>
          <w:lang w:eastAsia="zh-CN"/>
        </w:rPr>
        <w:t>Lessa</w:t>
      </w:r>
      <w:proofErr w:type="spellEnd"/>
      <w:r w:rsidRPr="002878B1">
        <w:rPr>
          <w:rFonts w:ascii="Book Antiqua" w:hAnsi="Book Antiqua" w:cs="Times New Roman"/>
          <w:b/>
          <w:kern w:val="2"/>
          <w:sz w:val="24"/>
          <w:szCs w:val="24"/>
          <w:lang w:eastAsia="zh-CN"/>
        </w:rPr>
        <w:t xml:space="preserve"> FC</w:t>
      </w:r>
      <w:r w:rsidRPr="002878B1">
        <w:rPr>
          <w:rFonts w:ascii="Book Antiqua" w:hAnsi="Book Antiqua" w:cs="Times New Roman"/>
          <w:kern w:val="2"/>
          <w:sz w:val="24"/>
          <w:szCs w:val="24"/>
          <w:lang w:eastAsia="zh-CN"/>
        </w:rPr>
        <w:t xml:space="preserve">, Mu Y, Bamberg WM, </w:t>
      </w:r>
      <w:proofErr w:type="spellStart"/>
      <w:r w:rsidRPr="002878B1">
        <w:rPr>
          <w:rFonts w:ascii="Book Antiqua" w:hAnsi="Book Antiqua" w:cs="Times New Roman"/>
          <w:kern w:val="2"/>
          <w:sz w:val="24"/>
          <w:szCs w:val="24"/>
          <w:lang w:eastAsia="zh-CN"/>
        </w:rPr>
        <w:t>Beldavs</w:t>
      </w:r>
      <w:proofErr w:type="spellEnd"/>
      <w:r w:rsidRPr="002878B1">
        <w:rPr>
          <w:rFonts w:ascii="Book Antiqua" w:hAnsi="Book Antiqua" w:cs="Times New Roman"/>
          <w:kern w:val="2"/>
          <w:sz w:val="24"/>
          <w:szCs w:val="24"/>
          <w:lang w:eastAsia="zh-CN"/>
        </w:rPr>
        <w:t xml:space="preserve"> ZG, </w:t>
      </w:r>
      <w:proofErr w:type="spellStart"/>
      <w:r w:rsidRPr="002878B1">
        <w:rPr>
          <w:rFonts w:ascii="Book Antiqua" w:hAnsi="Book Antiqua" w:cs="Times New Roman"/>
          <w:kern w:val="2"/>
          <w:sz w:val="24"/>
          <w:szCs w:val="24"/>
          <w:lang w:eastAsia="zh-CN"/>
        </w:rPr>
        <w:t>Dumyati</w:t>
      </w:r>
      <w:proofErr w:type="spellEnd"/>
      <w:r w:rsidRPr="002878B1">
        <w:rPr>
          <w:rFonts w:ascii="Book Antiqua" w:hAnsi="Book Antiqua" w:cs="Times New Roman"/>
          <w:kern w:val="2"/>
          <w:sz w:val="24"/>
          <w:szCs w:val="24"/>
          <w:lang w:eastAsia="zh-CN"/>
        </w:rPr>
        <w:t xml:space="preserve"> GK, Dunn JR, Farley MM, </w:t>
      </w:r>
      <w:proofErr w:type="spellStart"/>
      <w:r w:rsidRPr="002878B1">
        <w:rPr>
          <w:rFonts w:ascii="Book Antiqua" w:hAnsi="Book Antiqua" w:cs="Times New Roman"/>
          <w:kern w:val="2"/>
          <w:sz w:val="24"/>
          <w:szCs w:val="24"/>
          <w:lang w:eastAsia="zh-CN"/>
        </w:rPr>
        <w:t>Holzbauer</w:t>
      </w:r>
      <w:proofErr w:type="spellEnd"/>
      <w:r w:rsidRPr="002878B1">
        <w:rPr>
          <w:rFonts w:ascii="Book Antiqua" w:hAnsi="Book Antiqua" w:cs="Times New Roman"/>
          <w:kern w:val="2"/>
          <w:sz w:val="24"/>
          <w:szCs w:val="24"/>
          <w:lang w:eastAsia="zh-CN"/>
        </w:rPr>
        <w:t xml:space="preserve"> SM, Meek JI, Phipps EC, Wilson LE, Winston LG, Cohen JA, </w:t>
      </w:r>
      <w:proofErr w:type="spellStart"/>
      <w:r w:rsidRPr="002878B1">
        <w:rPr>
          <w:rFonts w:ascii="Book Antiqua" w:hAnsi="Book Antiqua" w:cs="Times New Roman"/>
          <w:kern w:val="2"/>
          <w:sz w:val="24"/>
          <w:szCs w:val="24"/>
          <w:lang w:eastAsia="zh-CN"/>
        </w:rPr>
        <w:t>Limbago</w:t>
      </w:r>
      <w:proofErr w:type="spellEnd"/>
      <w:r w:rsidRPr="002878B1">
        <w:rPr>
          <w:rFonts w:ascii="Book Antiqua" w:hAnsi="Book Antiqua" w:cs="Times New Roman"/>
          <w:kern w:val="2"/>
          <w:sz w:val="24"/>
          <w:szCs w:val="24"/>
          <w:lang w:eastAsia="zh-CN"/>
        </w:rPr>
        <w:t xml:space="preserve"> BM, </w:t>
      </w:r>
      <w:proofErr w:type="spellStart"/>
      <w:r w:rsidRPr="002878B1">
        <w:rPr>
          <w:rFonts w:ascii="Book Antiqua" w:hAnsi="Book Antiqua" w:cs="Times New Roman"/>
          <w:kern w:val="2"/>
          <w:sz w:val="24"/>
          <w:szCs w:val="24"/>
          <w:lang w:eastAsia="zh-CN"/>
        </w:rPr>
        <w:t>Fridkin</w:t>
      </w:r>
      <w:proofErr w:type="spellEnd"/>
      <w:r w:rsidRPr="002878B1">
        <w:rPr>
          <w:rFonts w:ascii="Book Antiqua" w:hAnsi="Book Antiqua" w:cs="Times New Roman"/>
          <w:kern w:val="2"/>
          <w:sz w:val="24"/>
          <w:szCs w:val="24"/>
          <w:lang w:eastAsia="zh-CN"/>
        </w:rPr>
        <w:t xml:space="preserve"> SK, </w:t>
      </w:r>
      <w:proofErr w:type="spellStart"/>
      <w:r w:rsidRPr="002878B1">
        <w:rPr>
          <w:rFonts w:ascii="Book Antiqua" w:hAnsi="Book Antiqua" w:cs="Times New Roman"/>
          <w:kern w:val="2"/>
          <w:sz w:val="24"/>
          <w:szCs w:val="24"/>
          <w:lang w:eastAsia="zh-CN"/>
        </w:rPr>
        <w:t>Gerding</w:t>
      </w:r>
      <w:proofErr w:type="spellEnd"/>
      <w:r w:rsidRPr="002878B1">
        <w:rPr>
          <w:rFonts w:ascii="Book Antiqua" w:hAnsi="Book Antiqua" w:cs="Times New Roman"/>
          <w:kern w:val="2"/>
          <w:sz w:val="24"/>
          <w:szCs w:val="24"/>
          <w:lang w:eastAsia="zh-CN"/>
        </w:rPr>
        <w:t xml:space="preserve"> DN, McDonald LC. </w:t>
      </w:r>
      <w:proofErr w:type="gramStart"/>
      <w:r w:rsidRPr="002878B1">
        <w:rPr>
          <w:rFonts w:ascii="Book Antiqua" w:hAnsi="Book Antiqua" w:cs="Times New Roman"/>
          <w:kern w:val="2"/>
          <w:sz w:val="24"/>
          <w:szCs w:val="24"/>
          <w:lang w:eastAsia="zh-CN"/>
        </w:rPr>
        <w:t>Burden of Clostridium difficile infection in the United States.</w:t>
      </w:r>
      <w:proofErr w:type="gramEnd"/>
      <w:r w:rsidRPr="002878B1">
        <w:rPr>
          <w:rFonts w:ascii="Book Antiqua" w:hAnsi="Book Antiqua" w:cs="Times New Roman"/>
          <w:kern w:val="2"/>
          <w:sz w:val="24"/>
          <w:szCs w:val="24"/>
          <w:lang w:eastAsia="zh-CN"/>
        </w:rPr>
        <w:t xml:space="preserve"> </w:t>
      </w:r>
      <w:r w:rsidRPr="002878B1">
        <w:rPr>
          <w:rFonts w:ascii="Book Antiqua" w:hAnsi="Book Antiqua" w:cs="Times New Roman"/>
          <w:i/>
          <w:kern w:val="2"/>
          <w:sz w:val="24"/>
          <w:szCs w:val="24"/>
          <w:lang w:eastAsia="zh-CN"/>
        </w:rPr>
        <w:t xml:space="preserve">N </w:t>
      </w:r>
      <w:proofErr w:type="spellStart"/>
      <w:r w:rsidRPr="002878B1">
        <w:rPr>
          <w:rFonts w:ascii="Book Antiqua" w:hAnsi="Book Antiqua" w:cs="Times New Roman"/>
          <w:i/>
          <w:kern w:val="2"/>
          <w:sz w:val="24"/>
          <w:szCs w:val="24"/>
          <w:lang w:eastAsia="zh-CN"/>
        </w:rPr>
        <w:t>Engl</w:t>
      </w:r>
      <w:proofErr w:type="spellEnd"/>
      <w:r w:rsidRPr="002878B1">
        <w:rPr>
          <w:rFonts w:ascii="Book Antiqua" w:hAnsi="Book Antiqua" w:cs="Times New Roman"/>
          <w:i/>
          <w:kern w:val="2"/>
          <w:sz w:val="24"/>
          <w:szCs w:val="24"/>
          <w:lang w:eastAsia="zh-CN"/>
        </w:rPr>
        <w:t xml:space="preserve"> J Med</w:t>
      </w:r>
      <w:r w:rsidRPr="002878B1">
        <w:rPr>
          <w:rFonts w:ascii="Book Antiqua" w:hAnsi="Book Antiqua" w:cs="Times New Roman"/>
          <w:kern w:val="2"/>
          <w:sz w:val="24"/>
          <w:szCs w:val="24"/>
          <w:lang w:eastAsia="zh-CN"/>
        </w:rPr>
        <w:t xml:space="preserve"> 2015; </w:t>
      </w:r>
      <w:r w:rsidRPr="002878B1">
        <w:rPr>
          <w:rFonts w:ascii="Book Antiqua" w:hAnsi="Book Antiqua" w:cs="Times New Roman"/>
          <w:b/>
          <w:kern w:val="2"/>
          <w:sz w:val="24"/>
          <w:szCs w:val="24"/>
          <w:lang w:eastAsia="zh-CN"/>
        </w:rPr>
        <w:t>372</w:t>
      </w:r>
      <w:r w:rsidRPr="002878B1">
        <w:rPr>
          <w:rFonts w:ascii="Book Antiqua" w:hAnsi="Book Antiqua" w:cs="Times New Roman"/>
          <w:kern w:val="2"/>
          <w:sz w:val="24"/>
          <w:szCs w:val="24"/>
          <w:lang w:eastAsia="zh-CN"/>
        </w:rPr>
        <w:t>: 825-834 [PMID: 25714160 DOI: 10.1056/NEJMoa1408913]</w:t>
      </w:r>
    </w:p>
    <w:p w14:paraId="3F929A4E" w14:textId="77777777" w:rsidR="002878B1" w:rsidRPr="002878B1" w:rsidRDefault="002878B1" w:rsidP="002878B1">
      <w:pPr>
        <w:widowControl w:val="0"/>
        <w:snapToGrid w:val="0"/>
        <w:spacing w:after="0" w:line="360" w:lineRule="auto"/>
        <w:jc w:val="both"/>
        <w:rPr>
          <w:rFonts w:ascii="Book Antiqua" w:hAnsi="Book Antiqua" w:cs="Times New Roman"/>
          <w:kern w:val="2"/>
          <w:sz w:val="24"/>
          <w:szCs w:val="24"/>
          <w:lang w:eastAsia="zh-CN"/>
        </w:rPr>
      </w:pPr>
      <w:r w:rsidRPr="002878B1">
        <w:rPr>
          <w:rFonts w:ascii="Book Antiqua" w:hAnsi="Book Antiqua" w:cs="Times New Roman"/>
          <w:kern w:val="2"/>
          <w:sz w:val="24"/>
          <w:szCs w:val="24"/>
          <w:lang w:eastAsia="zh-CN"/>
        </w:rPr>
        <w:t xml:space="preserve">25 </w:t>
      </w:r>
      <w:r w:rsidRPr="002878B1">
        <w:rPr>
          <w:rFonts w:ascii="Book Antiqua" w:hAnsi="Book Antiqua" w:cs="Times New Roman"/>
          <w:b/>
          <w:kern w:val="2"/>
          <w:sz w:val="24"/>
          <w:szCs w:val="24"/>
          <w:lang w:eastAsia="zh-CN"/>
        </w:rPr>
        <w:t>Johnson CD</w:t>
      </w:r>
      <w:r w:rsidRPr="002878B1">
        <w:rPr>
          <w:rFonts w:ascii="Book Antiqua" w:hAnsi="Book Antiqua" w:cs="Times New Roman"/>
          <w:kern w:val="2"/>
          <w:sz w:val="24"/>
          <w:szCs w:val="24"/>
          <w:lang w:eastAsia="zh-CN"/>
        </w:rPr>
        <w:t xml:space="preserve">, Rice RP, Kelvin FM, Foster WL, </w:t>
      </w:r>
      <w:proofErr w:type="spellStart"/>
      <w:r w:rsidRPr="002878B1">
        <w:rPr>
          <w:rFonts w:ascii="Book Antiqua" w:hAnsi="Book Antiqua" w:cs="Times New Roman"/>
          <w:kern w:val="2"/>
          <w:sz w:val="24"/>
          <w:szCs w:val="24"/>
          <w:lang w:eastAsia="zh-CN"/>
        </w:rPr>
        <w:t>Williford</w:t>
      </w:r>
      <w:proofErr w:type="spellEnd"/>
      <w:r w:rsidRPr="002878B1">
        <w:rPr>
          <w:rFonts w:ascii="Book Antiqua" w:hAnsi="Book Antiqua" w:cs="Times New Roman"/>
          <w:kern w:val="2"/>
          <w:sz w:val="24"/>
          <w:szCs w:val="24"/>
          <w:lang w:eastAsia="zh-CN"/>
        </w:rPr>
        <w:t xml:space="preserve"> ME. The radiologic evaluation of gross </w:t>
      </w:r>
      <w:proofErr w:type="spellStart"/>
      <w:r w:rsidRPr="002878B1">
        <w:rPr>
          <w:rFonts w:ascii="Book Antiqua" w:hAnsi="Book Antiqua" w:cs="Times New Roman"/>
          <w:kern w:val="2"/>
          <w:sz w:val="24"/>
          <w:szCs w:val="24"/>
          <w:lang w:eastAsia="zh-CN"/>
        </w:rPr>
        <w:t>cecal</w:t>
      </w:r>
      <w:proofErr w:type="spellEnd"/>
      <w:r w:rsidRPr="002878B1">
        <w:rPr>
          <w:rFonts w:ascii="Book Antiqua" w:hAnsi="Book Antiqua" w:cs="Times New Roman"/>
          <w:kern w:val="2"/>
          <w:sz w:val="24"/>
          <w:szCs w:val="24"/>
          <w:lang w:eastAsia="zh-CN"/>
        </w:rPr>
        <w:t xml:space="preserve"> distension: emphasis on </w:t>
      </w:r>
      <w:proofErr w:type="spellStart"/>
      <w:r w:rsidRPr="002878B1">
        <w:rPr>
          <w:rFonts w:ascii="Book Antiqua" w:hAnsi="Book Antiqua" w:cs="Times New Roman"/>
          <w:kern w:val="2"/>
          <w:sz w:val="24"/>
          <w:szCs w:val="24"/>
          <w:lang w:eastAsia="zh-CN"/>
        </w:rPr>
        <w:t>cecal</w:t>
      </w:r>
      <w:proofErr w:type="spellEnd"/>
      <w:r w:rsidRPr="002878B1">
        <w:rPr>
          <w:rFonts w:ascii="Book Antiqua" w:hAnsi="Book Antiqua" w:cs="Times New Roman"/>
          <w:kern w:val="2"/>
          <w:sz w:val="24"/>
          <w:szCs w:val="24"/>
          <w:lang w:eastAsia="zh-CN"/>
        </w:rPr>
        <w:t xml:space="preserve"> ileus. </w:t>
      </w:r>
      <w:r w:rsidRPr="002878B1">
        <w:rPr>
          <w:rFonts w:ascii="Book Antiqua" w:hAnsi="Book Antiqua" w:cs="Times New Roman"/>
          <w:i/>
          <w:kern w:val="2"/>
          <w:sz w:val="24"/>
          <w:szCs w:val="24"/>
          <w:lang w:eastAsia="zh-CN"/>
        </w:rPr>
        <w:t xml:space="preserve">AJR Am J </w:t>
      </w:r>
      <w:proofErr w:type="spellStart"/>
      <w:r w:rsidRPr="002878B1">
        <w:rPr>
          <w:rFonts w:ascii="Book Antiqua" w:hAnsi="Book Antiqua" w:cs="Times New Roman"/>
          <w:i/>
          <w:kern w:val="2"/>
          <w:sz w:val="24"/>
          <w:szCs w:val="24"/>
          <w:lang w:eastAsia="zh-CN"/>
        </w:rPr>
        <w:t>Roentgenol</w:t>
      </w:r>
      <w:proofErr w:type="spellEnd"/>
      <w:r w:rsidRPr="002878B1">
        <w:rPr>
          <w:rFonts w:ascii="Book Antiqua" w:hAnsi="Book Antiqua" w:cs="Times New Roman"/>
          <w:kern w:val="2"/>
          <w:sz w:val="24"/>
          <w:szCs w:val="24"/>
          <w:lang w:eastAsia="zh-CN"/>
        </w:rPr>
        <w:t xml:space="preserve"> 1985; </w:t>
      </w:r>
      <w:r w:rsidRPr="002878B1">
        <w:rPr>
          <w:rFonts w:ascii="Book Antiqua" w:hAnsi="Book Antiqua" w:cs="Times New Roman"/>
          <w:b/>
          <w:kern w:val="2"/>
          <w:sz w:val="24"/>
          <w:szCs w:val="24"/>
          <w:lang w:eastAsia="zh-CN"/>
        </w:rPr>
        <w:lastRenderedPageBreak/>
        <w:t>145</w:t>
      </w:r>
      <w:r w:rsidRPr="002878B1">
        <w:rPr>
          <w:rFonts w:ascii="Book Antiqua" w:hAnsi="Book Antiqua" w:cs="Times New Roman"/>
          <w:kern w:val="2"/>
          <w:sz w:val="24"/>
          <w:szCs w:val="24"/>
          <w:lang w:eastAsia="zh-CN"/>
        </w:rPr>
        <w:t>: 1211-1217 [PMID: 3877425 DOI: 10.2214/ajr.145.6.1211]</w:t>
      </w:r>
    </w:p>
    <w:p w14:paraId="76366D30" w14:textId="77777777" w:rsidR="002878B1" w:rsidRPr="002878B1" w:rsidRDefault="002878B1" w:rsidP="002878B1">
      <w:pPr>
        <w:widowControl w:val="0"/>
        <w:snapToGrid w:val="0"/>
        <w:spacing w:after="0" w:line="360" w:lineRule="auto"/>
        <w:jc w:val="both"/>
        <w:rPr>
          <w:rFonts w:ascii="Book Antiqua" w:hAnsi="Book Antiqua" w:cs="Times New Roman"/>
          <w:kern w:val="2"/>
          <w:sz w:val="24"/>
          <w:szCs w:val="24"/>
          <w:lang w:eastAsia="zh-CN"/>
        </w:rPr>
      </w:pPr>
      <w:r w:rsidRPr="002878B1">
        <w:rPr>
          <w:rFonts w:ascii="Book Antiqua" w:hAnsi="Book Antiqua" w:cs="Times New Roman"/>
          <w:kern w:val="2"/>
          <w:sz w:val="24"/>
          <w:szCs w:val="24"/>
          <w:lang w:eastAsia="zh-CN"/>
        </w:rPr>
        <w:t xml:space="preserve">26 </w:t>
      </w:r>
      <w:proofErr w:type="spellStart"/>
      <w:r w:rsidRPr="002878B1">
        <w:rPr>
          <w:rFonts w:ascii="Book Antiqua" w:hAnsi="Book Antiqua" w:cs="Times New Roman"/>
          <w:b/>
          <w:kern w:val="2"/>
          <w:sz w:val="24"/>
          <w:szCs w:val="24"/>
          <w:lang w:eastAsia="zh-CN"/>
        </w:rPr>
        <w:t>Ponec</w:t>
      </w:r>
      <w:proofErr w:type="spellEnd"/>
      <w:r w:rsidRPr="002878B1">
        <w:rPr>
          <w:rFonts w:ascii="Book Antiqua" w:hAnsi="Book Antiqua" w:cs="Times New Roman"/>
          <w:b/>
          <w:kern w:val="2"/>
          <w:sz w:val="24"/>
          <w:szCs w:val="24"/>
          <w:lang w:eastAsia="zh-CN"/>
        </w:rPr>
        <w:t xml:space="preserve"> RJ</w:t>
      </w:r>
      <w:r w:rsidRPr="002878B1">
        <w:rPr>
          <w:rFonts w:ascii="Book Antiqua" w:hAnsi="Book Antiqua" w:cs="Times New Roman"/>
          <w:kern w:val="2"/>
          <w:sz w:val="24"/>
          <w:szCs w:val="24"/>
          <w:lang w:eastAsia="zh-CN"/>
        </w:rPr>
        <w:t xml:space="preserve">, Saunders MD, </w:t>
      </w:r>
      <w:proofErr w:type="spellStart"/>
      <w:r w:rsidRPr="002878B1">
        <w:rPr>
          <w:rFonts w:ascii="Book Antiqua" w:hAnsi="Book Antiqua" w:cs="Times New Roman"/>
          <w:kern w:val="2"/>
          <w:sz w:val="24"/>
          <w:szCs w:val="24"/>
          <w:lang w:eastAsia="zh-CN"/>
        </w:rPr>
        <w:t>Kimmey</w:t>
      </w:r>
      <w:proofErr w:type="spellEnd"/>
      <w:r w:rsidRPr="002878B1">
        <w:rPr>
          <w:rFonts w:ascii="Book Antiqua" w:hAnsi="Book Antiqua" w:cs="Times New Roman"/>
          <w:kern w:val="2"/>
          <w:sz w:val="24"/>
          <w:szCs w:val="24"/>
          <w:lang w:eastAsia="zh-CN"/>
        </w:rPr>
        <w:t xml:space="preserve"> MB. </w:t>
      </w:r>
      <w:proofErr w:type="gramStart"/>
      <w:r w:rsidRPr="002878B1">
        <w:rPr>
          <w:rFonts w:ascii="Book Antiqua" w:hAnsi="Book Antiqua" w:cs="Times New Roman"/>
          <w:kern w:val="2"/>
          <w:sz w:val="24"/>
          <w:szCs w:val="24"/>
          <w:lang w:eastAsia="zh-CN"/>
        </w:rPr>
        <w:t>Neostigmine for the treatment of acute colonic pseudo-obstruction.</w:t>
      </w:r>
      <w:proofErr w:type="gramEnd"/>
      <w:r w:rsidRPr="002878B1">
        <w:rPr>
          <w:rFonts w:ascii="Book Antiqua" w:hAnsi="Book Antiqua" w:cs="Times New Roman"/>
          <w:kern w:val="2"/>
          <w:sz w:val="24"/>
          <w:szCs w:val="24"/>
          <w:lang w:eastAsia="zh-CN"/>
        </w:rPr>
        <w:t xml:space="preserve"> </w:t>
      </w:r>
      <w:r w:rsidRPr="002878B1">
        <w:rPr>
          <w:rFonts w:ascii="Book Antiqua" w:hAnsi="Book Antiqua" w:cs="Times New Roman"/>
          <w:i/>
          <w:kern w:val="2"/>
          <w:sz w:val="24"/>
          <w:szCs w:val="24"/>
          <w:lang w:eastAsia="zh-CN"/>
        </w:rPr>
        <w:t xml:space="preserve">N </w:t>
      </w:r>
      <w:proofErr w:type="spellStart"/>
      <w:r w:rsidRPr="002878B1">
        <w:rPr>
          <w:rFonts w:ascii="Book Antiqua" w:hAnsi="Book Antiqua" w:cs="Times New Roman"/>
          <w:i/>
          <w:kern w:val="2"/>
          <w:sz w:val="24"/>
          <w:szCs w:val="24"/>
          <w:lang w:eastAsia="zh-CN"/>
        </w:rPr>
        <w:t>Engl</w:t>
      </w:r>
      <w:proofErr w:type="spellEnd"/>
      <w:r w:rsidRPr="002878B1">
        <w:rPr>
          <w:rFonts w:ascii="Book Antiqua" w:hAnsi="Book Antiqua" w:cs="Times New Roman"/>
          <w:i/>
          <w:kern w:val="2"/>
          <w:sz w:val="24"/>
          <w:szCs w:val="24"/>
          <w:lang w:eastAsia="zh-CN"/>
        </w:rPr>
        <w:t xml:space="preserve"> J Med</w:t>
      </w:r>
      <w:r w:rsidRPr="002878B1">
        <w:rPr>
          <w:rFonts w:ascii="Book Antiqua" w:hAnsi="Book Antiqua" w:cs="Times New Roman"/>
          <w:kern w:val="2"/>
          <w:sz w:val="24"/>
          <w:szCs w:val="24"/>
          <w:lang w:eastAsia="zh-CN"/>
        </w:rPr>
        <w:t xml:space="preserve"> 1999; </w:t>
      </w:r>
      <w:r w:rsidRPr="002878B1">
        <w:rPr>
          <w:rFonts w:ascii="Book Antiqua" w:hAnsi="Book Antiqua" w:cs="Times New Roman"/>
          <w:b/>
          <w:kern w:val="2"/>
          <w:sz w:val="24"/>
          <w:szCs w:val="24"/>
          <w:lang w:eastAsia="zh-CN"/>
        </w:rPr>
        <w:t>341</w:t>
      </w:r>
      <w:r w:rsidRPr="002878B1">
        <w:rPr>
          <w:rFonts w:ascii="Book Antiqua" w:hAnsi="Book Antiqua" w:cs="Times New Roman"/>
          <w:kern w:val="2"/>
          <w:sz w:val="24"/>
          <w:szCs w:val="24"/>
          <w:lang w:eastAsia="zh-CN"/>
        </w:rPr>
        <w:t>: 137-141 [PMID: 10403850 DOI: 10.1056/NEJM199907153410301]</w:t>
      </w:r>
    </w:p>
    <w:p w14:paraId="2107B5E3" w14:textId="77777777" w:rsidR="002878B1" w:rsidRPr="002878B1" w:rsidRDefault="002878B1" w:rsidP="002878B1">
      <w:pPr>
        <w:widowControl w:val="0"/>
        <w:snapToGrid w:val="0"/>
        <w:spacing w:after="0" w:line="360" w:lineRule="auto"/>
        <w:jc w:val="both"/>
        <w:rPr>
          <w:rFonts w:ascii="Book Antiqua" w:hAnsi="Book Antiqua" w:cs="Times New Roman"/>
          <w:kern w:val="2"/>
          <w:sz w:val="24"/>
          <w:szCs w:val="24"/>
          <w:lang w:eastAsia="zh-CN"/>
        </w:rPr>
      </w:pPr>
      <w:proofErr w:type="gramStart"/>
      <w:r w:rsidRPr="002878B1">
        <w:rPr>
          <w:rFonts w:ascii="Book Antiqua" w:hAnsi="Book Antiqua" w:cs="Times New Roman"/>
          <w:kern w:val="2"/>
          <w:sz w:val="24"/>
          <w:szCs w:val="24"/>
          <w:lang w:eastAsia="zh-CN"/>
        </w:rPr>
        <w:t xml:space="preserve">27 </w:t>
      </w:r>
      <w:r w:rsidRPr="002878B1">
        <w:rPr>
          <w:rFonts w:ascii="Book Antiqua" w:hAnsi="Book Antiqua" w:cs="Times New Roman"/>
          <w:b/>
          <w:kern w:val="2"/>
          <w:sz w:val="24"/>
          <w:szCs w:val="24"/>
          <w:lang w:eastAsia="zh-CN"/>
        </w:rPr>
        <w:t>Geller A</w:t>
      </w:r>
      <w:r w:rsidRPr="002878B1">
        <w:rPr>
          <w:rFonts w:ascii="Book Antiqua" w:hAnsi="Book Antiqua" w:cs="Times New Roman"/>
          <w:kern w:val="2"/>
          <w:sz w:val="24"/>
          <w:szCs w:val="24"/>
          <w:lang w:eastAsia="zh-CN"/>
        </w:rPr>
        <w:t xml:space="preserve">, Petersen BT, </w:t>
      </w:r>
      <w:proofErr w:type="spellStart"/>
      <w:r w:rsidRPr="002878B1">
        <w:rPr>
          <w:rFonts w:ascii="Book Antiqua" w:hAnsi="Book Antiqua" w:cs="Times New Roman"/>
          <w:kern w:val="2"/>
          <w:sz w:val="24"/>
          <w:szCs w:val="24"/>
          <w:lang w:eastAsia="zh-CN"/>
        </w:rPr>
        <w:t>Gostout</w:t>
      </w:r>
      <w:proofErr w:type="spellEnd"/>
      <w:r w:rsidRPr="002878B1">
        <w:rPr>
          <w:rFonts w:ascii="Book Antiqua" w:hAnsi="Book Antiqua" w:cs="Times New Roman"/>
          <w:kern w:val="2"/>
          <w:sz w:val="24"/>
          <w:szCs w:val="24"/>
          <w:lang w:eastAsia="zh-CN"/>
        </w:rPr>
        <w:t xml:space="preserve"> CJ.</w:t>
      </w:r>
      <w:proofErr w:type="gramEnd"/>
      <w:r w:rsidRPr="002878B1">
        <w:rPr>
          <w:rFonts w:ascii="Book Antiqua" w:hAnsi="Book Antiqua" w:cs="Times New Roman"/>
          <w:kern w:val="2"/>
          <w:sz w:val="24"/>
          <w:szCs w:val="24"/>
          <w:lang w:eastAsia="zh-CN"/>
        </w:rPr>
        <w:t xml:space="preserve"> </w:t>
      </w:r>
      <w:proofErr w:type="gramStart"/>
      <w:r w:rsidRPr="002878B1">
        <w:rPr>
          <w:rFonts w:ascii="Book Antiqua" w:hAnsi="Book Antiqua" w:cs="Times New Roman"/>
          <w:kern w:val="2"/>
          <w:sz w:val="24"/>
          <w:szCs w:val="24"/>
          <w:lang w:eastAsia="zh-CN"/>
        </w:rPr>
        <w:t>Endoscopic decompression for acute colonic pseudo-obstruction.</w:t>
      </w:r>
      <w:proofErr w:type="gramEnd"/>
      <w:r w:rsidRPr="002878B1">
        <w:rPr>
          <w:rFonts w:ascii="Book Antiqua" w:hAnsi="Book Antiqua" w:cs="Times New Roman"/>
          <w:kern w:val="2"/>
          <w:sz w:val="24"/>
          <w:szCs w:val="24"/>
          <w:lang w:eastAsia="zh-CN"/>
        </w:rPr>
        <w:t xml:space="preserve"> </w:t>
      </w:r>
      <w:proofErr w:type="spellStart"/>
      <w:r w:rsidRPr="002878B1">
        <w:rPr>
          <w:rFonts w:ascii="Book Antiqua" w:hAnsi="Book Antiqua" w:cs="Times New Roman"/>
          <w:i/>
          <w:kern w:val="2"/>
          <w:sz w:val="24"/>
          <w:szCs w:val="24"/>
          <w:lang w:eastAsia="zh-CN"/>
        </w:rPr>
        <w:t>Gastrointest</w:t>
      </w:r>
      <w:proofErr w:type="spellEnd"/>
      <w:r w:rsidRPr="002878B1">
        <w:rPr>
          <w:rFonts w:ascii="Book Antiqua" w:hAnsi="Book Antiqua" w:cs="Times New Roman"/>
          <w:i/>
          <w:kern w:val="2"/>
          <w:sz w:val="24"/>
          <w:szCs w:val="24"/>
          <w:lang w:eastAsia="zh-CN"/>
        </w:rPr>
        <w:t xml:space="preserve"> </w:t>
      </w:r>
      <w:proofErr w:type="spellStart"/>
      <w:r w:rsidRPr="002878B1">
        <w:rPr>
          <w:rFonts w:ascii="Book Antiqua" w:hAnsi="Book Antiqua" w:cs="Times New Roman"/>
          <w:i/>
          <w:kern w:val="2"/>
          <w:sz w:val="24"/>
          <w:szCs w:val="24"/>
          <w:lang w:eastAsia="zh-CN"/>
        </w:rPr>
        <w:t>Endosc</w:t>
      </w:r>
      <w:proofErr w:type="spellEnd"/>
      <w:r w:rsidRPr="002878B1">
        <w:rPr>
          <w:rFonts w:ascii="Book Antiqua" w:hAnsi="Book Antiqua" w:cs="Times New Roman"/>
          <w:kern w:val="2"/>
          <w:sz w:val="24"/>
          <w:szCs w:val="24"/>
          <w:lang w:eastAsia="zh-CN"/>
        </w:rPr>
        <w:t xml:space="preserve"> 1996; </w:t>
      </w:r>
      <w:r w:rsidRPr="002878B1">
        <w:rPr>
          <w:rFonts w:ascii="Book Antiqua" w:hAnsi="Book Antiqua" w:cs="Times New Roman"/>
          <w:b/>
          <w:kern w:val="2"/>
          <w:sz w:val="24"/>
          <w:szCs w:val="24"/>
          <w:lang w:eastAsia="zh-CN"/>
        </w:rPr>
        <w:t>44</w:t>
      </w:r>
      <w:r w:rsidRPr="002878B1">
        <w:rPr>
          <w:rFonts w:ascii="Book Antiqua" w:hAnsi="Book Antiqua" w:cs="Times New Roman"/>
          <w:kern w:val="2"/>
          <w:sz w:val="24"/>
          <w:szCs w:val="24"/>
          <w:lang w:eastAsia="zh-CN"/>
        </w:rPr>
        <w:t>: 144-150 [PMID: 8858319]</w:t>
      </w:r>
    </w:p>
    <w:p w14:paraId="3FD98B13" w14:textId="77777777" w:rsidR="002878B1" w:rsidRPr="002878B1" w:rsidRDefault="002878B1" w:rsidP="002878B1">
      <w:pPr>
        <w:widowControl w:val="0"/>
        <w:snapToGrid w:val="0"/>
        <w:spacing w:after="0" w:line="360" w:lineRule="auto"/>
        <w:jc w:val="both"/>
        <w:rPr>
          <w:rFonts w:ascii="Book Antiqua" w:hAnsi="Book Antiqua" w:cs="Times New Roman"/>
          <w:kern w:val="2"/>
          <w:sz w:val="24"/>
          <w:szCs w:val="24"/>
          <w:lang w:eastAsia="zh-CN"/>
        </w:rPr>
      </w:pPr>
      <w:r w:rsidRPr="002878B1">
        <w:rPr>
          <w:rFonts w:ascii="Book Antiqua" w:hAnsi="Book Antiqua" w:cs="Times New Roman"/>
          <w:kern w:val="2"/>
          <w:sz w:val="24"/>
          <w:szCs w:val="24"/>
          <w:lang w:eastAsia="zh-CN"/>
        </w:rPr>
        <w:t xml:space="preserve">28 </w:t>
      </w:r>
      <w:proofErr w:type="spellStart"/>
      <w:r w:rsidRPr="002878B1">
        <w:rPr>
          <w:rFonts w:ascii="Book Antiqua" w:hAnsi="Book Antiqua" w:cs="Times New Roman"/>
          <w:b/>
          <w:kern w:val="2"/>
          <w:sz w:val="24"/>
          <w:szCs w:val="24"/>
          <w:lang w:eastAsia="zh-CN"/>
        </w:rPr>
        <w:t>Eisen</w:t>
      </w:r>
      <w:proofErr w:type="spellEnd"/>
      <w:r w:rsidRPr="002878B1">
        <w:rPr>
          <w:rFonts w:ascii="Book Antiqua" w:hAnsi="Book Antiqua" w:cs="Times New Roman"/>
          <w:b/>
          <w:kern w:val="2"/>
          <w:sz w:val="24"/>
          <w:szCs w:val="24"/>
          <w:lang w:eastAsia="zh-CN"/>
        </w:rPr>
        <w:t xml:space="preserve"> GM</w:t>
      </w:r>
      <w:r w:rsidRPr="002878B1">
        <w:rPr>
          <w:rFonts w:ascii="Book Antiqua" w:hAnsi="Book Antiqua" w:cs="Times New Roman"/>
          <w:kern w:val="2"/>
          <w:sz w:val="24"/>
          <w:szCs w:val="24"/>
          <w:lang w:eastAsia="zh-CN"/>
        </w:rPr>
        <w:t xml:space="preserve">, Baron TH, </w:t>
      </w:r>
      <w:proofErr w:type="spellStart"/>
      <w:r w:rsidRPr="002878B1">
        <w:rPr>
          <w:rFonts w:ascii="Book Antiqua" w:hAnsi="Book Antiqua" w:cs="Times New Roman"/>
          <w:kern w:val="2"/>
          <w:sz w:val="24"/>
          <w:szCs w:val="24"/>
          <w:lang w:eastAsia="zh-CN"/>
        </w:rPr>
        <w:t>Dominitz</w:t>
      </w:r>
      <w:proofErr w:type="spellEnd"/>
      <w:r w:rsidRPr="002878B1">
        <w:rPr>
          <w:rFonts w:ascii="Book Antiqua" w:hAnsi="Book Antiqua" w:cs="Times New Roman"/>
          <w:kern w:val="2"/>
          <w:sz w:val="24"/>
          <w:szCs w:val="24"/>
          <w:lang w:eastAsia="zh-CN"/>
        </w:rPr>
        <w:t xml:space="preserve"> JA, </w:t>
      </w:r>
      <w:proofErr w:type="spellStart"/>
      <w:r w:rsidRPr="002878B1">
        <w:rPr>
          <w:rFonts w:ascii="Book Antiqua" w:hAnsi="Book Antiqua" w:cs="Times New Roman"/>
          <w:kern w:val="2"/>
          <w:sz w:val="24"/>
          <w:szCs w:val="24"/>
          <w:lang w:eastAsia="zh-CN"/>
        </w:rPr>
        <w:t>Faigel</w:t>
      </w:r>
      <w:proofErr w:type="spellEnd"/>
      <w:r w:rsidRPr="002878B1">
        <w:rPr>
          <w:rFonts w:ascii="Book Antiqua" w:hAnsi="Book Antiqua" w:cs="Times New Roman"/>
          <w:kern w:val="2"/>
          <w:sz w:val="24"/>
          <w:szCs w:val="24"/>
          <w:lang w:eastAsia="zh-CN"/>
        </w:rPr>
        <w:t xml:space="preserve"> DO, Goldstein JL, </w:t>
      </w:r>
      <w:proofErr w:type="spellStart"/>
      <w:r w:rsidRPr="002878B1">
        <w:rPr>
          <w:rFonts w:ascii="Book Antiqua" w:hAnsi="Book Antiqua" w:cs="Times New Roman"/>
          <w:kern w:val="2"/>
          <w:sz w:val="24"/>
          <w:szCs w:val="24"/>
          <w:lang w:eastAsia="zh-CN"/>
        </w:rPr>
        <w:t>Johanson</w:t>
      </w:r>
      <w:proofErr w:type="spellEnd"/>
      <w:r w:rsidRPr="002878B1">
        <w:rPr>
          <w:rFonts w:ascii="Book Antiqua" w:hAnsi="Book Antiqua" w:cs="Times New Roman"/>
          <w:kern w:val="2"/>
          <w:sz w:val="24"/>
          <w:szCs w:val="24"/>
          <w:lang w:eastAsia="zh-CN"/>
        </w:rPr>
        <w:t xml:space="preserve"> JF, </w:t>
      </w:r>
      <w:proofErr w:type="spellStart"/>
      <w:r w:rsidRPr="002878B1">
        <w:rPr>
          <w:rFonts w:ascii="Book Antiqua" w:hAnsi="Book Antiqua" w:cs="Times New Roman"/>
          <w:kern w:val="2"/>
          <w:sz w:val="24"/>
          <w:szCs w:val="24"/>
          <w:lang w:eastAsia="zh-CN"/>
        </w:rPr>
        <w:t>Mallery</w:t>
      </w:r>
      <w:proofErr w:type="spellEnd"/>
      <w:r w:rsidRPr="002878B1">
        <w:rPr>
          <w:rFonts w:ascii="Book Antiqua" w:hAnsi="Book Antiqua" w:cs="Times New Roman"/>
          <w:kern w:val="2"/>
          <w:sz w:val="24"/>
          <w:szCs w:val="24"/>
          <w:lang w:eastAsia="zh-CN"/>
        </w:rPr>
        <w:t xml:space="preserve"> JS, </w:t>
      </w:r>
      <w:proofErr w:type="spellStart"/>
      <w:r w:rsidRPr="002878B1">
        <w:rPr>
          <w:rFonts w:ascii="Book Antiqua" w:hAnsi="Book Antiqua" w:cs="Times New Roman"/>
          <w:kern w:val="2"/>
          <w:sz w:val="24"/>
          <w:szCs w:val="24"/>
          <w:lang w:eastAsia="zh-CN"/>
        </w:rPr>
        <w:t>Raddawi</w:t>
      </w:r>
      <w:proofErr w:type="spellEnd"/>
      <w:r w:rsidRPr="002878B1">
        <w:rPr>
          <w:rFonts w:ascii="Book Antiqua" w:hAnsi="Book Antiqua" w:cs="Times New Roman"/>
          <w:kern w:val="2"/>
          <w:sz w:val="24"/>
          <w:szCs w:val="24"/>
          <w:lang w:eastAsia="zh-CN"/>
        </w:rPr>
        <w:t xml:space="preserve"> HM, </w:t>
      </w:r>
      <w:proofErr w:type="spellStart"/>
      <w:r w:rsidRPr="002878B1">
        <w:rPr>
          <w:rFonts w:ascii="Book Antiqua" w:hAnsi="Book Antiqua" w:cs="Times New Roman"/>
          <w:kern w:val="2"/>
          <w:sz w:val="24"/>
          <w:szCs w:val="24"/>
          <w:lang w:eastAsia="zh-CN"/>
        </w:rPr>
        <w:t>Vargo</w:t>
      </w:r>
      <w:proofErr w:type="spellEnd"/>
      <w:r w:rsidRPr="002878B1">
        <w:rPr>
          <w:rFonts w:ascii="Book Antiqua" w:hAnsi="Book Antiqua" w:cs="Times New Roman"/>
          <w:kern w:val="2"/>
          <w:sz w:val="24"/>
          <w:szCs w:val="24"/>
          <w:lang w:eastAsia="zh-CN"/>
        </w:rPr>
        <w:t xml:space="preserve"> JJ, </w:t>
      </w:r>
      <w:proofErr w:type="spellStart"/>
      <w:r w:rsidRPr="002878B1">
        <w:rPr>
          <w:rFonts w:ascii="Book Antiqua" w:hAnsi="Book Antiqua" w:cs="Times New Roman"/>
          <w:kern w:val="2"/>
          <w:sz w:val="24"/>
          <w:szCs w:val="24"/>
          <w:lang w:eastAsia="zh-CN"/>
        </w:rPr>
        <w:t>Waring</w:t>
      </w:r>
      <w:proofErr w:type="spellEnd"/>
      <w:r w:rsidRPr="002878B1">
        <w:rPr>
          <w:rFonts w:ascii="Book Antiqua" w:hAnsi="Book Antiqua" w:cs="Times New Roman"/>
          <w:kern w:val="2"/>
          <w:sz w:val="24"/>
          <w:szCs w:val="24"/>
          <w:lang w:eastAsia="zh-CN"/>
        </w:rPr>
        <w:t xml:space="preserve"> JP, </w:t>
      </w:r>
      <w:proofErr w:type="spellStart"/>
      <w:r w:rsidRPr="002878B1">
        <w:rPr>
          <w:rFonts w:ascii="Book Antiqua" w:hAnsi="Book Antiqua" w:cs="Times New Roman"/>
          <w:kern w:val="2"/>
          <w:sz w:val="24"/>
          <w:szCs w:val="24"/>
          <w:lang w:eastAsia="zh-CN"/>
        </w:rPr>
        <w:t>Fanelli</w:t>
      </w:r>
      <w:proofErr w:type="spellEnd"/>
      <w:r w:rsidRPr="002878B1">
        <w:rPr>
          <w:rFonts w:ascii="Book Antiqua" w:hAnsi="Book Antiqua" w:cs="Times New Roman"/>
          <w:kern w:val="2"/>
          <w:sz w:val="24"/>
          <w:szCs w:val="24"/>
          <w:lang w:eastAsia="zh-CN"/>
        </w:rPr>
        <w:t xml:space="preserve"> RD, Wheeler-</w:t>
      </w:r>
      <w:proofErr w:type="spellStart"/>
      <w:r w:rsidRPr="002878B1">
        <w:rPr>
          <w:rFonts w:ascii="Book Antiqua" w:hAnsi="Book Antiqua" w:cs="Times New Roman"/>
          <w:kern w:val="2"/>
          <w:sz w:val="24"/>
          <w:szCs w:val="24"/>
          <w:lang w:eastAsia="zh-CN"/>
        </w:rPr>
        <w:t>Harbaugh</w:t>
      </w:r>
      <w:proofErr w:type="spellEnd"/>
      <w:r w:rsidRPr="002878B1">
        <w:rPr>
          <w:rFonts w:ascii="Book Antiqua" w:hAnsi="Book Antiqua" w:cs="Times New Roman"/>
          <w:kern w:val="2"/>
          <w:sz w:val="24"/>
          <w:szCs w:val="24"/>
          <w:lang w:eastAsia="zh-CN"/>
        </w:rPr>
        <w:t xml:space="preserve"> J; Standards of Practice Committee of the American Society for Gastrointestinal Endoscopy. </w:t>
      </w:r>
      <w:proofErr w:type="gramStart"/>
      <w:r w:rsidRPr="002878B1">
        <w:rPr>
          <w:rFonts w:ascii="Book Antiqua" w:hAnsi="Book Antiqua" w:cs="Times New Roman"/>
          <w:kern w:val="2"/>
          <w:sz w:val="24"/>
          <w:szCs w:val="24"/>
          <w:lang w:eastAsia="zh-CN"/>
        </w:rPr>
        <w:t>Acute colonic pseudo-obstruction.</w:t>
      </w:r>
      <w:proofErr w:type="gramEnd"/>
      <w:r w:rsidRPr="002878B1">
        <w:rPr>
          <w:rFonts w:ascii="Book Antiqua" w:hAnsi="Book Antiqua" w:cs="Times New Roman"/>
          <w:kern w:val="2"/>
          <w:sz w:val="24"/>
          <w:szCs w:val="24"/>
          <w:lang w:eastAsia="zh-CN"/>
        </w:rPr>
        <w:t xml:space="preserve"> </w:t>
      </w:r>
      <w:proofErr w:type="spellStart"/>
      <w:r w:rsidRPr="002878B1">
        <w:rPr>
          <w:rFonts w:ascii="Book Antiqua" w:hAnsi="Book Antiqua" w:cs="Times New Roman"/>
          <w:i/>
          <w:kern w:val="2"/>
          <w:sz w:val="24"/>
          <w:szCs w:val="24"/>
          <w:lang w:eastAsia="zh-CN"/>
        </w:rPr>
        <w:t>Gastrointest</w:t>
      </w:r>
      <w:proofErr w:type="spellEnd"/>
      <w:r w:rsidRPr="002878B1">
        <w:rPr>
          <w:rFonts w:ascii="Book Antiqua" w:hAnsi="Book Antiqua" w:cs="Times New Roman"/>
          <w:i/>
          <w:kern w:val="2"/>
          <w:sz w:val="24"/>
          <w:szCs w:val="24"/>
          <w:lang w:eastAsia="zh-CN"/>
        </w:rPr>
        <w:t xml:space="preserve"> </w:t>
      </w:r>
      <w:proofErr w:type="spellStart"/>
      <w:r w:rsidRPr="002878B1">
        <w:rPr>
          <w:rFonts w:ascii="Book Antiqua" w:hAnsi="Book Antiqua" w:cs="Times New Roman"/>
          <w:i/>
          <w:kern w:val="2"/>
          <w:sz w:val="24"/>
          <w:szCs w:val="24"/>
          <w:lang w:eastAsia="zh-CN"/>
        </w:rPr>
        <w:t>Endosc</w:t>
      </w:r>
      <w:proofErr w:type="spellEnd"/>
      <w:r w:rsidRPr="002878B1">
        <w:rPr>
          <w:rFonts w:ascii="Book Antiqua" w:hAnsi="Book Antiqua" w:cs="Times New Roman"/>
          <w:kern w:val="2"/>
          <w:sz w:val="24"/>
          <w:szCs w:val="24"/>
          <w:lang w:eastAsia="zh-CN"/>
        </w:rPr>
        <w:t xml:space="preserve"> 2002; </w:t>
      </w:r>
      <w:r w:rsidRPr="002878B1">
        <w:rPr>
          <w:rFonts w:ascii="Book Antiqua" w:hAnsi="Book Antiqua" w:cs="Times New Roman"/>
          <w:b/>
          <w:kern w:val="2"/>
          <w:sz w:val="24"/>
          <w:szCs w:val="24"/>
          <w:lang w:eastAsia="zh-CN"/>
        </w:rPr>
        <w:t>56</w:t>
      </w:r>
      <w:r w:rsidRPr="002878B1">
        <w:rPr>
          <w:rFonts w:ascii="Book Antiqua" w:hAnsi="Book Antiqua" w:cs="Times New Roman"/>
          <w:kern w:val="2"/>
          <w:sz w:val="24"/>
          <w:szCs w:val="24"/>
          <w:lang w:eastAsia="zh-CN"/>
        </w:rPr>
        <w:t>: 789-792 [PMID: 12447286]</w:t>
      </w:r>
    </w:p>
    <w:p w14:paraId="17B927EE" w14:textId="77777777" w:rsidR="002878B1" w:rsidRPr="002878B1" w:rsidRDefault="002878B1" w:rsidP="002878B1">
      <w:pPr>
        <w:widowControl w:val="0"/>
        <w:snapToGrid w:val="0"/>
        <w:spacing w:after="0" w:line="360" w:lineRule="auto"/>
        <w:jc w:val="both"/>
        <w:rPr>
          <w:rFonts w:ascii="Book Antiqua" w:hAnsi="Book Antiqua" w:cs="Times New Roman"/>
          <w:kern w:val="2"/>
          <w:sz w:val="24"/>
          <w:szCs w:val="24"/>
          <w:lang w:eastAsia="zh-CN"/>
        </w:rPr>
      </w:pPr>
      <w:r w:rsidRPr="002878B1">
        <w:rPr>
          <w:rFonts w:ascii="Book Antiqua" w:hAnsi="Book Antiqua" w:cs="Times New Roman"/>
          <w:kern w:val="2"/>
          <w:sz w:val="24"/>
          <w:szCs w:val="24"/>
          <w:lang w:eastAsia="zh-CN"/>
        </w:rPr>
        <w:t xml:space="preserve">29 </w:t>
      </w:r>
      <w:proofErr w:type="spellStart"/>
      <w:r w:rsidRPr="002878B1">
        <w:rPr>
          <w:rFonts w:ascii="Book Antiqua" w:hAnsi="Book Antiqua" w:cs="Times New Roman"/>
          <w:b/>
          <w:kern w:val="2"/>
          <w:sz w:val="24"/>
          <w:szCs w:val="24"/>
          <w:lang w:eastAsia="zh-CN"/>
        </w:rPr>
        <w:t>Manatsathit</w:t>
      </w:r>
      <w:proofErr w:type="spellEnd"/>
      <w:r w:rsidRPr="002878B1">
        <w:rPr>
          <w:rFonts w:ascii="Book Antiqua" w:hAnsi="Book Antiqua" w:cs="Times New Roman"/>
          <w:b/>
          <w:kern w:val="2"/>
          <w:sz w:val="24"/>
          <w:szCs w:val="24"/>
          <w:lang w:eastAsia="zh-CN"/>
        </w:rPr>
        <w:t xml:space="preserve"> S</w:t>
      </w:r>
      <w:r w:rsidRPr="002878B1">
        <w:rPr>
          <w:rFonts w:ascii="Book Antiqua" w:hAnsi="Book Antiqua" w:cs="Times New Roman"/>
          <w:kern w:val="2"/>
          <w:sz w:val="24"/>
          <w:szCs w:val="24"/>
          <w:lang w:eastAsia="zh-CN"/>
        </w:rPr>
        <w:t xml:space="preserve">, </w:t>
      </w:r>
      <w:proofErr w:type="spellStart"/>
      <w:r w:rsidRPr="002878B1">
        <w:rPr>
          <w:rFonts w:ascii="Book Antiqua" w:hAnsi="Book Antiqua" w:cs="Times New Roman"/>
          <w:kern w:val="2"/>
          <w:sz w:val="24"/>
          <w:szCs w:val="24"/>
          <w:lang w:eastAsia="zh-CN"/>
        </w:rPr>
        <w:t>Dupont</w:t>
      </w:r>
      <w:proofErr w:type="spellEnd"/>
      <w:r w:rsidRPr="002878B1">
        <w:rPr>
          <w:rFonts w:ascii="Book Antiqua" w:hAnsi="Book Antiqua" w:cs="Times New Roman"/>
          <w:kern w:val="2"/>
          <w:sz w:val="24"/>
          <w:szCs w:val="24"/>
          <w:lang w:eastAsia="zh-CN"/>
        </w:rPr>
        <w:t xml:space="preserve"> HL, Farthing M, </w:t>
      </w:r>
      <w:proofErr w:type="spellStart"/>
      <w:r w:rsidRPr="002878B1">
        <w:rPr>
          <w:rFonts w:ascii="Book Antiqua" w:hAnsi="Book Antiqua" w:cs="Times New Roman"/>
          <w:kern w:val="2"/>
          <w:sz w:val="24"/>
          <w:szCs w:val="24"/>
          <w:lang w:eastAsia="zh-CN"/>
        </w:rPr>
        <w:t>Kositchaiwat</w:t>
      </w:r>
      <w:proofErr w:type="spellEnd"/>
      <w:r w:rsidRPr="002878B1">
        <w:rPr>
          <w:rFonts w:ascii="Book Antiqua" w:hAnsi="Book Antiqua" w:cs="Times New Roman"/>
          <w:kern w:val="2"/>
          <w:sz w:val="24"/>
          <w:szCs w:val="24"/>
          <w:lang w:eastAsia="zh-CN"/>
        </w:rPr>
        <w:t xml:space="preserve"> C, </w:t>
      </w:r>
      <w:proofErr w:type="spellStart"/>
      <w:r w:rsidRPr="002878B1">
        <w:rPr>
          <w:rFonts w:ascii="Book Antiqua" w:hAnsi="Book Antiqua" w:cs="Times New Roman"/>
          <w:kern w:val="2"/>
          <w:sz w:val="24"/>
          <w:szCs w:val="24"/>
          <w:lang w:eastAsia="zh-CN"/>
        </w:rPr>
        <w:t>Leelakusolvong</w:t>
      </w:r>
      <w:proofErr w:type="spellEnd"/>
      <w:r w:rsidRPr="002878B1">
        <w:rPr>
          <w:rFonts w:ascii="Book Antiqua" w:hAnsi="Book Antiqua" w:cs="Times New Roman"/>
          <w:kern w:val="2"/>
          <w:sz w:val="24"/>
          <w:szCs w:val="24"/>
          <w:lang w:eastAsia="zh-CN"/>
        </w:rPr>
        <w:t xml:space="preserve"> S, Ramakrishna BS, Sabra A, </w:t>
      </w:r>
      <w:proofErr w:type="spellStart"/>
      <w:r w:rsidRPr="002878B1">
        <w:rPr>
          <w:rFonts w:ascii="Book Antiqua" w:hAnsi="Book Antiqua" w:cs="Times New Roman"/>
          <w:kern w:val="2"/>
          <w:sz w:val="24"/>
          <w:szCs w:val="24"/>
          <w:lang w:eastAsia="zh-CN"/>
        </w:rPr>
        <w:t>Speelman</w:t>
      </w:r>
      <w:proofErr w:type="spellEnd"/>
      <w:r w:rsidRPr="002878B1">
        <w:rPr>
          <w:rFonts w:ascii="Book Antiqua" w:hAnsi="Book Antiqua" w:cs="Times New Roman"/>
          <w:kern w:val="2"/>
          <w:sz w:val="24"/>
          <w:szCs w:val="24"/>
          <w:lang w:eastAsia="zh-CN"/>
        </w:rPr>
        <w:t xml:space="preserve"> P, </w:t>
      </w:r>
      <w:proofErr w:type="spellStart"/>
      <w:r w:rsidRPr="002878B1">
        <w:rPr>
          <w:rFonts w:ascii="Book Antiqua" w:hAnsi="Book Antiqua" w:cs="Times New Roman"/>
          <w:kern w:val="2"/>
          <w:sz w:val="24"/>
          <w:szCs w:val="24"/>
          <w:lang w:eastAsia="zh-CN"/>
        </w:rPr>
        <w:t>Surangsrirat</w:t>
      </w:r>
      <w:proofErr w:type="spellEnd"/>
      <w:r w:rsidRPr="002878B1">
        <w:rPr>
          <w:rFonts w:ascii="Book Antiqua" w:hAnsi="Book Antiqua" w:cs="Times New Roman"/>
          <w:kern w:val="2"/>
          <w:sz w:val="24"/>
          <w:szCs w:val="24"/>
          <w:lang w:eastAsia="zh-CN"/>
        </w:rPr>
        <w:t xml:space="preserve"> S; Working Party of the Program </w:t>
      </w:r>
      <w:proofErr w:type="spellStart"/>
      <w:r w:rsidRPr="002878B1">
        <w:rPr>
          <w:rFonts w:ascii="Book Antiqua" w:hAnsi="Book Antiqua" w:cs="Times New Roman"/>
          <w:kern w:val="2"/>
          <w:sz w:val="24"/>
          <w:szCs w:val="24"/>
          <w:lang w:eastAsia="zh-CN"/>
        </w:rPr>
        <w:t>Committ</w:t>
      </w:r>
      <w:proofErr w:type="spellEnd"/>
      <w:r w:rsidRPr="002878B1">
        <w:rPr>
          <w:rFonts w:ascii="Book Antiqua" w:hAnsi="Book Antiqua" w:cs="Times New Roman"/>
          <w:kern w:val="2"/>
          <w:sz w:val="24"/>
          <w:szCs w:val="24"/>
          <w:lang w:eastAsia="zh-CN"/>
        </w:rPr>
        <w:t xml:space="preserve"> of the Bangkok World Congress of Gastroenterology 2002. </w:t>
      </w:r>
      <w:proofErr w:type="gramStart"/>
      <w:r w:rsidRPr="002878B1">
        <w:rPr>
          <w:rFonts w:ascii="Book Antiqua" w:hAnsi="Book Antiqua" w:cs="Times New Roman"/>
          <w:kern w:val="2"/>
          <w:sz w:val="24"/>
          <w:szCs w:val="24"/>
          <w:lang w:eastAsia="zh-CN"/>
        </w:rPr>
        <w:t>Guideline for the management of acute diarrhea in adults.</w:t>
      </w:r>
      <w:proofErr w:type="gramEnd"/>
      <w:r w:rsidRPr="002878B1">
        <w:rPr>
          <w:rFonts w:ascii="Book Antiqua" w:hAnsi="Book Antiqua" w:cs="Times New Roman"/>
          <w:kern w:val="2"/>
          <w:sz w:val="24"/>
          <w:szCs w:val="24"/>
          <w:lang w:eastAsia="zh-CN"/>
        </w:rPr>
        <w:t xml:space="preserve"> </w:t>
      </w:r>
      <w:r w:rsidRPr="002878B1">
        <w:rPr>
          <w:rFonts w:ascii="Book Antiqua" w:hAnsi="Book Antiqua" w:cs="Times New Roman"/>
          <w:i/>
          <w:kern w:val="2"/>
          <w:sz w:val="24"/>
          <w:szCs w:val="24"/>
          <w:lang w:eastAsia="zh-CN"/>
        </w:rPr>
        <w:t xml:space="preserve">J </w:t>
      </w:r>
      <w:proofErr w:type="spellStart"/>
      <w:r w:rsidRPr="002878B1">
        <w:rPr>
          <w:rFonts w:ascii="Book Antiqua" w:hAnsi="Book Antiqua" w:cs="Times New Roman"/>
          <w:i/>
          <w:kern w:val="2"/>
          <w:sz w:val="24"/>
          <w:szCs w:val="24"/>
          <w:lang w:eastAsia="zh-CN"/>
        </w:rPr>
        <w:t>Gastroenterol</w:t>
      </w:r>
      <w:proofErr w:type="spellEnd"/>
      <w:r w:rsidRPr="002878B1">
        <w:rPr>
          <w:rFonts w:ascii="Book Antiqua" w:hAnsi="Book Antiqua" w:cs="Times New Roman"/>
          <w:i/>
          <w:kern w:val="2"/>
          <w:sz w:val="24"/>
          <w:szCs w:val="24"/>
          <w:lang w:eastAsia="zh-CN"/>
        </w:rPr>
        <w:t xml:space="preserve"> </w:t>
      </w:r>
      <w:proofErr w:type="spellStart"/>
      <w:r w:rsidRPr="002878B1">
        <w:rPr>
          <w:rFonts w:ascii="Book Antiqua" w:hAnsi="Book Antiqua" w:cs="Times New Roman"/>
          <w:i/>
          <w:kern w:val="2"/>
          <w:sz w:val="24"/>
          <w:szCs w:val="24"/>
          <w:lang w:eastAsia="zh-CN"/>
        </w:rPr>
        <w:t>Hepatol</w:t>
      </w:r>
      <w:proofErr w:type="spellEnd"/>
      <w:r w:rsidRPr="002878B1">
        <w:rPr>
          <w:rFonts w:ascii="Book Antiqua" w:hAnsi="Book Antiqua" w:cs="Times New Roman"/>
          <w:kern w:val="2"/>
          <w:sz w:val="24"/>
          <w:szCs w:val="24"/>
          <w:lang w:eastAsia="zh-CN"/>
        </w:rPr>
        <w:t xml:space="preserve"> 2002; </w:t>
      </w:r>
      <w:r w:rsidRPr="002878B1">
        <w:rPr>
          <w:rFonts w:ascii="Book Antiqua" w:hAnsi="Book Antiqua" w:cs="Times New Roman"/>
          <w:b/>
          <w:kern w:val="2"/>
          <w:sz w:val="24"/>
          <w:szCs w:val="24"/>
          <w:lang w:eastAsia="zh-CN"/>
        </w:rPr>
        <w:t>17</w:t>
      </w:r>
      <w:r w:rsidRPr="00901AB9">
        <w:rPr>
          <w:rFonts w:ascii="Book Antiqua" w:hAnsi="Book Antiqua" w:cs="Times New Roman"/>
          <w:kern w:val="2"/>
          <w:sz w:val="24"/>
          <w:szCs w:val="24"/>
          <w:lang w:eastAsia="zh-CN"/>
        </w:rPr>
        <w:t xml:space="preserve"> </w:t>
      </w:r>
      <w:proofErr w:type="spellStart"/>
      <w:r w:rsidRPr="00901AB9">
        <w:rPr>
          <w:rFonts w:ascii="Book Antiqua" w:hAnsi="Book Antiqua" w:cs="Times New Roman"/>
          <w:kern w:val="2"/>
          <w:sz w:val="24"/>
          <w:szCs w:val="24"/>
          <w:lang w:eastAsia="zh-CN"/>
        </w:rPr>
        <w:t>Suppl</w:t>
      </w:r>
      <w:proofErr w:type="spellEnd"/>
      <w:r w:rsidRPr="00901AB9">
        <w:rPr>
          <w:rFonts w:ascii="Book Antiqua" w:hAnsi="Book Antiqua" w:cs="Times New Roman"/>
          <w:kern w:val="2"/>
          <w:sz w:val="24"/>
          <w:szCs w:val="24"/>
          <w:lang w:eastAsia="zh-CN"/>
        </w:rPr>
        <w:t>:</w:t>
      </w:r>
      <w:r w:rsidRPr="002878B1">
        <w:rPr>
          <w:rFonts w:ascii="Book Antiqua" w:hAnsi="Book Antiqua" w:cs="Times New Roman"/>
          <w:kern w:val="2"/>
          <w:sz w:val="24"/>
          <w:szCs w:val="24"/>
          <w:lang w:eastAsia="zh-CN"/>
        </w:rPr>
        <w:t xml:space="preserve"> S54-S71 [PMID: 12000594]</w:t>
      </w:r>
    </w:p>
    <w:p w14:paraId="353D88A3" w14:textId="77777777" w:rsidR="002878B1" w:rsidRPr="002878B1" w:rsidRDefault="002878B1" w:rsidP="002878B1">
      <w:pPr>
        <w:widowControl w:val="0"/>
        <w:snapToGrid w:val="0"/>
        <w:spacing w:after="0" w:line="360" w:lineRule="auto"/>
        <w:jc w:val="both"/>
        <w:rPr>
          <w:rFonts w:ascii="Book Antiqua" w:hAnsi="Book Antiqua" w:cs="Times New Roman"/>
          <w:kern w:val="2"/>
          <w:sz w:val="24"/>
          <w:szCs w:val="24"/>
          <w:lang w:eastAsia="zh-CN"/>
        </w:rPr>
      </w:pPr>
      <w:r w:rsidRPr="002878B1">
        <w:rPr>
          <w:rFonts w:ascii="Book Antiqua" w:hAnsi="Book Antiqua" w:cs="Times New Roman"/>
          <w:kern w:val="2"/>
          <w:sz w:val="24"/>
          <w:szCs w:val="24"/>
          <w:lang w:eastAsia="zh-CN"/>
        </w:rPr>
        <w:t xml:space="preserve">30 </w:t>
      </w:r>
      <w:proofErr w:type="spellStart"/>
      <w:r w:rsidRPr="002878B1">
        <w:rPr>
          <w:rFonts w:ascii="Book Antiqua" w:hAnsi="Book Antiqua" w:cs="Times New Roman"/>
          <w:b/>
          <w:kern w:val="2"/>
          <w:sz w:val="24"/>
          <w:szCs w:val="24"/>
          <w:lang w:eastAsia="zh-CN"/>
        </w:rPr>
        <w:t>Marcon</w:t>
      </w:r>
      <w:proofErr w:type="spellEnd"/>
      <w:r w:rsidRPr="002878B1">
        <w:rPr>
          <w:rFonts w:ascii="Book Antiqua" w:hAnsi="Book Antiqua" w:cs="Times New Roman"/>
          <w:b/>
          <w:kern w:val="2"/>
          <w:sz w:val="24"/>
          <w:szCs w:val="24"/>
          <w:lang w:eastAsia="zh-CN"/>
        </w:rPr>
        <w:t xml:space="preserve"> AP</w:t>
      </w:r>
      <w:r w:rsidRPr="002878B1">
        <w:rPr>
          <w:rFonts w:ascii="Book Antiqua" w:hAnsi="Book Antiqua" w:cs="Times New Roman"/>
          <w:kern w:val="2"/>
          <w:sz w:val="24"/>
          <w:szCs w:val="24"/>
          <w:lang w:eastAsia="zh-CN"/>
        </w:rPr>
        <w:t xml:space="preserve">, </w:t>
      </w:r>
      <w:proofErr w:type="spellStart"/>
      <w:r w:rsidRPr="002878B1">
        <w:rPr>
          <w:rFonts w:ascii="Book Antiqua" w:hAnsi="Book Antiqua" w:cs="Times New Roman"/>
          <w:kern w:val="2"/>
          <w:sz w:val="24"/>
          <w:szCs w:val="24"/>
          <w:lang w:eastAsia="zh-CN"/>
        </w:rPr>
        <w:t>Gamba</w:t>
      </w:r>
      <w:proofErr w:type="spellEnd"/>
      <w:r w:rsidRPr="002878B1">
        <w:rPr>
          <w:rFonts w:ascii="Book Antiqua" w:hAnsi="Book Antiqua" w:cs="Times New Roman"/>
          <w:kern w:val="2"/>
          <w:sz w:val="24"/>
          <w:szCs w:val="24"/>
          <w:lang w:eastAsia="zh-CN"/>
        </w:rPr>
        <w:t xml:space="preserve"> MA, </w:t>
      </w:r>
      <w:proofErr w:type="spellStart"/>
      <w:r w:rsidRPr="002878B1">
        <w:rPr>
          <w:rFonts w:ascii="Book Antiqua" w:hAnsi="Book Antiqua" w:cs="Times New Roman"/>
          <w:kern w:val="2"/>
          <w:sz w:val="24"/>
          <w:szCs w:val="24"/>
          <w:lang w:eastAsia="zh-CN"/>
        </w:rPr>
        <w:t>Vianna</w:t>
      </w:r>
      <w:proofErr w:type="spellEnd"/>
      <w:r w:rsidRPr="002878B1">
        <w:rPr>
          <w:rFonts w:ascii="Book Antiqua" w:hAnsi="Book Antiqua" w:cs="Times New Roman"/>
          <w:kern w:val="2"/>
          <w:sz w:val="24"/>
          <w:szCs w:val="24"/>
          <w:lang w:eastAsia="zh-CN"/>
        </w:rPr>
        <w:t xml:space="preserve"> LA. </w:t>
      </w:r>
      <w:proofErr w:type="gramStart"/>
      <w:r w:rsidRPr="002878B1">
        <w:rPr>
          <w:rFonts w:ascii="Book Antiqua" w:hAnsi="Book Antiqua" w:cs="Times New Roman"/>
          <w:kern w:val="2"/>
          <w:sz w:val="24"/>
          <w:szCs w:val="24"/>
          <w:lang w:eastAsia="zh-CN"/>
        </w:rPr>
        <w:t>Nosocomial diarrhea in the intensive care unit.</w:t>
      </w:r>
      <w:proofErr w:type="gramEnd"/>
      <w:r w:rsidRPr="002878B1">
        <w:rPr>
          <w:rFonts w:ascii="Book Antiqua" w:hAnsi="Book Antiqua" w:cs="Times New Roman"/>
          <w:kern w:val="2"/>
          <w:sz w:val="24"/>
          <w:szCs w:val="24"/>
          <w:lang w:eastAsia="zh-CN"/>
        </w:rPr>
        <w:t xml:space="preserve"> </w:t>
      </w:r>
      <w:proofErr w:type="spellStart"/>
      <w:r w:rsidRPr="002878B1">
        <w:rPr>
          <w:rFonts w:ascii="Book Antiqua" w:hAnsi="Book Antiqua" w:cs="Times New Roman"/>
          <w:i/>
          <w:kern w:val="2"/>
          <w:sz w:val="24"/>
          <w:szCs w:val="24"/>
          <w:lang w:eastAsia="zh-CN"/>
        </w:rPr>
        <w:t>Braz</w:t>
      </w:r>
      <w:proofErr w:type="spellEnd"/>
      <w:r w:rsidRPr="002878B1">
        <w:rPr>
          <w:rFonts w:ascii="Book Antiqua" w:hAnsi="Book Antiqua" w:cs="Times New Roman"/>
          <w:i/>
          <w:kern w:val="2"/>
          <w:sz w:val="24"/>
          <w:szCs w:val="24"/>
          <w:lang w:eastAsia="zh-CN"/>
        </w:rPr>
        <w:t xml:space="preserve"> J Infect Dis</w:t>
      </w:r>
      <w:r w:rsidRPr="002878B1">
        <w:rPr>
          <w:rFonts w:ascii="Book Antiqua" w:hAnsi="Book Antiqua" w:cs="Times New Roman"/>
          <w:kern w:val="2"/>
          <w:sz w:val="24"/>
          <w:szCs w:val="24"/>
          <w:lang w:eastAsia="zh-CN"/>
        </w:rPr>
        <w:t xml:space="preserve"> 2006; </w:t>
      </w:r>
      <w:r w:rsidRPr="002878B1">
        <w:rPr>
          <w:rFonts w:ascii="Book Antiqua" w:hAnsi="Book Antiqua" w:cs="Times New Roman"/>
          <w:b/>
          <w:kern w:val="2"/>
          <w:sz w:val="24"/>
          <w:szCs w:val="24"/>
          <w:lang w:eastAsia="zh-CN"/>
        </w:rPr>
        <w:t>10</w:t>
      </w:r>
      <w:r w:rsidRPr="002878B1">
        <w:rPr>
          <w:rFonts w:ascii="Book Antiqua" w:hAnsi="Book Antiqua" w:cs="Times New Roman"/>
          <w:kern w:val="2"/>
          <w:sz w:val="24"/>
          <w:szCs w:val="24"/>
          <w:lang w:eastAsia="zh-CN"/>
        </w:rPr>
        <w:t>: 384-389 [PMID: 17420910]</w:t>
      </w:r>
    </w:p>
    <w:p w14:paraId="14AFB161" w14:textId="77777777" w:rsidR="002878B1" w:rsidRPr="002878B1" w:rsidRDefault="002878B1" w:rsidP="002878B1">
      <w:pPr>
        <w:widowControl w:val="0"/>
        <w:snapToGrid w:val="0"/>
        <w:spacing w:after="0" w:line="360" w:lineRule="auto"/>
        <w:jc w:val="both"/>
        <w:rPr>
          <w:rFonts w:ascii="Book Antiqua" w:hAnsi="Book Antiqua" w:cs="Times New Roman"/>
          <w:kern w:val="2"/>
          <w:sz w:val="24"/>
          <w:szCs w:val="24"/>
          <w:lang w:eastAsia="zh-CN"/>
        </w:rPr>
      </w:pPr>
      <w:proofErr w:type="gramStart"/>
      <w:r w:rsidRPr="002878B1">
        <w:rPr>
          <w:rFonts w:ascii="Book Antiqua" w:hAnsi="Book Antiqua" w:cs="Times New Roman"/>
          <w:kern w:val="2"/>
          <w:sz w:val="24"/>
          <w:szCs w:val="24"/>
          <w:lang w:eastAsia="zh-CN"/>
        </w:rPr>
        <w:t xml:space="preserve">31 </w:t>
      </w:r>
      <w:r w:rsidRPr="002878B1">
        <w:rPr>
          <w:rFonts w:ascii="Book Antiqua" w:hAnsi="Book Antiqua" w:cs="Times New Roman"/>
          <w:b/>
          <w:kern w:val="2"/>
          <w:sz w:val="24"/>
          <w:szCs w:val="24"/>
          <w:lang w:eastAsia="zh-CN"/>
        </w:rPr>
        <w:t>Bartlett JG</w:t>
      </w:r>
      <w:r w:rsidRPr="002878B1">
        <w:rPr>
          <w:rFonts w:ascii="Book Antiqua" w:hAnsi="Book Antiqua" w:cs="Times New Roman"/>
          <w:kern w:val="2"/>
          <w:sz w:val="24"/>
          <w:szCs w:val="24"/>
          <w:lang w:eastAsia="zh-CN"/>
        </w:rPr>
        <w:t>.</w:t>
      </w:r>
      <w:proofErr w:type="gramEnd"/>
      <w:r w:rsidRPr="002878B1">
        <w:rPr>
          <w:rFonts w:ascii="Book Antiqua" w:hAnsi="Book Antiqua" w:cs="Times New Roman"/>
          <w:kern w:val="2"/>
          <w:sz w:val="24"/>
          <w:szCs w:val="24"/>
          <w:lang w:eastAsia="zh-CN"/>
        </w:rPr>
        <w:t xml:space="preserve"> Clinical practice. Antibiotic-associated diarrhea. </w:t>
      </w:r>
      <w:r w:rsidRPr="002878B1">
        <w:rPr>
          <w:rFonts w:ascii="Book Antiqua" w:hAnsi="Book Antiqua" w:cs="Times New Roman"/>
          <w:i/>
          <w:kern w:val="2"/>
          <w:sz w:val="24"/>
          <w:szCs w:val="24"/>
          <w:lang w:eastAsia="zh-CN"/>
        </w:rPr>
        <w:t xml:space="preserve">N </w:t>
      </w:r>
      <w:proofErr w:type="spellStart"/>
      <w:r w:rsidRPr="002878B1">
        <w:rPr>
          <w:rFonts w:ascii="Book Antiqua" w:hAnsi="Book Antiqua" w:cs="Times New Roman"/>
          <w:i/>
          <w:kern w:val="2"/>
          <w:sz w:val="24"/>
          <w:szCs w:val="24"/>
          <w:lang w:eastAsia="zh-CN"/>
        </w:rPr>
        <w:t>Engl</w:t>
      </w:r>
      <w:proofErr w:type="spellEnd"/>
      <w:r w:rsidRPr="002878B1">
        <w:rPr>
          <w:rFonts w:ascii="Book Antiqua" w:hAnsi="Book Antiqua" w:cs="Times New Roman"/>
          <w:i/>
          <w:kern w:val="2"/>
          <w:sz w:val="24"/>
          <w:szCs w:val="24"/>
          <w:lang w:eastAsia="zh-CN"/>
        </w:rPr>
        <w:t xml:space="preserve"> J Med</w:t>
      </w:r>
      <w:r w:rsidRPr="002878B1">
        <w:rPr>
          <w:rFonts w:ascii="Book Antiqua" w:hAnsi="Book Antiqua" w:cs="Times New Roman"/>
          <w:kern w:val="2"/>
          <w:sz w:val="24"/>
          <w:szCs w:val="24"/>
          <w:lang w:eastAsia="zh-CN"/>
        </w:rPr>
        <w:t xml:space="preserve"> 2002; </w:t>
      </w:r>
      <w:r w:rsidRPr="002878B1">
        <w:rPr>
          <w:rFonts w:ascii="Book Antiqua" w:hAnsi="Book Antiqua" w:cs="Times New Roman"/>
          <w:b/>
          <w:kern w:val="2"/>
          <w:sz w:val="24"/>
          <w:szCs w:val="24"/>
          <w:lang w:eastAsia="zh-CN"/>
        </w:rPr>
        <w:t>346</w:t>
      </w:r>
      <w:r w:rsidRPr="002878B1">
        <w:rPr>
          <w:rFonts w:ascii="Book Antiqua" w:hAnsi="Book Antiqua" w:cs="Times New Roman"/>
          <w:kern w:val="2"/>
          <w:sz w:val="24"/>
          <w:szCs w:val="24"/>
          <w:lang w:eastAsia="zh-CN"/>
        </w:rPr>
        <w:t>: 334-339 [PMID: 11821511 DOI: 10.1056/NEJMcp011603]</w:t>
      </w:r>
    </w:p>
    <w:p w14:paraId="333499C0" w14:textId="77777777" w:rsidR="002878B1" w:rsidRPr="002878B1" w:rsidRDefault="002878B1" w:rsidP="002878B1">
      <w:pPr>
        <w:widowControl w:val="0"/>
        <w:snapToGrid w:val="0"/>
        <w:spacing w:after="0" w:line="360" w:lineRule="auto"/>
        <w:jc w:val="both"/>
        <w:rPr>
          <w:rFonts w:ascii="Book Antiqua" w:hAnsi="Book Antiqua" w:cs="Times New Roman"/>
          <w:kern w:val="2"/>
          <w:sz w:val="24"/>
          <w:szCs w:val="24"/>
          <w:lang w:eastAsia="zh-CN"/>
        </w:rPr>
      </w:pPr>
      <w:r w:rsidRPr="002878B1">
        <w:rPr>
          <w:rFonts w:ascii="Book Antiqua" w:hAnsi="Book Antiqua" w:cs="Times New Roman"/>
          <w:kern w:val="2"/>
          <w:sz w:val="24"/>
          <w:szCs w:val="24"/>
          <w:lang w:eastAsia="zh-CN"/>
        </w:rPr>
        <w:t xml:space="preserve">32 </w:t>
      </w:r>
      <w:proofErr w:type="spellStart"/>
      <w:r w:rsidRPr="002878B1">
        <w:rPr>
          <w:rFonts w:ascii="Book Antiqua" w:hAnsi="Book Antiqua" w:cs="Times New Roman"/>
          <w:b/>
          <w:kern w:val="2"/>
          <w:sz w:val="24"/>
          <w:szCs w:val="24"/>
          <w:lang w:eastAsia="zh-CN"/>
        </w:rPr>
        <w:t>Gramlich</w:t>
      </w:r>
      <w:proofErr w:type="spellEnd"/>
      <w:r w:rsidRPr="002878B1">
        <w:rPr>
          <w:rFonts w:ascii="Book Antiqua" w:hAnsi="Book Antiqua" w:cs="Times New Roman"/>
          <w:b/>
          <w:kern w:val="2"/>
          <w:sz w:val="24"/>
          <w:szCs w:val="24"/>
          <w:lang w:eastAsia="zh-CN"/>
        </w:rPr>
        <w:t xml:space="preserve"> L</w:t>
      </w:r>
      <w:r w:rsidRPr="002878B1">
        <w:rPr>
          <w:rFonts w:ascii="Book Antiqua" w:hAnsi="Book Antiqua" w:cs="Times New Roman"/>
          <w:kern w:val="2"/>
          <w:sz w:val="24"/>
          <w:szCs w:val="24"/>
          <w:lang w:eastAsia="zh-CN"/>
        </w:rPr>
        <w:t xml:space="preserve">, </w:t>
      </w:r>
      <w:proofErr w:type="spellStart"/>
      <w:r w:rsidRPr="002878B1">
        <w:rPr>
          <w:rFonts w:ascii="Book Antiqua" w:hAnsi="Book Antiqua" w:cs="Times New Roman"/>
          <w:kern w:val="2"/>
          <w:sz w:val="24"/>
          <w:szCs w:val="24"/>
          <w:lang w:eastAsia="zh-CN"/>
        </w:rPr>
        <w:t>Kichian</w:t>
      </w:r>
      <w:proofErr w:type="spellEnd"/>
      <w:r w:rsidRPr="002878B1">
        <w:rPr>
          <w:rFonts w:ascii="Book Antiqua" w:hAnsi="Book Antiqua" w:cs="Times New Roman"/>
          <w:kern w:val="2"/>
          <w:sz w:val="24"/>
          <w:szCs w:val="24"/>
          <w:lang w:eastAsia="zh-CN"/>
        </w:rPr>
        <w:t xml:space="preserve"> K, </w:t>
      </w:r>
      <w:proofErr w:type="spellStart"/>
      <w:r w:rsidRPr="002878B1">
        <w:rPr>
          <w:rFonts w:ascii="Book Antiqua" w:hAnsi="Book Antiqua" w:cs="Times New Roman"/>
          <w:kern w:val="2"/>
          <w:sz w:val="24"/>
          <w:szCs w:val="24"/>
          <w:lang w:eastAsia="zh-CN"/>
        </w:rPr>
        <w:t>Pinilla</w:t>
      </w:r>
      <w:proofErr w:type="spellEnd"/>
      <w:r w:rsidRPr="002878B1">
        <w:rPr>
          <w:rFonts w:ascii="Book Antiqua" w:hAnsi="Book Antiqua" w:cs="Times New Roman"/>
          <w:kern w:val="2"/>
          <w:sz w:val="24"/>
          <w:szCs w:val="24"/>
          <w:lang w:eastAsia="zh-CN"/>
        </w:rPr>
        <w:t xml:space="preserve"> J, </w:t>
      </w:r>
      <w:proofErr w:type="spellStart"/>
      <w:r w:rsidRPr="002878B1">
        <w:rPr>
          <w:rFonts w:ascii="Book Antiqua" w:hAnsi="Book Antiqua" w:cs="Times New Roman"/>
          <w:kern w:val="2"/>
          <w:sz w:val="24"/>
          <w:szCs w:val="24"/>
          <w:lang w:eastAsia="zh-CN"/>
        </w:rPr>
        <w:t>Rodych</w:t>
      </w:r>
      <w:proofErr w:type="spellEnd"/>
      <w:r w:rsidRPr="002878B1">
        <w:rPr>
          <w:rFonts w:ascii="Book Antiqua" w:hAnsi="Book Antiqua" w:cs="Times New Roman"/>
          <w:kern w:val="2"/>
          <w:sz w:val="24"/>
          <w:szCs w:val="24"/>
          <w:lang w:eastAsia="zh-CN"/>
        </w:rPr>
        <w:t xml:space="preserve"> NJ, </w:t>
      </w:r>
      <w:proofErr w:type="spellStart"/>
      <w:r w:rsidRPr="002878B1">
        <w:rPr>
          <w:rFonts w:ascii="Book Antiqua" w:hAnsi="Book Antiqua" w:cs="Times New Roman"/>
          <w:kern w:val="2"/>
          <w:sz w:val="24"/>
          <w:szCs w:val="24"/>
          <w:lang w:eastAsia="zh-CN"/>
        </w:rPr>
        <w:t>Dhaliwal</w:t>
      </w:r>
      <w:proofErr w:type="spellEnd"/>
      <w:r w:rsidRPr="002878B1">
        <w:rPr>
          <w:rFonts w:ascii="Book Antiqua" w:hAnsi="Book Antiqua" w:cs="Times New Roman"/>
          <w:kern w:val="2"/>
          <w:sz w:val="24"/>
          <w:szCs w:val="24"/>
          <w:lang w:eastAsia="zh-CN"/>
        </w:rPr>
        <w:t xml:space="preserve"> R, </w:t>
      </w:r>
      <w:proofErr w:type="spellStart"/>
      <w:r w:rsidRPr="002878B1">
        <w:rPr>
          <w:rFonts w:ascii="Book Antiqua" w:hAnsi="Book Antiqua" w:cs="Times New Roman"/>
          <w:kern w:val="2"/>
          <w:sz w:val="24"/>
          <w:szCs w:val="24"/>
          <w:lang w:eastAsia="zh-CN"/>
        </w:rPr>
        <w:t>Heyland</w:t>
      </w:r>
      <w:proofErr w:type="spellEnd"/>
      <w:r w:rsidRPr="002878B1">
        <w:rPr>
          <w:rFonts w:ascii="Book Antiqua" w:hAnsi="Book Antiqua" w:cs="Times New Roman"/>
          <w:kern w:val="2"/>
          <w:sz w:val="24"/>
          <w:szCs w:val="24"/>
          <w:lang w:eastAsia="zh-CN"/>
        </w:rPr>
        <w:t xml:space="preserve"> DK. Does enteral nutrition compared to parenteral nutrition result in better outcomes in critically ill adult patients? </w:t>
      </w:r>
      <w:proofErr w:type="gramStart"/>
      <w:r w:rsidRPr="002878B1">
        <w:rPr>
          <w:rFonts w:ascii="Book Antiqua" w:hAnsi="Book Antiqua" w:cs="Times New Roman"/>
          <w:kern w:val="2"/>
          <w:sz w:val="24"/>
          <w:szCs w:val="24"/>
          <w:lang w:eastAsia="zh-CN"/>
        </w:rPr>
        <w:t>A systematic review of the literature.</w:t>
      </w:r>
      <w:proofErr w:type="gramEnd"/>
      <w:r w:rsidRPr="002878B1">
        <w:rPr>
          <w:rFonts w:ascii="Book Antiqua" w:hAnsi="Book Antiqua" w:cs="Times New Roman"/>
          <w:kern w:val="2"/>
          <w:sz w:val="24"/>
          <w:szCs w:val="24"/>
          <w:lang w:eastAsia="zh-CN"/>
        </w:rPr>
        <w:t xml:space="preserve"> </w:t>
      </w:r>
      <w:r w:rsidRPr="002878B1">
        <w:rPr>
          <w:rFonts w:ascii="Book Antiqua" w:hAnsi="Book Antiqua" w:cs="Times New Roman"/>
          <w:i/>
          <w:kern w:val="2"/>
          <w:sz w:val="24"/>
          <w:szCs w:val="24"/>
          <w:lang w:eastAsia="zh-CN"/>
        </w:rPr>
        <w:t>Nutrition</w:t>
      </w:r>
      <w:r w:rsidRPr="002878B1">
        <w:rPr>
          <w:rFonts w:ascii="Book Antiqua" w:hAnsi="Book Antiqua" w:cs="Times New Roman"/>
          <w:kern w:val="2"/>
          <w:sz w:val="24"/>
          <w:szCs w:val="24"/>
          <w:lang w:eastAsia="zh-CN"/>
        </w:rPr>
        <w:t xml:space="preserve"> 2004; </w:t>
      </w:r>
      <w:r w:rsidRPr="002878B1">
        <w:rPr>
          <w:rFonts w:ascii="Book Antiqua" w:hAnsi="Book Antiqua" w:cs="Times New Roman"/>
          <w:b/>
          <w:kern w:val="2"/>
          <w:sz w:val="24"/>
          <w:szCs w:val="24"/>
          <w:lang w:eastAsia="zh-CN"/>
        </w:rPr>
        <w:t>20</w:t>
      </w:r>
      <w:r w:rsidRPr="002878B1">
        <w:rPr>
          <w:rFonts w:ascii="Book Antiqua" w:hAnsi="Book Antiqua" w:cs="Times New Roman"/>
          <w:kern w:val="2"/>
          <w:sz w:val="24"/>
          <w:szCs w:val="24"/>
          <w:lang w:eastAsia="zh-CN"/>
        </w:rPr>
        <w:t>: 843-848 [PMID: 15474870 DOI: 10.1016/j.nut.2004.06.003]</w:t>
      </w:r>
    </w:p>
    <w:p w14:paraId="03FB277B" w14:textId="77777777" w:rsidR="002878B1" w:rsidRPr="002878B1" w:rsidRDefault="002878B1" w:rsidP="002878B1">
      <w:pPr>
        <w:widowControl w:val="0"/>
        <w:snapToGrid w:val="0"/>
        <w:spacing w:after="0" w:line="360" w:lineRule="auto"/>
        <w:jc w:val="both"/>
        <w:rPr>
          <w:rFonts w:ascii="Book Antiqua" w:hAnsi="Book Antiqua" w:cs="Times New Roman"/>
          <w:kern w:val="2"/>
          <w:sz w:val="24"/>
          <w:szCs w:val="24"/>
          <w:lang w:eastAsia="zh-CN"/>
        </w:rPr>
      </w:pPr>
      <w:proofErr w:type="gramStart"/>
      <w:r w:rsidRPr="002878B1">
        <w:rPr>
          <w:rFonts w:ascii="Book Antiqua" w:hAnsi="Book Antiqua" w:cs="Times New Roman"/>
          <w:kern w:val="2"/>
          <w:sz w:val="24"/>
          <w:szCs w:val="24"/>
          <w:lang w:eastAsia="zh-CN"/>
        </w:rPr>
        <w:t xml:space="preserve">33 </w:t>
      </w:r>
      <w:proofErr w:type="spellStart"/>
      <w:r w:rsidRPr="002878B1">
        <w:rPr>
          <w:rFonts w:ascii="Book Antiqua" w:hAnsi="Book Antiqua" w:cs="Times New Roman"/>
          <w:b/>
          <w:kern w:val="2"/>
          <w:sz w:val="24"/>
          <w:szCs w:val="24"/>
          <w:lang w:eastAsia="zh-CN"/>
        </w:rPr>
        <w:t>Kamarul</w:t>
      </w:r>
      <w:proofErr w:type="spellEnd"/>
      <w:r w:rsidRPr="002878B1">
        <w:rPr>
          <w:rFonts w:ascii="Book Antiqua" w:hAnsi="Book Antiqua" w:cs="Times New Roman"/>
          <w:b/>
          <w:kern w:val="2"/>
          <w:sz w:val="24"/>
          <w:szCs w:val="24"/>
          <w:lang w:eastAsia="zh-CN"/>
        </w:rPr>
        <w:t xml:space="preserve"> </w:t>
      </w:r>
      <w:proofErr w:type="spellStart"/>
      <w:r w:rsidRPr="002878B1">
        <w:rPr>
          <w:rFonts w:ascii="Book Antiqua" w:hAnsi="Book Antiqua" w:cs="Times New Roman"/>
          <w:b/>
          <w:kern w:val="2"/>
          <w:sz w:val="24"/>
          <w:szCs w:val="24"/>
          <w:lang w:eastAsia="zh-CN"/>
        </w:rPr>
        <w:t>Zaman</w:t>
      </w:r>
      <w:proofErr w:type="spellEnd"/>
      <w:r w:rsidRPr="002878B1">
        <w:rPr>
          <w:rFonts w:ascii="Book Antiqua" w:hAnsi="Book Antiqua" w:cs="Times New Roman"/>
          <w:b/>
          <w:kern w:val="2"/>
          <w:sz w:val="24"/>
          <w:szCs w:val="24"/>
          <w:lang w:eastAsia="zh-CN"/>
        </w:rPr>
        <w:t xml:space="preserve"> M</w:t>
      </w:r>
      <w:r w:rsidRPr="002878B1">
        <w:rPr>
          <w:rFonts w:ascii="Book Antiqua" w:hAnsi="Book Antiqua" w:cs="Times New Roman"/>
          <w:kern w:val="2"/>
          <w:sz w:val="24"/>
          <w:szCs w:val="24"/>
          <w:lang w:eastAsia="zh-CN"/>
        </w:rPr>
        <w:t>, Chin KF, Rai V, Majid HA.</w:t>
      </w:r>
      <w:proofErr w:type="gramEnd"/>
      <w:r w:rsidRPr="002878B1">
        <w:rPr>
          <w:rFonts w:ascii="Book Antiqua" w:hAnsi="Book Antiqua" w:cs="Times New Roman"/>
          <w:kern w:val="2"/>
          <w:sz w:val="24"/>
          <w:szCs w:val="24"/>
          <w:lang w:eastAsia="zh-CN"/>
        </w:rPr>
        <w:t xml:space="preserve"> Fiber and prebiotic supplementation in enteral nutrition: A systematic review and meta-analysis. </w:t>
      </w:r>
      <w:r w:rsidRPr="002878B1">
        <w:rPr>
          <w:rFonts w:ascii="Book Antiqua" w:hAnsi="Book Antiqua" w:cs="Times New Roman"/>
          <w:i/>
          <w:kern w:val="2"/>
          <w:sz w:val="24"/>
          <w:szCs w:val="24"/>
          <w:lang w:eastAsia="zh-CN"/>
        </w:rPr>
        <w:t xml:space="preserve">World J </w:t>
      </w:r>
      <w:proofErr w:type="spellStart"/>
      <w:r w:rsidRPr="002878B1">
        <w:rPr>
          <w:rFonts w:ascii="Book Antiqua" w:hAnsi="Book Antiqua" w:cs="Times New Roman"/>
          <w:i/>
          <w:kern w:val="2"/>
          <w:sz w:val="24"/>
          <w:szCs w:val="24"/>
          <w:lang w:eastAsia="zh-CN"/>
        </w:rPr>
        <w:t>Gastroenterol</w:t>
      </w:r>
      <w:proofErr w:type="spellEnd"/>
      <w:r w:rsidRPr="002878B1">
        <w:rPr>
          <w:rFonts w:ascii="Book Antiqua" w:hAnsi="Book Antiqua" w:cs="Times New Roman"/>
          <w:kern w:val="2"/>
          <w:sz w:val="24"/>
          <w:szCs w:val="24"/>
          <w:lang w:eastAsia="zh-CN"/>
        </w:rPr>
        <w:t xml:space="preserve"> 2015; </w:t>
      </w:r>
      <w:r w:rsidRPr="002878B1">
        <w:rPr>
          <w:rFonts w:ascii="Book Antiqua" w:hAnsi="Book Antiqua" w:cs="Times New Roman"/>
          <w:b/>
          <w:kern w:val="2"/>
          <w:sz w:val="24"/>
          <w:szCs w:val="24"/>
          <w:lang w:eastAsia="zh-CN"/>
        </w:rPr>
        <w:t>21</w:t>
      </w:r>
      <w:r w:rsidRPr="002878B1">
        <w:rPr>
          <w:rFonts w:ascii="Book Antiqua" w:hAnsi="Book Antiqua" w:cs="Times New Roman"/>
          <w:kern w:val="2"/>
          <w:sz w:val="24"/>
          <w:szCs w:val="24"/>
          <w:lang w:eastAsia="zh-CN"/>
        </w:rPr>
        <w:t>: 5372-5381 [PMID: 25954112 DOI: 10.3748/wjg.v21.i17.5372]</w:t>
      </w:r>
    </w:p>
    <w:p w14:paraId="55264D29" w14:textId="77777777" w:rsidR="002878B1" w:rsidRPr="002878B1" w:rsidRDefault="002878B1" w:rsidP="002878B1">
      <w:pPr>
        <w:snapToGrid w:val="0"/>
        <w:spacing w:after="0" w:line="360" w:lineRule="auto"/>
        <w:jc w:val="right"/>
        <w:rPr>
          <w:rFonts w:ascii="Book Antiqua" w:hAnsi="Book Antiqua" w:cs="Times New Roman"/>
          <w:sz w:val="24"/>
          <w:szCs w:val="24"/>
          <w:lang w:eastAsia="zh-CN"/>
        </w:rPr>
      </w:pPr>
      <w:bookmarkStart w:id="58" w:name="OLE_LINK51"/>
      <w:bookmarkStart w:id="59" w:name="OLE_LINK52"/>
      <w:bookmarkStart w:id="60" w:name="OLE_LINK120"/>
      <w:bookmarkStart w:id="61" w:name="OLE_LINK148"/>
      <w:bookmarkStart w:id="62" w:name="OLE_LINK72"/>
      <w:bookmarkStart w:id="63" w:name="OLE_LINK112"/>
      <w:bookmarkStart w:id="64" w:name="OLE_LINK320"/>
      <w:bookmarkStart w:id="65" w:name="OLE_LINK387"/>
      <w:bookmarkStart w:id="66" w:name="OLE_LINK183"/>
      <w:bookmarkStart w:id="67" w:name="OLE_LINK254"/>
      <w:bookmarkStart w:id="68" w:name="OLE_LINK149"/>
      <w:bookmarkStart w:id="69" w:name="OLE_LINK225"/>
      <w:bookmarkStart w:id="70" w:name="OLE_LINK207"/>
      <w:bookmarkStart w:id="71" w:name="OLE_LINK226"/>
      <w:bookmarkStart w:id="72" w:name="OLE_LINK212"/>
      <w:bookmarkStart w:id="73" w:name="OLE_LINK250"/>
      <w:bookmarkStart w:id="74" w:name="OLE_LINK281"/>
      <w:bookmarkStart w:id="75" w:name="OLE_LINK282"/>
      <w:bookmarkStart w:id="76" w:name="OLE_LINK313"/>
      <w:bookmarkStart w:id="77" w:name="OLE_LINK304"/>
      <w:bookmarkStart w:id="78" w:name="OLE_LINK321"/>
      <w:bookmarkStart w:id="79" w:name="OLE_LINK385"/>
      <w:bookmarkStart w:id="80" w:name="OLE_LINK400"/>
      <w:bookmarkStart w:id="81" w:name="OLE_LINK346"/>
      <w:bookmarkStart w:id="82" w:name="OLE_LINK371"/>
      <w:bookmarkStart w:id="83" w:name="OLE_LINK334"/>
      <w:bookmarkStart w:id="84" w:name="OLE_LINK1830"/>
      <w:bookmarkStart w:id="85" w:name="OLE_LINK457"/>
      <w:bookmarkStart w:id="86" w:name="OLE_LINK288"/>
      <w:bookmarkStart w:id="87" w:name="OLE_LINK384"/>
      <w:bookmarkStart w:id="88" w:name="OLE_LINK379"/>
      <w:bookmarkStart w:id="89" w:name="OLE_LINK303"/>
      <w:bookmarkStart w:id="90" w:name="OLE_LINK450"/>
      <w:bookmarkStart w:id="91" w:name="OLE_LINK489"/>
      <w:bookmarkStart w:id="92" w:name="OLE_LINK535"/>
      <w:bookmarkStart w:id="93" w:name="OLE_LINK648"/>
      <w:bookmarkStart w:id="94" w:name="OLE_LINK686"/>
      <w:bookmarkStart w:id="95" w:name="OLE_LINK471"/>
      <w:bookmarkStart w:id="96" w:name="OLE_LINK462"/>
      <w:bookmarkStart w:id="97" w:name="OLE_LINK519"/>
      <w:bookmarkStart w:id="98" w:name="OLE_LINK575"/>
      <w:bookmarkStart w:id="99" w:name="OLE_LINK491"/>
      <w:bookmarkStart w:id="100" w:name="OLE_LINK532"/>
      <w:bookmarkStart w:id="101" w:name="OLE_LINK572"/>
      <w:bookmarkStart w:id="102" w:name="OLE_LINK574"/>
      <w:bookmarkStart w:id="103" w:name="OLE_LINK480"/>
      <w:bookmarkStart w:id="104" w:name="OLE_LINK567"/>
      <w:bookmarkStart w:id="105" w:name="OLE_LINK2700"/>
      <w:bookmarkStart w:id="106" w:name="OLE_LINK581"/>
      <w:bookmarkStart w:id="107" w:name="OLE_LINK639"/>
      <w:bookmarkStart w:id="108" w:name="OLE_LINK688"/>
      <w:bookmarkStart w:id="109" w:name="OLE_LINK722"/>
      <w:bookmarkStart w:id="110" w:name="OLE_LINK542"/>
      <w:bookmarkStart w:id="111" w:name="OLE_LINK589"/>
      <w:bookmarkStart w:id="112" w:name="OLE_LINK582"/>
      <w:bookmarkStart w:id="113" w:name="OLE_LINK640"/>
      <w:bookmarkStart w:id="114" w:name="OLE_LINK714"/>
      <w:bookmarkStart w:id="115" w:name="OLE_LINK593"/>
      <w:bookmarkStart w:id="116" w:name="OLE_LINK716"/>
      <w:bookmarkStart w:id="117" w:name="OLE_LINK770"/>
      <w:bookmarkStart w:id="118" w:name="OLE_LINK801"/>
      <w:bookmarkStart w:id="119" w:name="OLE_LINK660"/>
      <w:bookmarkStart w:id="120" w:name="OLE_LINK781"/>
      <w:bookmarkStart w:id="121" w:name="OLE_LINK833"/>
      <w:bookmarkStart w:id="122" w:name="OLE_LINK642"/>
      <w:bookmarkStart w:id="123" w:name="OLE_LINK700"/>
      <w:bookmarkStart w:id="124" w:name="OLE_LINK792"/>
      <w:bookmarkStart w:id="125" w:name="OLE_LINK2882"/>
      <w:bookmarkStart w:id="126" w:name="OLE_LINK836"/>
      <w:bookmarkStart w:id="127" w:name="OLE_LINK889"/>
      <w:bookmarkStart w:id="128" w:name="OLE_LINK782"/>
      <w:bookmarkStart w:id="129" w:name="OLE_LINK826"/>
      <w:bookmarkStart w:id="130" w:name="OLE_LINK865"/>
      <w:bookmarkStart w:id="131" w:name="OLE_LINK856"/>
      <w:bookmarkStart w:id="132" w:name="OLE_LINK908"/>
      <w:bookmarkStart w:id="133" w:name="OLE_LINK980"/>
      <w:bookmarkStart w:id="134" w:name="OLE_LINK1018"/>
      <w:bookmarkStart w:id="135" w:name="OLE_LINK1049"/>
      <w:bookmarkStart w:id="136" w:name="OLE_LINK1076"/>
      <w:bookmarkStart w:id="137" w:name="OLE_LINK1106"/>
      <w:bookmarkStart w:id="138" w:name="OLE_LINK891"/>
      <w:bookmarkStart w:id="139" w:name="OLE_LINK943"/>
      <w:bookmarkStart w:id="140" w:name="OLE_LINK981"/>
      <w:bookmarkStart w:id="141" w:name="OLE_LINK1030"/>
      <w:bookmarkStart w:id="142" w:name="OLE_LINK847"/>
      <w:bookmarkStart w:id="143" w:name="OLE_LINK909"/>
      <w:bookmarkStart w:id="144" w:name="OLE_LINK906"/>
      <w:bookmarkStart w:id="145" w:name="OLE_LINK992"/>
      <w:bookmarkStart w:id="146" w:name="OLE_LINK993"/>
      <w:bookmarkStart w:id="147" w:name="OLE_LINK1052"/>
      <w:bookmarkStart w:id="148" w:name="OLE_LINK946"/>
      <w:bookmarkStart w:id="149" w:name="OLE_LINK911"/>
      <w:bookmarkStart w:id="150" w:name="OLE_LINK930"/>
      <w:bookmarkStart w:id="151" w:name="OLE_LINK1059"/>
      <w:bookmarkStart w:id="152" w:name="OLE_LINK1174"/>
      <w:bookmarkStart w:id="153" w:name="OLE_LINK1137"/>
      <w:bookmarkStart w:id="154" w:name="OLE_LINK1167"/>
      <w:bookmarkStart w:id="155" w:name="OLE_LINK1200"/>
      <w:bookmarkStart w:id="156" w:name="OLE_LINK1241"/>
      <w:bookmarkStart w:id="157" w:name="OLE_LINK1288"/>
      <w:bookmarkStart w:id="158" w:name="OLE_LINK1056"/>
      <w:bookmarkStart w:id="159" w:name="OLE_LINK1158"/>
      <w:bookmarkStart w:id="160" w:name="OLE_LINK1175"/>
      <w:bookmarkStart w:id="161" w:name="OLE_LINK1074"/>
      <w:bookmarkStart w:id="162" w:name="OLE_LINK1169"/>
      <w:bookmarkStart w:id="163" w:name="OLE_LINK1053"/>
      <w:bookmarkStart w:id="164" w:name="OLE_LINK1054"/>
      <w:r w:rsidRPr="002878B1">
        <w:rPr>
          <w:rFonts w:ascii="Book Antiqua" w:hAnsi="Book Antiqua" w:cs="Times New Roman"/>
          <w:b/>
          <w:bCs/>
          <w:sz w:val="24"/>
          <w:szCs w:val="24"/>
          <w:lang w:eastAsia="zh-CN"/>
        </w:rPr>
        <w:t>P-Reviewer:</w:t>
      </w:r>
      <w:r w:rsidRPr="002878B1">
        <w:rPr>
          <w:rFonts w:ascii="Book Antiqua" w:hAnsi="Book Antiqua" w:cs="Times New Roman" w:hint="eastAsia"/>
          <w:b/>
          <w:bCs/>
          <w:sz w:val="24"/>
          <w:szCs w:val="24"/>
          <w:lang w:eastAsia="zh-CN"/>
        </w:rPr>
        <w:t xml:space="preserve"> </w:t>
      </w:r>
      <w:proofErr w:type="spellStart"/>
      <w:r w:rsidRPr="002878B1">
        <w:rPr>
          <w:rFonts w:ascii="Book Antiqua" w:hAnsi="Book Antiqua" w:cs="Times New Roman"/>
          <w:bCs/>
          <w:sz w:val="24"/>
          <w:szCs w:val="24"/>
          <w:lang w:eastAsia="zh-CN"/>
        </w:rPr>
        <w:t>Kuribayashi</w:t>
      </w:r>
      <w:proofErr w:type="spellEnd"/>
      <w:r w:rsidRPr="002878B1">
        <w:rPr>
          <w:rFonts w:ascii="Book Antiqua" w:hAnsi="Book Antiqua" w:cs="Times New Roman" w:hint="eastAsia"/>
          <w:bCs/>
          <w:sz w:val="24"/>
          <w:szCs w:val="24"/>
          <w:lang w:eastAsia="zh-CN"/>
        </w:rPr>
        <w:t xml:space="preserve"> </w:t>
      </w:r>
      <w:r w:rsidRPr="002878B1">
        <w:rPr>
          <w:rFonts w:ascii="Book Antiqua" w:hAnsi="Book Antiqua" w:cs="Times New Roman"/>
          <w:bCs/>
          <w:sz w:val="24"/>
          <w:szCs w:val="24"/>
          <w:lang w:eastAsia="zh-CN"/>
        </w:rPr>
        <w:t>S</w:t>
      </w:r>
      <w:r w:rsidRPr="002878B1">
        <w:rPr>
          <w:rFonts w:ascii="Book Antiqua" w:hAnsi="Book Antiqua" w:cs="Times New Roman" w:hint="eastAsia"/>
          <w:b/>
          <w:bCs/>
          <w:sz w:val="24"/>
          <w:szCs w:val="24"/>
          <w:lang w:eastAsia="zh-CN"/>
        </w:rPr>
        <w:t xml:space="preserve"> </w:t>
      </w:r>
      <w:r w:rsidRPr="002878B1">
        <w:rPr>
          <w:rFonts w:ascii="Book Antiqua" w:hAnsi="Book Antiqua" w:cs="Times New Roman"/>
          <w:b/>
          <w:bCs/>
          <w:sz w:val="24"/>
          <w:szCs w:val="24"/>
          <w:lang w:eastAsia="zh-CN"/>
        </w:rPr>
        <w:t>S-Editor:</w:t>
      </w:r>
      <w:r w:rsidRPr="002878B1">
        <w:rPr>
          <w:rFonts w:ascii="Book Antiqua" w:hAnsi="Book Antiqua" w:cs="Times New Roman" w:hint="eastAsia"/>
          <w:sz w:val="24"/>
          <w:szCs w:val="24"/>
          <w:lang w:eastAsia="zh-CN"/>
        </w:rPr>
        <w:t xml:space="preserve"> Gong ZM</w:t>
      </w:r>
    </w:p>
    <w:p w14:paraId="396AEF91" w14:textId="77777777" w:rsidR="002878B1" w:rsidRPr="002878B1" w:rsidRDefault="002878B1" w:rsidP="002878B1">
      <w:pPr>
        <w:snapToGrid w:val="0"/>
        <w:spacing w:after="0" w:line="360" w:lineRule="auto"/>
        <w:jc w:val="right"/>
        <w:rPr>
          <w:rFonts w:ascii="Book Antiqua" w:hAnsi="Book Antiqua" w:cs="Times New Roman"/>
          <w:b/>
          <w:bCs/>
          <w:sz w:val="24"/>
          <w:szCs w:val="24"/>
          <w:lang w:eastAsia="zh-CN"/>
        </w:rPr>
      </w:pPr>
      <w:r w:rsidRPr="002878B1">
        <w:rPr>
          <w:rFonts w:ascii="Book Antiqua" w:hAnsi="Book Antiqua" w:cs="Times New Roman"/>
          <w:b/>
          <w:bCs/>
          <w:sz w:val="24"/>
          <w:szCs w:val="24"/>
          <w:lang w:eastAsia="zh-CN"/>
        </w:rPr>
        <w:t>L-Editor:</w:t>
      </w:r>
      <w:r w:rsidRPr="002878B1">
        <w:rPr>
          <w:rFonts w:ascii="Book Antiqua" w:hAnsi="Book Antiqua" w:cs="Times New Roman"/>
          <w:sz w:val="24"/>
          <w:szCs w:val="24"/>
          <w:lang w:eastAsia="zh-CN"/>
        </w:rPr>
        <w:t xml:space="preserve"> </w:t>
      </w:r>
      <w:r w:rsidRPr="002878B1">
        <w:rPr>
          <w:rFonts w:ascii="Book Antiqua" w:hAnsi="Book Antiqua" w:cs="Times New Roman"/>
          <w:b/>
          <w:bCs/>
          <w:sz w:val="24"/>
          <w:szCs w:val="24"/>
          <w:lang w:eastAsia="zh-CN"/>
        </w:rPr>
        <w:t>E-Editor:</w:t>
      </w:r>
    </w:p>
    <w:p w14:paraId="56756710" w14:textId="77777777" w:rsidR="002878B1" w:rsidRPr="002878B1" w:rsidRDefault="002878B1" w:rsidP="002878B1">
      <w:pPr>
        <w:shd w:val="clear" w:color="auto" w:fill="FFFFFF"/>
        <w:snapToGrid w:val="0"/>
        <w:spacing w:after="0" w:line="360" w:lineRule="auto"/>
        <w:jc w:val="both"/>
        <w:rPr>
          <w:rFonts w:ascii="Book Antiqua" w:hAnsi="Book Antiqua" w:cs="Helvetica"/>
          <w:b/>
          <w:sz w:val="24"/>
          <w:szCs w:val="24"/>
          <w:lang w:eastAsia="zh-CN"/>
        </w:rPr>
      </w:pPr>
      <w:bookmarkStart w:id="165" w:name="OLE_LINK880"/>
      <w:bookmarkStart w:id="166" w:name="OLE_LINK881"/>
      <w:bookmarkStart w:id="167" w:name="OLE_LINK497"/>
      <w:bookmarkStart w:id="168" w:name="OLE_LINK813"/>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2878B1">
        <w:rPr>
          <w:rFonts w:ascii="Book Antiqua" w:hAnsi="Book Antiqua" w:cs="Helvetica"/>
          <w:b/>
          <w:sz w:val="24"/>
          <w:szCs w:val="24"/>
          <w:lang w:eastAsia="zh-CN"/>
        </w:rPr>
        <w:t xml:space="preserve">Specialty type: </w:t>
      </w:r>
      <w:r w:rsidRPr="002878B1">
        <w:rPr>
          <w:rFonts w:ascii="Book Antiqua" w:hAnsi="Book Antiqua" w:cs="Helvetica"/>
          <w:sz w:val="24"/>
          <w:szCs w:val="24"/>
          <w:lang w:eastAsia="zh-CN"/>
        </w:rPr>
        <w:t>Gastroenterology and</w:t>
      </w:r>
      <w:r w:rsidRPr="002878B1">
        <w:rPr>
          <w:rFonts w:ascii="Book Antiqua" w:hAnsi="Book Antiqua" w:cs="Helvetica" w:hint="eastAsia"/>
          <w:sz w:val="24"/>
          <w:szCs w:val="24"/>
          <w:lang w:eastAsia="zh-CN"/>
        </w:rPr>
        <w:t xml:space="preserve"> </w:t>
      </w:r>
      <w:r w:rsidRPr="002878B1">
        <w:rPr>
          <w:rFonts w:ascii="Book Antiqua" w:hAnsi="Book Antiqua" w:cs="Helvetica"/>
          <w:sz w:val="24"/>
          <w:szCs w:val="24"/>
          <w:lang w:eastAsia="zh-CN"/>
        </w:rPr>
        <w:t>hepatology</w:t>
      </w:r>
    </w:p>
    <w:p w14:paraId="70FFC566" w14:textId="77777777" w:rsidR="002878B1" w:rsidRPr="002878B1" w:rsidRDefault="002878B1" w:rsidP="002878B1">
      <w:pPr>
        <w:shd w:val="clear" w:color="auto" w:fill="FFFFFF"/>
        <w:snapToGrid w:val="0"/>
        <w:spacing w:after="0" w:line="360" w:lineRule="auto"/>
        <w:jc w:val="both"/>
        <w:rPr>
          <w:rFonts w:ascii="Book Antiqua" w:hAnsi="Book Antiqua" w:cs="Helvetica"/>
          <w:b/>
          <w:sz w:val="24"/>
          <w:szCs w:val="24"/>
          <w:lang w:eastAsia="zh-CN"/>
        </w:rPr>
      </w:pPr>
      <w:r w:rsidRPr="002878B1">
        <w:rPr>
          <w:rFonts w:ascii="Book Antiqua" w:hAnsi="Book Antiqua" w:cs="Helvetica"/>
          <w:b/>
          <w:sz w:val="24"/>
          <w:szCs w:val="24"/>
          <w:lang w:eastAsia="zh-CN"/>
        </w:rPr>
        <w:t xml:space="preserve">Country of origin: </w:t>
      </w:r>
      <w:r w:rsidRPr="002878B1">
        <w:rPr>
          <w:rFonts w:ascii="Book Antiqua" w:hAnsi="Book Antiqua" w:cs="Helvetica" w:hint="eastAsia"/>
          <w:sz w:val="24"/>
          <w:szCs w:val="24"/>
          <w:lang w:val="en-CA" w:eastAsia="zh-CN"/>
        </w:rPr>
        <w:t>United States</w:t>
      </w:r>
    </w:p>
    <w:p w14:paraId="1F44CC2C" w14:textId="77777777" w:rsidR="002878B1" w:rsidRPr="002878B1" w:rsidRDefault="002878B1" w:rsidP="002878B1">
      <w:pPr>
        <w:shd w:val="clear" w:color="auto" w:fill="FFFFFF"/>
        <w:snapToGrid w:val="0"/>
        <w:spacing w:after="0" w:line="360" w:lineRule="auto"/>
        <w:jc w:val="both"/>
        <w:rPr>
          <w:rFonts w:ascii="Book Antiqua" w:hAnsi="Book Antiqua" w:cs="Helvetica"/>
          <w:b/>
          <w:sz w:val="24"/>
          <w:szCs w:val="24"/>
          <w:lang w:eastAsia="zh-CN"/>
        </w:rPr>
      </w:pPr>
      <w:r w:rsidRPr="002878B1">
        <w:rPr>
          <w:rFonts w:ascii="Book Antiqua" w:hAnsi="Book Antiqua" w:cs="Helvetica"/>
          <w:b/>
          <w:sz w:val="24"/>
          <w:szCs w:val="24"/>
          <w:lang w:eastAsia="zh-CN"/>
        </w:rPr>
        <w:lastRenderedPageBreak/>
        <w:t>Peer-review report classification</w:t>
      </w:r>
    </w:p>
    <w:p w14:paraId="2D59800A" w14:textId="77777777" w:rsidR="002878B1" w:rsidRPr="002878B1" w:rsidRDefault="002878B1" w:rsidP="002878B1">
      <w:pPr>
        <w:shd w:val="clear" w:color="auto" w:fill="FFFFFF"/>
        <w:snapToGrid w:val="0"/>
        <w:spacing w:after="0" w:line="360" w:lineRule="auto"/>
        <w:jc w:val="both"/>
        <w:rPr>
          <w:rFonts w:ascii="Book Antiqua" w:hAnsi="Book Antiqua" w:cs="Helvetica"/>
          <w:sz w:val="24"/>
          <w:szCs w:val="24"/>
          <w:lang w:eastAsia="zh-CN"/>
        </w:rPr>
      </w:pPr>
      <w:r w:rsidRPr="002878B1">
        <w:rPr>
          <w:rFonts w:ascii="Book Antiqua" w:hAnsi="Book Antiqua" w:cs="Helvetica"/>
          <w:sz w:val="24"/>
          <w:szCs w:val="24"/>
          <w:lang w:eastAsia="zh-CN"/>
        </w:rPr>
        <w:t xml:space="preserve">Grade A (Excellent): </w:t>
      </w:r>
      <w:r w:rsidRPr="002878B1">
        <w:rPr>
          <w:rFonts w:ascii="Book Antiqua" w:hAnsi="Book Antiqua" w:cs="Helvetica" w:hint="eastAsia"/>
          <w:sz w:val="24"/>
          <w:szCs w:val="24"/>
          <w:lang w:eastAsia="zh-CN"/>
        </w:rPr>
        <w:t>0</w:t>
      </w:r>
    </w:p>
    <w:p w14:paraId="5D91C11E" w14:textId="77777777" w:rsidR="002878B1" w:rsidRPr="002878B1" w:rsidRDefault="002878B1" w:rsidP="002878B1">
      <w:pPr>
        <w:shd w:val="clear" w:color="auto" w:fill="FFFFFF"/>
        <w:snapToGrid w:val="0"/>
        <w:spacing w:after="0" w:line="360" w:lineRule="auto"/>
        <w:jc w:val="both"/>
        <w:rPr>
          <w:rFonts w:ascii="Book Antiqua" w:hAnsi="Book Antiqua" w:cs="Helvetica"/>
          <w:sz w:val="24"/>
          <w:szCs w:val="24"/>
          <w:lang w:eastAsia="zh-CN"/>
        </w:rPr>
      </w:pPr>
      <w:r w:rsidRPr="002878B1">
        <w:rPr>
          <w:rFonts w:ascii="Book Antiqua" w:hAnsi="Book Antiqua" w:cs="Helvetica"/>
          <w:sz w:val="24"/>
          <w:szCs w:val="24"/>
          <w:lang w:eastAsia="zh-CN"/>
        </w:rPr>
        <w:t xml:space="preserve">Grade B (Very good): </w:t>
      </w:r>
      <w:r w:rsidRPr="002878B1">
        <w:rPr>
          <w:rFonts w:ascii="Book Antiqua" w:hAnsi="Book Antiqua" w:cs="Helvetica" w:hint="eastAsia"/>
          <w:sz w:val="24"/>
          <w:szCs w:val="24"/>
          <w:lang w:eastAsia="zh-CN"/>
        </w:rPr>
        <w:t>0</w:t>
      </w:r>
    </w:p>
    <w:p w14:paraId="3BAA92A9" w14:textId="77777777" w:rsidR="002878B1" w:rsidRPr="002878B1" w:rsidRDefault="002878B1" w:rsidP="002878B1">
      <w:pPr>
        <w:shd w:val="clear" w:color="auto" w:fill="FFFFFF"/>
        <w:snapToGrid w:val="0"/>
        <w:spacing w:after="0" w:line="360" w:lineRule="auto"/>
        <w:jc w:val="both"/>
        <w:rPr>
          <w:rFonts w:ascii="Book Antiqua" w:hAnsi="Book Antiqua" w:cs="Helvetica"/>
          <w:sz w:val="24"/>
          <w:szCs w:val="24"/>
          <w:lang w:eastAsia="zh-CN"/>
        </w:rPr>
      </w:pPr>
      <w:r w:rsidRPr="002878B1">
        <w:rPr>
          <w:rFonts w:ascii="Book Antiqua" w:hAnsi="Book Antiqua" w:cs="Helvetica"/>
          <w:sz w:val="24"/>
          <w:szCs w:val="24"/>
          <w:lang w:eastAsia="zh-CN"/>
        </w:rPr>
        <w:t xml:space="preserve">Grade C (Good): </w:t>
      </w:r>
      <w:r w:rsidRPr="002878B1">
        <w:rPr>
          <w:rFonts w:ascii="Book Antiqua" w:hAnsi="Book Antiqua" w:cs="Helvetica" w:hint="eastAsia"/>
          <w:sz w:val="24"/>
          <w:szCs w:val="24"/>
          <w:lang w:eastAsia="zh-CN"/>
        </w:rPr>
        <w:t>C</w:t>
      </w:r>
    </w:p>
    <w:p w14:paraId="19C9336A" w14:textId="77777777" w:rsidR="002878B1" w:rsidRPr="002878B1" w:rsidRDefault="002878B1" w:rsidP="002878B1">
      <w:pPr>
        <w:shd w:val="clear" w:color="auto" w:fill="FFFFFF"/>
        <w:snapToGrid w:val="0"/>
        <w:spacing w:after="0" w:line="360" w:lineRule="auto"/>
        <w:jc w:val="both"/>
        <w:rPr>
          <w:rFonts w:ascii="Book Antiqua" w:hAnsi="Book Antiqua" w:cs="Helvetica"/>
          <w:sz w:val="24"/>
          <w:szCs w:val="24"/>
          <w:lang w:eastAsia="zh-CN"/>
        </w:rPr>
      </w:pPr>
      <w:r w:rsidRPr="002878B1">
        <w:rPr>
          <w:rFonts w:ascii="Book Antiqua" w:hAnsi="Book Antiqua" w:cs="Helvetica"/>
          <w:sz w:val="24"/>
          <w:szCs w:val="24"/>
          <w:lang w:eastAsia="zh-CN"/>
        </w:rPr>
        <w:t xml:space="preserve">Grade D (Fair): </w:t>
      </w:r>
      <w:r w:rsidRPr="002878B1">
        <w:rPr>
          <w:rFonts w:ascii="Book Antiqua" w:hAnsi="Book Antiqua" w:cs="Helvetica" w:hint="eastAsia"/>
          <w:sz w:val="24"/>
          <w:szCs w:val="24"/>
          <w:lang w:eastAsia="zh-CN"/>
        </w:rPr>
        <w:t>0</w:t>
      </w:r>
    </w:p>
    <w:p w14:paraId="56C63110" w14:textId="77777777" w:rsidR="002878B1" w:rsidRPr="002878B1" w:rsidRDefault="002878B1" w:rsidP="002878B1">
      <w:pPr>
        <w:shd w:val="clear" w:color="auto" w:fill="FFFFFF"/>
        <w:snapToGrid w:val="0"/>
        <w:spacing w:after="0" w:line="360" w:lineRule="auto"/>
        <w:jc w:val="both"/>
        <w:rPr>
          <w:rFonts w:ascii="Book Antiqua" w:hAnsi="Book Antiqua" w:cs="Helvetica"/>
          <w:sz w:val="24"/>
          <w:szCs w:val="24"/>
          <w:lang w:eastAsia="zh-CN"/>
        </w:rPr>
      </w:pPr>
      <w:r w:rsidRPr="002878B1">
        <w:rPr>
          <w:rFonts w:ascii="Book Antiqua" w:hAnsi="Book Antiqua" w:cs="Helvetica"/>
          <w:sz w:val="24"/>
          <w:szCs w:val="24"/>
          <w:lang w:eastAsia="zh-CN"/>
        </w:rPr>
        <w:t xml:space="preserve">Grade E (Poor): </w:t>
      </w:r>
      <w:r w:rsidRPr="002878B1">
        <w:rPr>
          <w:rFonts w:ascii="Book Antiqua" w:hAnsi="Book Antiqua" w:cs="Helvetica" w:hint="eastAsia"/>
          <w:sz w:val="24"/>
          <w:szCs w:val="24"/>
          <w:lang w:eastAsia="zh-CN"/>
        </w:rPr>
        <w:t>0</w:t>
      </w:r>
      <w:bookmarkEnd w:id="165"/>
      <w:bookmarkEnd w:id="166"/>
    </w:p>
    <w:bookmarkEnd w:id="163"/>
    <w:bookmarkEnd w:id="164"/>
    <w:bookmarkEnd w:id="167"/>
    <w:bookmarkEnd w:id="168"/>
    <w:p w14:paraId="5CA4765C" w14:textId="77777777" w:rsidR="002878B1" w:rsidRPr="002878B1" w:rsidRDefault="002878B1" w:rsidP="007A0378">
      <w:pPr>
        <w:snapToGrid w:val="0"/>
        <w:spacing w:after="0" w:line="360" w:lineRule="auto"/>
        <w:jc w:val="both"/>
        <w:rPr>
          <w:rFonts w:ascii="Book Antiqua" w:hAnsi="Book Antiqua"/>
          <w:b/>
          <w:caps/>
          <w:sz w:val="24"/>
          <w:szCs w:val="24"/>
          <w:lang w:eastAsia="zh-CN"/>
        </w:rPr>
      </w:pPr>
    </w:p>
    <w:p w14:paraId="7C4F2556" w14:textId="77777777" w:rsidR="007A0378" w:rsidRPr="007A0378" w:rsidRDefault="007A0378" w:rsidP="007A0378">
      <w:pPr>
        <w:spacing w:line="360" w:lineRule="auto"/>
        <w:jc w:val="both"/>
        <w:rPr>
          <w:rFonts w:ascii="Book Antiqua" w:hAnsi="Book Antiqua"/>
          <w:bCs/>
          <w:sz w:val="24"/>
          <w:szCs w:val="24"/>
        </w:rPr>
      </w:pPr>
      <w:r w:rsidRPr="007A0378">
        <w:rPr>
          <w:rFonts w:ascii="Book Antiqua" w:hAnsi="Book Antiqua"/>
          <w:bCs/>
          <w:sz w:val="24"/>
          <w:szCs w:val="24"/>
        </w:rPr>
        <w:br w:type="page"/>
      </w:r>
    </w:p>
    <w:p w14:paraId="1A9E4EA3" w14:textId="243EC82E" w:rsidR="00F15DE2" w:rsidRPr="007A0378" w:rsidRDefault="00F15DE2" w:rsidP="007A0378">
      <w:pPr>
        <w:pStyle w:val="EndnoteText"/>
        <w:spacing w:line="360" w:lineRule="auto"/>
        <w:jc w:val="both"/>
        <w:rPr>
          <w:rFonts w:ascii="Book Antiqua" w:hAnsi="Book Antiqua"/>
          <w:b/>
          <w:bCs/>
          <w:sz w:val="24"/>
          <w:szCs w:val="24"/>
          <w:lang w:eastAsia="zh-CN"/>
        </w:rPr>
      </w:pPr>
      <w:r w:rsidRPr="007A0378">
        <w:rPr>
          <w:rFonts w:ascii="Book Antiqua" w:hAnsi="Book Antiqua"/>
          <w:b/>
          <w:bCs/>
          <w:sz w:val="24"/>
          <w:szCs w:val="24"/>
        </w:rPr>
        <w:lastRenderedPageBreak/>
        <w:t>Table 1</w:t>
      </w:r>
      <w:r w:rsidR="007A0378" w:rsidRPr="007A0378">
        <w:rPr>
          <w:rFonts w:ascii="Book Antiqua" w:hAnsi="Book Antiqua" w:hint="eastAsia"/>
          <w:b/>
          <w:bCs/>
          <w:sz w:val="24"/>
          <w:szCs w:val="24"/>
          <w:lang w:eastAsia="zh-CN"/>
        </w:rPr>
        <w:t xml:space="preserve"> </w:t>
      </w:r>
      <w:r w:rsidR="007A0378" w:rsidRPr="007A0378">
        <w:rPr>
          <w:rFonts w:ascii="Book Antiqua" w:hAnsi="Book Antiqua"/>
          <w:b/>
          <w:sz w:val="24"/>
          <w:szCs w:val="24"/>
        </w:rPr>
        <w:t>Factors associated with decreased gastric emptying</w:t>
      </w:r>
    </w:p>
    <w:tbl>
      <w:tblPr>
        <w:tblStyle w:val="LightList-Accent1"/>
        <w:tblW w:w="0" w:type="auto"/>
        <w:tblBorders>
          <w:left w:val="none" w:sz="0" w:space="0" w:color="auto"/>
          <w:right w:val="none" w:sz="0" w:space="0" w:color="auto"/>
          <w:insideV w:val="single" w:sz="8" w:space="0" w:color="4F81BD" w:themeColor="accent1"/>
        </w:tblBorders>
        <w:tblLook w:val="04A0" w:firstRow="1" w:lastRow="0" w:firstColumn="1" w:lastColumn="0" w:noHBand="0" w:noVBand="1"/>
      </w:tblPr>
      <w:tblGrid>
        <w:gridCol w:w="8927"/>
      </w:tblGrid>
      <w:tr w:rsidR="00F15DE2" w:rsidRPr="007A0378" w14:paraId="3297366F" w14:textId="77777777" w:rsidTr="007A0378">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8927" w:type="dxa"/>
          </w:tcPr>
          <w:p w14:paraId="74927B75" w14:textId="77777777" w:rsidR="00F15DE2" w:rsidRPr="007A0378" w:rsidRDefault="00F15DE2" w:rsidP="007A0378">
            <w:pPr>
              <w:spacing w:line="360" w:lineRule="auto"/>
              <w:jc w:val="both"/>
              <w:rPr>
                <w:rFonts w:ascii="Book Antiqua" w:hAnsi="Book Antiqua"/>
                <w:sz w:val="24"/>
                <w:szCs w:val="24"/>
              </w:rPr>
            </w:pPr>
            <w:r w:rsidRPr="007A0378">
              <w:rPr>
                <w:rFonts w:ascii="Book Antiqua" w:hAnsi="Book Antiqua"/>
                <w:sz w:val="24"/>
                <w:szCs w:val="24"/>
              </w:rPr>
              <w:t>Factors associated with decreased gastric emptying</w:t>
            </w:r>
          </w:p>
        </w:tc>
      </w:tr>
      <w:tr w:rsidR="00F15DE2" w:rsidRPr="007A0378" w14:paraId="790DE2D8" w14:textId="77777777" w:rsidTr="007A0378">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8927" w:type="dxa"/>
            <w:tcBorders>
              <w:top w:val="none" w:sz="0" w:space="0" w:color="auto"/>
              <w:left w:val="none" w:sz="0" w:space="0" w:color="auto"/>
              <w:bottom w:val="none" w:sz="0" w:space="0" w:color="auto"/>
              <w:right w:val="none" w:sz="0" w:space="0" w:color="auto"/>
            </w:tcBorders>
          </w:tcPr>
          <w:p w14:paraId="6E100E9F" w14:textId="77777777" w:rsidR="00F15DE2" w:rsidRPr="007A0378" w:rsidRDefault="00F15DE2" w:rsidP="007A0378">
            <w:pPr>
              <w:spacing w:line="360" w:lineRule="auto"/>
              <w:jc w:val="both"/>
              <w:rPr>
                <w:rFonts w:ascii="Book Antiqua" w:hAnsi="Book Antiqua"/>
                <w:b w:val="0"/>
                <w:sz w:val="24"/>
                <w:szCs w:val="24"/>
              </w:rPr>
            </w:pPr>
            <w:r w:rsidRPr="007A0378">
              <w:rPr>
                <w:rFonts w:ascii="Book Antiqua" w:hAnsi="Book Antiqua"/>
                <w:b w:val="0"/>
                <w:sz w:val="24"/>
                <w:szCs w:val="24"/>
              </w:rPr>
              <w:t>Hyperglycemia</w:t>
            </w:r>
          </w:p>
        </w:tc>
      </w:tr>
      <w:tr w:rsidR="00F15DE2" w:rsidRPr="007A0378" w14:paraId="1DA44F46" w14:textId="77777777" w:rsidTr="007A0378">
        <w:trPr>
          <w:trHeight w:val="363"/>
        </w:trPr>
        <w:tc>
          <w:tcPr>
            <w:cnfStyle w:val="001000000000" w:firstRow="0" w:lastRow="0" w:firstColumn="1" w:lastColumn="0" w:oddVBand="0" w:evenVBand="0" w:oddHBand="0" w:evenHBand="0" w:firstRowFirstColumn="0" w:firstRowLastColumn="0" w:lastRowFirstColumn="0" w:lastRowLastColumn="0"/>
            <w:tcW w:w="8927" w:type="dxa"/>
          </w:tcPr>
          <w:p w14:paraId="24C466B1" w14:textId="77777777" w:rsidR="00F15DE2" w:rsidRPr="007A0378" w:rsidRDefault="00F15DE2" w:rsidP="007A0378">
            <w:pPr>
              <w:spacing w:line="360" w:lineRule="auto"/>
              <w:jc w:val="both"/>
              <w:rPr>
                <w:rFonts w:ascii="Book Antiqua" w:hAnsi="Book Antiqua"/>
                <w:b w:val="0"/>
                <w:sz w:val="24"/>
                <w:szCs w:val="24"/>
              </w:rPr>
            </w:pPr>
            <w:r w:rsidRPr="007A0378">
              <w:rPr>
                <w:rFonts w:ascii="Book Antiqua" w:hAnsi="Book Antiqua"/>
                <w:b w:val="0"/>
                <w:sz w:val="24"/>
                <w:szCs w:val="24"/>
              </w:rPr>
              <w:t>Opiates</w:t>
            </w:r>
          </w:p>
        </w:tc>
      </w:tr>
      <w:tr w:rsidR="00F15DE2" w:rsidRPr="007A0378" w14:paraId="68C9302F" w14:textId="77777777" w:rsidTr="007A0378">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8927" w:type="dxa"/>
            <w:tcBorders>
              <w:top w:val="none" w:sz="0" w:space="0" w:color="auto"/>
              <w:left w:val="none" w:sz="0" w:space="0" w:color="auto"/>
              <w:bottom w:val="none" w:sz="0" w:space="0" w:color="auto"/>
              <w:right w:val="none" w:sz="0" w:space="0" w:color="auto"/>
            </w:tcBorders>
          </w:tcPr>
          <w:p w14:paraId="4381E208" w14:textId="77777777" w:rsidR="00F15DE2" w:rsidRPr="007A0378" w:rsidRDefault="00F15DE2" w:rsidP="007A0378">
            <w:pPr>
              <w:spacing w:line="360" w:lineRule="auto"/>
              <w:jc w:val="both"/>
              <w:rPr>
                <w:rFonts w:ascii="Book Antiqua" w:hAnsi="Book Antiqua"/>
                <w:b w:val="0"/>
                <w:sz w:val="24"/>
                <w:szCs w:val="24"/>
              </w:rPr>
            </w:pPr>
            <w:r w:rsidRPr="007A0378">
              <w:rPr>
                <w:rFonts w:ascii="Book Antiqua" w:hAnsi="Book Antiqua"/>
                <w:b w:val="0"/>
                <w:sz w:val="24"/>
                <w:szCs w:val="24"/>
              </w:rPr>
              <w:t>Elevated intracranial pressure</w:t>
            </w:r>
          </w:p>
        </w:tc>
      </w:tr>
      <w:tr w:rsidR="00F15DE2" w:rsidRPr="007A0378" w14:paraId="07881A11" w14:textId="77777777" w:rsidTr="007A0378">
        <w:trPr>
          <w:trHeight w:val="344"/>
        </w:trPr>
        <w:tc>
          <w:tcPr>
            <w:cnfStyle w:val="001000000000" w:firstRow="0" w:lastRow="0" w:firstColumn="1" w:lastColumn="0" w:oddVBand="0" w:evenVBand="0" w:oddHBand="0" w:evenHBand="0" w:firstRowFirstColumn="0" w:firstRowLastColumn="0" w:lastRowFirstColumn="0" w:lastRowLastColumn="0"/>
            <w:tcW w:w="8927" w:type="dxa"/>
          </w:tcPr>
          <w:p w14:paraId="094A6EC4" w14:textId="77777777" w:rsidR="00F15DE2" w:rsidRPr="007A0378" w:rsidRDefault="00F15DE2" w:rsidP="007A0378">
            <w:pPr>
              <w:spacing w:line="360" w:lineRule="auto"/>
              <w:jc w:val="both"/>
              <w:rPr>
                <w:rFonts w:ascii="Book Antiqua" w:hAnsi="Book Antiqua"/>
                <w:b w:val="0"/>
                <w:sz w:val="24"/>
                <w:szCs w:val="24"/>
              </w:rPr>
            </w:pPr>
            <w:r w:rsidRPr="007A0378">
              <w:rPr>
                <w:rFonts w:ascii="Book Antiqua" w:hAnsi="Book Antiqua"/>
                <w:b w:val="0"/>
                <w:sz w:val="24"/>
                <w:szCs w:val="24"/>
              </w:rPr>
              <w:t>Electrolyte abnormalities</w:t>
            </w:r>
          </w:p>
        </w:tc>
      </w:tr>
      <w:tr w:rsidR="00F15DE2" w:rsidRPr="007A0378" w14:paraId="7DADCA1F" w14:textId="77777777" w:rsidTr="007A0378">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8927" w:type="dxa"/>
            <w:tcBorders>
              <w:top w:val="none" w:sz="0" w:space="0" w:color="auto"/>
              <w:left w:val="none" w:sz="0" w:space="0" w:color="auto"/>
              <w:bottom w:val="none" w:sz="0" w:space="0" w:color="auto"/>
              <w:right w:val="none" w:sz="0" w:space="0" w:color="auto"/>
            </w:tcBorders>
          </w:tcPr>
          <w:p w14:paraId="0B5CAEE2" w14:textId="77777777" w:rsidR="00F15DE2" w:rsidRPr="007A0378" w:rsidRDefault="00F15DE2" w:rsidP="007A0378">
            <w:pPr>
              <w:spacing w:line="360" w:lineRule="auto"/>
              <w:jc w:val="both"/>
              <w:rPr>
                <w:rFonts w:ascii="Book Antiqua" w:hAnsi="Book Antiqua"/>
                <w:b w:val="0"/>
                <w:sz w:val="24"/>
                <w:szCs w:val="24"/>
              </w:rPr>
            </w:pPr>
            <w:r w:rsidRPr="007A0378">
              <w:rPr>
                <w:rFonts w:ascii="Book Antiqua" w:hAnsi="Book Antiqua"/>
                <w:b w:val="0"/>
                <w:sz w:val="24"/>
                <w:szCs w:val="24"/>
              </w:rPr>
              <w:t>Ischemia</w:t>
            </w:r>
          </w:p>
        </w:tc>
      </w:tr>
      <w:tr w:rsidR="00F15DE2" w:rsidRPr="007A0378" w14:paraId="4064945C" w14:textId="77777777" w:rsidTr="007A0378">
        <w:trPr>
          <w:trHeight w:val="363"/>
        </w:trPr>
        <w:tc>
          <w:tcPr>
            <w:cnfStyle w:val="001000000000" w:firstRow="0" w:lastRow="0" w:firstColumn="1" w:lastColumn="0" w:oddVBand="0" w:evenVBand="0" w:oddHBand="0" w:evenHBand="0" w:firstRowFirstColumn="0" w:firstRowLastColumn="0" w:lastRowFirstColumn="0" w:lastRowLastColumn="0"/>
            <w:tcW w:w="8927" w:type="dxa"/>
          </w:tcPr>
          <w:p w14:paraId="0F30060B" w14:textId="77777777" w:rsidR="00F15DE2" w:rsidRPr="007A0378" w:rsidRDefault="00F15DE2" w:rsidP="007A0378">
            <w:pPr>
              <w:spacing w:line="360" w:lineRule="auto"/>
              <w:jc w:val="both"/>
              <w:rPr>
                <w:rFonts w:ascii="Book Antiqua" w:hAnsi="Book Antiqua"/>
                <w:b w:val="0"/>
                <w:sz w:val="24"/>
                <w:szCs w:val="24"/>
              </w:rPr>
            </w:pPr>
            <w:r w:rsidRPr="007A0378">
              <w:rPr>
                <w:rFonts w:ascii="Book Antiqua" w:hAnsi="Book Antiqua"/>
                <w:b w:val="0"/>
                <w:sz w:val="24"/>
                <w:szCs w:val="24"/>
              </w:rPr>
              <w:t>Hypoxia</w:t>
            </w:r>
          </w:p>
        </w:tc>
      </w:tr>
      <w:tr w:rsidR="00F15DE2" w:rsidRPr="007A0378" w14:paraId="245D6513" w14:textId="77777777" w:rsidTr="007A0378">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8927" w:type="dxa"/>
            <w:tcBorders>
              <w:top w:val="none" w:sz="0" w:space="0" w:color="auto"/>
              <w:left w:val="none" w:sz="0" w:space="0" w:color="auto"/>
              <w:bottom w:val="none" w:sz="0" w:space="0" w:color="auto"/>
              <w:right w:val="none" w:sz="0" w:space="0" w:color="auto"/>
            </w:tcBorders>
          </w:tcPr>
          <w:p w14:paraId="6D9C6862" w14:textId="77777777" w:rsidR="00F15DE2" w:rsidRPr="007A0378" w:rsidRDefault="00F15DE2" w:rsidP="007A0378">
            <w:pPr>
              <w:spacing w:line="360" w:lineRule="auto"/>
              <w:jc w:val="both"/>
              <w:rPr>
                <w:rFonts w:ascii="Book Antiqua" w:hAnsi="Book Antiqua"/>
                <w:b w:val="0"/>
                <w:sz w:val="24"/>
                <w:szCs w:val="24"/>
              </w:rPr>
            </w:pPr>
            <w:r w:rsidRPr="007A0378">
              <w:rPr>
                <w:rFonts w:ascii="Book Antiqua" w:hAnsi="Book Antiqua"/>
                <w:b w:val="0"/>
                <w:sz w:val="24"/>
                <w:szCs w:val="24"/>
              </w:rPr>
              <w:t>Sepsis</w:t>
            </w:r>
          </w:p>
        </w:tc>
      </w:tr>
      <w:tr w:rsidR="00F15DE2" w:rsidRPr="007A0378" w14:paraId="1C9C2AD3" w14:textId="77777777" w:rsidTr="007A0378">
        <w:trPr>
          <w:trHeight w:val="344"/>
        </w:trPr>
        <w:tc>
          <w:tcPr>
            <w:cnfStyle w:val="001000000000" w:firstRow="0" w:lastRow="0" w:firstColumn="1" w:lastColumn="0" w:oddVBand="0" w:evenVBand="0" w:oddHBand="0" w:evenHBand="0" w:firstRowFirstColumn="0" w:firstRowLastColumn="0" w:lastRowFirstColumn="0" w:lastRowLastColumn="0"/>
            <w:tcW w:w="8927" w:type="dxa"/>
          </w:tcPr>
          <w:p w14:paraId="2DFB4BEA" w14:textId="77777777" w:rsidR="00F15DE2" w:rsidRPr="007A0378" w:rsidRDefault="00F15DE2" w:rsidP="007A0378">
            <w:pPr>
              <w:spacing w:line="360" w:lineRule="auto"/>
              <w:jc w:val="both"/>
              <w:rPr>
                <w:rFonts w:ascii="Book Antiqua" w:hAnsi="Book Antiqua"/>
                <w:b w:val="0"/>
                <w:sz w:val="24"/>
                <w:szCs w:val="24"/>
              </w:rPr>
            </w:pPr>
            <w:r w:rsidRPr="007A0378">
              <w:rPr>
                <w:rFonts w:ascii="Book Antiqua" w:hAnsi="Book Antiqua"/>
                <w:b w:val="0"/>
                <w:sz w:val="24"/>
                <w:szCs w:val="24"/>
              </w:rPr>
              <w:t>Burns</w:t>
            </w:r>
          </w:p>
        </w:tc>
      </w:tr>
      <w:tr w:rsidR="00F15DE2" w:rsidRPr="007A0378" w14:paraId="26D0FDD5" w14:textId="77777777" w:rsidTr="007A0378">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8927" w:type="dxa"/>
            <w:tcBorders>
              <w:top w:val="none" w:sz="0" w:space="0" w:color="auto"/>
              <w:left w:val="none" w:sz="0" w:space="0" w:color="auto"/>
              <w:bottom w:val="none" w:sz="0" w:space="0" w:color="auto"/>
              <w:right w:val="none" w:sz="0" w:space="0" w:color="auto"/>
            </w:tcBorders>
          </w:tcPr>
          <w:p w14:paraId="2E2399D3" w14:textId="77777777" w:rsidR="00F15DE2" w:rsidRPr="007A0378" w:rsidRDefault="00F15DE2" w:rsidP="007A0378">
            <w:pPr>
              <w:spacing w:line="360" w:lineRule="auto"/>
              <w:jc w:val="both"/>
              <w:rPr>
                <w:rFonts w:ascii="Book Antiqua" w:hAnsi="Book Antiqua"/>
                <w:b w:val="0"/>
                <w:sz w:val="24"/>
                <w:szCs w:val="24"/>
              </w:rPr>
            </w:pPr>
            <w:r w:rsidRPr="007A0378">
              <w:rPr>
                <w:rFonts w:ascii="Book Antiqua" w:hAnsi="Book Antiqua"/>
                <w:b w:val="0"/>
                <w:sz w:val="24"/>
                <w:szCs w:val="24"/>
              </w:rPr>
              <w:t>Abdominal surgery</w:t>
            </w:r>
          </w:p>
        </w:tc>
      </w:tr>
      <w:tr w:rsidR="00F15DE2" w:rsidRPr="007A0378" w14:paraId="2673B7A8" w14:textId="77777777" w:rsidTr="007A0378">
        <w:trPr>
          <w:trHeight w:val="363"/>
        </w:trPr>
        <w:tc>
          <w:tcPr>
            <w:cnfStyle w:val="001000000000" w:firstRow="0" w:lastRow="0" w:firstColumn="1" w:lastColumn="0" w:oddVBand="0" w:evenVBand="0" w:oddHBand="0" w:evenHBand="0" w:firstRowFirstColumn="0" w:firstRowLastColumn="0" w:lastRowFirstColumn="0" w:lastRowLastColumn="0"/>
            <w:tcW w:w="8927" w:type="dxa"/>
          </w:tcPr>
          <w:p w14:paraId="3AA6A77A" w14:textId="77777777" w:rsidR="00F15DE2" w:rsidRPr="007A0378" w:rsidRDefault="00F15DE2" w:rsidP="007A0378">
            <w:pPr>
              <w:spacing w:line="360" w:lineRule="auto"/>
              <w:jc w:val="both"/>
              <w:rPr>
                <w:rFonts w:ascii="Book Antiqua" w:hAnsi="Book Antiqua"/>
                <w:b w:val="0"/>
                <w:sz w:val="24"/>
                <w:szCs w:val="24"/>
              </w:rPr>
            </w:pPr>
            <w:r w:rsidRPr="007A0378">
              <w:rPr>
                <w:rFonts w:ascii="Book Antiqua" w:hAnsi="Book Antiqua"/>
                <w:b w:val="0"/>
                <w:sz w:val="24"/>
                <w:szCs w:val="24"/>
              </w:rPr>
              <w:t>Hyperosmolar formulas</w:t>
            </w:r>
          </w:p>
        </w:tc>
      </w:tr>
    </w:tbl>
    <w:p w14:paraId="60F55B35" w14:textId="44035590" w:rsidR="00F15DE2" w:rsidRPr="007A0378" w:rsidRDefault="00F15DE2" w:rsidP="007A0378">
      <w:pPr>
        <w:spacing w:line="360" w:lineRule="auto"/>
        <w:jc w:val="both"/>
        <w:rPr>
          <w:rFonts w:ascii="Book Antiqua" w:hAnsi="Book Antiqua"/>
          <w:sz w:val="24"/>
          <w:szCs w:val="24"/>
          <w:lang w:eastAsia="zh-CN"/>
        </w:rPr>
      </w:pPr>
      <w:r w:rsidRPr="007A0378">
        <w:rPr>
          <w:rFonts w:ascii="Book Antiqua" w:hAnsi="Book Antiqua"/>
          <w:sz w:val="24"/>
          <w:szCs w:val="24"/>
        </w:rPr>
        <w:t xml:space="preserve">Adapted from Hurt RT, </w:t>
      </w:r>
      <w:proofErr w:type="spellStart"/>
      <w:r w:rsidRPr="007A0378">
        <w:rPr>
          <w:rFonts w:ascii="Book Antiqua" w:hAnsi="Book Antiqua"/>
          <w:sz w:val="24"/>
          <w:szCs w:val="24"/>
        </w:rPr>
        <w:t>McClave</w:t>
      </w:r>
      <w:proofErr w:type="spellEnd"/>
      <w:r w:rsidRPr="007A0378">
        <w:rPr>
          <w:rFonts w:ascii="Book Antiqua" w:hAnsi="Book Antiqua"/>
          <w:sz w:val="24"/>
          <w:szCs w:val="24"/>
        </w:rPr>
        <w:t xml:space="preserve"> SA. Gastric Residual Volumes in Critical Illness: What do They Really Mean? </w:t>
      </w:r>
      <w:proofErr w:type="spellStart"/>
      <w:r w:rsidRPr="007A0378">
        <w:rPr>
          <w:rFonts w:ascii="Book Antiqua" w:hAnsi="Book Antiqua"/>
          <w:i/>
          <w:sz w:val="24"/>
          <w:szCs w:val="24"/>
        </w:rPr>
        <w:t>Crit</w:t>
      </w:r>
      <w:proofErr w:type="spellEnd"/>
      <w:r w:rsidRPr="007A0378">
        <w:rPr>
          <w:rFonts w:ascii="Book Antiqua" w:hAnsi="Book Antiqua"/>
          <w:i/>
          <w:sz w:val="24"/>
          <w:szCs w:val="24"/>
        </w:rPr>
        <w:t xml:space="preserve"> Care </w:t>
      </w:r>
      <w:proofErr w:type="spellStart"/>
      <w:r w:rsidRPr="007A0378">
        <w:rPr>
          <w:rFonts w:ascii="Book Antiqua" w:hAnsi="Book Antiqua"/>
          <w:i/>
          <w:sz w:val="24"/>
          <w:szCs w:val="24"/>
        </w:rPr>
        <w:t>Clin</w:t>
      </w:r>
      <w:proofErr w:type="spellEnd"/>
      <w:r w:rsidRPr="007A0378">
        <w:rPr>
          <w:rFonts w:ascii="Book Antiqua" w:hAnsi="Book Antiqua"/>
          <w:sz w:val="24"/>
          <w:szCs w:val="24"/>
        </w:rPr>
        <w:t xml:space="preserve"> </w:t>
      </w:r>
      <w:r w:rsidR="007A0378" w:rsidRPr="007A0378">
        <w:rPr>
          <w:rFonts w:ascii="Book Antiqua" w:hAnsi="Book Antiqua"/>
          <w:sz w:val="24"/>
          <w:szCs w:val="24"/>
        </w:rPr>
        <w:t>2010</w:t>
      </w:r>
      <w:r w:rsidR="007A0378">
        <w:rPr>
          <w:rFonts w:ascii="Book Antiqua" w:hAnsi="Book Antiqua" w:hint="eastAsia"/>
          <w:sz w:val="24"/>
          <w:szCs w:val="24"/>
          <w:lang w:eastAsia="zh-CN"/>
        </w:rPr>
        <w:t xml:space="preserve">: </w:t>
      </w:r>
      <w:r w:rsidRPr="00B54694">
        <w:rPr>
          <w:rFonts w:ascii="Book Antiqua" w:hAnsi="Book Antiqua"/>
          <w:b/>
          <w:sz w:val="24"/>
          <w:szCs w:val="24"/>
        </w:rPr>
        <w:t>26</w:t>
      </w:r>
      <w:r w:rsidRPr="007A0378">
        <w:rPr>
          <w:rFonts w:ascii="Book Antiqua" w:hAnsi="Book Antiqua"/>
          <w:sz w:val="24"/>
          <w:szCs w:val="24"/>
        </w:rPr>
        <w:t>:</w:t>
      </w:r>
      <w:r w:rsidR="007A0378">
        <w:rPr>
          <w:rFonts w:ascii="Book Antiqua" w:hAnsi="Book Antiqua" w:hint="eastAsia"/>
          <w:sz w:val="24"/>
          <w:szCs w:val="24"/>
          <w:lang w:eastAsia="zh-CN"/>
        </w:rPr>
        <w:t xml:space="preserve"> </w:t>
      </w:r>
      <w:r w:rsidR="007A0378">
        <w:rPr>
          <w:rFonts w:ascii="Book Antiqua" w:hAnsi="Book Antiqua"/>
          <w:sz w:val="24"/>
          <w:szCs w:val="24"/>
        </w:rPr>
        <w:t>481-490</w:t>
      </w:r>
    </w:p>
    <w:p w14:paraId="70AEF3EF" w14:textId="77777777" w:rsidR="007A0378" w:rsidRPr="007A0378" w:rsidRDefault="007A0378" w:rsidP="007A0378">
      <w:pPr>
        <w:spacing w:line="360" w:lineRule="auto"/>
        <w:jc w:val="both"/>
        <w:rPr>
          <w:rFonts w:ascii="Book Antiqua" w:hAnsi="Book Antiqua"/>
          <w:sz w:val="24"/>
          <w:szCs w:val="24"/>
        </w:rPr>
      </w:pPr>
      <w:r w:rsidRPr="007A0378">
        <w:rPr>
          <w:rFonts w:ascii="Book Antiqua" w:hAnsi="Book Antiqua"/>
          <w:sz w:val="24"/>
          <w:szCs w:val="24"/>
        </w:rPr>
        <w:br w:type="page"/>
      </w:r>
    </w:p>
    <w:p w14:paraId="3FB8D945" w14:textId="48EF0331" w:rsidR="00F15DE2" w:rsidRPr="007A0378" w:rsidRDefault="00F15DE2" w:rsidP="007A0378">
      <w:pPr>
        <w:spacing w:line="360" w:lineRule="auto"/>
        <w:jc w:val="both"/>
        <w:rPr>
          <w:rFonts w:ascii="Book Antiqua" w:hAnsi="Book Antiqua"/>
          <w:b/>
          <w:sz w:val="24"/>
          <w:szCs w:val="24"/>
          <w:lang w:eastAsia="zh-CN"/>
        </w:rPr>
      </w:pPr>
      <w:r w:rsidRPr="007A0378">
        <w:rPr>
          <w:rFonts w:ascii="Book Antiqua" w:hAnsi="Book Antiqua"/>
          <w:b/>
          <w:sz w:val="24"/>
          <w:szCs w:val="24"/>
        </w:rPr>
        <w:lastRenderedPageBreak/>
        <w:t>Table 2</w:t>
      </w:r>
      <w:r w:rsidR="007A0378" w:rsidRPr="007A0378">
        <w:rPr>
          <w:rFonts w:ascii="Book Antiqua" w:hAnsi="Book Antiqua" w:hint="eastAsia"/>
          <w:b/>
          <w:sz w:val="24"/>
          <w:szCs w:val="24"/>
          <w:lang w:eastAsia="zh-CN"/>
        </w:rPr>
        <w:t xml:space="preserve"> </w:t>
      </w:r>
      <w:r w:rsidR="007A0378" w:rsidRPr="007A0378">
        <w:rPr>
          <w:rFonts w:ascii="Book Antiqua" w:hAnsi="Book Antiqua"/>
          <w:b/>
          <w:sz w:val="24"/>
          <w:szCs w:val="24"/>
        </w:rPr>
        <w:t>Methods of measuring gastric emptying</w:t>
      </w:r>
    </w:p>
    <w:tbl>
      <w:tblPr>
        <w:tblStyle w:val="LightList-Accent1"/>
        <w:tblW w:w="0" w:type="auto"/>
        <w:tblBorders>
          <w:left w:val="none" w:sz="0" w:space="0" w:color="auto"/>
          <w:right w:val="none" w:sz="0" w:space="0" w:color="auto"/>
          <w:insideV w:val="single" w:sz="8" w:space="0" w:color="4F81BD" w:themeColor="accent1"/>
        </w:tblBorders>
        <w:tblLook w:val="04A0" w:firstRow="1" w:lastRow="0" w:firstColumn="1" w:lastColumn="0" w:noHBand="0" w:noVBand="1"/>
      </w:tblPr>
      <w:tblGrid>
        <w:gridCol w:w="6683"/>
      </w:tblGrid>
      <w:tr w:rsidR="00F15DE2" w:rsidRPr="007A0378" w14:paraId="49DCF4EC" w14:textId="77777777" w:rsidTr="007A0378">
        <w:trPr>
          <w:cnfStyle w:val="100000000000" w:firstRow="1" w:lastRow="0"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6683" w:type="dxa"/>
            <w:tcBorders>
              <w:top w:val="single" w:sz="8" w:space="0" w:color="4F81BD" w:themeColor="accent1"/>
              <w:bottom w:val="single" w:sz="8" w:space="0" w:color="4F81BD" w:themeColor="accent1"/>
            </w:tcBorders>
          </w:tcPr>
          <w:p w14:paraId="3173FDD0" w14:textId="77777777" w:rsidR="00F15DE2" w:rsidRPr="007A0378" w:rsidRDefault="00F15DE2" w:rsidP="007A0378">
            <w:pPr>
              <w:spacing w:line="360" w:lineRule="auto"/>
              <w:jc w:val="both"/>
              <w:rPr>
                <w:rFonts w:ascii="Book Antiqua" w:hAnsi="Book Antiqua"/>
                <w:sz w:val="24"/>
                <w:szCs w:val="24"/>
              </w:rPr>
            </w:pPr>
            <w:r w:rsidRPr="007A0378">
              <w:rPr>
                <w:rFonts w:ascii="Book Antiqua" w:hAnsi="Book Antiqua"/>
                <w:sz w:val="24"/>
                <w:szCs w:val="24"/>
              </w:rPr>
              <w:t>Methods of measuring gastric emptying</w:t>
            </w:r>
          </w:p>
        </w:tc>
      </w:tr>
      <w:tr w:rsidR="00F15DE2" w:rsidRPr="007A0378" w14:paraId="4C14C33B" w14:textId="77777777" w:rsidTr="007A0378">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6683" w:type="dxa"/>
            <w:tcBorders>
              <w:left w:val="none" w:sz="0" w:space="0" w:color="auto"/>
              <w:bottom w:val="none" w:sz="0" w:space="0" w:color="auto"/>
              <w:right w:val="none" w:sz="0" w:space="0" w:color="auto"/>
            </w:tcBorders>
          </w:tcPr>
          <w:p w14:paraId="3CACCBD7" w14:textId="77777777" w:rsidR="00F15DE2" w:rsidRPr="007A0378" w:rsidRDefault="00F15DE2" w:rsidP="007A0378">
            <w:pPr>
              <w:spacing w:line="360" w:lineRule="auto"/>
              <w:jc w:val="both"/>
              <w:rPr>
                <w:rFonts w:ascii="Book Antiqua" w:hAnsi="Book Antiqua"/>
                <w:b w:val="0"/>
                <w:sz w:val="24"/>
                <w:szCs w:val="24"/>
              </w:rPr>
            </w:pPr>
            <w:r w:rsidRPr="007A0378">
              <w:rPr>
                <w:rFonts w:ascii="Book Antiqua" w:hAnsi="Book Antiqua"/>
                <w:b w:val="0"/>
                <w:sz w:val="24"/>
                <w:szCs w:val="24"/>
              </w:rPr>
              <w:t>Scintigraphy</w:t>
            </w:r>
          </w:p>
        </w:tc>
      </w:tr>
      <w:tr w:rsidR="00F15DE2" w:rsidRPr="007A0378" w14:paraId="3AA792E4" w14:textId="77777777" w:rsidTr="007A0378">
        <w:trPr>
          <w:trHeight w:val="473"/>
        </w:trPr>
        <w:tc>
          <w:tcPr>
            <w:cnfStyle w:val="001000000000" w:firstRow="0" w:lastRow="0" w:firstColumn="1" w:lastColumn="0" w:oddVBand="0" w:evenVBand="0" w:oddHBand="0" w:evenHBand="0" w:firstRowFirstColumn="0" w:firstRowLastColumn="0" w:lastRowFirstColumn="0" w:lastRowLastColumn="0"/>
            <w:tcW w:w="6683" w:type="dxa"/>
          </w:tcPr>
          <w:p w14:paraId="53929D40" w14:textId="77777777" w:rsidR="00F15DE2" w:rsidRPr="007A0378" w:rsidRDefault="00F15DE2" w:rsidP="007A0378">
            <w:pPr>
              <w:spacing w:line="360" w:lineRule="auto"/>
              <w:jc w:val="both"/>
              <w:rPr>
                <w:rFonts w:ascii="Book Antiqua" w:hAnsi="Book Antiqua"/>
                <w:b w:val="0"/>
                <w:sz w:val="24"/>
                <w:szCs w:val="24"/>
              </w:rPr>
            </w:pPr>
            <w:r w:rsidRPr="007A0378">
              <w:rPr>
                <w:rFonts w:ascii="Book Antiqua" w:hAnsi="Book Antiqua"/>
                <w:b w:val="0"/>
                <w:sz w:val="24"/>
                <w:szCs w:val="24"/>
              </w:rPr>
              <w:t>Paracetamol absorption</w:t>
            </w:r>
          </w:p>
        </w:tc>
      </w:tr>
      <w:tr w:rsidR="00F15DE2" w:rsidRPr="007A0378" w14:paraId="27AA4DBE" w14:textId="77777777" w:rsidTr="007A0378">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6683" w:type="dxa"/>
            <w:tcBorders>
              <w:top w:val="none" w:sz="0" w:space="0" w:color="auto"/>
              <w:left w:val="none" w:sz="0" w:space="0" w:color="auto"/>
              <w:bottom w:val="none" w:sz="0" w:space="0" w:color="auto"/>
              <w:right w:val="none" w:sz="0" w:space="0" w:color="auto"/>
            </w:tcBorders>
          </w:tcPr>
          <w:p w14:paraId="49BB0B38" w14:textId="77777777" w:rsidR="00F15DE2" w:rsidRPr="007A0378" w:rsidRDefault="00F15DE2" w:rsidP="007A0378">
            <w:pPr>
              <w:spacing w:line="360" w:lineRule="auto"/>
              <w:jc w:val="both"/>
              <w:rPr>
                <w:rFonts w:ascii="Book Antiqua" w:hAnsi="Book Antiqua"/>
                <w:b w:val="0"/>
                <w:sz w:val="24"/>
                <w:szCs w:val="24"/>
              </w:rPr>
            </w:pPr>
            <w:r w:rsidRPr="007A0378">
              <w:rPr>
                <w:rFonts w:ascii="Book Antiqua" w:hAnsi="Book Antiqua"/>
                <w:b w:val="0"/>
                <w:sz w:val="24"/>
                <w:szCs w:val="24"/>
              </w:rPr>
              <w:t>Carbohydrate absorption</w:t>
            </w:r>
          </w:p>
        </w:tc>
      </w:tr>
      <w:tr w:rsidR="00F15DE2" w:rsidRPr="007A0378" w14:paraId="6D84B39C" w14:textId="77777777" w:rsidTr="007A0378">
        <w:trPr>
          <w:trHeight w:val="473"/>
        </w:trPr>
        <w:tc>
          <w:tcPr>
            <w:cnfStyle w:val="001000000000" w:firstRow="0" w:lastRow="0" w:firstColumn="1" w:lastColumn="0" w:oddVBand="0" w:evenVBand="0" w:oddHBand="0" w:evenHBand="0" w:firstRowFirstColumn="0" w:firstRowLastColumn="0" w:lastRowFirstColumn="0" w:lastRowLastColumn="0"/>
            <w:tcW w:w="6683" w:type="dxa"/>
          </w:tcPr>
          <w:p w14:paraId="4B75492A" w14:textId="77777777" w:rsidR="00F15DE2" w:rsidRPr="007A0378" w:rsidRDefault="00F15DE2" w:rsidP="007A0378">
            <w:pPr>
              <w:spacing w:line="360" w:lineRule="auto"/>
              <w:jc w:val="both"/>
              <w:rPr>
                <w:rFonts w:ascii="Book Antiqua" w:hAnsi="Book Antiqua"/>
                <w:b w:val="0"/>
                <w:sz w:val="24"/>
                <w:szCs w:val="24"/>
              </w:rPr>
            </w:pPr>
            <w:r w:rsidRPr="007A0378">
              <w:rPr>
                <w:rFonts w:ascii="Book Antiqua" w:hAnsi="Book Antiqua"/>
                <w:b w:val="0"/>
                <w:sz w:val="24"/>
                <w:szCs w:val="24"/>
              </w:rPr>
              <w:t>Isotope breath test</w:t>
            </w:r>
          </w:p>
        </w:tc>
      </w:tr>
      <w:tr w:rsidR="00F15DE2" w:rsidRPr="007A0378" w14:paraId="5F2817B1" w14:textId="77777777" w:rsidTr="007A0378">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6683" w:type="dxa"/>
            <w:tcBorders>
              <w:top w:val="none" w:sz="0" w:space="0" w:color="auto"/>
              <w:left w:val="none" w:sz="0" w:space="0" w:color="auto"/>
              <w:bottom w:val="none" w:sz="0" w:space="0" w:color="auto"/>
              <w:right w:val="none" w:sz="0" w:space="0" w:color="auto"/>
            </w:tcBorders>
          </w:tcPr>
          <w:p w14:paraId="16EB6255" w14:textId="77777777" w:rsidR="00F15DE2" w:rsidRPr="007A0378" w:rsidRDefault="00F15DE2" w:rsidP="007A0378">
            <w:pPr>
              <w:spacing w:line="360" w:lineRule="auto"/>
              <w:jc w:val="both"/>
              <w:rPr>
                <w:rFonts w:ascii="Book Antiqua" w:hAnsi="Book Antiqua"/>
                <w:b w:val="0"/>
                <w:sz w:val="24"/>
                <w:szCs w:val="24"/>
              </w:rPr>
            </w:pPr>
            <w:r w:rsidRPr="007A0378">
              <w:rPr>
                <w:rFonts w:ascii="Book Antiqua" w:hAnsi="Book Antiqua"/>
                <w:b w:val="0"/>
                <w:sz w:val="24"/>
                <w:szCs w:val="24"/>
              </w:rPr>
              <w:t>Ultrasound and MRI</w:t>
            </w:r>
          </w:p>
        </w:tc>
      </w:tr>
      <w:tr w:rsidR="00F15DE2" w:rsidRPr="007A0378" w14:paraId="49C47DDC" w14:textId="77777777" w:rsidTr="007A0378">
        <w:trPr>
          <w:trHeight w:val="499"/>
        </w:trPr>
        <w:tc>
          <w:tcPr>
            <w:cnfStyle w:val="001000000000" w:firstRow="0" w:lastRow="0" w:firstColumn="1" w:lastColumn="0" w:oddVBand="0" w:evenVBand="0" w:oddHBand="0" w:evenHBand="0" w:firstRowFirstColumn="0" w:firstRowLastColumn="0" w:lastRowFirstColumn="0" w:lastRowLastColumn="0"/>
            <w:tcW w:w="6683" w:type="dxa"/>
          </w:tcPr>
          <w:p w14:paraId="2021BFB6" w14:textId="77777777" w:rsidR="00F15DE2" w:rsidRPr="007A0378" w:rsidRDefault="00F15DE2" w:rsidP="007A0378">
            <w:pPr>
              <w:spacing w:line="360" w:lineRule="auto"/>
              <w:jc w:val="both"/>
              <w:rPr>
                <w:rFonts w:ascii="Book Antiqua" w:hAnsi="Book Antiqua"/>
                <w:b w:val="0"/>
                <w:sz w:val="24"/>
                <w:szCs w:val="24"/>
              </w:rPr>
            </w:pPr>
            <w:r w:rsidRPr="007A0378">
              <w:rPr>
                <w:rFonts w:ascii="Book Antiqua" w:hAnsi="Book Antiqua"/>
                <w:b w:val="0"/>
                <w:sz w:val="24"/>
                <w:szCs w:val="24"/>
              </w:rPr>
              <w:t>Gastric residual volumes</w:t>
            </w:r>
          </w:p>
        </w:tc>
      </w:tr>
    </w:tbl>
    <w:p w14:paraId="121D4B79" w14:textId="77777777" w:rsidR="00F15DE2" w:rsidRPr="007A0378" w:rsidRDefault="00F15DE2" w:rsidP="007A0378">
      <w:pPr>
        <w:pStyle w:val="EndnoteText"/>
        <w:spacing w:line="360" w:lineRule="auto"/>
        <w:jc w:val="both"/>
        <w:rPr>
          <w:rFonts w:ascii="Book Antiqua" w:hAnsi="Book Antiqua"/>
          <w:bCs/>
          <w:sz w:val="24"/>
          <w:szCs w:val="24"/>
        </w:rPr>
      </w:pPr>
    </w:p>
    <w:p w14:paraId="29320620" w14:textId="77777777" w:rsidR="007A0378" w:rsidRPr="007A0378" w:rsidRDefault="007A0378" w:rsidP="007A0378">
      <w:pPr>
        <w:spacing w:line="360" w:lineRule="auto"/>
        <w:jc w:val="both"/>
        <w:rPr>
          <w:rFonts w:ascii="Book Antiqua" w:hAnsi="Book Antiqua"/>
          <w:bCs/>
          <w:sz w:val="24"/>
          <w:szCs w:val="24"/>
        </w:rPr>
      </w:pPr>
      <w:r w:rsidRPr="007A0378">
        <w:rPr>
          <w:rFonts w:ascii="Book Antiqua" w:hAnsi="Book Antiqua"/>
          <w:bCs/>
          <w:sz w:val="24"/>
          <w:szCs w:val="24"/>
        </w:rPr>
        <w:br w:type="page"/>
      </w:r>
    </w:p>
    <w:p w14:paraId="00F61F75" w14:textId="619CEF64" w:rsidR="00F15DE2" w:rsidRPr="007A0378" w:rsidRDefault="00F15DE2" w:rsidP="007A0378">
      <w:pPr>
        <w:pStyle w:val="EndnoteText"/>
        <w:spacing w:line="360" w:lineRule="auto"/>
        <w:jc w:val="both"/>
        <w:rPr>
          <w:rFonts w:ascii="Book Antiqua" w:hAnsi="Book Antiqua"/>
          <w:b/>
          <w:bCs/>
          <w:sz w:val="24"/>
          <w:szCs w:val="24"/>
          <w:lang w:eastAsia="zh-CN"/>
        </w:rPr>
      </w:pPr>
      <w:r w:rsidRPr="007A0378">
        <w:rPr>
          <w:rFonts w:ascii="Book Antiqua" w:hAnsi="Book Antiqua"/>
          <w:b/>
          <w:bCs/>
          <w:sz w:val="24"/>
          <w:szCs w:val="24"/>
        </w:rPr>
        <w:lastRenderedPageBreak/>
        <w:t>Table 3</w:t>
      </w:r>
      <w:r w:rsidR="007A0378" w:rsidRPr="007A0378">
        <w:rPr>
          <w:rFonts w:ascii="Book Antiqua" w:hAnsi="Book Antiqua" w:hint="eastAsia"/>
          <w:b/>
          <w:bCs/>
          <w:sz w:val="24"/>
          <w:szCs w:val="24"/>
          <w:lang w:eastAsia="zh-CN"/>
        </w:rPr>
        <w:t xml:space="preserve"> </w:t>
      </w:r>
      <w:r w:rsidR="007A0378" w:rsidRPr="007A0378">
        <w:rPr>
          <w:rFonts w:ascii="Book Antiqua" w:hAnsi="Book Antiqua"/>
          <w:b/>
          <w:sz w:val="24"/>
          <w:szCs w:val="24"/>
        </w:rPr>
        <w:t>Factors predisposing to Ogilvie’s syndrome</w:t>
      </w:r>
    </w:p>
    <w:tbl>
      <w:tblPr>
        <w:tblStyle w:val="ListTable3Accent1"/>
        <w:tblW w:w="0" w:type="auto"/>
        <w:tblBorders>
          <w:left w:val="none" w:sz="0" w:space="0" w:color="auto"/>
          <w:right w:val="none" w:sz="0" w:space="0" w:color="auto"/>
          <w:insideV w:val="single" w:sz="4" w:space="0" w:color="4F81BD" w:themeColor="accent1"/>
        </w:tblBorders>
        <w:tblLook w:val="04A0" w:firstRow="1" w:lastRow="0" w:firstColumn="1" w:lastColumn="0" w:noHBand="0" w:noVBand="1"/>
      </w:tblPr>
      <w:tblGrid>
        <w:gridCol w:w="9576"/>
      </w:tblGrid>
      <w:tr w:rsidR="00F15DE2" w:rsidRPr="007A0378" w14:paraId="4304DA6D" w14:textId="77777777" w:rsidTr="007A03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76" w:type="dxa"/>
            <w:tcBorders>
              <w:bottom w:val="none" w:sz="0" w:space="0" w:color="auto"/>
              <w:right w:val="none" w:sz="0" w:space="0" w:color="auto"/>
            </w:tcBorders>
          </w:tcPr>
          <w:p w14:paraId="08731BF9" w14:textId="0123D50A" w:rsidR="00F15DE2" w:rsidRPr="007A0378" w:rsidRDefault="007A0378" w:rsidP="007A0378">
            <w:pPr>
              <w:spacing w:line="360" w:lineRule="auto"/>
              <w:jc w:val="both"/>
              <w:rPr>
                <w:rFonts w:ascii="Book Antiqua" w:hAnsi="Book Antiqua"/>
                <w:sz w:val="24"/>
                <w:szCs w:val="24"/>
              </w:rPr>
            </w:pPr>
            <w:r w:rsidRPr="007A0378">
              <w:rPr>
                <w:rFonts w:ascii="Book Antiqua" w:hAnsi="Book Antiqua"/>
                <w:sz w:val="24"/>
                <w:szCs w:val="24"/>
              </w:rPr>
              <w:t>Factors predisposing to Ogilvie’s syndrome</w:t>
            </w:r>
          </w:p>
        </w:tc>
      </w:tr>
      <w:tr w:rsidR="00F15DE2" w:rsidRPr="007A0378" w14:paraId="232AFA98" w14:textId="77777777" w:rsidTr="007A0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bottom w:val="none" w:sz="0" w:space="0" w:color="auto"/>
              <w:right w:val="none" w:sz="0" w:space="0" w:color="auto"/>
            </w:tcBorders>
          </w:tcPr>
          <w:p w14:paraId="2C3C5F91" w14:textId="77777777" w:rsidR="00F15DE2" w:rsidRPr="007A0378" w:rsidRDefault="00F15DE2" w:rsidP="007A0378">
            <w:pPr>
              <w:spacing w:line="360" w:lineRule="auto"/>
              <w:jc w:val="both"/>
              <w:rPr>
                <w:rFonts w:ascii="Book Antiqua" w:hAnsi="Book Antiqua"/>
                <w:b w:val="0"/>
                <w:sz w:val="24"/>
                <w:szCs w:val="24"/>
              </w:rPr>
            </w:pPr>
            <w:r w:rsidRPr="007A0378">
              <w:rPr>
                <w:rFonts w:ascii="Book Antiqua" w:hAnsi="Book Antiqua"/>
                <w:b w:val="0"/>
                <w:sz w:val="24"/>
                <w:szCs w:val="24"/>
              </w:rPr>
              <w:t>Medications</w:t>
            </w:r>
          </w:p>
        </w:tc>
      </w:tr>
      <w:tr w:rsidR="00F15DE2" w:rsidRPr="007A0378" w14:paraId="706DD883" w14:textId="77777777" w:rsidTr="007A0378">
        <w:tc>
          <w:tcPr>
            <w:cnfStyle w:val="001000000000" w:firstRow="0" w:lastRow="0" w:firstColumn="1" w:lastColumn="0" w:oddVBand="0" w:evenVBand="0" w:oddHBand="0" w:evenHBand="0" w:firstRowFirstColumn="0" w:firstRowLastColumn="0" w:lastRowFirstColumn="0" w:lastRowLastColumn="0"/>
            <w:tcW w:w="9576" w:type="dxa"/>
            <w:tcBorders>
              <w:right w:val="none" w:sz="0" w:space="0" w:color="auto"/>
            </w:tcBorders>
          </w:tcPr>
          <w:p w14:paraId="42DC668B" w14:textId="77777777" w:rsidR="00F15DE2" w:rsidRPr="007A0378" w:rsidRDefault="00F15DE2" w:rsidP="007A0378">
            <w:pPr>
              <w:spacing w:line="360" w:lineRule="auto"/>
              <w:ind w:firstLineChars="200" w:firstLine="480"/>
              <w:jc w:val="both"/>
              <w:rPr>
                <w:rFonts w:ascii="Book Antiqua" w:hAnsi="Book Antiqua"/>
                <w:b w:val="0"/>
                <w:sz w:val="24"/>
                <w:szCs w:val="24"/>
              </w:rPr>
            </w:pPr>
            <w:r w:rsidRPr="007A0378">
              <w:rPr>
                <w:rFonts w:ascii="Book Antiqua" w:hAnsi="Book Antiqua"/>
                <w:b w:val="0"/>
                <w:sz w:val="24"/>
                <w:szCs w:val="24"/>
              </w:rPr>
              <w:t>Opiates</w:t>
            </w:r>
          </w:p>
          <w:p w14:paraId="1C56CDB9" w14:textId="77777777" w:rsidR="00F15DE2" w:rsidRPr="007A0378" w:rsidRDefault="00F15DE2" w:rsidP="007A0378">
            <w:pPr>
              <w:spacing w:line="360" w:lineRule="auto"/>
              <w:ind w:firstLineChars="200" w:firstLine="480"/>
              <w:jc w:val="both"/>
              <w:rPr>
                <w:rFonts w:ascii="Book Antiqua" w:hAnsi="Book Antiqua"/>
                <w:b w:val="0"/>
                <w:sz w:val="24"/>
                <w:szCs w:val="24"/>
              </w:rPr>
            </w:pPr>
            <w:r w:rsidRPr="007A0378">
              <w:rPr>
                <w:rFonts w:ascii="Book Antiqua" w:hAnsi="Book Antiqua"/>
                <w:b w:val="0"/>
                <w:sz w:val="24"/>
                <w:szCs w:val="24"/>
              </w:rPr>
              <w:t>Anticholinergics</w:t>
            </w:r>
          </w:p>
          <w:p w14:paraId="491EE2E9" w14:textId="77777777" w:rsidR="00F15DE2" w:rsidRPr="007A0378" w:rsidRDefault="00F15DE2" w:rsidP="007A0378">
            <w:pPr>
              <w:spacing w:line="360" w:lineRule="auto"/>
              <w:ind w:firstLineChars="200" w:firstLine="480"/>
              <w:jc w:val="both"/>
              <w:rPr>
                <w:rFonts w:ascii="Book Antiqua" w:hAnsi="Book Antiqua"/>
                <w:b w:val="0"/>
                <w:sz w:val="24"/>
                <w:szCs w:val="24"/>
              </w:rPr>
            </w:pPr>
            <w:r w:rsidRPr="007A0378">
              <w:rPr>
                <w:rFonts w:ascii="Book Antiqua" w:hAnsi="Book Antiqua"/>
                <w:b w:val="0"/>
                <w:sz w:val="24"/>
                <w:szCs w:val="24"/>
              </w:rPr>
              <w:t>Vasopressors</w:t>
            </w:r>
          </w:p>
          <w:p w14:paraId="670CC852" w14:textId="734B9E86" w:rsidR="00F15DE2" w:rsidRPr="007A0378" w:rsidRDefault="007A0378" w:rsidP="007A0378">
            <w:pPr>
              <w:spacing w:line="360" w:lineRule="auto"/>
              <w:ind w:firstLineChars="200" w:firstLine="480"/>
              <w:jc w:val="both"/>
              <w:rPr>
                <w:rFonts w:ascii="Book Antiqua" w:hAnsi="Book Antiqua"/>
                <w:b w:val="0"/>
                <w:sz w:val="24"/>
                <w:szCs w:val="24"/>
                <w:lang w:eastAsia="zh-CN"/>
              </w:rPr>
            </w:pPr>
            <w:r w:rsidRPr="007A0378">
              <w:rPr>
                <w:rFonts w:ascii="Book Antiqua" w:hAnsi="Book Antiqua"/>
                <w:b w:val="0"/>
                <w:sz w:val="24"/>
                <w:szCs w:val="24"/>
              </w:rPr>
              <w:t>Calcium channel blockers</w:t>
            </w:r>
          </w:p>
        </w:tc>
      </w:tr>
      <w:tr w:rsidR="00F15DE2" w:rsidRPr="007A0378" w14:paraId="54CD707A" w14:textId="77777777" w:rsidTr="007A0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bottom w:val="none" w:sz="0" w:space="0" w:color="auto"/>
              <w:right w:val="none" w:sz="0" w:space="0" w:color="auto"/>
            </w:tcBorders>
          </w:tcPr>
          <w:p w14:paraId="41181AEB" w14:textId="77777777" w:rsidR="00F15DE2" w:rsidRPr="007A0378" w:rsidRDefault="00F15DE2" w:rsidP="007A0378">
            <w:pPr>
              <w:spacing w:line="360" w:lineRule="auto"/>
              <w:jc w:val="both"/>
              <w:rPr>
                <w:rFonts w:ascii="Book Antiqua" w:hAnsi="Book Antiqua"/>
                <w:b w:val="0"/>
                <w:sz w:val="24"/>
                <w:szCs w:val="24"/>
              </w:rPr>
            </w:pPr>
            <w:r w:rsidRPr="007A0378">
              <w:rPr>
                <w:rFonts w:ascii="Book Antiqua" w:hAnsi="Book Antiqua"/>
                <w:b w:val="0"/>
                <w:sz w:val="24"/>
                <w:szCs w:val="24"/>
              </w:rPr>
              <w:t>Cardiovascular factors</w:t>
            </w:r>
          </w:p>
        </w:tc>
      </w:tr>
      <w:tr w:rsidR="00F15DE2" w:rsidRPr="007A0378" w14:paraId="01AEA8F8" w14:textId="77777777" w:rsidTr="007A0378">
        <w:tc>
          <w:tcPr>
            <w:cnfStyle w:val="001000000000" w:firstRow="0" w:lastRow="0" w:firstColumn="1" w:lastColumn="0" w:oddVBand="0" w:evenVBand="0" w:oddHBand="0" w:evenHBand="0" w:firstRowFirstColumn="0" w:firstRowLastColumn="0" w:lastRowFirstColumn="0" w:lastRowLastColumn="0"/>
            <w:tcW w:w="9576" w:type="dxa"/>
            <w:tcBorders>
              <w:right w:val="none" w:sz="0" w:space="0" w:color="auto"/>
            </w:tcBorders>
          </w:tcPr>
          <w:p w14:paraId="6860E09E" w14:textId="77777777" w:rsidR="00F15DE2" w:rsidRPr="007A0378" w:rsidRDefault="00F15DE2" w:rsidP="007A0378">
            <w:pPr>
              <w:spacing w:line="360" w:lineRule="auto"/>
              <w:ind w:firstLineChars="200" w:firstLine="480"/>
              <w:jc w:val="both"/>
              <w:rPr>
                <w:rFonts w:ascii="Book Antiqua" w:hAnsi="Book Antiqua"/>
                <w:b w:val="0"/>
                <w:sz w:val="24"/>
                <w:szCs w:val="24"/>
              </w:rPr>
            </w:pPr>
            <w:r w:rsidRPr="007A0378">
              <w:rPr>
                <w:rFonts w:ascii="Book Antiqua" w:hAnsi="Book Antiqua"/>
                <w:b w:val="0"/>
                <w:sz w:val="24"/>
                <w:szCs w:val="24"/>
              </w:rPr>
              <w:t>Shock</w:t>
            </w:r>
          </w:p>
          <w:p w14:paraId="6796079B" w14:textId="77777777" w:rsidR="00F15DE2" w:rsidRPr="007A0378" w:rsidRDefault="00F15DE2" w:rsidP="007A0378">
            <w:pPr>
              <w:spacing w:line="360" w:lineRule="auto"/>
              <w:ind w:firstLineChars="200" w:firstLine="480"/>
              <w:jc w:val="both"/>
              <w:rPr>
                <w:rFonts w:ascii="Book Antiqua" w:hAnsi="Book Antiqua"/>
                <w:b w:val="0"/>
                <w:sz w:val="24"/>
                <w:szCs w:val="24"/>
              </w:rPr>
            </w:pPr>
            <w:r w:rsidRPr="007A0378">
              <w:rPr>
                <w:rFonts w:ascii="Book Antiqua" w:hAnsi="Book Antiqua"/>
                <w:b w:val="0"/>
                <w:sz w:val="24"/>
                <w:szCs w:val="24"/>
              </w:rPr>
              <w:t>Heart failure</w:t>
            </w:r>
          </w:p>
        </w:tc>
      </w:tr>
      <w:tr w:rsidR="00F15DE2" w:rsidRPr="007A0378" w14:paraId="7CD0BF63" w14:textId="77777777" w:rsidTr="007A0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bottom w:val="none" w:sz="0" w:space="0" w:color="auto"/>
              <w:right w:val="none" w:sz="0" w:space="0" w:color="auto"/>
            </w:tcBorders>
          </w:tcPr>
          <w:p w14:paraId="2494D589" w14:textId="77777777" w:rsidR="00F15DE2" w:rsidRPr="007A0378" w:rsidRDefault="00F15DE2" w:rsidP="007A0378">
            <w:pPr>
              <w:spacing w:line="360" w:lineRule="auto"/>
              <w:jc w:val="both"/>
              <w:rPr>
                <w:rFonts w:ascii="Book Antiqua" w:hAnsi="Book Antiqua"/>
                <w:b w:val="0"/>
                <w:sz w:val="24"/>
                <w:szCs w:val="24"/>
              </w:rPr>
            </w:pPr>
            <w:r w:rsidRPr="007A0378">
              <w:rPr>
                <w:rFonts w:ascii="Book Antiqua" w:hAnsi="Book Antiqua"/>
                <w:b w:val="0"/>
                <w:sz w:val="24"/>
                <w:szCs w:val="24"/>
              </w:rPr>
              <w:t>Critical illness</w:t>
            </w:r>
          </w:p>
        </w:tc>
      </w:tr>
      <w:tr w:rsidR="00F15DE2" w:rsidRPr="007A0378" w14:paraId="0ED30F52" w14:textId="77777777" w:rsidTr="007A0378">
        <w:trPr>
          <w:trHeight w:val="350"/>
        </w:trPr>
        <w:tc>
          <w:tcPr>
            <w:cnfStyle w:val="001000000000" w:firstRow="0" w:lastRow="0" w:firstColumn="1" w:lastColumn="0" w:oddVBand="0" w:evenVBand="0" w:oddHBand="0" w:evenHBand="0" w:firstRowFirstColumn="0" w:firstRowLastColumn="0" w:lastRowFirstColumn="0" w:lastRowLastColumn="0"/>
            <w:tcW w:w="9576" w:type="dxa"/>
            <w:tcBorders>
              <w:right w:val="none" w:sz="0" w:space="0" w:color="auto"/>
            </w:tcBorders>
          </w:tcPr>
          <w:p w14:paraId="6F4B28E8" w14:textId="77777777" w:rsidR="00F15DE2" w:rsidRPr="007A0378" w:rsidRDefault="00F15DE2" w:rsidP="007A0378">
            <w:pPr>
              <w:spacing w:line="360" w:lineRule="auto"/>
              <w:ind w:firstLineChars="200" w:firstLine="480"/>
              <w:jc w:val="both"/>
              <w:rPr>
                <w:rFonts w:ascii="Book Antiqua" w:hAnsi="Book Antiqua"/>
                <w:b w:val="0"/>
                <w:sz w:val="24"/>
                <w:szCs w:val="24"/>
              </w:rPr>
            </w:pPr>
            <w:r w:rsidRPr="007A0378">
              <w:rPr>
                <w:rFonts w:ascii="Book Antiqua" w:hAnsi="Book Antiqua"/>
                <w:b w:val="0"/>
                <w:sz w:val="24"/>
                <w:szCs w:val="24"/>
              </w:rPr>
              <w:t>Severe sepsis</w:t>
            </w:r>
          </w:p>
          <w:p w14:paraId="316D345C" w14:textId="77777777" w:rsidR="00F15DE2" w:rsidRPr="007A0378" w:rsidRDefault="00F15DE2" w:rsidP="007A0378">
            <w:pPr>
              <w:spacing w:line="360" w:lineRule="auto"/>
              <w:ind w:firstLineChars="200" w:firstLine="480"/>
              <w:jc w:val="both"/>
              <w:rPr>
                <w:rFonts w:ascii="Book Antiqua" w:hAnsi="Book Antiqua"/>
                <w:b w:val="0"/>
                <w:sz w:val="24"/>
                <w:szCs w:val="24"/>
              </w:rPr>
            </w:pPr>
            <w:r w:rsidRPr="007A0378">
              <w:rPr>
                <w:rFonts w:ascii="Book Antiqua" w:hAnsi="Book Antiqua"/>
                <w:b w:val="0"/>
                <w:sz w:val="24"/>
                <w:szCs w:val="24"/>
              </w:rPr>
              <w:t>Pancreatitis</w:t>
            </w:r>
          </w:p>
          <w:p w14:paraId="457E6C70" w14:textId="77777777" w:rsidR="00F15DE2" w:rsidRPr="007A0378" w:rsidRDefault="00F15DE2" w:rsidP="007A0378">
            <w:pPr>
              <w:spacing w:line="360" w:lineRule="auto"/>
              <w:ind w:firstLineChars="200" w:firstLine="480"/>
              <w:jc w:val="both"/>
              <w:rPr>
                <w:rFonts w:ascii="Book Antiqua" w:hAnsi="Book Antiqua"/>
                <w:b w:val="0"/>
                <w:sz w:val="24"/>
                <w:szCs w:val="24"/>
              </w:rPr>
            </w:pPr>
            <w:r w:rsidRPr="007A0378">
              <w:rPr>
                <w:rFonts w:ascii="Book Antiqua" w:hAnsi="Book Antiqua"/>
                <w:b w:val="0"/>
                <w:sz w:val="24"/>
                <w:szCs w:val="24"/>
              </w:rPr>
              <w:t>Mechanical ventilation</w:t>
            </w:r>
          </w:p>
          <w:p w14:paraId="1E12D550" w14:textId="77777777" w:rsidR="00F15DE2" w:rsidRPr="007A0378" w:rsidRDefault="00F15DE2" w:rsidP="007A0378">
            <w:pPr>
              <w:spacing w:line="360" w:lineRule="auto"/>
              <w:ind w:firstLineChars="200" w:firstLine="480"/>
              <w:jc w:val="both"/>
              <w:rPr>
                <w:rFonts w:ascii="Book Antiqua" w:hAnsi="Book Antiqua"/>
                <w:b w:val="0"/>
                <w:sz w:val="24"/>
                <w:szCs w:val="24"/>
              </w:rPr>
            </w:pPr>
            <w:r w:rsidRPr="007A0378">
              <w:rPr>
                <w:rFonts w:ascii="Book Antiqua" w:hAnsi="Book Antiqua"/>
                <w:b w:val="0"/>
                <w:sz w:val="24"/>
                <w:szCs w:val="24"/>
              </w:rPr>
              <w:t>Hypoxemia</w:t>
            </w:r>
          </w:p>
          <w:p w14:paraId="538E229F" w14:textId="353C1307" w:rsidR="00F15DE2" w:rsidRPr="007A0378" w:rsidRDefault="00F15DE2" w:rsidP="007A0378">
            <w:pPr>
              <w:spacing w:line="360" w:lineRule="auto"/>
              <w:jc w:val="both"/>
              <w:rPr>
                <w:rFonts w:ascii="Book Antiqua" w:hAnsi="Book Antiqua"/>
                <w:b w:val="0"/>
                <w:sz w:val="24"/>
                <w:szCs w:val="24"/>
              </w:rPr>
            </w:pPr>
            <w:r w:rsidRPr="007A0378">
              <w:rPr>
                <w:rFonts w:ascii="Book Antiqua" w:hAnsi="Book Antiqua"/>
                <w:b w:val="0"/>
                <w:sz w:val="24"/>
                <w:szCs w:val="24"/>
              </w:rPr>
              <w:t>Post</w:t>
            </w:r>
            <w:r w:rsidR="007A0378" w:rsidRPr="007A0378">
              <w:rPr>
                <w:rFonts w:ascii="Book Antiqua" w:hAnsi="Book Antiqua" w:hint="eastAsia"/>
                <w:b w:val="0"/>
                <w:sz w:val="24"/>
                <w:szCs w:val="24"/>
                <w:lang w:eastAsia="zh-CN"/>
              </w:rPr>
              <w:t>-</w:t>
            </w:r>
            <w:r w:rsidRPr="007A0378">
              <w:rPr>
                <w:rFonts w:ascii="Book Antiqua" w:hAnsi="Book Antiqua"/>
                <w:b w:val="0"/>
                <w:sz w:val="24"/>
                <w:szCs w:val="24"/>
              </w:rPr>
              <w:t>operative state</w:t>
            </w:r>
          </w:p>
        </w:tc>
      </w:tr>
      <w:tr w:rsidR="00F15DE2" w:rsidRPr="007A0378" w14:paraId="762001EF" w14:textId="77777777" w:rsidTr="007A0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bottom w:val="none" w:sz="0" w:space="0" w:color="auto"/>
              <w:right w:val="none" w:sz="0" w:space="0" w:color="auto"/>
            </w:tcBorders>
          </w:tcPr>
          <w:p w14:paraId="51FF834C" w14:textId="77777777" w:rsidR="00F15DE2" w:rsidRPr="007A0378" w:rsidRDefault="00F15DE2" w:rsidP="007A0378">
            <w:pPr>
              <w:spacing w:line="360" w:lineRule="auto"/>
              <w:ind w:firstLineChars="200" w:firstLine="480"/>
              <w:jc w:val="both"/>
              <w:rPr>
                <w:rFonts w:ascii="Book Antiqua" w:hAnsi="Book Antiqua"/>
                <w:b w:val="0"/>
                <w:sz w:val="24"/>
                <w:szCs w:val="24"/>
              </w:rPr>
            </w:pPr>
            <w:r w:rsidRPr="007A0378">
              <w:rPr>
                <w:rFonts w:ascii="Book Antiqua" w:hAnsi="Book Antiqua"/>
                <w:b w:val="0"/>
                <w:sz w:val="24"/>
                <w:szCs w:val="24"/>
              </w:rPr>
              <w:t>Abdominal surgery</w:t>
            </w:r>
          </w:p>
          <w:p w14:paraId="525CD187" w14:textId="77777777" w:rsidR="00F15DE2" w:rsidRPr="007A0378" w:rsidRDefault="00F15DE2" w:rsidP="007A0378">
            <w:pPr>
              <w:spacing w:line="360" w:lineRule="auto"/>
              <w:ind w:firstLineChars="200" w:firstLine="480"/>
              <w:jc w:val="both"/>
              <w:rPr>
                <w:rFonts w:ascii="Book Antiqua" w:hAnsi="Book Antiqua"/>
                <w:b w:val="0"/>
                <w:sz w:val="24"/>
                <w:szCs w:val="24"/>
              </w:rPr>
            </w:pPr>
            <w:r w:rsidRPr="007A0378">
              <w:rPr>
                <w:rFonts w:ascii="Book Antiqua" w:hAnsi="Book Antiqua"/>
                <w:b w:val="0"/>
                <w:sz w:val="24"/>
                <w:szCs w:val="24"/>
              </w:rPr>
              <w:t>Peritonitis</w:t>
            </w:r>
          </w:p>
          <w:p w14:paraId="7DA3206D" w14:textId="370D7CD5" w:rsidR="00F15DE2" w:rsidRPr="007A0378" w:rsidRDefault="007A0378" w:rsidP="007A0378">
            <w:pPr>
              <w:spacing w:line="360" w:lineRule="auto"/>
              <w:ind w:firstLineChars="200" w:firstLine="480"/>
              <w:jc w:val="both"/>
              <w:rPr>
                <w:rFonts w:ascii="Book Antiqua" w:hAnsi="Book Antiqua"/>
                <w:b w:val="0"/>
                <w:sz w:val="24"/>
                <w:szCs w:val="24"/>
                <w:lang w:eastAsia="zh-CN"/>
              </w:rPr>
            </w:pPr>
            <w:r w:rsidRPr="007A0378">
              <w:rPr>
                <w:rFonts w:ascii="Book Antiqua" w:hAnsi="Book Antiqua"/>
                <w:b w:val="0"/>
                <w:sz w:val="24"/>
                <w:szCs w:val="24"/>
              </w:rPr>
              <w:t>Pelvic or hip fracture surgery</w:t>
            </w:r>
          </w:p>
        </w:tc>
      </w:tr>
      <w:tr w:rsidR="00F15DE2" w:rsidRPr="007A0378" w14:paraId="5AE9C610" w14:textId="77777777" w:rsidTr="007A0378">
        <w:tc>
          <w:tcPr>
            <w:cnfStyle w:val="001000000000" w:firstRow="0" w:lastRow="0" w:firstColumn="1" w:lastColumn="0" w:oddVBand="0" w:evenVBand="0" w:oddHBand="0" w:evenHBand="0" w:firstRowFirstColumn="0" w:firstRowLastColumn="0" w:lastRowFirstColumn="0" w:lastRowLastColumn="0"/>
            <w:tcW w:w="9576" w:type="dxa"/>
            <w:tcBorders>
              <w:right w:val="none" w:sz="0" w:space="0" w:color="auto"/>
            </w:tcBorders>
          </w:tcPr>
          <w:p w14:paraId="44F73645" w14:textId="77777777" w:rsidR="00F15DE2" w:rsidRPr="007A0378" w:rsidRDefault="00F15DE2" w:rsidP="007A0378">
            <w:pPr>
              <w:spacing w:line="360" w:lineRule="auto"/>
              <w:jc w:val="both"/>
              <w:rPr>
                <w:rFonts w:ascii="Book Antiqua" w:hAnsi="Book Antiqua"/>
                <w:b w:val="0"/>
                <w:sz w:val="24"/>
                <w:szCs w:val="24"/>
              </w:rPr>
            </w:pPr>
            <w:r w:rsidRPr="007A0378">
              <w:rPr>
                <w:rFonts w:ascii="Book Antiqua" w:hAnsi="Book Antiqua"/>
                <w:b w:val="0"/>
                <w:sz w:val="24"/>
                <w:szCs w:val="24"/>
              </w:rPr>
              <w:t>Metabolic factors</w:t>
            </w:r>
          </w:p>
        </w:tc>
      </w:tr>
      <w:tr w:rsidR="00F15DE2" w:rsidRPr="007A0378" w14:paraId="6E524C8F" w14:textId="77777777" w:rsidTr="007A0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bottom w:val="none" w:sz="0" w:space="0" w:color="auto"/>
              <w:right w:val="none" w:sz="0" w:space="0" w:color="auto"/>
            </w:tcBorders>
          </w:tcPr>
          <w:p w14:paraId="55603B36" w14:textId="77777777" w:rsidR="00F15DE2" w:rsidRPr="007A0378" w:rsidRDefault="00F15DE2" w:rsidP="007A0378">
            <w:pPr>
              <w:spacing w:line="360" w:lineRule="auto"/>
              <w:ind w:firstLineChars="200" w:firstLine="480"/>
              <w:jc w:val="both"/>
              <w:rPr>
                <w:rFonts w:ascii="Book Antiqua" w:hAnsi="Book Antiqua"/>
                <w:b w:val="0"/>
                <w:sz w:val="24"/>
                <w:szCs w:val="24"/>
              </w:rPr>
            </w:pPr>
            <w:r w:rsidRPr="007A0378">
              <w:rPr>
                <w:rFonts w:ascii="Book Antiqua" w:hAnsi="Book Antiqua"/>
                <w:b w:val="0"/>
                <w:sz w:val="24"/>
                <w:szCs w:val="24"/>
              </w:rPr>
              <w:t>Hypokalemia</w:t>
            </w:r>
          </w:p>
          <w:p w14:paraId="67CC79EE" w14:textId="77777777" w:rsidR="00F15DE2" w:rsidRPr="007A0378" w:rsidRDefault="00F15DE2" w:rsidP="007A0378">
            <w:pPr>
              <w:spacing w:line="360" w:lineRule="auto"/>
              <w:ind w:firstLineChars="200" w:firstLine="480"/>
              <w:jc w:val="both"/>
              <w:rPr>
                <w:rFonts w:ascii="Book Antiqua" w:hAnsi="Book Antiqua"/>
                <w:b w:val="0"/>
                <w:sz w:val="24"/>
                <w:szCs w:val="24"/>
              </w:rPr>
            </w:pPr>
            <w:r w:rsidRPr="007A0378">
              <w:rPr>
                <w:rFonts w:ascii="Book Antiqua" w:hAnsi="Book Antiqua"/>
                <w:b w:val="0"/>
                <w:sz w:val="24"/>
                <w:szCs w:val="24"/>
              </w:rPr>
              <w:t>Renal failure</w:t>
            </w:r>
          </w:p>
          <w:p w14:paraId="2A6E8E35" w14:textId="77777777" w:rsidR="00F15DE2" w:rsidRPr="007A0378" w:rsidRDefault="00F15DE2" w:rsidP="007A0378">
            <w:pPr>
              <w:spacing w:line="360" w:lineRule="auto"/>
              <w:ind w:firstLineChars="200" w:firstLine="480"/>
              <w:jc w:val="both"/>
              <w:rPr>
                <w:rFonts w:ascii="Book Antiqua" w:hAnsi="Book Antiqua"/>
                <w:b w:val="0"/>
                <w:sz w:val="24"/>
                <w:szCs w:val="24"/>
              </w:rPr>
            </w:pPr>
            <w:r w:rsidRPr="007A0378">
              <w:rPr>
                <w:rFonts w:ascii="Book Antiqua" w:hAnsi="Book Antiqua"/>
                <w:b w:val="0"/>
                <w:sz w:val="24"/>
                <w:szCs w:val="24"/>
              </w:rPr>
              <w:t>Hyperglycemia</w:t>
            </w:r>
          </w:p>
        </w:tc>
      </w:tr>
      <w:tr w:rsidR="00F15DE2" w:rsidRPr="007A0378" w14:paraId="27BC2AAD" w14:textId="77777777" w:rsidTr="007A0378">
        <w:tc>
          <w:tcPr>
            <w:cnfStyle w:val="001000000000" w:firstRow="0" w:lastRow="0" w:firstColumn="1" w:lastColumn="0" w:oddVBand="0" w:evenVBand="0" w:oddHBand="0" w:evenHBand="0" w:firstRowFirstColumn="0" w:firstRowLastColumn="0" w:lastRowFirstColumn="0" w:lastRowLastColumn="0"/>
            <w:tcW w:w="9576" w:type="dxa"/>
            <w:tcBorders>
              <w:right w:val="none" w:sz="0" w:space="0" w:color="auto"/>
            </w:tcBorders>
          </w:tcPr>
          <w:p w14:paraId="66500AD3" w14:textId="77777777" w:rsidR="00F15DE2" w:rsidRPr="007A0378" w:rsidRDefault="00F15DE2" w:rsidP="007A0378">
            <w:pPr>
              <w:spacing w:line="360" w:lineRule="auto"/>
              <w:jc w:val="both"/>
              <w:rPr>
                <w:rFonts w:ascii="Book Antiqua" w:hAnsi="Book Antiqua"/>
                <w:b w:val="0"/>
                <w:sz w:val="24"/>
                <w:szCs w:val="24"/>
              </w:rPr>
            </w:pPr>
            <w:r w:rsidRPr="007A0378">
              <w:rPr>
                <w:rFonts w:ascii="Book Antiqua" w:hAnsi="Book Antiqua"/>
                <w:b w:val="0"/>
                <w:sz w:val="24"/>
                <w:szCs w:val="24"/>
              </w:rPr>
              <w:t>Neurologic</w:t>
            </w:r>
          </w:p>
        </w:tc>
      </w:tr>
      <w:tr w:rsidR="00F15DE2" w:rsidRPr="007A0378" w14:paraId="2D7FB830" w14:textId="77777777" w:rsidTr="007A0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bottom w:val="none" w:sz="0" w:space="0" w:color="auto"/>
              <w:right w:val="none" w:sz="0" w:space="0" w:color="auto"/>
            </w:tcBorders>
          </w:tcPr>
          <w:p w14:paraId="78BE0982" w14:textId="77777777" w:rsidR="00F15DE2" w:rsidRPr="007A0378" w:rsidRDefault="00F15DE2" w:rsidP="007A0378">
            <w:pPr>
              <w:spacing w:line="360" w:lineRule="auto"/>
              <w:ind w:firstLineChars="200" w:firstLine="480"/>
              <w:jc w:val="both"/>
              <w:rPr>
                <w:rFonts w:ascii="Book Antiqua" w:hAnsi="Book Antiqua"/>
                <w:b w:val="0"/>
                <w:sz w:val="24"/>
                <w:szCs w:val="24"/>
              </w:rPr>
            </w:pPr>
            <w:r w:rsidRPr="007A0378">
              <w:rPr>
                <w:rFonts w:ascii="Book Antiqua" w:hAnsi="Book Antiqua"/>
                <w:b w:val="0"/>
                <w:sz w:val="24"/>
                <w:szCs w:val="24"/>
              </w:rPr>
              <w:t>Spinal cord lesions</w:t>
            </w:r>
          </w:p>
        </w:tc>
      </w:tr>
      <w:tr w:rsidR="00F15DE2" w:rsidRPr="007A0378" w14:paraId="36073924" w14:textId="77777777" w:rsidTr="007A0378">
        <w:tc>
          <w:tcPr>
            <w:cnfStyle w:val="001000000000" w:firstRow="0" w:lastRow="0" w:firstColumn="1" w:lastColumn="0" w:oddVBand="0" w:evenVBand="0" w:oddHBand="0" w:evenHBand="0" w:firstRowFirstColumn="0" w:firstRowLastColumn="0" w:lastRowFirstColumn="0" w:lastRowLastColumn="0"/>
            <w:tcW w:w="9576" w:type="dxa"/>
            <w:tcBorders>
              <w:right w:val="none" w:sz="0" w:space="0" w:color="auto"/>
            </w:tcBorders>
          </w:tcPr>
          <w:p w14:paraId="17C9DBF0" w14:textId="77777777" w:rsidR="00F15DE2" w:rsidRPr="007A0378" w:rsidRDefault="00F15DE2" w:rsidP="007A0378">
            <w:pPr>
              <w:spacing w:line="360" w:lineRule="auto"/>
              <w:ind w:firstLineChars="200" w:firstLine="480"/>
              <w:jc w:val="both"/>
              <w:rPr>
                <w:rFonts w:ascii="Book Antiqua" w:hAnsi="Book Antiqua"/>
                <w:b w:val="0"/>
                <w:sz w:val="24"/>
                <w:szCs w:val="24"/>
              </w:rPr>
            </w:pPr>
            <w:r w:rsidRPr="007A0378">
              <w:rPr>
                <w:rFonts w:ascii="Book Antiqua" w:hAnsi="Book Antiqua"/>
                <w:b w:val="0"/>
                <w:sz w:val="24"/>
                <w:szCs w:val="24"/>
              </w:rPr>
              <w:t>Stroke</w:t>
            </w:r>
          </w:p>
        </w:tc>
      </w:tr>
    </w:tbl>
    <w:p w14:paraId="7165FA80" w14:textId="77777777" w:rsidR="00F15DE2" w:rsidRPr="007A0378" w:rsidRDefault="00F15DE2" w:rsidP="007A0378">
      <w:pPr>
        <w:pStyle w:val="EndnoteText"/>
        <w:spacing w:line="360" w:lineRule="auto"/>
        <w:jc w:val="both"/>
        <w:rPr>
          <w:rFonts w:ascii="Book Antiqua" w:hAnsi="Book Antiqua"/>
          <w:bCs/>
          <w:sz w:val="24"/>
          <w:szCs w:val="24"/>
        </w:rPr>
      </w:pPr>
    </w:p>
    <w:p w14:paraId="11283AFE" w14:textId="77777777" w:rsidR="00F15DE2" w:rsidRPr="007A0378" w:rsidRDefault="00F15DE2" w:rsidP="007A0378">
      <w:pPr>
        <w:pStyle w:val="EndnoteText"/>
        <w:spacing w:line="360" w:lineRule="auto"/>
        <w:jc w:val="both"/>
        <w:rPr>
          <w:rFonts w:ascii="Book Antiqua" w:hAnsi="Book Antiqua"/>
          <w:bCs/>
          <w:sz w:val="24"/>
          <w:szCs w:val="24"/>
        </w:rPr>
      </w:pPr>
      <w:r w:rsidRPr="007A0378">
        <w:rPr>
          <w:rFonts w:ascii="Book Antiqua" w:hAnsi="Book Antiqua"/>
          <w:noProof/>
          <w:sz w:val="24"/>
          <w:szCs w:val="24"/>
        </w:rPr>
        <w:lastRenderedPageBreak/>
        <w:drawing>
          <wp:inline distT="0" distB="0" distL="0" distR="0" wp14:anchorId="45013FE9" wp14:editId="205B7FB9">
            <wp:extent cx="2433099" cy="2550201"/>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5087" cy="2552285"/>
                    </a:xfrm>
                    <a:prstGeom prst="rect">
                      <a:avLst/>
                    </a:prstGeom>
                    <a:noFill/>
                    <a:ln>
                      <a:noFill/>
                    </a:ln>
                  </pic:spPr>
                </pic:pic>
              </a:graphicData>
            </a:graphic>
          </wp:inline>
        </w:drawing>
      </w:r>
    </w:p>
    <w:p w14:paraId="767B3DDA" w14:textId="108F2F30" w:rsidR="00F15DE2" w:rsidRPr="007A0378" w:rsidRDefault="00F15DE2" w:rsidP="007A0378">
      <w:pPr>
        <w:pStyle w:val="EndnoteText"/>
        <w:spacing w:line="360" w:lineRule="auto"/>
        <w:jc w:val="both"/>
        <w:rPr>
          <w:rFonts w:ascii="Book Antiqua" w:hAnsi="Book Antiqua"/>
          <w:b/>
          <w:bCs/>
          <w:sz w:val="24"/>
          <w:szCs w:val="24"/>
          <w:lang w:eastAsia="zh-CN"/>
        </w:rPr>
      </w:pPr>
      <w:r w:rsidRPr="007A0378">
        <w:rPr>
          <w:rFonts w:ascii="Book Antiqua" w:hAnsi="Book Antiqua"/>
          <w:b/>
          <w:bCs/>
          <w:sz w:val="24"/>
          <w:szCs w:val="24"/>
        </w:rPr>
        <w:t>Fig</w:t>
      </w:r>
      <w:r w:rsidR="007A0378" w:rsidRPr="007A0378">
        <w:rPr>
          <w:rFonts w:ascii="Book Antiqua" w:hAnsi="Book Antiqua" w:hint="eastAsia"/>
          <w:b/>
          <w:bCs/>
          <w:sz w:val="24"/>
          <w:szCs w:val="24"/>
          <w:lang w:eastAsia="zh-CN"/>
        </w:rPr>
        <w:t xml:space="preserve">ure </w:t>
      </w:r>
      <w:r w:rsidRPr="007A0378">
        <w:rPr>
          <w:rFonts w:ascii="Book Antiqua" w:hAnsi="Book Antiqua"/>
          <w:b/>
          <w:bCs/>
          <w:sz w:val="24"/>
          <w:szCs w:val="24"/>
        </w:rPr>
        <w:t>1 Abdominal plain film showing small bowel ileus and colonic distension</w:t>
      </w:r>
      <w:r w:rsidR="007A0378" w:rsidRPr="007A0378">
        <w:rPr>
          <w:rFonts w:ascii="Book Antiqua" w:hAnsi="Book Antiqua" w:hint="eastAsia"/>
          <w:b/>
          <w:bCs/>
          <w:sz w:val="24"/>
          <w:szCs w:val="24"/>
          <w:lang w:eastAsia="zh-CN"/>
        </w:rPr>
        <w:t>.</w:t>
      </w:r>
    </w:p>
    <w:sectPr w:rsidR="00F15DE2" w:rsidRPr="007A037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C4244" w14:textId="77777777" w:rsidR="00C65B28" w:rsidRDefault="00C65B28" w:rsidP="00C5441A">
      <w:pPr>
        <w:spacing w:after="0" w:line="240" w:lineRule="auto"/>
      </w:pPr>
      <w:r>
        <w:separator/>
      </w:r>
    </w:p>
  </w:endnote>
  <w:endnote w:type="continuationSeparator" w:id="0">
    <w:p w14:paraId="47DED4BC" w14:textId="77777777" w:rsidR="00C65B28" w:rsidRDefault="00C65B28" w:rsidP="00C5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BF697" w14:textId="77777777" w:rsidR="00C65B28" w:rsidRDefault="00C65B28" w:rsidP="00C5441A">
      <w:pPr>
        <w:spacing w:after="0" w:line="240" w:lineRule="auto"/>
      </w:pPr>
      <w:r>
        <w:separator/>
      </w:r>
    </w:p>
  </w:footnote>
  <w:footnote w:type="continuationSeparator" w:id="0">
    <w:p w14:paraId="3BFD3ACA" w14:textId="77777777" w:rsidR="00C65B28" w:rsidRDefault="00C65B28" w:rsidP="00C5441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F7C63"/>
    <w:multiLevelType w:val="hybridMultilevel"/>
    <w:tmpl w:val="78B8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58"/>
    <w:rsid w:val="000226B4"/>
    <w:rsid w:val="000345D3"/>
    <w:rsid w:val="00037EED"/>
    <w:rsid w:val="000417BE"/>
    <w:rsid w:val="000457BD"/>
    <w:rsid w:val="0009651A"/>
    <w:rsid w:val="000F7151"/>
    <w:rsid w:val="00110471"/>
    <w:rsid w:val="00111727"/>
    <w:rsid w:val="00124905"/>
    <w:rsid w:val="0013462F"/>
    <w:rsid w:val="001665D1"/>
    <w:rsid w:val="00173977"/>
    <w:rsid w:val="001866F9"/>
    <w:rsid w:val="001879FB"/>
    <w:rsid w:val="001B2BCC"/>
    <w:rsid w:val="001D604A"/>
    <w:rsid w:val="001E4DF3"/>
    <w:rsid w:val="001F2C01"/>
    <w:rsid w:val="002001DD"/>
    <w:rsid w:val="00213E0E"/>
    <w:rsid w:val="002500D0"/>
    <w:rsid w:val="0025421B"/>
    <w:rsid w:val="002863B6"/>
    <w:rsid w:val="002878B1"/>
    <w:rsid w:val="00291D8D"/>
    <w:rsid w:val="002B7068"/>
    <w:rsid w:val="002F3469"/>
    <w:rsid w:val="00307108"/>
    <w:rsid w:val="00310E92"/>
    <w:rsid w:val="00337AEA"/>
    <w:rsid w:val="003423D1"/>
    <w:rsid w:val="00364005"/>
    <w:rsid w:val="00366A2F"/>
    <w:rsid w:val="00377DF3"/>
    <w:rsid w:val="00395F3E"/>
    <w:rsid w:val="00397D96"/>
    <w:rsid w:val="003C48AE"/>
    <w:rsid w:val="003D0677"/>
    <w:rsid w:val="003E25E5"/>
    <w:rsid w:val="00427EA3"/>
    <w:rsid w:val="00431FE1"/>
    <w:rsid w:val="00447F88"/>
    <w:rsid w:val="00491A5E"/>
    <w:rsid w:val="00496102"/>
    <w:rsid w:val="004A79AA"/>
    <w:rsid w:val="004C0E40"/>
    <w:rsid w:val="004C4F22"/>
    <w:rsid w:val="004E1C2C"/>
    <w:rsid w:val="004F43C3"/>
    <w:rsid w:val="0050534D"/>
    <w:rsid w:val="005113D4"/>
    <w:rsid w:val="0057472B"/>
    <w:rsid w:val="005A254E"/>
    <w:rsid w:val="005B29F5"/>
    <w:rsid w:val="005C3B80"/>
    <w:rsid w:val="005D31A9"/>
    <w:rsid w:val="005E0182"/>
    <w:rsid w:val="005F501A"/>
    <w:rsid w:val="00622163"/>
    <w:rsid w:val="006253FE"/>
    <w:rsid w:val="0063518D"/>
    <w:rsid w:val="00653165"/>
    <w:rsid w:val="00657DF6"/>
    <w:rsid w:val="00664ECD"/>
    <w:rsid w:val="00681E1C"/>
    <w:rsid w:val="0069122C"/>
    <w:rsid w:val="006A42F0"/>
    <w:rsid w:val="006C236B"/>
    <w:rsid w:val="006F4265"/>
    <w:rsid w:val="00700E99"/>
    <w:rsid w:val="0071557B"/>
    <w:rsid w:val="00751C27"/>
    <w:rsid w:val="00775197"/>
    <w:rsid w:val="00775351"/>
    <w:rsid w:val="00796D02"/>
    <w:rsid w:val="007A0378"/>
    <w:rsid w:val="007A667B"/>
    <w:rsid w:val="007A76BA"/>
    <w:rsid w:val="007C3345"/>
    <w:rsid w:val="007E52B5"/>
    <w:rsid w:val="00802A6D"/>
    <w:rsid w:val="00804DFC"/>
    <w:rsid w:val="00810BC5"/>
    <w:rsid w:val="008150A9"/>
    <w:rsid w:val="00815252"/>
    <w:rsid w:val="008158DE"/>
    <w:rsid w:val="00824683"/>
    <w:rsid w:val="00831FAC"/>
    <w:rsid w:val="00852B06"/>
    <w:rsid w:val="00872756"/>
    <w:rsid w:val="00876851"/>
    <w:rsid w:val="00892CB6"/>
    <w:rsid w:val="008A02FB"/>
    <w:rsid w:val="008B0596"/>
    <w:rsid w:val="008B729A"/>
    <w:rsid w:val="008D5F29"/>
    <w:rsid w:val="008E13E6"/>
    <w:rsid w:val="00901AB9"/>
    <w:rsid w:val="009223F7"/>
    <w:rsid w:val="00935B70"/>
    <w:rsid w:val="00940ECB"/>
    <w:rsid w:val="00980B59"/>
    <w:rsid w:val="00986048"/>
    <w:rsid w:val="009A414D"/>
    <w:rsid w:val="009A778C"/>
    <w:rsid w:val="009C1F5A"/>
    <w:rsid w:val="009C2ED5"/>
    <w:rsid w:val="00A03F69"/>
    <w:rsid w:val="00A10E28"/>
    <w:rsid w:val="00A43366"/>
    <w:rsid w:val="00A7092B"/>
    <w:rsid w:val="00A85EF9"/>
    <w:rsid w:val="00AB77CE"/>
    <w:rsid w:val="00AC125E"/>
    <w:rsid w:val="00AC493C"/>
    <w:rsid w:val="00AD4041"/>
    <w:rsid w:val="00AD4656"/>
    <w:rsid w:val="00B043E7"/>
    <w:rsid w:val="00B073C5"/>
    <w:rsid w:val="00B1060B"/>
    <w:rsid w:val="00B1095A"/>
    <w:rsid w:val="00B249F7"/>
    <w:rsid w:val="00B27053"/>
    <w:rsid w:val="00B504A0"/>
    <w:rsid w:val="00B54694"/>
    <w:rsid w:val="00B70E3C"/>
    <w:rsid w:val="00B84E95"/>
    <w:rsid w:val="00BB4AB2"/>
    <w:rsid w:val="00BC15C4"/>
    <w:rsid w:val="00BE20C0"/>
    <w:rsid w:val="00BE41E9"/>
    <w:rsid w:val="00BE512A"/>
    <w:rsid w:val="00BF2F18"/>
    <w:rsid w:val="00C279C9"/>
    <w:rsid w:val="00C37BCB"/>
    <w:rsid w:val="00C5441A"/>
    <w:rsid w:val="00C56FBD"/>
    <w:rsid w:val="00C65B28"/>
    <w:rsid w:val="00C71797"/>
    <w:rsid w:val="00C80DFF"/>
    <w:rsid w:val="00C961AA"/>
    <w:rsid w:val="00CA653E"/>
    <w:rsid w:val="00CC7ADF"/>
    <w:rsid w:val="00CD5A1F"/>
    <w:rsid w:val="00CD5AE0"/>
    <w:rsid w:val="00CE5048"/>
    <w:rsid w:val="00D009E4"/>
    <w:rsid w:val="00D01E1A"/>
    <w:rsid w:val="00D10ACC"/>
    <w:rsid w:val="00D15D08"/>
    <w:rsid w:val="00D40358"/>
    <w:rsid w:val="00D51D72"/>
    <w:rsid w:val="00D66863"/>
    <w:rsid w:val="00D742BB"/>
    <w:rsid w:val="00D8115F"/>
    <w:rsid w:val="00D856E5"/>
    <w:rsid w:val="00DD7826"/>
    <w:rsid w:val="00DF7D89"/>
    <w:rsid w:val="00E16241"/>
    <w:rsid w:val="00E23E16"/>
    <w:rsid w:val="00E37698"/>
    <w:rsid w:val="00E4752D"/>
    <w:rsid w:val="00E76455"/>
    <w:rsid w:val="00E946A9"/>
    <w:rsid w:val="00EB2678"/>
    <w:rsid w:val="00EC5DB1"/>
    <w:rsid w:val="00EF2820"/>
    <w:rsid w:val="00F03F85"/>
    <w:rsid w:val="00F05031"/>
    <w:rsid w:val="00F0750E"/>
    <w:rsid w:val="00F14592"/>
    <w:rsid w:val="00F1542F"/>
    <w:rsid w:val="00F15DE2"/>
    <w:rsid w:val="00F17CE5"/>
    <w:rsid w:val="00F25E8A"/>
    <w:rsid w:val="00F36381"/>
    <w:rsid w:val="00F43E5F"/>
    <w:rsid w:val="00F52C5E"/>
    <w:rsid w:val="00F66EB0"/>
    <w:rsid w:val="00F72FAB"/>
    <w:rsid w:val="00F73787"/>
    <w:rsid w:val="00F96953"/>
    <w:rsid w:val="00FD3760"/>
    <w:rsid w:val="00FD4E86"/>
    <w:rsid w:val="00FE1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70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5441A"/>
    <w:pPr>
      <w:spacing w:after="0" w:line="240" w:lineRule="auto"/>
    </w:pPr>
    <w:rPr>
      <w:sz w:val="20"/>
      <w:szCs w:val="20"/>
    </w:rPr>
  </w:style>
  <w:style w:type="character" w:customStyle="1" w:styleId="EndnoteTextChar">
    <w:name w:val="Endnote Text Char"/>
    <w:basedOn w:val="DefaultParagraphFont"/>
    <w:link w:val="EndnoteText"/>
    <w:uiPriority w:val="99"/>
    <w:rsid w:val="00C5441A"/>
    <w:rPr>
      <w:sz w:val="20"/>
      <w:szCs w:val="20"/>
    </w:rPr>
  </w:style>
  <w:style w:type="character" w:styleId="EndnoteReference">
    <w:name w:val="endnote reference"/>
    <w:basedOn w:val="DefaultParagraphFont"/>
    <w:uiPriority w:val="99"/>
    <w:unhideWhenUsed/>
    <w:rsid w:val="00C5441A"/>
    <w:rPr>
      <w:vertAlign w:val="superscript"/>
    </w:rPr>
  </w:style>
  <w:style w:type="paragraph" w:styleId="ListParagraph">
    <w:name w:val="List Paragraph"/>
    <w:basedOn w:val="Normal"/>
    <w:uiPriority w:val="34"/>
    <w:qFormat/>
    <w:rsid w:val="003423D1"/>
    <w:pPr>
      <w:ind w:left="720"/>
      <w:contextualSpacing/>
    </w:pPr>
  </w:style>
  <w:style w:type="paragraph" w:styleId="FootnoteText">
    <w:name w:val="footnote text"/>
    <w:basedOn w:val="Normal"/>
    <w:link w:val="FootnoteTextChar"/>
    <w:uiPriority w:val="99"/>
    <w:unhideWhenUsed/>
    <w:rsid w:val="00F96953"/>
    <w:pPr>
      <w:spacing w:after="0" w:line="240" w:lineRule="auto"/>
    </w:pPr>
    <w:rPr>
      <w:sz w:val="24"/>
      <w:szCs w:val="24"/>
    </w:rPr>
  </w:style>
  <w:style w:type="character" w:customStyle="1" w:styleId="FootnoteTextChar">
    <w:name w:val="Footnote Text Char"/>
    <w:basedOn w:val="DefaultParagraphFont"/>
    <w:link w:val="FootnoteText"/>
    <w:uiPriority w:val="99"/>
    <w:rsid w:val="00F96953"/>
    <w:rPr>
      <w:sz w:val="24"/>
      <w:szCs w:val="24"/>
    </w:rPr>
  </w:style>
  <w:style w:type="character" w:styleId="FootnoteReference">
    <w:name w:val="footnote reference"/>
    <w:basedOn w:val="DefaultParagraphFont"/>
    <w:uiPriority w:val="99"/>
    <w:unhideWhenUsed/>
    <w:rsid w:val="00F96953"/>
    <w:rPr>
      <w:vertAlign w:val="superscript"/>
    </w:rPr>
  </w:style>
  <w:style w:type="paragraph" w:styleId="BalloonText">
    <w:name w:val="Balloon Text"/>
    <w:basedOn w:val="Normal"/>
    <w:link w:val="BalloonTextChar"/>
    <w:uiPriority w:val="99"/>
    <w:semiHidden/>
    <w:unhideWhenUsed/>
    <w:rsid w:val="003D067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0677"/>
    <w:rPr>
      <w:rFonts w:ascii="Lucida Grande" w:hAnsi="Lucida Grande" w:cs="Lucida Grande"/>
      <w:sz w:val="18"/>
      <w:szCs w:val="18"/>
    </w:rPr>
  </w:style>
  <w:style w:type="character" w:styleId="Hyperlink">
    <w:name w:val="Hyperlink"/>
    <w:basedOn w:val="DefaultParagraphFont"/>
    <w:uiPriority w:val="99"/>
    <w:unhideWhenUsed/>
    <w:rsid w:val="003D0677"/>
    <w:rPr>
      <w:color w:val="0000FF" w:themeColor="hyperlink"/>
      <w:u w:val="single"/>
    </w:rPr>
  </w:style>
  <w:style w:type="table" w:styleId="LightList-Accent1">
    <w:name w:val="Light List Accent 1"/>
    <w:basedOn w:val="TableNormal"/>
    <w:uiPriority w:val="61"/>
    <w:rsid w:val="008E13E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Table3Accent1">
    <w:name w:val="List Table 3 Accent 1"/>
    <w:basedOn w:val="TableNormal"/>
    <w:uiPriority w:val="48"/>
    <w:rsid w:val="008E13E6"/>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CommentReference">
    <w:name w:val="annotation reference"/>
    <w:basedOn w:val="DefaultParagraphFont"/>
    <w:uiPriority w:val="99"/>
    <w:semiHidden/>
    <w:unhideWhenUsed/>
    <w:rsid w:val="00F52C5E"/>
    <w:rPr>
      <w:sz w:val="18"/>
      <w:szCs w:val="18"/>
    </w:rPr>
  </w:style>
  <w:style w:type="paragraph" w:styleId="CommentText">
    <w:name w:val="annotation text"/>
    <w:basedOn w:val="Normal"/>
    <w:link w:val="CommentTextChar"/>
    <w:uiPriority w:val="99"/>
    <w:semiHidden/>
    <w:unhideWhenUsed/>
    <w:rsid w:val="00F52C5E"/>
    <w:pPr>
      <w:spacing w:line="240" w:lineRule="auto"/>
    </w:pPr>
    <w:rPr>
      <w:sz w:val="24"/>
      <w:szCs w:val="24"/>
    </w:rPr>
  </w:style>
  <w:style w:type="character" w:customStyle="1" w:styleId="CommentTextChar">
    <w:name w:val="Comment Text Char"/>
    <w:basedOn w:val="DefaultParagraphFont"/>
    <w:link w:val="CommentText"/>
    <w:uiPriority w:val="99"/>
    <w:semiHidden/>
    <w:rsid w:val="00F52C5E"/>
    <w:rPr>
      <w:sz w:val="24"/>
      <w:szCs w:val="24"/>
    </w:rPr>
  </w:style>
  <w:style w:type="paragraph" w:styleId="CommentSubject">
    <w:name w:val="annotation subject"/>
    <w:basedOn w:val="CommentText"/>
    <w:next w:val="CommentText"/>
    <w:link w:val="CommentSubjectChar"/>
    <w:uiPriority w:val="99"/>
    <w:semiHidden/>
    <w:unhideWhenUsed/>
    <w:rsid w:val="00F52C5E"/>
    <w:rPr>
      <w:b/>
      <w:bCs/>
      <w:sz w:val="20"/>
      <w:szCs w:val="20"/>
    </w:rPr>
  </w:style>
  <w:style w:type="character" w:customStyle="1" w:styleId="CommentSubjectChar">
    <w:name w:val="Comment Subject Char"/>
    <w:basedOn w:val="CommentTextChar"/>
    <w:link w:val="CommentSubject"/>
    <w:uiPriority w:val="99"/>
    <w:semiHidden/>
    <w:rsid w:val="00F52C5E"/>
    <w:rPr>
      <w:b/>
      <w:bCs/>
      <w:sz w:val="20"/>
      <w:szCs w:val="20"/>
    </w:rPr>
  </w:style>
  <w:style w:type="paragraph" w:styleId="Header">
    <w:name w:val="header"/>
    <w:basedOn w:val="Normal"/>
    <w:link w:val="HeaderChar"/>
    <w:uiPriority w:val="99"/>
    <w:unhideWhenUsed/>
    <w:rsid w:val="00AD4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041"/>
  </w:style>
  <w:style w:type="paragraph" w:styleId="Footer">
    <w:name w:val="footer"/>
    <w:basedOn w:val="Normal"/>
    <w:link w:val="FooterChar"/>
    <w:uiPriority w:val="99"/>
    <w:unhideWhenUsed/>
    <w:rsid w:val="00AD4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041"/>
  </w:style>
  <w:style w:type="paragraph" w:customStyle="1" w:styleId="1">
    <w:name w:val="正文1"/>
    <w:uiPriority w:val="99"/>
    <w:rsid w:val="00310E92"/>
    <w:pPr>
      <w:spacing w:after="0"/>
    </w:pPr>
    <w:rPr>
      <w:rFonts w:ascii="Arial" w:hAnsi="Arial" w:cs="Arial"/>
      <w:color w:val="000000"/>
      <w:szCs w:val="20"/>
      <w:lang w:val="pl-PL" w:eastAsia="pl-PL"/>
    </w:rPr>
  </w:style>
  <w:style w:type="character" w:styleId="Strong">
    <w:name w:val="Strong"/>
    <w:basedOn w:val="DefaultParagraphFont"/>
    <w:uiPriority w:val="22"/>
    <w:qFormat/>
    <w:rsid w:val="001665D1"/>
    <w:rPr>
      <w:b/>
      <w:bCs/>
    </w:rPr>
  </w:style>
  <w:style w:type="character" w:styleId="Emphasis">
    <w:name w:val="Emphasis"/>
    <w:qFormat/>
    <w:rsid w:val="00831FA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5441A"/>
    <w:pPr>
      <w:spacing w:after="0" w:line="240" w:lineRule="auto"/>
    </w:pPr>
    <w:rPr>
      <w:sz w:val="20"/>
      <w:szCs w:val="20"/>
    </w:rPr>
  </w:style>
  <w:style w:type="character" w:customStyle="1" w:styleId="EndnoteTextChar">
    <w:name w:val="Endnote Text Char"/>
    <w:basedOn w:val="DefaultParagraphFont"/>
    <w:link w:val="EndnoteText"/>
    <w:uiPriority w:val="99"/>
    <w:rsid w:val="00C5441A"/>
    <w:rPr>
      <w:sz w:val="20"/>
      <w:szCs w:val="20"/>
    </w:rPr>
  </w:style>
  <w:style w:type="character" w:styleId="EndnoteReference">
    <w:name w:val="endnote reference"/>
    <w:basedOn w:val="DefaultParagraphFont"/>
    <w:uiPriority w:val="99"/>
    <w:unhideWhenUsed/>
    <w:rsid w:val="00C5441A"/>
    <w:rPr>
      <w:vertAlign w:val="superscript"/>
    </w:rPr>
  </w:style>
  <w:style w:type="paragraph" w:styleId="ListParagraph">
    <w:name w:val="List Paragraph"/>
    <w:basedOn w:val="Normal"/>
    <w:uiPriority w:val="34"/>
    <w:qFormat/>
    <w:rsid w:val="003423D1"/>
    <w:pPr>
      <w:ind w:left="720"/>
      <w:contextualSpacing/>
    </w:pPr>
  </w:style>
  <w:style w:type="paragraph" w:styleId="FootnoteText">
    <w:name w:val="footnote text"/>
    <w:basedOn w:val="Normal"/>
    <w:link w:val="FootnoteTextChar"/>
    <w:uiPriority w:val="99"/>
    <w:unhideWhenUsed/>
    <w:rsid w:val="00F96953"/>
    <w:pPr>
      <w:spacing w:after="0" w:line="240" w:lineRule="auto"/>
    </w:pPr>
    <w:rPr>
      <w:sz w:val="24"/>
      <w:szCs w:val="24"/>
    </w:rPr>
  </w:style>
  <w:style w:type="character" w:customStyle="1" w:styleId="FootnoteTextChar">
    <w:name w:val="Footnote Text Char"/>
    <w:basedOn w:val="DefaultParagraphFont"/>
    <w:link w:val="FootnoteText"/>
    <w:uiPriority w:val="99"/>
    <w:rsid w:val="00F96953"/>
    <w:rPr>
      <w:sz w:val="24"/>
      <w:szCs w:val="24"/>
    </w:rPr>
  </w:style>
  <w:style w:type="character" w:styleId="FootnoteReference">
    <w:name w:val="footnote reference"/>
    <w:basedOn w:val="DefaultParagraphFont"/>
    <w:uiPriority w:val="99"/>
    <w:unhideWhenUsed/>
    <w:rsid w:val="00F96953"/>
    <w:rPr>
      <w:vertAlign w:val="superscript"/>
    </w:rPr>
  </w:style>
  <w:style w:type="paragraph" w:styleId="BalloonText">
    <w:name w:val="Balloon Text"/>
    <w:basedOn w:val="Normal"/>
    <w:link w:val="BalloonTextChar"/>
    <w:uiPriority w:val="99"/>
    <w:semiHidden/>
    <w:unhideWhenUsed/>
    <w:rsid w:val="003D067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0677"/>
    <w:rPr>
      <w:rFonts w:ascii="Lucida Grande" w:hAnsi="Lucida Grande" w:cs="Lucida Grande"/>
      <w:sz w:val="18"/>
      <w:szCs w:val="18"/>
    </w:rPr>
  </w:style>
  <w:style w:type="character" w:styleId="Hyperlink">
    <w:name w:val="Hyperlink"/>
    <w:basedOn w:val="DefaultParagraphFont"/>
    <w:uiPriority w:val="99"/>
    <w:unhideWhenUsed/>
    <w:rsid w:val="003D0677"/>
    <w:rPr>
      <w:color w:val="0000FF" w:themeColor="hyperlink"/>
      <w:u w:val="single"/>
    </w:rPr>
  </w:style>
  <w:style w:type="table" w:styleId="LightList-Accent1">
    <w:name w:val="Light List Accent 1"/>
    <w:basedOn w:val="TableNormal"/>
    <w:uiPriority w:val="61"/>
    <w:rsid w:val="008E13E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Table3Accent1">
    <w:name w:val="List Table 3 Accent 1"/>
    <w:basedOn w:val="TableNormal"/>
    <w:uiPriority w:val="48"/>
    <w:rsid w:val="008E13E6"/>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CommentReference">
    <w:name w:val="annotation reference"/>
    <w:basedOn w:val="DefaultParagraphFont"/>
    <w:uiPriority w:val="99"/>
    <w:semiHidden/>
    <w:unhideWhenUsed/>
    <w:rsid w:val="00F52C5E"/>
    <w:rPr>
      <w:sz w:val="18"/>
      <w:szCs w:val="18"/>
    </w:rPr>
  </w:style>
  <w:style w:type="paragraph" w:styleId="CommentText">
    <w:name w:val="annotation text"/>
    <w:basedOn w:val="Normal"/>
    <w:link w:val="CommentTextChar"/>
    <w:uiPriority w:val="99"/>
    <w:semiHidden/>
    <w:unhideWhenUsed/>
    <w:rsid w:val="00F52C5E"/>
    <w:pPr>
      <w:spacing w:line="240" w:lineRule="auto"/>
    </w:pPr>
    <w:rPr>
      <w:sz w:val="24"/>
      <w:szCs w:val="24"/>
    </w:rPr>
  </w:style>
  <w:style w:type="character" w:customStyle="1" w:styleId="CommentTextChar">
    <w:name w:val="Comment Text Char"/>
    <w:basedOn w:val="DefaultParagraphFont"/>
    <w:link w:val="CommentText"/>
    <w:uiPriority w:val="99"/>
    <w:semiHidden/>
    <w:rsid w:val="00F52C5E"/>
    <w:rPr>
      <w:sz w:val="24"/>
      <w:szCs w:val="24"/>
    </w:rPr>
  </w:style>
  <w:style w:type="paragraph" w:styleId="CommentSubject">
    <w:name w:val="annotation subject"/>
    <w:basedOn w:val="CommentText"/>
    <w:next w:val="CommentText"/>
    <w:link w:val="CommentSubjectChar"/>
    <w:uiPriority w:val="99"/>
    <w:semiHidden/>
    <w:unhideWhenUsed/>
    <w:rsid w:val="00F52C5E"/>
    <w:rPr>
      <w:b/>
      <w:bCs/>
      <w:sz w:val="20"/>
      <w:szCs w:val="20"/>
    </w:rPr>
  </w:style>
  <w:style w:type="character" w:customStyle="1" w:styleId="CommentSubjectChar">
    <w:name w:val="Comment Subject Char"/>
    <w:basedOn w:val="CommentTextChar"/>
    <w:link w:val="CommentSubject"/>
    <w:uiPriority w:val="99"/>
    <w:semiHidden/>
    <w:rsid w:val="00F52C5E"/>
    <w:rPr>
      <w:b/>
      <w:bCs/>
      <w:sz w:val="20"/>
      <w:szCs w:val="20"/>
    </w:rPr>
  </w:style>
  <w:style w:type="paragraph" w:styleId="Header">
    <w:name w:val="header"/>
    <w:basedOn w:val="Normal"/>
    <w:link w:val="HeaderChar"/>
    <w:uiPriority w:val="99"/>
    <w:unhideWhenUsed/>
    <w:rsid w:val="00AD4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041"/>
  </w:style>
  <w:style w:type="paragraph" w:styleId="Footer">
    <w:name w:val="footer"/>
    <w:basedOn w:val="Normal"/>
    <w:link w:val="FooterChar"/>
    <w:uiPriority w:val="99"/>
    <w:unhideWhenUsed/>
    <w:rsid w:val="00AD4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041"/>
  </w:style>
  <w:style w:type="paragraph" w:customStyle="1" w:styleId="1">
    <w:name w:val="正文1"/>
    <w:uiPriority w:val="99"/>
    <w:rsid w:val="00310E92"/>
    <w:pPr>
      <w:spacing w:after="0"/>
    </w:pPr>
    <w:rPr>
      <w:rFonts w:ascii="Arial" w:hAnsi="Arial" w:cs="Arial"/>
      <w:color w:val="000000"/>
      <w:szCs w:val="20"/>
      <w:lang w:val="pl-PL" w:eastAsia="pl-PL"/>
    </w:rPr>
  </w:style>
  <w:style w:type="character" w:styleId="Strong">
    <w:name w:val="Strong"/>
    <w:basedOn w:val="DefaultParagraphFont"/>
    <w:uiPriority w:val="22"/>
    <w:qFormat/>
    <w:rsid w:val="001665D1"/>
    <w:rPr>
      <w:b/>
      <w:bCs/>
    </w:rPr>
  </w:style>
  <w:style w:type="character" w:styleId="Emphasis">
    <w:name w:val="Emphasis"/>
    <w:qFormat/>
    <w:rsid w:val="00831FA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F14AD-BE67-D049-A681-4CD316CD1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4544</Words>
  <Characters>25907</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Scott &amp; White Healthcare</Company>
  <LinksUpToDate>false</LinksUpToDate>
  <CharactersWithSpaces>30391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Vazquez Sandoval, Alfredo   M.D.</dc:creator>
  <cp:lastModifiedBy>Na Ma</cp:lastModifiedBy>
  <cp:revision>2</cp:revision>
  <dcterms:created xsi:type="dcterms:W3CDTF">2017-07-15T00:05:00Z</dcterms:created>
  <dcterms:modified xsi:type="dcterms:W3CDTF">2017-07-15T00:05:00Z</dcterms:modified>
</cp:coreProperties>
</file>