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2667C" w14:textId="77777777" w:rsidR="003B780A" w:rsidRPr="004B39D6" w:rsidRDefault="00E00B42" w:rsidP="0081528B">
      <w:pPr>
        <w:snapToGrid w:val="0"/>
        <w:spacing w:after="0" w:line="360" w:lineRule="auto"/>
        <w:jc w:val="both"/>
        <w:rPr>
          <w:rFonts w:ascii="Book Antiqua" w:hAnsi="Book Antiqua" w:cs="Arial"/>
          <w:b/>
          <w:sz w:val="24"/>
          <w:szCs w:val="24"/>
          <w:lang w:val="en-US" w:eastAsia="zh-CN"/>
        </w:rPr>
      </w:pPr>
      <w:r w:rsidRPr="004B39D6">
        <w:rPr>
          <w:rFonts w:ascii="Book Antiqua" w:hAnsi="Book Antiqua" w:cs="Arial"/>
          <w:b/>
          <w:sz w:val="24"/>
          <w:szCs w:val="24"/>
          <w:lang w:val="en-US"/>
        </w:rPr>
        <w:t xml:space="preserve">Name of Journal: </w:t>
      </w:r>
      <w:r w:rsidRPr="004B39D6">
        <w:rPr>
          <w:rFonts w:ascii="Book Antiqua" w:hAnsi="Book Antiqua" w:cs="Arial"/>
          <w:b/>
          <w:i/>
          <w:sz w:val="24"/>
          <w:szCs w:val="24"/>
          <w:lang w:val="en-US"/>
        </w:rPr>
        <w:t xml:space="preserve">World Journal of </w:t>
      </w:r>
      <w:proofErr w:type="spellStart"/>
      <w:r w:rsidRPr="004B39D6">
        <w:rPr>
          <w:rFonts w:ascii="Book Antiqua" w:hAnsi="Book Antiqua" w:cs="Arial"/>
          <w:b/>
          <w:i/>
          <w:sz w:val="24"/>
          <w:szCs w:val="24"/>
          <w:lang w:val="en-US"/>
        </w:rPr>
        <w:t>Hepatology</w:t>
      </w:r>
      <w:proofErr w:type="spellEnd"/>
    </w:p>
    <w:p w14:paraId="3E935F88" w14:textId="1F312604" w:rsidR="00907997" w:rsidRPr="004B39D6" w:rsidRDefault="00907997" w:rsidP="0081528B">
      <w:pPr>
        <w:snapToGrid w:val="0"/>
        <w:spacing w:after="0" w:line="360" w:lineRule="auto"/>
        <w:jc w:val="both"/>
        <w:rPr>
          <w:rFonts w:ascii="Book Antiqua" w:hAnsi="Book Antiqua" w:cs="Arial"/>
          <w:b/>
          <w:sz w:val="24"/>
          <w:szCs w:val="24"/>
          <w:lang w:val="en-US" w:eastAsia="zh-CN"/>
        </w:rPr>
      </w:pPr>
      <w:r w:rsidRPr="004B39D6">
        <w:rPr>
          <w:rFonts w:ascii="Book Antiqua" w:hAnsi="Book Antiqua" w:cs="Arial"/>
          <w:b/>
          <w:sz w:val="24"/>
          <w:szCs w:val="24"/>
          <w:lang w:val="en-US"/>
        </w:rPr>
        <w:t>Manuscript</w:t>
      </w:r>
      <w:r w:rsidRPr="004B39D6">
        <w:rPr>
          <w:rFonts w:ascii="Book Antiqua" w:hAnsi="Book Antiqua" w:cs="Arial"/>
          <w:b/>
          <w:sz w:val="24"/>
          <w:szCs w:val="24"/>
          <w:lang w:val="en-US" w:eastAsia="zh-CN"/>
        </w:rPr>
        <w:t xml:space="preserve"> NO: 32976</w:t>
      </w:r>
    </w:p>
    <w:p w14:paraId="6336D775" w14:textId="0D1CB335" w:rsidR="00AC10BA" w:rsidRDefault="00E00B42" w:rsidP="0081528B">
      <w:pPr>
        <w:snapToGrid w:val="0"/>
        <w:spacing w:after="0" w:line="360" w:lineRule="auto"/>
        <w:jc w:val="both"/>
        <w:rPr>
          <w:rFonts w:ascii="Book Antiqua" w:hAnsi="Book Antiqua"/>
          <w:b/>
          <w:sz w:val="24"/>
          <w:szCs w:val="24"/>
          <w:lang w:eastAsia="zh-CN"/>
        </w:rPr>
      </w:pPr>
      <w:r w:rsidRPr="004B39D6">
        <w:rPr>
          <w:rFonts w:ascii="Book Antiqua" w:hAnsi="Book Antiqua" w:cs="Arial"/>
          <w:b/>
          <w:sz w:val="24"/>
          <w:szCs w:val="24"/>
          <w:lang w:val="en-US"/>
        </w:rPr>
        <w:t xml:space="preserve">Manuscript Type: </w:t>
      </w:r>
      <w:bookmarkStart w:id="0" w:name="OLE_LINK599"/>
      <w:bookmarkStart w:id="1" w:name="OLE_LINK600"/>
      <w:bookmarkStart w:id="2" w:name="OLE_LINK681"/>
      <w:bookmarkStart w:id="3" w:name="OLE_LINK658"/>
      <w:bookmarkStart w:id="4" w:name="OLE_LINK659"/>
      <w:r w:rsidR="00AC10BA" w:rsidRPr="004B39D6">
        <w:rPr>
          <w:rFonts w:ascii="Book Antiqua" w:hAnsi="Book Antiqua"/>
          <w:b/>
          <w:sz w:val="24"/>
          <w:szCs w:val="24"/>
        </w:rPr>
        <w:t>Original Article</w:t>
      </w:r>
      <w:bookmarkEnd w:id="0"/>
      <w:bookmarkEnd w:id="1"/>
      <w:bookmarkEnd w:id="2"/>
      <w:bookmarkEnd w:id="3"/>
      <w:bookmarkEnd w:id="4"/>
      <w:r w:rsidR="00AC10BA" w:rsidRPr="004B39D6">
        <w:rPr>
          <w:rFonts w:ascii="Book Antiqua" w:hAnsi="Book Antiqua"/>
          <w:b/>
          <w:sz w:val="24"/>
          <w:szCs w:val="24"/>
        </w:rPr>
        <w:t xml:space="preserve">   </w:t>
      </w:r>
    </w:p>
    <w:p w14:paraId="60AA48B3" w14:textId="77777777" w:rsidR="00412682" w:rsidRPr="004B39D6" w:rsidRDefault="00412682" w:rsidP="0081528B">
      <w:pPr>
        <w:snapToGrid w:val="0"/>
        <w:spacing w:after="0" w:line="360" w:lineRule="auto"/>
        <w:jc w:val="both"/>
        <w:rPr>
          <w:rFonts w:ascii="Book Antiqua" w:hAnsi="Book Antiqua" w:cs="Arial"/>
          <w:b/>
          <w:sz w:val="24"/>
          <w:szCs w:val="24"/>
          <w:lang w:val="en-US" w:eastAsia="zh-CN"/>
        </w:rPr>
      </w:pPr>
    </w:p>
    <w:p w14:paraId="1422764C" w14:textId="49F4850F" w:rsidR="00E00B42" w:rsidRPr="004B39D6" w:rsidRDefault="00E00B42" w:rsidP="0081528B">
      <w:pPr>
        <w:snapToGrid w:val="0"/>
        <w:spacing w:after="0" w:line="360" w:lineRule="auto"/>
        <w:jc w:val="both"/>
        <w:rPr>
          <w:rFonts w:ascii="Book Antiqua" w:hAnsi="Book Antiqua" w:cs="Arial"/>
          <w:b/>
          <w:i/>
          <w:sz w:val="24"/>
          <w:szCs w:val="24"/>
          <w:lang w:val="en-US"/>
        </w:rPr>
      </w:pPr>
      <w:r w:rsidRPr="004B39D6">
        <w:rPr>
          <w:rFonts w:ascii="Book Antiqua" w:hAnsi="Book Antiqua" w:cs="Arial"/>
          <w:b/>
          <w:i/>
          <w:sz w:val="24"/>
          <w:szCs w:val="24"/>
          <w:lang w:val="en-US"/>
        </w:rPr>
        <w:t>Retrospective Study</w:t>
      </w:r>
    </w:p>
    <w:p w14:paraId="0920ED85" w14:textId="77777777" w:rsidR="003B780A" w:rsidRPr="004B39D6" w:rsidRDefault="003B780A" w:rsidP="0081528B">
      <w:pPr>
        <w:snapToGrid w:val="0"/>
        <w:spacing w:after="0" w:line="360" w:lineRule="auto"/>
        <w:jc w:val="both"/>
        <w:rPr>
          <w:rFonts w:ascii="Book Antiqua" w:hAnsi="Book Antiqua" w:cs="Arial"/>
          <w:b/>
          <w:sz w:val="24"/>
          <w:szCs w:val="24"/>
          <w:lang w:val="en-US"/>
        </w:rPr>
      </w:pPr>
    </w:p>
    <w:p w14:paraId="31E61344" w14:textId="77777777" w:rsidR="007C1E59" w:rsidRPr="004B39D6" w:rsidRDefault="003B780A" w:rsidP="0081528B">
      <w:pPr>
        <w:snapToGrid w:val="0"/>
        <w:spacing w:after="0" w:line="360" w:lineRule="auto"/>
        <w:jc w:val="both"/>
        <w:rPr>
          <w:rFonts w:ascii="Book Antiqua" w:hAnsi="Book Antiqua" w:cs="Arial"/>
          <w:b/>
          <w:sz w:val="24"/>
          <w:szCs w:val="24"/>
          <w:lang w:val="en-US" w:eastAsia="zh-CN"/>
        </w:rPr>
      </w:pPr>
      <w:bookmarkStart w:id="5" w:name="OLE_LINK863"/>
      <w:bookmarkStart w:id="6" w:name="OLE_LINK864"/>
      <w:bookmarkStart w:id="7" w:name="OLE_LINK873"/>
      <w:r w:rsidRPr="004B39D6">
        <w:rPr>
          <w:rFonts w:ascii="Book Antiqua" w:hAnsi="Book Antiqua" w:cs="Arial"/>
          <w:b/>
          <w:sz w:val="24"/>
          <w:szCs w:val="24"/>
          <w:lang w:val="en-US"/>
        </w:rPr>
        <w:t>T-ce</w:t>
      </w:r>
      <w:r w:rsidR="009F4B76" w:rsidRPr="004B39D6">
        <w:rPr>
          <w:rFonts w:ascii="Book Antiqua" w:hAnsi="Book Antiqua" w:cs="Arial"/>
          <w:b/>
          <w:sz w:val="24"/>
          <w:szCs w:val="24"/>
          <w:lang w:val="en-US"/>
        </w:rPr>
        <w:t xml:space="preserve">ll </w:t>
      </w:r>
      <w:proofErr w:type="spellStart"/>
      <w:r w:rsidR="009F4B76" w:rsidRPr="004B39D6">
        <w:rPr>
          <w:rFonts w:ascii="Book Antiqua" w:hAnsi="Book Antiqua" w:cs="Arial"/>
          <w:b/>
          <w:sz w:val="24"/>
          <w:szCs w:val="24"/>
          <w:lang w:val="en-US"/>
        </w:rPr>
        <w:t>allorecognition</w:t>
      </w:r>
      <w:proofErr w:type="spellEnd"/>
      <w:r w:rsidR="009F4B76" w:rsidRPr="004B39D6">
        <w:rPr>
          <w:rFonts w:ascii="Book Antiqua" w:hAnsi="Book Antiqua" w:cs="Arial"/>
          <w:b/>
          <w:sz w:val="24"/>
          <w:szCs w:val="24"/>
          <w:lang w:val="en-US"/>
        </w:rPr>
        <w:t xml:space="preserve"> of </w:t>
      </w:r>
      <w:r w:rsidR="00411D27" w:rsidRPr="004B39D6">
        <w:rPr>
          <w:rFonts w:ascii="Book Antiqua" w:hAnsi="Book Antiqua" w:cs="Arial"/>
          <w:b/>
          <w:sz w:val="24"/>
          <w:szCs w:val="24"/>
          <w:lang w:val="en-US"/>
        </w:rPr>
        <w:t xml:space="preserve">donor </w:t>
      </w:r>
      <w:r w:rsidR="009F4B76" w:rsidRPr="004B39D6">
        <w:rPr>
          <w:rFonts w:ascii="Book Antiqua" w:hAnsi="Book Antiqua" w:cs="Arial"/>
          <w:b/>
          <w:sz w:val="24"/>
          <w:szCs w:val="24"/>
          <w:lang w:val="en-US"/>
        </w:rPr>
        <w:t>g</w:t>
      </w:r>
      <w:r w:rsidRPr="004B39D6">
        <w:rPr>
          <w:rFonts w:ascii="Book Antiqua" w:hAnsi="Book Antiqua" w:cs="Arial"/>
          <w:b/>
          <w:sz w:val="24"/>
          <w:szCs w:val="24"/>
          <w:lang w:val="en-US"/>
        </w:rPr>
        <w:t>lutathione S-</w:t>
      </w:r>
      <w:proofErr w:type="spellStart"/>
      <w:r w:rsidRPr="004B39D6">
        <w:rPr>
          <w:rFonts w:ascii="Book Antiqua" w:hAnsi="Book Antiqua" w:cs="Arial"/>
          <w:b/>
          <w:sz w:val="24"/>
          <w:szCs w:val="24"/>
          <w:lang w:val="en-US"/>
        </w:rPr>
        <w:t>transferase</w:t>
      </w:r>
      <w:proofErr w:type="spellEnd"/>
      <w:r w:rsidRPr="004B39D6">
        <w:rPr>
          <w:rFonts w:ascii="Book Antiqua" w:hAnsi="Book Antiqua" w:cs="Arial"/>
          <w:b/>
          <w:sz w:val="24"/>
          <w:szCs w:val="24"/>
          <w:lang w:val="en-US"/>
        </w:rPr>
        <w:t xml:space="preserve"> T1 in </w:t>
      </w:r>
      <w:r w:rsidR="003D25DE" w:rsidRPr="004B39D6">
        <w:rPr>
          <w:rFonts w:ascii="Book Antiqua" w:hAnsi="Book Antiqua" w:cs="Arial"/>
          <w:b/>
          <w:sz w:val="24"/>
          <w:szCs w:val="24"/>
          <w:lang w:val="en-US"/>
        </w:rPr>
        <w:t>plasma cell</w:t>
      </w:r>
      <w:r w:rsidR="002E6613" w:rsidRPr="004B39D6">
        <w:rPr>
          <w:rFonts w:ascii="Book Antiqua" w:hAnsi="Book Antiqua" w:cs="Arial"/>
          <w:b/>
          <w:sz w:val="24"/>
          <w:szCs w:val="24"/>
          <w:lang w:val="en-US"/>
        </w:rPr>
        <w:t>-</w:t>
      </w:r>
      <w:r w:rsidR="003D25DE" w:rsidRPr="004B39D6">
        <w:rPr>
          <w:rFonts w:ascii="Book Antiqua" w:hAnsi="Book Antiqua" w:cs="Arial"/>
          <w:b/>
          <w:sz w:val="24"/>
          <w:szCs w:val="24"/>
          <w:lang w:val="en-US"/>
        </w:rPr>
        <w:t>rich</w:t>
      </w:r>
      <w:r w:rsidR="002E6613" w:rsidRPr="004B39D6">
        <w:rPr>
          <w:rFonts w:ascii="Book Antiqua" w:hAnsi="Book Antiqua" w:cs="Arial"/>
          <w:b/>
          <w:sz w:val="24"/>
          <w:szCs w:val="24"/>
          <w:lang w:val="en-US"/>
        </w:rPr>
        <w:t xml:space="preserve"> </w:t>
      </w:r>
      <w:r w:rsidR="009011B4" w:rsidRPr="004B39D6">
        <w:rPr>
          <w:rFonts w:ascii="Book Antiqua" w:hAnsi="Book Antiqua" w:cs="Arial"/>
          <w:b/>
          <w:sz w:val="24"/>
          <w:szCs w:val="24"/>
          <w:lang w:val="en-US"/>
        </w:rPr>
        <w:t>rejection</w:t>
      </w:r>
    </w:p>
    <w:bookmarkEnd w:id="5"/>
    <w:bookmarkEnd w:id="6"/>
    <w:bookmarkEnd w:id="7"/>
    <w:p w14:paraId="4F44CBBA" w14:textId="627DD5AB" w:rsidR="00305A6C" w:rsidRPr="004B39D6" w:rsidRDefault="00F22110" w:rsidP="0081528B">
      <w:pPr>
        <w:snapToGrid w:val="0"/>
        <w:spacing w:after="0" w:line="360" w:lineRule="auto"/>
        <w:jc w:val="both"/>
        <w:rPr>
          <w:rFonts w:ascii="Book Antiqua" w:hAnsi="Book Antiqua" w:cs="Arial"/>
          <w:b/>
          <w:sz w:val="24"/>
          <w:szCs w:val="24"/>
          <w:lang w:val="en-US"/>
        </w:rPr>
      </w:pPr>
      <w:r w:rsidRPr="004B39D6">
        <w:rPr>
          <w:rFonts w:ascii="Book Antiqua" w:hAnsi="Book Antiqua" w:cs="Arial"/>
          <w:b/>
          <w:sz w:val="24"/>
          <w:szCs w:val="24"/>
          <w:lang w:val="en-US"/>
        </w:rPr>
        <w:t xml:space="preserve"> </w:t>
      </w:r>
    </w:p>
    <w:p w14:paraId="1D487231" w14:textId="77777777" w:rsidR="009C17A9" w:rsidRPr="004B39D6" w:rsidRDefault="00E00B42"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rPr>
        <w:t xml:space="preserve">Martínez-Bravo MJ </w:t>
      </w:r>
      <w:r w:rsidRPr="004B39D6">
        <w:rPr>
          <w:rFonts w:ascii="Book Antiqua" w:hAnsi="Book Antiqua" w:cs="Arial"/>
          <w:i/>
          <w:sz w:val="24"/>
          <w:szCs w:val="24"/>
        </w:rPr>
        <w:t>et al</w:t>
      </w:r>
      <w:r w:rsidRPr="004B39D6">
        <w:rPr>
          <w:rFonts w:ascii="Book Antiqua" w:hAnsi="Book Antiqua" w:cs="Arial"/>
          <w:sz w:val="24"/>
          <w:szCs w:val="24"/>
        </w:rPr>
        <w:t>.</w:t>
      </w:r>
      <w:r w:rsidR="00305A6C" w:rsidRPr="004B39D6">
        <w:rPr>
          <w:rFonts w:ascii="Book Antiqua" w:hAnsi="Book Antiqua" w:cs="Arial"/>
          <w:sz w:val="24"/>
          <w:szCs w:val="24"/>
        </w:rPr>
        <w:t xml:space="preserve"> </w:t>
      </w:r>
      <w:r w:rsidR="00F96FF8" w:rsidRPr="004B39D6">
        <w:rPr>
          <w:rFonts w:ascii="Book Antiqua" w:hAnsi="Book Antiqua" w:cs="Arial"/>
          <w:sz w:val="24"/>
          <w:szCs w:val="24"/>
          <w:lang w:val="en-US"/>
        </w:rPr>
        <w:t>Immune response</w:t>
      </w:r>
      <w:r w:rsidR="009C17A9" w:rsidRPr="004B39D6">
        <w:rPr>
          <w:rFonts w:ascii="Book Antiqua" w:hAnsi="Book Antiqua" w:cs="Arial"/>
          <w:sz w:val="24"/>
          <w:szCs w:val="24"/>
          <w:lang w:val="en-US"/>
        </w:rPr>
        <w:t xml:space="preserve"> </w:t>
      </w:r>
      <w:r w:rsidR="00F96FF8" w:rsidRPr="004B39D6">
        <w:rPr>
          <w:rFonts w:ascii="Book Antiqua" w:hAnsi="Book Antiqua" w:cs="Arial"/>
          <w:sz w:val="24"/>
          <w:szCs w:val="24"/>
          <w:lang w:val="en-US"/>
        </w:rPr>
        <w:t>against</w:t>
      </w:r>
      <w:r w:rsidR="009C17A9" w:rsidRPr="004B39D6">
        <w:rPr>
          <w:rFonts w:ascii="Book Antiqua" w:hAnsi="Book Antiqua" w:cs="Arial"/>
          <w:sz w:val="24"/>
          <w:szCs w:val="24"/>
          <w:lang w:val="en-US"/>
        </w:rPr>
        <w:t xml:space="preserve"> liver </w:t>
      </w:r>
      <w:r w:rsidR="00F96FF8" w:rsidRPr="004B39D6">
        <w:rPr>
          <w:rFonts w:ascii="Book Antiqua" w:hAnsi="Book Antiqua" w:cs="Arial"/>
          <w:sz w:val="24"/>
          <w:szCs w:val="24"/>
          <w:lang w:val="en-US"/>
        </w:rPr>
        <w:t>GSTT1 antigen</w:t>
      </w:r>
    </w:p>
    <w:p w14:paraId="7F51908C" w14:textId="77777777" w:rsidR="00D12EDE" w:rsidRPr="004B39D6" w:rsidRDefault="00D12EDE" w:rsidP="0081528B">
      <w:pPr>
        <w:tabs>
          <w:tab w:val="left" w:pos="1985"/>
        </w:tabs>
        <w:snapToGrid w:val="0"/>
        <w:spacing w:after="0" w:line="360" w:lineRule="auto"/>
        <w:jc w:val="both"/>
        <w:rPr>
          <w:rFonts w:ascii="Book Antiqua" w:hAnsi="Book Antiqua" w:cs="Arial"/>
          <w:b/>
          <w:sz w:val="24"/>
          <w:szCs w:val="24"/>
          <w:lang w:val="en-US"/>
        </w:rPr>
      </w:pPr>
    </w:p>
    <w:p w14:paraId="77234763" w14:textId="01EA246F" w:rsidR="003B780A" w:rsidRPr="004B39D6" w:rsidRDefault="003B780A" w:rsidP="0081528B">
      <w:pPr>
        <w:tabs>
          <w:tab w:val="left" w:pos="1985"/>
        </w:tabs>
        <w:snapToGrid w:val="0"/>
        <w:spacing w:after="0" w:line="360" w:lineRule="auto"/>
        <w:jc w:val="both"/>
        <w:rPr>
          <w:rFonts w:ascii="Book Antiqua" w:hAnsi="Book Antiqua" w:cs="Arial"/>
          <w:b/>
          <w:sz w:val="24"/>
          <w:szCs w:val="24"/>
          <w:lang w:eastAsia="zh-CN"/>
        </w:rPr>
      </w:pPr>
      <w:bookmarkStart w:id="8" w:name="OLE_LINK878"/>
      <w:bookmarkStart w:id="9" w:name="OLE_LINK879"/>
      <w:r w:rsidRPr="004B39D6">
        <w:rPr>
          <w:rFonts w:ascii="Book Antiqua" w:hAnsi="Book Antiqua" w:cs="Arial"/>
          <w:b/>
          <w:sz w:val="24"/>
          <w:szCs w:val="24"/>
        </w:rPr>
        <w:t xml:space="preserve">María </w:t>
      </w:r>
      <w:bookmarkStart w:id="10" w:name="OLE_LINK882"/>
      <w:bookmarkStart w:id="11" w:name="OLE_LINK883"/>
      <w:r w:rsidRPr="004B39D6">
        <w:rPr>
          <w:rFonts w:ascii="Book Antiqua" w:hAnsi="Book Antiqua" w:cs="Arial"/>
          <w:b/>
          <w:sz w:val="24"/>
          <w:szCs w:val="24"/>
        </w:rPr>
        <w:t>José</w:t>
      </w:r>
      <w:bookmarkEnd w:id="10"/>
      <w:bookmarkEnd w:id="11"/>
      <w:r w:rsidRPr="004B39D6">
        <w:rPr>
          <w:rFonts w:ascii="Book Antiqua" w:hAnsi="Book Antiqua" w:cs="Arial"/>
          <w:b/>
          <w:sz w:val="24"/>
          <w:szCs w:val="24"/>
        </w:rPr>
        <w:t xml:space="preserve"> </w:t>
      </w:r>
      <w:bookmarkStart w:id="12" w:name="OLE_LINK884"/>
      <w:bookmarkStart w:id="13" w:name="OLE_LINK885"/>
      <w:r w:rsidRPr="004B39D6">
        <w:rPr>
          <w:rFonts w:ascii="Book Antiqua" w:hAnsi="Book Antiqua" w:cs="Arial"/>
          <w:b/>
          <w:sz w:val="24"/>
          <w:szCs w:val="24"/>
        </w:rPr>
        <w:t>Martínez-Bravo</w:t>
      </w:r>
      <w:bookmarkEnd w:id="8"/>
      <w:bookmarkEnd w:id="9"/>
      <w:bookmarkEnd w:id="12"/>
      <w:bookmarkEnd w:id="13"/>
      <w:r w:rsidRPr="004B39D6">
        <w:rPr>
          <w:rFonts w:ascii="Book Antiqua" w:hAnsi="Book Antiqua" w:cs="Arial"/>
          <w:b/>
          <w:sz w:val="24"/>
          <w:szCs w:val="24"/>
        </w:rPr>
        <w:t xml:space="preserve">, Berta </w:t>
      </w:r>
      <w:bookmarkStart w:id="14" w:name="OLE_LINK886"/>
      <w:bookmarkStart w:id="15" w:name="OLE_LINK887"/>
      <w:r w:rsidRPr="004B39D6">
        <w:rPr>
          <w:rFonts w:ascii="Book Antiqua" w:hAnsi="Book Antiqua" w:cs="Arial"/>
          <w:b/>
          <w:sz w:val="24"/>
          <w:szCs w:val="24"/>
        </w:rPr>
        <w:t>Sánchez</w:t>
      </w:r>
      <w:bookmarkEnd w:id="14"/>
      <w:bookmarkEnd w:id="15"/>
      <w:r w:rsidRPr="004B39D6">
        <w:rPr>
          <w:rFonts w:ascii="Book Antiqua" w:hAnsi="Book Antiqua" w:cs="Arial"/>
          <w:b/>
          <w:sz w:val="24"/>
          <w:szCs w:val="24"/>
        </w:rPr>
        <w:t xml:space="preserve">, </w:t>
      </w:r>
      <w:bookmarkStart w:id="16" w:name="OLE_LINK874"/>
      <w:bookmarkStart w:id="17" w:name="OLE_LINK875"/>
      <w:r w:rsidRPr="004B39D6">
        <w:rPr>
          <w:rFonts w:ascii="Book Antiqua" w:hAnsi="Book Antiqua" w:cs="Arial"/>
          <w:b/>
          <w:sz w:val="24"/>
          <w:szCs w:val="24"/>
        </w:rPr>
        <w:t>José Manuel Sousa</w:t>
      </w:r>
      <w:bookmarkEnd w:id="16"/>
      <w:bookmarkEnd w:id="17"/>
      <w:r w:rsidRPr="004B39D6">
        <w:rPr>
          <w:rFonts w:ascii="Book Antiqua" w:hAnsi="Book Antiqua" w:cs="Arial"/>
          <w:b/>
          <w:sz w:val="24"/>
          <w:szCs w:val="24"/>
        </w:rPr>
        <w:t xml:space="preserve">, </w:t>
      </w:r>
      <w:bookmarkStart w:id="18" w:name="OLE_LINK876"/>
      <w:bookmarkStart w:id="19" w:name="OLE_LINK877"/>
      <w:r w:rsidRPr="004B39D6">
        <w:rPr>
          <w:rFonts w:ascii="Book Antiqua" w:hAnsi="Book Antiqua" w:cs="Arial"/>
          <w:b/>
          <w:sz w:val="24"/>
          <w:szCs w:val="24"/>
        </w:rPr>
        <w:t>María José Acevedo</w:t>
      </w:r>
      <w:bookmarkEnd w:id="18"/>
      <w:bookmarkEnd w:id="19"/>
      <w:r w:rsidRPr="004B39D6">
        <w:rPr>
          <w:rFonts w:ascii="Book Antiqua" w:hAnsi="Book Antiqua" w:cs="Arial"/>
          <w:b/>
          <w:sz w:val="24"/>
          <w:szCs w:val="24"/>
        </w:rPr>
        <w:t xml:space="preserve">, </w:t>
      </w:r>
      <w:bookmarkStart w:id="20" w:name="OLE_LINK888"/>
      <w:bookmarkStart w:id="21" w:name="OLE_LINK889"/>
      <w:r w:rsidRPr="004B39D6">
        <w:rPr>
          <w:rFonts w:ascii="Book Antiqua" w:hAnsi="Book Antiqua" w:cs="Arial"/>
          <w:b/>
          <w:sz w:val="24"/>
          <w:szCs w:val="24"/>
        </w:rPr>
        <w:t>Miguel Angel Gómez-Bravo</w:t>
      </w:r>
      <w:bookmarkEnd w:id="20"/>
      <w:bookmarkEnd w:id="21"/>
      <w:r w:rsidRPr="004B39D6">
        <w:rPr>
          <w:rFonts w:ascii="Book Antiqua" w:hAnsi="Book Antiqua" w:cs="Arial"/>
          <w:b/>
          <w:sz w:val="24"/>
          <w:szCs w:val="24"/>
        </w:rPr>
        <w:t xml:space="preserve">, </w:t>
      </w:r>
      <w:bookmarkStart w:id="22" w:name="OLE_LINK890"/>
      <w:bookmarkStart w:id="23" w:name="OLE_LINK891"/>
      <w:r w:rsidRPr="004B39D6">
        <w:rPr>
          <w:rFonts w:ascii="Book Antiqua" w:hAnsi="Book Antiqua" w:cs="Arial"/>
          <w:b/>
          <w:sz w:val="24"/>
          <w:szCs w:val="24"/>
        </w:rPr>
        <w:t>Antoni</w:t>
      </w:r>
      <w:r w:rsidR="00934A47" w:rsidRPr="004B39D6">
        <w:rPr>
          <w:rFonts w:ascii="Book Antiqua" w:hAnsi="Book Antiqua" w:cs="Arial"/>
          <w:b/>
          <w:sz w:val="24"/>
          <w:szCs w:val="24"/>
        </w:rPr>
        <w:t>o Núñez-Roldán</w:t>
      </w:r>
      <w:bookmarkEnd w:id="22"/>
      <w:bookmarkEnd w:id="23"/>
      <w:r w:rsidR="00934A47" w:rsidRPr="004B39D6">
        <w:rPr>
          <w:rFonts w:ascii="Book Antiqua" w:hAnsi="Book Antiqua" w:cs="Arial"/>
          <w:b/>
          <w:sz w:val="24"/>
          <w:szCs w:val="24"/>
        </w:rPr>
        <w:t xml:space="preserve">, </w:t>
      </w:r>
      <w:bookmarkStart w:id="24" w:name="OLE_LINK892"/>
      <w:bookmarkStart w:id="25" w:name="OLE_LINK893"/>
      <w:r w:rsidR="00934A47" w:rsidRPr="004B39D6">
        <w:rPr>
          <w:rFonts w:ascii="Book Antiqua" w:hAnsi="Book Antiqua" w:cs="Arial"/>
          <w:b/>
          <w:sz w:val="24"/>
          <w:szCs w:val="24"/>
        </w:rPr>
        <w:t>Isabel Aguilera</w:t>
      </w:r>
      <w:bookmarkEnd w:id="24"/>
      <w:bookmarkEnd w:id="25"/>
    </w:p>
    <w:p w14:paraId="0E84798A" w14:textId="77777777" w:rsidR="00934A47" w:rsidRPr="004B39D6" w:rsidRDefault="00934A47" w:rsidP="0081528B">
      <w:pPr>
        <w:tabs>
          <w:tab w:val="left" w:pos="1985"/>
        </w:tabs>
        <w:snapToGrid w:val="0"/>
        <w:spacing w:after="0" w:line="360" w:lineRule="auto"/>
        <w:jc w:val="both"/>
        <w:rPr>
          <w:rFonts w:ascii="Book Antiqua" w:hAnsi="Book Antiqua" w:cs="Arial"/>
          <w:b/>
          <w:sz w:val="24"/>
          <w:szCs w:val="24"/>
          <w:lang w:eastAsia="zh-CN"/>
        </w:rPr>
      </w:pPr>
    </w:p>
    <w:p w14:paraId="1F769CF9" w14:textId="772A18A1" w:rsidR="00D12EDE" w:rsidRPr="004B39D6" w:rsidRDefault="00D12EDE" w:rsidP="0081528B">
      <w:pPr>
        <w:tabs>
          <w:tab w:val="left" w:pos="1985"/>
        </w:tabs>
        <w:snapToGrid w:val="0"/>
        <w:spacing w:after="0" w:line="360" w:lineRule="auto"/>
        <w:jc w:val="both"/>
        <w:rPr>
          <w:rFonts w:ascii="Book Antiqua" w:hAnsi="Book Antiqua" w:cs="Arial"/>
          <w:sz w:val="24"/>
          <w:szCs w:val="24"/>
          <w:lang w:eastAsia="zh-CN"/>
        </w:rPr>
      </w:pPr>
      <w:r w:rsidRPr="004B39D6">
        <w:rPr>
          <w:rFonts w:ascii="Book Antiqua" w:hAnsi="Book Antiqua" w:cs="Arial"/>
          <w:b/>
          <w:sz w:val="24"/>
          <w:szCs w:val="24"/>
        </w:rPr>
        <w:t>María José Martínez-Bravo, Berta Sánchez, María José Acevedo, Antonio Núñez-Roldán, Isabel Aguilera,</w:t>
      </w:r>
      <w:r w:rsidRPr="004B39D6">
        <w:rPr>
          <w:rFonts w:ascii="Book Antiqua" w:hAnsi="Book Antiqua" w:cs="Arial"/>
          <w:sz w:val="24"/>
          <w:szCs w:val="24"/>
          <w:vertAlign w:val="superscript"/>
        </w:rPr>
        <w:t xml:space="preserve"> </w:t>
      </w:r>
      <w:r w:rsidRPr="004B39D6">
        <w:rPr>
          <w:rFonts w:ascii="Book Antiqua" w:hAnsi="Book Antiqua" w:cs="Arial"/>
          <w:sz w:val="24"/>
          <w:szCs w:val="24"/>
        </w:rPr>
        <w:t xml:space="preserve">Immunology Service, Instituto de Biomedicina de Sevilla, Hospital Universitario Virgen del Rocío/CSIC/Universidad de Sevilla, </w:t>
      </w:r>
      <w:r w:rsidR="000121CF" w:rsidRPr="004B39D6">
        <w:rPr>
          <w:rFonts w:ascii="Book Antiqua" w:hAnsi="Book Antiqua" w:cs="Arial"/>
          <w:sz w:val="24"/>
          <w:szCs w:val="24"/>
        </w:rPr>
        <w:t xml:space="preserve">41013 </w:t>
      </w:r>
      <w:r w:rsidR="007C1E59" w:rsidRPr="004B39D6">
        <w:rPr>
          <w:rFonts w:ascii="Book Antiqua" w:hAnsi="Book Antiqua" w:cs="Arial"/>
          <w:sz w:val="24"/>
          <w:szCs w:val="24"/>
        </w:rPr>
        <w:t>Seville, Spain</w:t>
      </w:r>
    </w:p>
    <w:p w14:paraId="7603FFE2" w14:textId="77777777" w:rsidR="007C1E59" w:rsidRPr="00412682" w:rsidRDefault="007C1E59" w:rsidP="0081528B">
      <w:pPr>
        <w:tabs>
          <w:tab w:val="left" w:pos="1985"/>
        </w:tabs>
        <w:snapToGrid w:val="0"/>
        <w:spacing w:after="0" w:line="360" w:lineRule="auto"/>
        <w:jc w:val="both"/>
        <w:rPr>
          <w:rFonts w:ascii="Book Antiqua" w:hAnsi="Book Antiqua" w:cs="Arial"/>
          <w:sz w:val="24"/>
          <w:szCs w:val="24"/>
          <w:lang w:eastAsia="zh-CN"/>
        </w:rPr>
      </w:pPr>
    </w:p>
    <w:p w14:paraId="2470C79D" w14:textId="02B657AE" w:rsidR="00D12EDE" w:rsidRPr="004B39D6" w:rsidRDefault="00D12EDE" w:rsidP="0081528B">
      <w:pPr>
        <w:tabs>
          <w:tab w:val="left" w:pos="1985"/>
        </w:tabs>
        <w:snapToGrid w:val="0"/>
        <w:spacing w:after="0" w:line="360" w:lineRule="auto"/>
        <w:jc w:val="both"/>
        <w:rPr>
          <w:rFonts w:ascii="Book Antiqua" w:hAnsi="Book Antiqua" w:cs="Arial"/>
          <w:sz w:val="24"/>
          <w:szCs w:val="24"/>
          <w:lang w:eastAsia="zh-CN"/>
        </w:rPr>
      </w:pPr>
      <w:r w:rsidRPr="004B39D6">
        <w:rPr>
          <w:rFonts w:ascii="Book Antiqua" w:hAnsi="Book Antiqua" w:cs="Arial"/>
          <w:b/>
          <w:sz w:val="24"/>
          <w:szCs w:val="24"/>
        </w:rPr>
        <w:t>José Manuel Sousa,</w:t>
      </w:r>
      <w:r w:rsidRPr="004B39D6">
        <w:rPr>
          <w:rFonts w:ascii="Book Antiqua" w:hAnsi="Book Antiqua" w:cs="Arial"/>
          <w:sz w:val="24"/>
          <w:szCs w:val="24"/>
        </w:rPr>
        <w:t xml:space="preserve"> Digestive Diseases Service, Hospital Universitario Vi</w:t>
      </w:r>
      <w:r w:rsidR="007C1E59" w:rsidRPr="004B39D6">
        <w:rPr>
          <w:rFonts w:ascii="Book Antiqua" w:hAnsi="Book Antiqua" w:cs="Arial"/>
          <w:sz w:val="24"/>
          <w:szCs w:val="24"/>
        </w:rPr>
        <w:t xml:space="preserve">rgen del Rocío, </w:t>
      </w:r>
      <w:r w:rsidR="00412682" w:rsidRPr="004B39D6">
        <w:rPr>
          <w:rFonts w:ascii="Book Antiqua" w:hAnsi="Book Antiqua" w:cs="Arial"/>
          <w:sz w:val="24"/>
          <w:szCs w:val="24"/>
        </w:rPr>
        <w:t xml:space="preserve">41013 </w:t>
      </w:r>
      <w:r w:rsidR="007C1E59" w:rsidRPr="004B39D6">
        <w:rPr>
          <w:rFonts w:ascii="Book Antiqua" w:hAnsi="Book Antiqua" w:cs="Arial"/>
          <w:sz w:val="24"/>
          <w:szCs w:val="24"/>
        </w:rPr>
        <w:t>Seville, Spain</w:t>
      </w:r>
    </w:p>
    <w:p w14:paraId="0573353C" w14:textId="77777777" w:rsidR="007C1E59" w:rsidRPr="004B39D6" w:rsidRDefault="007C1E59" w:rsidP="0081528B">
      <w:pPr>
        <w:tabs>
          <w:tab w:val="left" w:pos="1985"/>
        </w:tabs>
        <w:snapToGrid w:val="0"/>
        <w:spacing w:after="0" w:line="360" w:lineRule="auto"/>
        <w:jc w:val="both"/>
        <w:rPr>
          <w:rFonts w:ascii="Book Antiqua" w:hAnsi="Book Antiqua" w:cs="Arial"/>
          <w:sz w:val="24"/>
          <w:szCs w:val="24"/>
          <w:lang w:eastAsia="zh-CN"/>
        </w:rPr>
      </w:pPr>
    </w:p>
    <w:p w14:paraId="15A68CA2" w14:textId="61D590CF" w:rsidR="00D12EDE" w:rsidRPr="004B39D6" w:rsidRDefault="00D12EDE" w:rsidP="0081528B">
      <w:pPr>
        <w:tabs>
          <w:tab w:val="left" w:pos="1985"/>
        </w:tabs>
        <w:snapToGrid w:val="0"/>
        <w:spacing w:after="0" w:line="360" w:lineRule="auto"/>
        <w:jc w:val="both"/>
        <w:rPr>
          <w:rFonts w:ascii="Book Antiqua" w:hAnsi="Book Antiqua" w:cs="Arial"/>
          <w:sz w:val="24"/>
          <w:szCs w:val="24"/>
          <w:lang w:eastAsia="zh-CN"/>
        </w:rPr>
      </w:pPr>
      <w:r w:rsidRPr="004B39D6">
        <w:rPr>
          <w:rFonts w:ascii="Book Antiqua" w:hAnsi="Book Antiqua" w:cs="Arial"/>
          <w:b/>
          <w:sz w:val="24"/>
          <w:szCs w:val="24"/>
        </w:rPr>
        <w:t>Miguel Angel Góme</w:t>
      </w:r>
      <w:r w:rsidR="00FA099E" w:rsidRPr="004B39D6">
        <w:rPr>
          <w:rFonts w:ascii="Book Antiqua" w:hAnsi="Book Antiqua" w:cs="Arial"/>
          <w:b/>
          <w:sz w:val="24"/>
          <w:szCs w:val="24"/>
        </w:rPr>
        <w:t>z</w:t>
      </w:r>
      <w:r w:rsidRPr="004B39D6">
        <w:rPr>
          <w:rFonts w:ascii="Book Antiqua" w:hAnsi="Book Antiqua" w:cs="Arial"/>
          <w:b/>
          <w:sz w:val="24"/>
          <w:szCs w:val="24"/>
        </w:rPr>
        <w:t>-Bravo,</w:t>
      </w:r>
      <w:r w:rsidRPr="004B39D6">
        <w:rPr>
          <w:rFonts w:ascii="Book Antiqua" w:hAnsi="Book Antiqua" w:cs="Arial"/>
          <w:sz w:val="24"/>
          <w:szCs w:val="24"/>
        </w:rPr>
        <w:t xml:space="preserve"> Liver Transplant Unit, Hospital Universitario V</w:t>
      </w:r>
      <w:r w:rsidR="007C1E59" w:rsidRPr="004B39D6">
        <w:rPr>
          <w:rFonts w:ascii="Book Antiqua" w:hAnsi="Book Antiqua" w:cs="Arial"/>
          <w:sz w:val="24"/>
          <w:szCs w:val="24"/>
        </w:rPr>
        <w:t>irgen del Rocío,</w:t>
      </w:r>
      <w:r w:rsidR="00412682" w:rsidRPr="00412682">
        <w:rPr>
          <w:rFonts w:ascii="Book Antiqua" w:hAnsi="Book Antiqua" w:cs="Arial"/>
          <w:sz w:val="24"/>
          <w:szCs w:val="24"/>
        </w:rPr>
        <w:t xml:space="preserve"> </w:t>
      </w:r>
      <w:r w:rsidR="00412682" w:rsidRPr="004B39D6">
        <w:rPr>
          <w:rFonts w:ascii="Book Antiqua" w:hAnsi="Book Antiqua" w:cs="Arial"/>
          <w:sz w:val="24"/>
          <w:szCs w:val="24"/>
        </w:rPr>
        <w:t xml:space="preserve">41013 </w:t>
      </w:r>
      <w:r w:rsidR="007C1E59" w:rsidRPr="004B39D6">
        <w:rPr>
          <w:rFonts w:ascii="Book Antiqua" w:hAnsi="Book Antiqua" w:cs="Arial"/>
          <w:sz w:val="24"/>
          <w:szCs w:val="24"/>
        </w:rPr>
        <w:t xml:space="preserve"> Seville, Spain</w:t>
      </w:r>
    </w:p>
    <w:p w14:paraId="747C840F" w14:textId="77777777" w:rsidR="007C1E59" w:rsidRPr="004B39D6" w:rsidRDefault="007C1E59" w:rsidP="0081528B">
      <w:pPr>
        <w:tabs>
          <w:tab w:val="left" w:pos="1985"/>
        </w:tabs>
        <w:snapToGrid w:val="0"/>
        <w:spacing w:after="0" w:line="360" w:lineRule="auto"/>
        <w:jc w:val="both"/>
        <w:rPr>
          <w:rFonts w:ascii="Book Antiqua" w:hAnsi="Book Antiqua" w:cs="Arial"/>
          <w:sz w:val="24"/>
          <w:szCs w:val="24"/>
          <w:lang w:eastAsia="zh-CN"/>
        </w:rPr>
      </w:pPr>
    </w:p>
    <w:p w14:paraId="316DD7FA" w14:textId="01D5BF7B" w:rsidR="004D58CB" w:rsidRPr="004B39D6" w:rsidRDefault="00D12EDE"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b/>
          <w:sz w:val="24"/>
          <w:szCs w:val="24"/>
          <w:lang w:val="en-US"/>
        </w:rPr>
        <w:t>Author contributions:</w:t>
      </w:r>
      <w:r w:rsidRPr="004B39D6">
        <w:rPr>
          <w:rFonts w:ascii="Book Antiqua" w:hAnsi="Book Antiqua" w:cs="Arial"/>
          <w:sz w:val="24"/>
          <w:szCs w:val="24"/>
          <w:lang w:val="en-US"/>
        </w:rPr>
        <w:t xml:space="preserve"> </w:t>
      </w:r>
      <w:proofErr w:type="spellStart"/>
      <w:r w:rsidRPr="004B39D6">
        <w:rPr>
          <w:rFonts w:ascii="Book Antiqua" w:hAnsi="Book Antiqua" w:cs="Arial"/>
          <w:sz w:val="24"/>
          <w:szCs w:val="24"/>
          <w:lang w:val="en-US"/>
        </w:rPr>
        <w:t>Mart</w:t>
      </w:r>
      <w:r w:rsidR="007F23B0" w:rsidRPr="004B39D6">
        <w:rPr>
          <w:rFonts w:ascii="Book Antiqua" w:hAnsi="Book Antiqua" w:cs="Arial"/>
          <w:sz w:val="24"/>
          <w:szCs w:val="24"/>
          <w:lang w:val="en-US"/>
        </w:rPr>
        <w:t>ínez</w:t>
      </w:r>
      <w:proofErr w:type="spellEnd"/>
      <w:r w:rsidR="007F23B0" w:rsidRPr="004B39D6">
        <w:rPr>
          <w:rFonts w:ascii="Book Antiqua" w:hAnsi="Book Antiqua" w:cs="Arial"/>
          <w:sz w:val="24"/>
          <w:szCs w:val="24"/>
          <w:lang w:val="en-US"/>
        </w:rPr>
        <w:t>-Bravo MJ designed and performed the research and contributed to the analysis</w:t>
      </w:r>
      <w:r w:rsidR="00E00B42" w:rsidRPr="004B39D6">
        <w:rPr>
          <w:rFonts w:ascii="Book Antiqua" w:hAnsi="Book Antiqua" w:cs="Arial"/>
          <w:sz w:val="24"/>
          <w:szCs w:val="24"/>
          <w:lang w:val="en-US"/>
        </w:rPr>
        <w:t>;</w:t>
      </w:r>
      <w:r w:rsidRPr="004B39D6">
        <w:rPr>
          <w:rFonts w:ascii="Book Antiqua" w:hAnsi="Book Antiqua" w:cs="Arial"/>
          <w:sz w:val="24"/>
          <w:szCs w:val="24"/>
          <w:lang w:val="en-US"/>
        </w:rPr>
        <w:t xml:space="preserve"> </w:t>
      </w:r>
      <w:r w:rsidR="007F23B0" w:rsidRPr="004B39D6">
        <w:rPr>
          <w:rFonts w:ascii="Book Antiqua" w:hAnsi="Book Antiqua" w:cs="Arial"/>
          <w:sz w:val="24"/>
          <w:szCs w:val="24"/>
          <w:lang w:val="en-US"/>
        </w:rPr>
        <w:t>Acevedo MJ performed the ex</w:t>
      </w:r>
      <w:r w:rsidR="00E00B42" w:rsidRPr="004B39D6">
        <w:rPr>
          <w:rFonts w:ascii="Book Antiqua" w:hAnsi="Book Antiqua" w:cs="Arial"/>
          <w:sz w:val="24"/>
          <w:szCs w:val="24"/>
          <w:lang w:val="en-US"/>
        </w:rPr>
        <w:t xml:space="preserve">periments and acquired the data; </w:t>
      </w:r>
      <w:r w:rsidR="007F23B0" w:rsidRPr="004B39D6">
        <w:rPr>
          <w:rFonts w:ascii="Book Antiqua" w:hAnsi="Book Antiqua" w:cs="Arial"/>
          <w:sz w:val="24"/>
          <w:szCs w:val="24"/>
          <w:lang w:val="en-US"/>
        </w:rPr>
        <w:t>Sou</w:t>
      </w:r>
      <w:r w:rsidR="00EA2644" w:rsidRPr="004B39D6">
        <w:rPr>
          <w:rFonts w:ascii="Book Antiqua" w:hAnsi="Book Antiqua" w:cs="Arial"/>
          <w:sz w:val="24"/>
          <w:szCs w:val="24"/>
          <w:lang w:val="en-US"/>
        </w:rPr>
        <w:t>sa JM and Go</w:t>
      </w:r>
      <w:r w:rsidR="007F23B0" w:rsidRPr="004B39D6">
        <w:rPr>
          <w:rFonts w:ascii="Book Antiqua" w:hAnsi="Book Antiqua" w:cs="Arial"/>
          <w:sz w:val="24"/>
          <w:szCs w:val="24"/>
          <w:lang w:val="en-US"/>
        </w:rPr>
        <w:t xml:space="preserve">mez-Bravo MA provided samples and </w:t>
      </w:r>
      <w:r w:rsidR="00034AD8" w:rsidRPr="004B39D6">
        <w:rPr>
          <w:rFonts w:ascii="Book Antiqua" w:hAnsi="Book Antiqua" w:cs="Arial"/>
          <w:sz w:val="24"/>
          <w:szCs w:val="24"/>
          <w:lang w:val="en-US"/>
        </w:rPr>
        <w:t xml:space="preserve">the </w:t>
      </w:r>
      <w:r w:rsidR="007F23B0" w:rsidRPr="004B39D6">
        <w:rPr>
          <w:rFonts w:ascii="Book Antiqua" w:hAnsi="Book Antiqua" w:cs="Arial"/>
          <w:sz w:val="24"/>
          <w:szCs w:val="24"/>
          <w:lang w:val="en-US"/>
        </w:rPr>
        <w:t>clinical info</w:t>
      </w:r>
      <w:r w:rsidR="00E00B42" w:rsidRPr="004B39D6">
        <w:rPr>
          <w:rFonts w:ascii="Book Antiqua" w:hAnsi="Book Antiqua" w:cs="Arial"/>
          <w:sz w:val="24"/>
          <w:szCs w:val="24"/>
          <w:lang w:val="en-US"/>
        </w:rPr>
        <w:t xml:space="preserve">rmation of the </w:t>
      </w:r>
      <w:r w:rsidR="007256AF" w:rsidRPr="004B39D6">
        <w:rPr>
          <w:rFonts w:ascii="Book Antiqua" w:hAnsi="Book Antiqua" w:cs="Arial"/>
          <w:sz w:val="24"/>
          <w:szCs w:val="24"/>
          <w:lang w:val="en-US"/>
        </w:rPr>
        <w:t>patients; Sanchez</w:t>
      </w:r>
      <w:r w:rsidRPr="004B39D6">
        <w:rPr>
          <w:rFonts w:ascii="Book Antiqua" w:hAnsi="Book Antiqua" w:cs="Arial"/>
          <w:sz w:val="24"/>
          <w:szCs w:val="24"/>
          <w:lang w:val="en-US"/>
        </w:rPr>
        <w:t xml:space="preserve"> B </w:t>
      </w:r>
      <w:r w:rsidR="007F23B0" w:rsidRPr="004B39D6">
        <w:rPr>
          <w:rFonts w:ascii="Book Antiqua" w:hAnsi="Book Antiqua" w:cs="Arial"/>
          <w:sz w:val="24"/>
          <w:szCs w:val="24"/>
          <w:lang w:val="en-US"/>
        </w:rPr>
        <w:t xml:space="preserve">contributed to the analysis and </w:t>
      </w:r>
      <w:r w:rsidR="004D58CB" w:rsidRPr="004B39D6">
        <w:rPr>
          <w:rFonts w:ascii="Book Antiqua" w:hAnsi="Book Antiqua" w:cs="Arial"/>
          <w:sz w:val="24"/>
          <w:szCs w:val="24"/>
          <w:lang w:val="en-US"/>
        </w:rPr>
        <w:t>revised</w:t>
      </w:r>
      <w:r w:rsidR="00E00B42" w:rsidRPr="004B39D6">
        <w:rPr>
          <w:rFonts w:ascii="Book Antiqua" w:hAnsi="Book Antiqua" w:cs="Arial"/>
          <w:sz w:val="24"/>
          <w:szCs w:val="24"/>
          <w:lang w:val="en-US"/>
        </w:rPr>
        <w:t xml:space="preserve"> the </w:t>
      </w:r>
      <w:r w:rsidR="007256AF" w:rsidRPr="004B39D6">
        <w:rPr>
          <w:rFonts w:ascii="Book Antiqua" w:hAnsi="Book Antiqua" w:cs="Arial"/>
          <w:sz w:val="24"/>
          <w:szCs w:val="24"/>
          <w:lang w:val="en-US"/>
        </w:rPr>
        <w:t xml:space="preserve">manuscript; </w:t>
      </w:r>
      <w:proofErr w:type="spellStart"/>
      <w:r w:rsidR="007256AF" w:rsidRPr="004B39D6">
        <w:rPr>
          <w:rFonts w:ascii="Book Antiqua" w:hAnsi="Book Antiqua" w:cs="Arial"/>
          <w:sz w:val="24"/>
          <w:szCs w:val="24"/>
          <w:lang w:val="en-US"/>
        </w:rPr>
        <w:t>Nuñez</w:t>
      </w:r>
      <w:r w:rsidR="00EA2644" w:rsidRPr="004B39D6">
        <w:rPr>
          <w:rFonts w:ascii="Book Antiqua" w:hAnsi="Book Antiqua" w:cs="Arial"/>
          <w:sz w:val="24"/>
          <w:szCs w:val="24"/>
          <w:lang w:val="en-US"/>
        </w:rPr>
        <w:t>-Rolda</w:t>
      </w:r>
      <w:r w:rsidR="004D58CB" w:rsidRPr="004B39D6">
        <w:rPr>
          <w:rFonts w:ascii="Book Antiqua" w:hAnsi="Book Antiqua" w:cs="Arial"/>
          <w:sz w:val="24"/>
          <w:szCs w:val="24"/>
          <w:lang w:val="en-US"/>
        </w:rPr>
        <w:t>n</w:t>
      </w:r>
      <w:proofErr w:type="spellEnd"/>
      <w:r w:rsidR="004D58CB" w:rsidRPr="004B39D6">
        <w:rPr>
          <w:rFonts w:ascii="Book Antiqua" w:hAnsi="Book Antiqua" w:cs="Arial"/>
          <w:sz w:val="24"/>
          <w:szCs w:val="24"/>
          <w:lang w:val="en-US"/>
        </w:rPr>
        <w:t xml:space="preserve"> A critically reviewed the manuscript; Aguilera I designed the study, analyzed the data and wrote the manuscript</w:t>
      </w:r>
      <w:r w:rsidR="00E00B42" w:rsidRPr="004B39D6">
        <w:rPr>
          <w:rFonts w:ascii="Book Antiqua" w:hAnsi="Book Antiqua" w:cs="Arial"/>
          <w:sz w:val="24"/>
          <w:szCs w:val="24"/>
          <w:lang w:val="en-US"/>
        </w:rPr>
        <w:t>.</w:t>
      </w:r>
    </w:p>
    <w:p w14:paraId="00E80BA3" w14:textId="77777777" w:rsidR="00005611" w:rsidRPr="004B39D6" w:rsidRDefault="00005611" w:rsidP="0081528B">
      <w:pPr>
        <w:snapToGrid w:val="0"/>
        <w:spacing w:after="0" w:line="360" w:lineRule="auto"/>
        <w:jc w:val="both"/>
        <w:rPr>
          <w:rFonts w:ascii="Book Antiqua" w:hAnsi="Book Antiqua" w:cs="Arial"/>
          <w:sz w:val="24"/>
          <w:szCs w:val="24"/>
          <w:lang w:val="en-US"/>
        </w:rPr>
      </w:pPr>
    </w:p>
    <w:p w14:paraId="5E036357" w14:textId="0B68D2B8" w:rsidR="006C199E" w:rsidRPr="004B39D6" w:rsidRDefault="007C1E59" w:rsidP="0081528B">
      <w:pPr>
        <w:snapToGrid w:val="0"/>
        <w:spacing w:after="0" w:line="360" w:lineRule="auto"/>
        <w:jc w:val="both"/>
        <w:rPr>
          <w:rFonts w:ascii="Book Antiqua" w:hAnsi="Book Antiqua" w:cs="Arial"/>
          <w:sz w:val="24"/>
          <w:szCs w:val="24"/>
          <w:lang w:val="en-US" w:eastAsia="zh-CN"/>
        </w:rPr>
      </w:pPr>
      <w:r w:rsidRPr="004B39D6">
        <w:rPr>
          <w:rFonts w:ascii="Book Antiqua" w:hAnsi="Book Antiqua" w:cs="Arial"/>
          <w:b/>
          <w:sz w:val="24"/>
          <w:szCs w:val="24"/>
          <w:lang w:val="en-US"/>
        </w:rPr>
        <w:lastRenderedPageBreak/>
        <w:t>S</w:t>
      </w:r>
      <w:r w:rsidR="006C199E" w:rsidRPr="004B39D6">
        <w:rPr>
          <w:rFonts w:ascii="Book Antiqua" w:hAnsi="Book Antiqua" w:cs="Arial"/>
          <w:b/>
          <w:sz w:val="24"/>
          <w:szCs w:val="24"/>
          <w:lang w:val="en-US"/>
        </w:rPr>
        <w:t>upported by</w:t>
      </w:r>
      <w:r w:rsidR="006C199E" w:rsidRPr="004B39D6">
        <w:rPr>
          <w:rFonts w:ascii="Book Antiqua" w:hAnsi="Book Antiqua" w:cs="Arial"/>
          <w:sz w:val="24"/>
          <w:szCs w:val="24"/>
          <w:lang w:val="en-US"/>
        </w:rPr>
        <w:t xml:space="preserve"> the </w:t>
      </w:r>
      <w:bookmarkStart w:id="26" w:name="OLE_LINK894"/>
      <w:bookmarkStart w:id="27" w:name="OLE_LINK895"/>
      <w:r w:rsidR="006C199E" w:rsidRPr="004B39D6">
        <w:rPr>
          <w:rFonts w:ascii="Book Antiqua" w:hAnsi="Book Antiqua" w:cs="Arial"/>
          <w:sz w:val="24"/>
          <w:szCs w:val="24"/>
          <w:lang w:val="en-US"/>
        </w:rPr>
        <w:t xml:space="preserve">Spanish Ministry of Economy, </w:t>
      </w:r>
      <w:proofErr w:type="spellStart"/>
      <w:r w:rsidR="006C199E" w:rsidRPr="004B39D6">
        <w:rPr>
          <w:rFonts w:ascii="Book Antiqua" w:hAnsi="Book Antiqua" w:cs="Arial"/>
          <w:sz w:val="24"/>
          <w:szCs w:val="24"/>
          <w:lang w:val="en-US"/>
        </w:rPr>
        <w:t>Instituto</w:t>
      </w:r>
      <w:proofErr w:type="spellEnd"/>
      <w:r w:rsidR="006C199E" w:rsidRPr="004B39D6">
        <w:rPr>
          <w:rFonts w:ascii="Book Antiqua" w:hAnsi="Book Antiqua" w:cs="Arial"/>
          <w:sz w:val="24"/>
          <w:szCs w:val="24"/>
          <w:lang w:val="en-US"/>
        </w:rPr>
        <w:t xml:space="preserve"> de </w:t>
      </w:r>
      <w:proofErr w:type="spellStart"/>
      <w:r w:rsidR="006C199E" w:rsidRPr="004B39D6">
        <w:rPr>
          <w:rFonts w:ascii="Book Antiqua" w:hAnsi="Book Antiqua" w:cs="Arial"/>
          <w:sz w:val="24"/>
          <w:szCs w:val="24"/>
          <w:lang w:val="en-US"/>
        </w:rPr>
        <w:t>Salud</w:t>
      </w:r>
      <w:proofErr w:type="spellEnd"/>
      <w:r w:rsidR="006C199E" w:rsidRPr="004B39D6">
        <w:rPr>
          <w:rFonts w:ascii="Book Antiqua" w:hAnsi="Book Antiqua" w:cs="Arial"/>
          <w:sz w:val="24"/>
          <w:szCs w:val="24"/>
          <w:lang w:val="en-US"/>
        </w:rPr>
        <w:t xml:space="preserve"> Carlos III</w:t>
      </w:r>
      <w:bookmarkEnd w:id="26"/>
      <w:bookmarkEnd w:id="27"/>
      <w:r w:rsidR="006C199E" w:rsidRPr="004B39D6">
        <w:rPr>
          <w:rFonts w:ascii="Book Antiqua" w:hAnsi="Book Antiqua" w:cs="Arial"/>
          <w:sz w:val="24"/>
          <w:szCs w:val="24"/>
          <w:lang w:val="en-US"/>
        </w:rPr>
        <w:t xml:space="preserve">, </w:t>
      </w:r>
      <w:proofErr w:type="gramStart"/>
      <w:r w:rsidRPr="004B39D6">
        <w:rPr>
          <w:rFonts w:ascii="Book Antiqua" w:hAnsi="Book Antiqua" w:cs="Arial"/>
          <w:sz w:val="24"/>
          <w:szCs w:val="24"/>
          <w:lang w:val="en-US" w:eastAsia="zh-CN"/>
        </w:rPr>
        <w:t>Nos</w:t>
      </w:r>
      <w:proofErr w:type="gramEnd"/>
      <w:r w:rsidRPr="004B39D6">
        <w:rPr>
          <w:rFonts w:ascii="Book Antiqua" w:hAnsi="Book Antiqua" w:cs="Arial"/>
          <w:sz w:val="24"/>
          <w:szCs w:val="24"/>
          <w:lang w:val="en-US" w:eastAsia="zh-CN"/>
        </w:rPr>
        <w:t xml:space="preserve">. </w:t>
      </w:r>
      <w:r w:rsidR="006C199E" w:rsidRPr="004B39D6">
        <w:rPr>
          <w:rFonts w:ascii="Book Antiqua" w:hAnsi="Book Antiqua" w:cs="Arial"/>
          <w:sz w:val="24"/>
          <w:szCs w:val="24"/>
          <w:lang w:val="en-US"/>
        </w:rPr>
        <w:t xml:space="preserve"> </w:t>
      </w:r>
      <w:bookmarkStart w:id="28" w:name="OLE_LINK896"/>
      <w:bookmarkStart w:id="29" w:name="OLE_LINK897"/>
      <w:bookmarkStart w:id="30" w:name="OLE_LINK898"/>
      <w:proofErr w:type="gramStart"/>
      <w:r w:rsidR="006C199E" w:rsidRPr="004B39D6">
        <w:rPr>
          <w:rFonts w:ascii="Book Antiqua" w:hAnsi="Book Antiqua" w:cs="Arial"/>
          <w:sz w:val="24"/>
          <w:szCs w:val="24"/>
          <w:lang w:val="en-US"/>
        </w:rPr>
        <w:t xml:space="preserve">10/2332 </w:t>
      </w:r>
      <w:bookmarkEnd w:id="28"/>
      <w:bookmarkEnd w:id="29"/>
      <w:bookmarkEnd w:id="30"/>
      <w:r w:rsidR="006C199E" w:rsidRPr="004B39D6">
        <w:rPr>
          <w:rFonts w:ascii="Book Antiqua" w:hAnsi="Book Antiqua" w:cs="Arial"/>
          <w:sz w:val="24"/>
          <w:szCs w:val="24"/>
          <w:lang w:val="en-US"/>
        </w:rPr>
        <w:t>and 11/857</w:t>
      </w:r>
      <w:r w:rsidRPr="004B39D6">
        <w:rPr>
          <w:rFonts w:ascii="Book Antiqua" w:hAnsi="Book Antiqua" w:cs="Arial"/>
          <w:sz w:val="24"/>
          <w:szCs w:val="24"/>
          <w:lang w:val="en-US" w:eastAsia="zh-CN"/>
        </w:rPr>
        <w:t>;</w:t>
      </w:r>
      <w:r w:rsidR="006C199E" w:rsidRPr="004B39D6">
        <w:rPr>
          <w:rFonts w:ascii="Book Antiqua" w:hAnsi="Book Antiqua" w:cs="Arial"/>
          <w:sz w:val="24"/>
          <w:szCs w:val="24"/>
          <w:lang w:val="en-US"/>
        </w:rPr>
        <w:t xml:space="preserve"> and the </w:t>
      </w:r>
      <w:proofErr w:type="spellStart"/>
      <w:r w:rsidR="006C199E" w:rsidRPr="004B39D6">
        <w:rPr>
          <w:rFonts w:ascii="Book Antiqua" w:hAnsi="Book Antiqua" w:cs="Arial"/>
          <w:sz w:val="24"/>
          <w:szCs w:val="24"/>
          <w:lang w:val="en-US"/>
        </w:rPr>
        <w:t>Andalusian</w:t>
      </w:r>
      <w:proofErr w:type="spellEnd"/>
      <w:r w:rsidR="006C199E" w:rsidRPr="004B39D6">
        <w:rPr>
          <w:rFonts w:ascii="Book Antiqua" w:hAnsi="Book Antiqua" w:cs="Arial"/>
          <w:sz w:val="24"/>
          <w:szCs w:val="24"/>
          <w:lang w:val="en-US"/>
        </w:rPr>
        <w:t xml:space="preserve"> government, </w:t>
      </w:r>
      <w:r w:rsidRPr="004B39D6">
        <w:rPr>
          <w:rFonts w:ascii="Book Antiqua" w:hAnsi="Book Antiqua" w:cs="Arial"/>
          <w:sz w:val="24"/>
          <w:szCs w:val="24"/>
          <w:lang w:val="en-US" w:eastAsia="zh-CN"/>
        </w:rPr>
        <w:t>No.</w:t>
      </w:r>
      <w:proofErr w:type="gramEnd"/>
      <w:r w:rsidR="006C199E" w:rsidRPr="004B39D6">
        <w:rPr>
          <w:rFonts w:ascii="Book Antiqua" w:hAnsi="Book Antiqua" w:cs="Arial"/>
          <w:sz w:val="24"/>
          <w:szCs w:val="24"/>
          <w:lang w:val="en-US"/>
        </w:rPr>
        <w:t xml:space="preserve"> </w:t>
      </w:r>
      <w:bookmarkStart w:id="31" w:name="OLE_LINK899"/>
      <w:bookmarkStart w:id="32" w:name="OLE_LINK900"/>
      <w:r w:rsidR="006C199E" w:rsidRPr="004B39D6">
        <w:rPr>
          <w:rFonts w:ascii="Book Antiqua" w:hAnsi="Book Antiqua" w:cs="Arial"/>
          <w:sz w:val="24"/>
          <w:szCs w:val="24"/>
          <w:lang w:val="en-US"/>
        </w:rPr>
        <w:t>PI-0332-2007</w:t>
      </w:r>
      <w:bookmarkEnd w:id="31"/>
      <w:bookmarkEnd w:id="32"/>
      <w:r w:rsidR="00034AD8" w:rsidRPr="004B39D6">
        <w:rPr>
          <w:rFonts w:ascii="Book Antiqua" w:hAnsi="Book Antiqua" w:cs="Arial"/>
          <w:sz w:val="24"/>
          <w:szCs w:val="24"/>
          <w:lang w:val="en-US"/>
        </w:rPr>
        <w:t>,</w:t>
      </w:r>
      <w:r w:rsidR="006C199E" w:rsidRPr="004B39D6">
        <w:rPr>
          <w:rFonts w:ascii="Book Antiqua" w:hAnsi="Book Antiqua" w:cs="Arial"/>
          <w:sz w:val="24"/>
          <w:szCs w:val="24"/>
          <w:lang w:val="en-US"/>
        </w:rPr>
        <w:t xml:space="preserve"> </w:t>
      </w:r>
      <w:r w:rsidR="00452659" w:rsidRPr="004B39D6">
        <w:rPr>
          <w:rFonts w:ascii="Book Antiqua" w:hAnsi="Book Antiqua" w:cs="Arial"/>
          <w:sz w:val="24"/>
          <w:szCs w:val="24"/>
          <w:lang w:val="en-US"/>
        </w:rPr>
        <w:t xml:space="preserve">for </w:t>
      </w:r>
      <w:r w:rsidR="006C199E" w:rsidRPr="004B39D6">
        <w:rPr>
          <w:rFonts w:ascii="Book Antiqua" w:hAnsi="Book Antiqua" w:cs="Arial"/>
          <w:sz w:val="24"/>
          <w:szCs w:val="24"/>
          <w:lang w:val="en-US"/>
        </w:rPr>
        <w:t xml:space="preserve">which Martinez-Bravo </w:t>
      </w:r>
      <w:r w:rsidRPr="004B39D6">
        <w:rPr>
          <w:rFonts w:ascii="Book Antiqua" w:hAnsi="Book Antiqua" w:cs="Arial"/>
          <w:sz w:val="24"/>
          <w:szCs w:val="24"/>
          <w:lang w:val="en-US"/>
        </w:rPr>
        <w:t xml:space="preserve">MJ </w:t>
      </w:r>
      <w:r w:rsidR="006C199E" w:rsidRPr="004B39D6">
        <w:rPr>
          <w:rFonts w:ascii="Book Antiqua" w:hAnsi="Book Antiqua" w:cs="Arial"/>
          <w:sz w:val="24"/>
          <w:szCs w:val="24"/>
          <w:lang w:val="en-US"/>
        </w:rPr>
        <w:t>was a pre</w:t>
      </w:r>
      <w:r w:rsidR="00034AD8" w:rsidRPr="004B39D6">
        <w:rPr>
          <w:rFonts w:ascii="Book Antiqua" w:hAnsi="Book Antiqua" w:cs="Arial"/>
          <w:sz w:val="24"/>
          <w:szCs w:val="24"/>
          <w:lang w:val="en-US"/>
        </w:rPr>
        <w:t>-</w:t>
      </w:r>
      <w:r w:rsidR="006C199E" w:rsidRPr="004B39D6">
        <w:rPr>
          <w:rFonts w:ascii="Book Antiqua" w:hAnsi="Book Antiqua" w:cs="Arial"/>
          <w:sz w:val="24"/>
          <w:szCs w:val="24"/>
          <w:lang w:val="en-US"/>
        </w:rPr>
        <w:t xml:space="preserve">doctoral fellow. Aguilera </w:t>
      </w:r>
      <w:r w:rsidRPr="004B39D6">
        <w:rPr>
          <w:rFonts w:ascii="Book Antiqua" w:hAnsi="Book Antiqua" w:cs="Arial"/>
          <w:sz w:val="24"/>
          <w:szCs w:val="24"/>
          <w:lang w:val="en-US"/>
        </w:rPr>
        <w:t xml:space="preserve">I </w:t>
      </w:r>
      <w:r w:rsidR="006C199E" w:rsidRPr="004B39D6">
        <w:rPr>
          <w:rFonts w:ascii="Book Antiqua" w:hAnsi="Book Antiqua" w:cs="Arial"/>
          <w:sz w:val="24"/>
          <w:szCs w:val="24"/>
          <w:lang w:val="en-US"/>
        </w:rPr>
        <w:t xml:space="preserve">is a senior researcher from the </w:t>
      </w:r>
      <w:proofErr w:type="spellStart"/>
      <w:r w:rsidR="006C199E" w:rsidRPr="004B39D6">
        <w:rPr>
          <w:rFonts w:ascii="Book Antiqua" w:hAnsi="Book Antiqua" w:cs="Arial"/>
          <w:sz w:val="24"/>
          <w:szCs w:val="24"/>
          <w:lang w:val="en-US"/>
        </w:rPr>
        <w:t>Nicolás</w:t>
      </w:r>
      <w:proofErr w:type="spellEnd"/>
      <w:r w:rsidR="006C199E" w:rsidRPr="004B39D6">
        <w:rPr>
          <w:rFonts w:ascii="Book Antiqua" w:hAnsi="Book Antiqua" w:cs="Arial"/>
          <w:sz w:val="24"/>
          <w:szCs w:val="24"/>
          <w:lang w:val="en-US"/>
        </w:rPr>
        <w:t xml:space="preserve"> </w:t>
      </w:r>
      <w:proofErr w:type="spellStart"/>
      <w:r w:rsidR="006C199E" w:rsidRPr="004B39D6">
        <w:rPr>
          <w:rFonts w:ascii="Book Antiqua" w:hAnsi="Book Antiqua" w:cs="Arial"/>
          <w:sz w:val="24"/>
          <w:szCs w:val="24"/>
          <w:lang w:val="en-US"/>
        </w:rPr>
        <w:t>Monardes</w:t>
      </w:r>
      <w:proofErr w:type="spellEnd"/>
      <w:r w:rsidR="006C199E" w:rsidRPr="004B39D6">
        <w:rPr>
          <w:rFonts w:ascii="Book Antiqua" w:hAnsi="Book Antiqua" w:cs="Arial"/>
          <w:sz w:val="24"/>
          <w:szCs w:val="24"/>
          <w:lang w:val="en-US"/>
        </w:rPr>
        <w:t xml:space="preserve"> program.</w:t>
      </w:r>
    </w:p>
    <w:p w14:paraId="04FA2865" w14:textId="77777777" w:rsidR="007C1E59" w:rsidRPr="004B39D6" w:rsidRDefault="007C1E59" w:rsidP="0081528B">
      <w:pPr>
        <w:snapToGrid w:val="0"/>
        <w:spacing w:after="0" w:line="360" w:lineRule="auto"/>
        <w:jc w:val="both"/>
        <w:rPr>
          <w:rFonts w:ascii="Book Antiqua" w:hAnsi="Book Antiqua" w:cs="Arial"/>
          <w:sz w:val="24"/>
          <w:szCs w:val="24"/>
          <w:lang w:val="en-US" w:eastAsia="zh-CN"/>
        </w:rPr>
      </w:pPr>
    </w:p>
    <w:p w14:paraId="7C8EEFB3" w14:textId="77777777" w:rsidR="004D58CB" w:rsidRPr="004B39D6" w:rsidRDefault="004D58CB" w:rsidP="0081528B">
      <w:pPr>
        <w:snapToGrid w:val="0"/>
        <w:spacing w:after="0" w:line="360" w:lineRule="auto"/>
        <w:jc w:val="both"/>
        <w:rPr>
          <w:rFonts w:ascii="Book Antiqua" w:hAnsi="Book Antiqua" w:cs="Arial"/>
          <w:sz w:val="24"/>
          <w:szCs w:val="24"/>
          <w:lang w:val="en-US" w:eastAsia="zh-CN"/>
        </w:rPr>
      </w:pPr>
      <w:r w:rsidRPr="004B39D6">
        <w:rPr>
          <w:rFonts w:ascii="Book Antiqua" w:hAnsi="Book Antiqua" w:cs="Arial"/>
          <w:b/>
          <w:sz w:val="24"/>
          <w:szCs w:val="24"/>
          <w:lang w:val="en-US"/>
        </w:rPr>
        <w:t>Institutional review board statement:</w:t>
      </w:r>
      <w:r w:rsidRPr="004B39D6">
        <w:rPr>
          <w:rFonts w:ascii="Book Antiqua" w:hAnsi="Book Antiqua" w:cs="Arial"/>
          <w:sz w:val="24"/>
          <w:szCs w:val="24"/>
          <w:lang w:val="en-US"/>
        </w:rPr>
        <w:t xml:space="preserve"> This study was reviewed and approved by the Ethics Committee of the University Hospital </w:t>
      </w:r>
      <w:proofErr w:type="spellStart"/>
      <w:r w:rsidRPr="004B39D6">
        <w:rPr>
          <w:rFonts w:ascii="Book Antiqua" w:hAnsi="Book Antiqua" w:cs="Arial"/>
          <w:sz w:val="24"/>
          <w:szCs w:val="24"/>
          <w:lang w:val="en-US"/>
        </w:rPr>
        <w:t>Virgen</w:t>
      </w:r>
      <w:proofErr w:type="spellEnd"/>
      <w:r w:rsidRPr="004B39D6">
        <w:rPr>
          <w:rFonts w:ascii="Book Antiqua" w:hAnsi="Book Antiqua" w:cs="Arial"/>
          <w:sz w:val="24"/>
          <w:szCs w:val="24"/>
          <w:lang w:val="en-US"/>
        </w:rPr>
        <w:t xml:space="preserve"> del </w:t>
      </w:r>
      <w:proofErr w:type="spellStart"/>
      <w:r w:rsidRPr="004B39D6">
        <w:rPr>
          <w:rFonts w:ascii="Book Antiqua" w:hAnsi="Book Antiqua" w:cs="Arial"/>
          <w:sz w:val="24"/>
          <w:szCs w:val="24"/>
          <w:lang w:val="en-US"/>
        </w:rPr>
        <w:t>Rocío</w:t>
      </w:r>
      <w:proofErr w:type="spellEnd"/>
      <w:r w:rsidRPr="004B39D6">
        <w:rPr>
          <w:rFonts w:ascii="Book Antiqua" w:hAnsi="Book Antiqua" w:cs="Arial"/>
          <w:sz w:val="24"/>
          <w:szCs w:val="24"/>
          <w:lang w:val="en-US"/>
        </w:rPr>
        <w:t>, Seville, Spain.</w:t>
      </w:r>
    </w:p>
    <w:p w14:paraId="0BEC6703" w14:textId="77777777" w:rsidR="007C1E59" w:rsidRPr="004B39D6" w:rsidRDefault="007C1E59" w:rsidP="0081528B">
      <w:pPr>
        <w:snapToGrid w:val="0"/>
        <w:spacing w:after="0" w:line="360" w:lineRule="auto"/>
        <w:jc w:val="both"/>
        <w:rPr>
          <w:rFonts w:ascii="Book Antiqua" w:hAnsi="Book Antiqua" w:cs="Arial"/>
          <w:sz w:val="24"/>
          <w:szCs w:val="24"/>
          <w:lang w:val="en-US" w:eastAsia="zh-CN"/>
        </w:rPr>
      </w:pPr>
    </w:p>
    <w:p w14:paraId="6BD3A88B" w14:textId="539B188F" w:rsidR="00912B52" w:rsidRPr="004B39D6" w:rsidRDefault="00005611" w:rsidP="0081528B">
      <w:pPr>
        <w:snapToGrid w:val="0"/>
        <w:spacing w:after="0" w:line="360" w:lineRule="auto"/>
        <w:jc w:val="both"/>
        <w:rPr>
          <w:rFonts w:ascii="Book Antiqua" w:hAnsi="Book Antiqua" w:cs="Arial"/>
          <w:sz w:val="24"/>
          <w:szCs w:val="24"/>
          <w:lang w:val="en-US" w:eastAsia="zh-CN"/>
        </w:rPr>
      </w:pPr>
      <w:r w:rsidRPr="004B39D6">
        <w:rPr>
          <w:rFonts w:ascii="Book Antiqua" w:hAnsi="Book Antiqua" w:cs="Arial"/>
          <w:b/>
          <w:sz w:val="24"/>
          <w:szCs w:val="24"/>
          <w:lang w:val="en-US"/>
        </w:rPr>
        <w:t>Informed consent statement</w:t>
      </w:r>
      <w:r w:rsidRPr="004B39D6">
        <w:rPr>
          <w:rFonts w:ascii="Book Antiqua" w:hAnsi="Book Antiqua" w:cs="Arial"/>
          <w:sz w:val="24"/>
          <w:szCs w:val="24"/>
          <w:lang w:val="en-US"/>
        </w:rPr>
        <w:t>: Patients were not required to give informed consent to th</w:t>
      </w:r>
      <w:r w:rsidR="00912B52" w:rsidRPr="004B39D6">
        <w:rPr>
          <w:rFonts w:ascii="Book Antiqua" w:hAnsi="Book Antiqua" w:cs="Arial"/>
          <w:sz w:val="24"/>
          <w:szCs w:val="24"/>
          <w:lang w:val="en-US"/>
        </w:rPr>
        <w:t>is</w:t>
      </w:r>
      <w:r w:rsidRPr="004B39D6">
        <w:rPr>
          <w:rFonts w:ascii="Book Antiqua" w:hAnsi="Book Antiqua" w:cs="Arial"/>
          <w:sz w:val="24"/>
          <w:szCs w:val="24"/>
          <w:lang w:val="en-US"/>
        </w:rPr>
        <w:t xml:space="preserve"> study </w:t>
      </w:r>
      <w:r w:rsidR="00981483" w:rsidRPr="004B39D6">
        <w:rPr>
          <w:rFonts w:ascii="Book Antiqua" w:hAnsi="Book Antiqua" w:cs="Arial"/>
          <w:sz w:val="24"/>
          <w:szCs w:val="24"/>
          <w:lang w:val="en-US"/>
        </w:rPr>
        <w:t xml:space="preserve">because </w:t>
      </w:r>
      <w:r w:rsidR="00912B52" w:rsidRPr="004B39D6">
        <w:rPr>
          <w:rFonts w:ascii="Book Antiqua" w:hAnsi="Book Antiqua" w:cs="Arial"/>
          <w:sz w:val="24"/>
          <w:szCs w:val="24"/>
          <w:lang w:val="en-US"/>
        </w:rPr>
        <w:t>they have been enrolled in previous projects and this was a continuation of the research for which they gave a general consent.</w:t>
      </w:r>
    </w:p>
    <w:p w14:paraId="07389A09" w14:textId="77777777" w:rsidR="007C1E59" w:rsidRPr="004B39D6" w:rsidRDefault="007C1E59" w:rsidP="0081528B">
      <w:pPr>
        <w:snapToGrid w:val="0"/>
        <w:spacing w:after="0" w:line="360" w:lineRule="auto"/>
        <w:jc w:val="both"/>
        <w:rPr>
          <w:rFonts w:ascii="Book Antiqua" w:hAnsi="Book Antiqua" w:cs="Arial"/>
          <w:sz w:val="24"/>
          <w:szCs w:val="24"/>
          <w:lang w:val="en-US" w:eastAsia="zh-CN"/>
        </w:rPr>
      </w:pPr>
    </w:p>
    <w:p w14:paraId="128E9766" w14:textId="77777777" w:rsidR="006F3238" w:rsidRPr="004B39D6" w:rsidRDefault="006F3238" w:rsidP="0081528B">
      <w:pPr>
        <w:snapToGrid w:val="0"/>
        <w:spacing w:after="0" w:line="360" w:lineRule="auto"/>
        <w:jc w:val="both"/>
        <w:rPr>
          <w:rFonts w:ascii="Book Antiqua" w:hAnsi="Book Antiqua" w:cs="Arial"/>
          <w:sz w:val="24"/>
          <w:szCs w:val="24"/>
          <w:lang w:val="en-US" w:eastAsia="zh-CN"/>
        </w:rPr>
      </w:pPr>
      <w:r w:rsidRPr="004B39D6">
        <w:rPr>
          <w:rFonts w:ascii="Book Antiqua" w:hAnsi="Book Antiqua" w:cs="Arial"/>
          <w:b/>
          <w:sz w:val="24"/>
          <w:szCs w:val="24"/>
          <w:lang w:val="en-US"/>
        </w:rPr>
        <w:t>Conflict-of-interest statement:</w:t>
      </w:r>
      <w:r w:rsidRPr="004B39D6">
        <w:rPr>
          <w:rFonts w:ascii="Book Antiqua" w:hAnsi="Book Antiqua" w:cs="Arial"/>
          <w:sz w:val="24"/>
          <w:szCs w:val="24"/>
          <w:lang w:val="en-US"/>
        </w:rPr>
        <w:t xml:space="preserve"> The authors have no </w:t>
      </w:r>
      <w:r w:rsidR="00C22A77" w:rsidRPr="004B39D6">
        <w:rPr>
          <w:rFonts w:ascii="Book Antiqua" w:hAnsi="Book Antiqua" w:cs="Arial"/>
          <w:sz w:val="24"/>
          <w:szCs w:val="24"/>
          <w:lang w:val="en-US"/>
        </w:rPr>
        <w:t>financial</w:t>
      </w:r>
      <w:r w:rsidR="004D58CB" w:rsidRPr="004B39D6">
        <w:rPr>
          <w:rFonts w:ascii="Book Antiqua" w:hAnsi="Book Antiqua" w:cs="Arial"/>
          <w:sz w:val="24"/>
          <w:szCs w:val="24"/>
          <w:lang w:val="en-US"/>
        </w:rPr>
        <w:t xml:space="preserve"> relationships to disclose.</w:t>
      </w:r>
    </w:p>
    <w:p w14:paraId="217A0ABC" w14:textId="77777777" w:rsidR="007C1E59" w:rsidRPr="004B39D6" w:rsidRDefault="007C1E59" w:rsidP="0081528B">
      <w:pPr>
        <w:snapToGrid w:val="0"/>
        <w:spacing w:after="0" w:line="360" w:lineRule="auto"/>
        <w:jc w:val="both"/>
        <w:rPr>
          <w:rFonts w:ascii="Book Antiqua" w:hAnsi="Book Antiqua" w:cs="Arial"/>
          <w:sz w:val="24"/>
          <w:szCs w:val="24"/>
          <w:lang w:val="en-US" w:eastAsia="zh-CN"/>
        </w:rPr>
      </w:pPr>
    </w:p>
    <w:p w14:paraId="793A4155" w14:textId="61FAA25D" w:rsidR="00684474" w:rsidRPr="004B39D6" w:rsidRDefault="00684474" w:rsidP="0081528B">
      <w:pPr>
        <w:snapToGrid w:val="0"/>
        <w:spacing w:after="0" w:line="360" w:lineRule="auto"/>
        <w:jc w:val="both"/>
        <w:rPr>
          <w:rFonts w:ascii="Book Antiqua" w:hAnsi="Book Antiqua" w:cs="Arial"/>
          <w:sz w:val="24"/>
          <w:szCs w:val="24"/>
          <w:lang w:val="en-US" w:eastAsia="zh-CN"/>
        </w:rPr>
      </w:pPr>
      <w:r w:rsidRPr="004B39D6">
        <w:rPr>
          <w:rFonts w:ascii="Book Antiqua" w:hAnsi="Book Antiqua" w:cs="Arial"/>
          <w:b/>
          <w:sz w:val="24"/>
          <w:szCs w:val="24"/>
          <w:lang w:val="en-US"/>
        </w:rPr>
        <w:t xml:space="preserve">Data sharing statement: </w:t>
      </w:r>
      <w:r w:rsidRPr="004B39D6">
        <w:rPr>
          <w:rFonts w:ascii="Book Antiqua" w:hAnsi="Book Antiqua" w:cs="Arial"/>
          <w:sz w:val="24"/>
          <w:szCs w:val="24"/>
          <w:lang w:val="en-US"/>
        </w:rPr>
        <w:t>No additional data are available</w:t>
      </w:r>
      <w:r w:rsidR="007C1E59" w:rsidRPr="004B39D6">
        <w:rPr>
          <w:rFonts w:ascii="Book Antiqua" w:hAnsi="Book Antiqua" w:cs="Arial"/>
          <w:sz w:val="24"/>
          <w:szCs w:val="24"/>
          <w:lang w:val="en-US" w:eastAsia="zh-CN"/>
        </w:rPr>
        <w:t xml:space="preserve">. </w:t>
      </w:r>
    </w:p>
    <w:p w14:paraId="13794BD8" w14:textId="77777777" w:rsidR="0081528B" w:rsidRPr="004B39D6" w:rsidRDefault="0081528B" w:rsidP="0081528B">
      <w:pPr>
        <w:snapToGrid w:val="0"/>
        <w:spacing w:after="0" w:line="360" w:lineRule="auto"/>
        <w:jc w:val="both"/>
        <w:rPr>
          <w:rFonts w:ascii="Book Antiqua" w:hAnsi="Book Antiqua" w:cs="Arial"/>
          <w:sz w:val="24"/>
          <w:szCs w:val="24"/>
          <w:lang w:val="en-US" w:eastAsia="zh-CN"/>
        </w:rPr>
      </w:pPr>
    </w:p>
    <w:p w14:paraId="09EB319D" w14:textId="77777777" w:rsidR="007C1E59" w:rsidRPr="004B39D6" w:rsidRDefault="007C1E59" w:rsidP="0081528B">
      <w:pPr>
        <w:widowControl w:val="0"/>
        <w:adjustRightInd w:val="0"/>
        <w:snapToGrid w:val="0"/>
        <w:spacing w:after="0" w:line="360" w:lineRule="auto"/>
        <w:jc w:val="both"/>
        <w:rPr>
          <w:rFonts w:ascii="Book Antiqua" w:hAnsi="Book Antiqua"/>
          <w:sz w:val="24"/>
          <w:szCs w:val="24"/>
        </w:rPr>
      </w:pPr>
      <w:bookmarkStart w:id="33" w:name="OLE_LINK111"/>
      <w:bookmarkStart w:id="34" w:name="OLE_LINK112"/>
      <w:bookmarkStart w:id="35" w:name="OLE_LINK54"/>
      <w:bookmarkStart w:id="36" w:name="OLE_LINK70"/>
      <w:bookmarkStart w:id="37" w:name="OLE_LINK123"/>
      <w:bookmarkStart w:id="38" w:name="OLE_LINK183"/>
      <w:bookmarkStart w:id="39" w:name="OLE_LINK329"/>
      <w:bookmarkStart w:id="40" w:name="OLE_LINK424"/>
      <w:bookmarkStart w:id="41" w:name="OLE_LINK662"/>
      <w:bookmarkStart w:id="42" w:name="OLE_LINK268"/>
      <w:bookmarkStart w:id="43" w:name="OLE_LINK269"/>
      <w:bookmarkStart w:id="44" w:name="OLE_LINK439"/>
      <w:bookmarkStart w:id="45" w:name="OLE_LINK501"/>
      <w:bookmarkStart w:id="46" w:name="OLE_LINK594"/>
      <w:bookmarkStart w:id="47" w:name="OLE_LINK677"/>
      <w:bookmarkStart w:id="48" w:name="OLE_LINK693"/>
      <w:bookmarkStart w:id="49" w:name="OLE_LINK792"/>
      <w:bookmarkStart w:id="50" w:name="OLE_LINK839"/>
      <w:r w:rsidRPr="004B39D6">
        <w:rPr>
          <w:rFonts w:ascii="Book Antiqua" w:hAnsi="Book Antiqua"/>
          <w:b/>
          <w:color w:val="000000"/>
          <w:sz w:val="24"/>
          <w:szCs w:val="24"/>
        </w:rPr>
        <w:t xml:space="preserve">Open-Access: </w:t>
      </w:r>
      <w:bookmarkStart w:id="51" w:name="OLE_LINK901"/>
      <w:bookmarkStart w:id="52" w:name="OLE_LINK902"/>
      <w:r w:rsidRPr="004B39D6">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4B39D6">
        <w:rPr>
          <w:rFonts w:ascii="Book Antiqua" w:hAnsi="Book Antiqua"/>
          <w:sz w:val="24"/>
          <w:szCs w:val="24"/>
        </w:rPr>
        <w:t>http://creativecommons.org/licenses/by-nc/4.0/</w:t>
      </w:r>
      <w:bookmarkEnd w:id="33"/>
      <w:bookmarkEnd w:id="34"/>
      <w:bookmarkEnd w:id="51"/>
      <w:bookmarkEnd w:id="52"/>
    </w:p>
    <w:bookmarkEnd w:id="35"/>
    <w:bookmarkEnd w:id="36"/>
    <w:bookmarkEnd w:id="37"/>
    <w:bookmarkEnd w:id="38"/>
    <w:bookmarkEnd w:id="39"/>
    <w:bookmarkEnd w:id="40"/>
    <w:bookmarkEnd w:id="41"/>
    <w:p w14:paraId="1EDB17C6" w14:textId="77777777" w:rsidR="007C1E59" w:rsidRPr="004B39D6" w:rsidRDefault="007C1E59" w:rsidP="0081528B">
      <w:pPr>
        <w:adjustRightInd w:val="0"/>
        <w:snapToGrid w:val="0"/>
        <w:spacing w:after="0" w:line="360" w:lineRule="auto"/>
        <w:ind w:right="120"/>
        <w:jc w:val="both"/>
        <w:rPr>
          <w:rFonts w:ascii="Book Antiqua" w:hAnsi="Book Antiqua"/>
          <w:color w:val="000000"/>
          <w:sz w:val="24"/>
          <w:szCs w:val="24"/>
        </w:rPr>
      </w:pPr>
    </w:p>
    <w:p w14:paraId="562BC232" w14:textId="77777777" w:rsidR="007C1E59" w:rsidRPr="004B39D6" w:rsidRDefault="007C1E59" w:rsidP="0081528B">
      <w:pPr>
        <w:adjustRightInd w:val="0"/>
        <w:snapToGrid w:val="0"/>
        <w:spacing w:after="0" w:line="360" w:lineRule="auto"/>
        <w:ind w:right="120"/>
        <w:jc w:val="both"/>
        <w:rPr>
          <w:rFonts w:ascii="Book Antiqua" w:hAnsi="Book Antiqua"/>
          <w:color w:val="000000"/>
          <w:sz w:val="24"/>
          <w:szCs w:val="24"/>
        </w:rPr>
      </w:pPr>
      <w:bookmarkStart w:id="53" w:name="OLE_LINK219"/>
      <w:bookmarkStart w:id="54" w:name="OLE_LINK368"/>
      <w:bookmarkStart w:id="55" w:name="OLE_LINK551"/>
      <w:r w:rsidRPr="004B39D6">
        <w:rPr>
          <w:rFonts w:ascii="Book Antiqua" w:hAnsi="Book Antiqua"/>
          <w:b/>
          <w:color w:val="000000"/>
          <w:sz w:val="24"/>
          <w:szCs w:val="24"/>
        </w:rPr>
        <w:t>Manuscript source:</w:t>
      </w:r>
      <w:r w:rsidRPr="004B39D6">
        <w:rPr>
          <w:rFonts w:ascii="Book Antiqua" w:hAnsi="Book Antiqua"/>
          <w:color w:val="000000"/>
          <w:sz w:val="24"/>
          <w:szCs w:val="24"/>
        </w:rPr>
        <w:t xml:space="preserve"> Invited manuscript</w:t>
      </w:r>
    </w:p>
    <w:bookmarkEnd w:id="42"/>
    <w:bookmarkEnd w:id="43"/>
    <w:bookmarkEnd w:id="44"/>
    <w:bookmarkEnd w:id="45"/>
    <w:bookmarkEnd w:id="46"/>
    <w:bookmarkEnd w:id="47"/>
    <w:bookmarkEnd w:id="48"/>
    <w:bookmarkEnd w:id="49"/>
    <w:bookmarkEnd w:id="50"/>
    <w:bookmarkEnd w:id="53"/>
    <w:bookmarkEnd w:id="54"/>
    <w:bookmarkEnd w:id="55"/>
    <w:p w14:paraId="6733C258" w14:textId="77777777" w:rsidR="007C1E59" w:rsidRPr="004B39D6" w:rsidRDefault="007C1E59" w:rsidP="0081528B">
      <w:pPr>
        <w:snapToGrid w:val="0"/>
        <w:spacing w:after="0" w:line="360" w:lineRule="auto"/>
        <w:jc w:val="both"/>
        <w:rPr>
          <w:rFonts w:ascii="Book Antiqua" w:hAnsi="Book Antiqua" w:cs="Arial"/>
          <w:sz w:val="24"/>
          <w:szCs w:val="24"/>
          <w:lang w:eastAsia="zh-CN"/>
        </w:rPr>
      </w:pPr>
    </w:p>
    <w:p w14:paraId="0352D0CA" w14:textId="59213EEC" w:rsidR="00AF0565" w:rsidRPr="004B39D6" w:rsidRDefault="006F3238"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b/>
          <w:sz w:val="24"/>
          <w:szCs w:val="24"/>
        </w:rPr>
        <w:t xml:space="preserve">Correspondence to: </w:t>
      </w:r>
      <w:bookmarkStart w:id="56" w:name="OLE_LINK903"/>
      <w:bookmarkStart w:id="57" w:name="OLE_LINK904"/>
      <w:r w:rsidRPr="004B39D6">
        <w:rPr>
          <w:rFonts w:ascii="Book Antiqua" w:hAnsi="Book Antiqua" w:cs="Arial"/>
          <w:b/>
          <w:sz w:val="24"/>
          <w:szCs w:val="24"/>
        </w:rPr>
        <w:t xml:space="preserve">Isabel Aguilera, </w:t>
      </w:r>
      <w:r w:rsidR="00AF0565" w:rsidRPr="004B39D6">
        <w:rPr>
          <w:rFonts w:ascii="Book Antiqua" w:hAnsi="Book Antiqua" w:cs="Arial"/>
          <w:b/>
          <w:sz w:val="24"/>
          <w:szCs w:val="24"/>
        </w:rPr>
        <w:t>PhD</w:t>
      </w:r>
      <w:r w:rsidR="00AF0565" w:rsidRPr="004B39D6">
        <w:rPr>
          <w:rFonts w:ascii="Book Antiqua" w:hAnsi="Book Antiqua" w:cs="Arial"/>
          <w:sz w:val="24"/>
          <w:szCs w:val="24"/>
        </w:rPr>
        <w:t xml:space="preserve">, </w:t>
      </w:r>
      <w:r w:rsidR="007C1E59" w:rsidRPr="004B39D6">
        <w:rPr>
          <w:rFonts w:ascii="Book Antiqua" w:hAnsi="Book Antiqua" w:cs="Arial"/>
          <w:sz w:val="24"/>
          <w:szCs w:val="24"/>
        </w:rPr>
        <w:t>Immunology Service, Instituto de Biomedicina de Sevilla, Hospital Universitario Virgen del Rocío/CSIC/Universidad de Sevilla,</w:t>
      </w:r>
      <w:r w:rsidRPr="004B39D6">
        <w:rPr>
          <w:rFonts w:ascii="Book Antiqua" w:hAnsi="Book Antiqua" w:cs="Arial"/>
          <w:sz w:val="24"/>
          <w:szCs w:val="24"/>
        </w:rPr>
        <w:t xml:space="preserve"> Avda. </w:t>
      </w:r>
      <w:proofErr w:type="gramStart"/>
      <w:r w:rsidRPr="004B39D6">
        <w:rPr>
          <w:rFonts w:ascii="Book Antiqua" w:hAnsi="Book Antiqua" w:cs="Arial"/>
          <w:sz w:val="24"/>
          <w:szCs w:val="24"/>
          <w:lang w:val="en-US"/>
        </w:rPr>
        <w:t xml:space="preserve">Manuel </w:t>
      </w:r>
      <w:proofErr w:type="spellStart"/>
      <w:r w:rsidRPr="004B39D6">
        <w:rPr>
          <w:rFonts w:ascii="Book Antiqua" w:hAnsi="Book Antiqua" w:cs="Arial"/>
          <w:sz w:val="24"/>
          <w:szCs w:val="24"/>
          <w:lang w:val="en-US"/>
        </w:rPr>
        <w:t>Siurot</w:t>
      </w:r>
      <w:proofErr w:type="spellEnd"/>
      <w:r w:rsidRPr="004B39D6">
        <w:rPr>
          <w:rFonts w:ascii="Book Antiqua" w:hAnsi="Book Antiqua" w:cs="Arial"/>
          <w:sz w:val="24"/>
          <w:szCs w:val="24"/>
          <w:lang w:val="en-US"/>
        </w:rPr>
        <w:t xml:space="preserve"> s/n, </w:t>
      </w:r>
      <w:r w:rsidR="00DE388A" w:rsidRPr="004B39D6">
        <w:rPr>
          <w:rFonts w:ascii="Book Antiqua" w:hAnsi="Book Antiqua" w:cs="Arial"/>
          <w:sz w:val="24"/>
          <w:szCs w:val="24"/>
          <w:lang w:val="en-US"/>
        </w:rPr>
        <w:t>41013 Seville, Spain.</w:t>
      </w:r>
      <w:proofErr w:type="gramEnd"/>
      <w:r w:rsidR="00AF0565" w:rsidRPr="004B39D6">
        <w:rPr>
          <w:rFonts w:ascii="Book Antiqua" w:hAnsi="Book Antiqua" w:cs="Arial"/>
          <w:sz w:val="24"/>
          <w:szCs w:val="24"/>
          <w:lang w:val="en-US"/>
        </w:rPr>
        <w:t xml:space="preserve"> iaguilera-ibis@us.es </w:t>
      </w:r>
      <w:bookmarkEnd w:id="56"/>
      <w:bookmarkEnd w:id="57"/>
    </w:p>
    <w:p w14:paraId="1B2099B8" w14:textId="16114894" w:rsidR="00DE388A" w:rsidRPr="004B39D6" w:rsidRDefault="00DE388A"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b/>
          <w:sz w:val="24"/>
          <w:szCs w:val="24"/>
          <w:lang w:val="en-US"/>
        </w:rPr>
        <w:t xml:space="preserve">Telephone: </w:t>
      </w:r>
      <w:r w:rsidRPr="004B39D6">
        <w:rPr>
          <w:rFonts w:ascii="Book Antiqua" w:hAnsi="Book Antiqua" w:cs="Arial"/>
          <w:sz w:val="24"/>
          <w:szCs w:val="24"/>
          <w:lang w:val="en-US"/>
        </w:rPr>
        <w:t>+34</w:t>
      </w:r>
      <w:r w:rsidR="007C1E59" w:rsidRPr="004B39D6">
        <w:rPr>
          <w:rFonts w:ascii="Book Antiqua" w:hAnsi="Book Antiqua" w:cs="Arial"/>
          <w:sz w:val="24"/>
          <w:szCs w:val="24"/>
          <w:lang w:val="en-US" w:eastAsia="zh-CN"/>
        </w:rPr>
        <w:t>-</w:t>
      </w:r>
      <w:r w:rsidRPr="004B39D6">
        <w:rPr>
          <w:rFonts w:ascii="Book Antiqua" w:hAnsi="Book Antiqua" w:cs="Arial"/>
          <w:sz w:val="24"/>
          <w:szCs w:val="24"/>
          <w:lang w:val="en-US"/>
        </w:rPr>
        <w:t>95</w:t>
      </w:r>
      <w:r w:rsidR="007C1E59" w:rsidRPr="004B39D6">
        <w:rPr>
          <w:rFonts w:ascii="Book Antiqua" w:hAnsi="Book Antiqua" w:cs="Arial"/>
          <w:sz w:val="24"/>
          <w:szCs w:val="24"/>
          <w:lang w:val="en-US" w:eastAsia="zh-CN"/>
        </w:rPr>
        <w:t>-</w:t>
      </w:r>
      <w:r w:rsidRPr="004B39D6">
        <w:rPr>
          <w:rFonts w:ascii="Book Antiqua" w:hAnsi="Book Antiqua" w:cs="Arial"/>
          <w:sz w:val="24"/>
          <w:szCs w:val="24"/>
          <w:lang w:val="en-US"/>
        </w:rPr>
        <w:t>5923120</w:t>
      </w:r>
    </w:p>
    <w:p w14:paraId="4CB5F47F" w14:textId="77777777" w:rsidR="00AF0565" w:rsidRPr="004B39D6" w:rsidRDefault="00AF0565" w:rsidP="0081528B">
      <w:pPr>
        <w:snapToGrid w:val="0"/>
        <w:spacing w:after="0" w:line="360" w:lineRule="auto"/>
        <w:jc w:val="both"/>
        <w:rPr>
          <w:rFonts w:ascii="Book Antiqua" w:hAnsi="Book Antiqua" w:cs="Arial"/>
          <w:sz w:val="24"/>
          <w:szCs w:val="24"/>
          <w:lang w:val="en-US"/>
        </w:rPr>
      </w:pPr>
    </w:p>
    <w:p w14:paraId="2CE7A616" w14:textId="0475C99C" w:rsidR="007C1E59" w:rsidRPr="004B39D6" w:rsidRDefault="007C1E59" w:rsidP="0081528B">
      <w:pPr>
        <w:widowControl w:val="0"/>
        <w:adjustRightInd w:val="0"/>
        <w:snapToGrid w:val="0"/>
        <w:spacing w:after="0" w:line="360" w:lineRule="auto"/>
        <w:jc w:val="both"/>
        <w:rPr>
          <w:rFonts w:ascii="Book Antiqua" w:hAnsi="Book Antiqua"/>
          <w:sz w:val="24"/>
          <w:szCs w:val="24"/>
        </w:rPr>
      </w:pPr>
      <w:bookmarkStart w:id="58" w:name="OLE_LINK140"/>
      <w:bookmarkStart w:id="59" w:name="OLE_LINK7"/>
      <w:bookmarkStart w:id="60" w:name="OLE_LINK8"/>
      <w:bookmarkStart w:id="61" w:name="OLE_LINK16"/>
      <w:bookmarkStart w:id="62" w:name="OLE_LINK36"/>
      <w:bookmarkStart w:id="63" w:name="OLE_LINK38"/>
      <w:bookmarkStart w:id="64" w:name="OLE_LINK47"/>
      <w:bookmarkStart w:id="65" w:name="OLE_LINK55"/>
      <w:bookmarkStart w:id="66" w:name="OLE_LINK77"/>
      <w:bookmarkStart w:id="67" w:name="OLE_LINK80"/>
      <w:bookmarkStart w:id="68" w:name="OLE_LINK83"/>
      <w:bookmarkStart w:id="69" w:name="OLE_LINK85"/>
      <w:bookmarkStart w:id="70" w:name="OLE_LINK153"/>
      <w:bookmarkStart w:id="71" w:name="OLE_LINK156"/>
      <w:bookmarkStart w:id="72" w:name="OLE_LINK224"/>
      <w:bookmarkStart w:id="73" w:name="OLE_LINK271"/>
      <w:bookmarkStart w:id="74" w:name="OLE_LINK321"/>
      <w:bookmarkStart w:id="75" w:name="OLE_LINK322"/>
      <w:bookmarkStart w:id="76" w:name="OLE_LINK330"/>
      <w:bookmarkStart w:id="77" w:name="OLE_LINK229"/>
      <w:bookmarkStart w:id="78" w:name="OLE_LINK230"/>
      <w:bookmarkStart w:id="79" w:name="OLE_LINK422"/>
      <w:bookmarkStart w:id="80" w:name="OLE_LINK464"/>
      <w:bookmarkStart w:id="81" w:name="OLE_LINK493"/>
      <w:bookmarkStart w:id="82" w:name="OLE_LINK535"/>
      <w:bookmarkStart w:id="83" w:name="OLE_LINK552"/>
      <w:bookmarkStart w:id="84" w:name="OLE_LINK578"/>
      <w:bookmarkStart w:id="85" w:name="OLE_LINK608"/>
      <w:bookmarkStart w:id="86" w:name="OLE_LINK632"/>
      <w:bookmarkStart w:id="87" w:name="OLE_LINK643"/>
      <w:bookmarkStart w:id="88" w:name="OLE_LINK678"/>
      <w:bookmarkStart w:id="89" w:name="OLE_LINK683"/>
      <w:bookmarkStart w:id="90" w:name="OLE_LINK694"/>
      <w:bookmarkStart w:id="91" w:name="OLE_LINK724"/>
      <w:bookmarkStart w:id="92" w:name="OLE_LINK730"/>
      <w:bookmarkStart w:id="93" w:name="OLE_LINK749"/>
      <w:bookmarkStart w:id="94" w:name="OLE_LINK787"/>
      <w:bookmarkStart w:id="95" w:name="OLE_LINK793"/>
      <w:bookmarkStart w:id="96" w:name="OLE_LINK794"/>
      <w:bookmarkStart w:id="97" w:name="OLE_LINK840"/>
      <w:bookmarkStart w:id="98" w:name="OLE_LINK843"/>
      <w:bookmarkStart w:id="99" w:name="OLE_LINK852"/>
      <w:bookmarkStart w:id="100" w:name="OLE_LINK854"/>
      <w:r w:rsidRPr="004B39D6">
        <w:rPr>
          <w:rFonts w:ascii="Book Antiqua" w:hAnsi="Book Antiqua"/>
          <w:b/>
          <w:sz w:val="24"/>
          <w:szCs w:val="24"/>
        </w:rPr>
        <w:t xml:space="preserve">Received: </w:t>
      </w:r>
      <w:r w:rsidRPr="004B39D6">
        <w:rPr>
          <w:rFonts w:ascii="Book Antiqua" w:hAnsi="Book Antiqua"/>
          <w:sz w:val="24"/>
          <w:szCs w:val="24"/>
        </w:rPr>
        <w:t>January 2</w:t>
      </w:r>
      <w:r w:rsidRPr="004B39D6">
        <w:rPr>
          <w:rFonts w:ascii="Book Antiqua" w:hAnsi="Book Antiqua"/>
          <w:sz w:val="24"/>
          <w:szCs w:val="24"/>
          <w:lang w:eastAsia="zh-CN"/>
        </w:rPr>
        <w:t>6</w:t>
      </w:r>
      <w:r w:rsidRPr="004B39D6">
        <w:rPr>
          <w:rFonts w:ascii="Book Antiqua" w:hAnsi="Book Antiqua"/>
          <w:sz w:val="24"/>
          <w:szCs w:val="24"/>
        </w:rPr>
        <w:t xml:space="preserve">, 2017    </w:t>
      </w:r>
    </w:p>
    <w:p w14:paraId="4DDB60F3" w14:textId="082C3683" w:rsidR="007C1E59" w:rsidRPr="004B39D6" w:rsidRDefault="007C1E59" w:rsidP="0081528B">
      <w:pPr>
        <w:widowControl w:val="0"/>
        <w:adjustRightInd w:val="0"/>
        <w:snapToGrid w:val="0"/>
        <w:spacing w:after="0" w:line="360" w:lineRule="auto"/>
        <w:jc w:val="both"/>
        <w:rPr>
          <w:rFonts w:ascii="Book Antiqua" w:hAnsi="Book Antiqua"/>
          <w:sz w:val="24"/>
          <w:szCs w:val="24"/>
        </w:rPr>
      </w:pPr>
      <w:r w:rsidRPr="004B39D6">
        <w:rPr>
          <w:rFonts w:ascii="Book Antiqua" w:hAnsi="Book Antiqua"/>
          <w:b/>
          <w:sz w:val="24"/>
          <w:szCs w:val="24"/>
        </w:rPr>
        <w:t xml:space="preserve">Peer-review started: </w:t>
      </w:r>
      <w:r w:rsidRPr="004B39D6">
        <w:rPr>
          <w:rFonts w:ascii="Book Antiqua" w:hAnsi="Book Antiqua"/>
          <w:sz w:val="24"/>
          <w:szCs w:val="24"/>
        </w:rPr>
        <w:t xml:space="preserve">February </w:t>
      </w:r>
      <w:r w:rsidRPr="004B39D6">
        <w:rPr>
          <w:rFonts w:ascii="Book Antiqua" w:hAnsi="Book Antiqua"/>
          <w:sz w:val="24"/>
          <w:szCs w:val="24"/>
          <w:lang w:eastAsia="zh-CN"/>
        </w:rPr>
        <w:t>8</w:t>
      </w:r>
      <w:r w:rsidRPr="004B39D6">
        <w:rPr>
          <w:rFonts w:ascii="Book Antiqua" w:hAnsi="Book Antiqua"/>
          <w:sz w:val="24"/>
          <w:szCs w:val="24"/>
        </w:rPr>
        <w:t>, 2017</w:t>
      </w:r>
    </w:p>
    <w:p w14:paraId="742324A3" w14:textId="45DD1C00" w:rsidR="007C1E59" w:rsidRPr="004B39D6" w:rsidRDefault="007C1E59" w:rsidP="0081528B">
      <w:pPr>
        <w:widowControl w:val="0"/>
        <w:adjustRightInd w:val="0"/>
        <w:snapToGrid w:val="0"/>
        <w:spacing w:after="0" w:line="360" w:lineRule="auto"/>
        <w:jc w:val="both"/>
        <w:rPr>
          <w:rFonts w:ascii="Book Antiqua" w:hAnsi="Book Antiqua"/>
          <w:sz w:val="24"/>
          <w:szCs w:val="24"/>
          <w:lang w:eastAsia="zh-CN"/>
        </w:rPr>
      </w:pPr>
      <w:r w:rsidRPr="004B39D6">
        <w:rPr>
          <w:rFonts w:ascii="Book Antiqua" w:hAnsi="Book Antiqua"/>
          <w:b/>
          <w:sz w:val="24"/>
          <w:szCs w:val="24"/>
        </w:rPr>
        <w:t>First decision:</w:t>
      </w:r>
      <w:r w:rsidRPr="004B39D6">
        <w:rPr>
          <w:rFonts w:ascii="Book Antiqua" w:hAnsi="Book Antiqua"/>
          <w:sz w:val="24"/>
          <w:szCs w:val="24"/>
        </w:rPr>
        <w:t xml:space="preserve"> </w:t>
      </w:r>
      <w:r w:rsidRPr="004B39D6">
        <w:rPr>
          <w:rFonts w:ascii="Book Antiqua" w:hAnsi="Book Antiqua"/>
          <w:sz w:val="24"/>
          <w:szCs w:val="24"/>
          <w:lang w:eastAsia="zh-CN"/>
        </w:rPr>
        <w:t>March 27, 2017</w:t>
      </w:r>
    </w:p>
    <w:p w14:paraId="034183AB" w14:textId="4E880FBB" w:rsidR="007C1E59" w:rsidRPr="004B39D6" w:rsidRDefault="007C1E59" w:rsidP="0081528B">
      <w:pPr>
        <w:widowControl w:val="0"/>
        <w:adjustRightInd w:val="0"/>
        <w:snapToGrid w:val="0"/>
        <w:spacing w:after="0" w:line="360" w:lineRule="auto"/>
        <w:jc w:val="both"/>
        <w:rPr>
          <w:rFonts w:ascii="Book Antiqua" w:hAnsi="Book Antiqua"/>
          <w:sz w:val="24"/>
          <w:szCs w:val="24"/>
          <w:lang w:eastAsia="zh-CN"/>
        </w:rPr>
      </w:pPr>
      <w:r w:rsidRPr="004B39D6">
        <w:rPr>
          <w:rFonts w:ascii="Book Antiqua" w:hAnsi="Book Antiqua"/>
          <w:b/>
          <w:sz w:val="24"/>
          <w:szCs w:val="24"/>
        </w:rPr>
        <w:t>Revised:</w:t>
      </w:r>
      <w:r w:rsidRPr="004B39D6">
        <w:rPr>
          <w:rFonts w:ascii="Book Antiqua" w:hAnsi="Book Antiqua"/>
          <w:sz w:val="24"/>
          <w:szCs w:val="24"/>
        </w:rPr>
        <w:t xml:space="preserve"> </w:t>
      </w:r>
      <w:r w:rsidRPr="004B39D6">
        <w:rPr>
          <w:rFonts w:ascii="Book Antiqua" w:hAnsi="Book Antiqua"/>
          <w:sz w:val="24"/>
          <w:szCs w:val="24"/>
          <w:lang w:eastAsia="zh-CN"/>
        </w:rPr>
        <w:t>April 6, 2017</w:t>
      </w:r>
    </w:p>
    <w:p w14:paraId="0364F3BE" w14:textId="353A1ECA" w:rsidR="007C1E59" w:rsidRPr="00D011A9" w:rsidRDefault="007C1E59" w:rsidP="00D011A9">
      <w:pPr>
        <w:rPr>
          <w:rFonts w:ascii="Book Antiqua" w:hAnsi="Book Antiqua"/>
          <w:iCs/>
          <w:sz w:val="24"/>
        </w:rPr>
      </w:pPr>
      <w:r w:rsidRPr="004B39D6">
        <w:rPr>
          <w:rFonts w:ascii="Book Antiqua" w:hAnsi="Book Antiqua"/>
          <w:b/>
          <w:sz w:val="24"/>
          <w:szCs w:val="24"/>
        </w:rPr>
        <w:t xml:space="preserve">Accepted: </w:t>
      </w:r>
      <w:r w:rsidR="00D011A9">
        <w:rPr>
          <w:rStyle w:val="Emphasis"/>
        </w:rPr>
        <w:t>June 12</w:t>
      </w:r>
      <w:r w:rsidR="00D011A9">
        <w:rPr>
          <w:rStyle w:val="Emphasis"/>
          <w:rFonts w:cs="宋体"/>
        </w:rPr>
        <w:t>,</w:t>
      </w:r>
      <w:r w:rsidR="00D011A9">
        <w:rPr>
          <w:rStyle w:val="Emphasis"/>
        </w:rPr>
        <w:t xml:space="preserve"> 2017</w:t>
      </w:r>
      <w:bookmarkStart w:id="101" w:name="_GoBack"/>
      <w:bookmarkEnd w:id="101"/>
    </w:p>
    <w:p w14:paraId="52E7717A" w14:textId="77777777" w:rsidR="007C1E59" w:rsidRPr="004B39D6" w:rsidRDefault="007C1E59" w:rsidP="0081528B">
      <w:pPr>
        <w:widowControl w:val="0"/>
        <w:adjustRightInd w:val="0"/>
        <w:snapToGrid w:val="0"/>
        <w:spacing w:after="0" w:line="360" w:lineRule="auto"/>
        <w:jc w:val="both"/>
        <w:rPr>
          <w:rFonts w:ascii="Book Antiqua" w:hAnsi="Book Antiqua"/>
          <w:sz w:val="24"/>
          <w:szCs w:val="24"/>
        </w:rPr>
      </w:pPr>
      <w:r w:rsidRPr="004B39D6">
        <w:rPr>
          <w:rFonts w:ascii="Book Antiqua" w:hAnsi="Book Antiqua"/>
          <w:b/>
          <w:sz w:val="24"/>
          <w:szCs w:val="24"/>
        </w:rPr>
        <w:t>Article in press:</w:t>
      </w:r>
      <w:r w:rsidRPr="004B39D6">
        <w:rPr>
          <w:rFonts w:ascii="Book Antiqua" w:hAnsi="Book Antiqua"/>
          <w:sz w:val="24"/>
          <w:szCs w:val="24"/>
        </w:rPr>
        <w:t xml:space="preserve"> </w:t>
      </w:r>
    </w:p>
    <w:p w14:paraId="13F941AA" w14:textId="77777777" w:rsidR="007C1E59" w:rsidRPr="004B39D6" w:rsidRDefault="007C1E59" w:rsidP="0081528B">
      <w:pPr>
        <w:adjustRightInd w:val="0"/>
        <w:snapToGrid w:val="0"/>
        <w:spacing w:after="0" w:line="360" w:lineRule="auto"/>
        <w:jc w:val="both"/>
        <w:rPr>
          <w:rFonts w:ascii="Book Antiqua" w:hAnsi="Book Antiqua"/>
          <w:sz w:val="24"/>
          <w:szCs w:val="24"/>
        </w:rPr>
      </w:pPr>
      <w:r w:rsidRPr="004B39D6">
        <w:rPr>
          <w:rFonts w:ascii="Book Antiqua" w:hAnsi="Book Antiqua"/>
          <w:b/>
          <w:sz w:val="24"/>
          <w:szCs w:val="24"/>
        </w:rPr>
        <w:t>Published online:</w:t>
      </w:r>
      <w:bookmarkEnd w:id="58"/>
      <w:r w:rsidRPr="004B39D6">
        <w:rPr>
          <w:rFonts w:ascii="Book Antiqua" w:hAnsi="Book Antiqua"/>
          <w:sz w:val="24"/>
          <w:szCs w:val="24"/>
        </w:rPr>
        <w:t xml:space="preserve"> </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7B719602" w14:textId="77777777" w:rsidR="00AF0565" w:rsidRPr="004B39D6" w:rsidRDefault="00AF0565"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br/>
      </w:r>
    </w:p>
    <w:p w14:paraId="4F94BDD1" w14:textId="77777777" w:rsidR="00AF0565" w:rsidRPr="004B39D6" w:rsidRDefault="00AF0565" w:rsidP="0081528B">
      <w:pPr>
        <w:snapToGrid w:val="0"/>
        <w:spacing w:after="0" w:line="360" w:lineRule="auto"/>
        <w:jc w:val="both"/>
        <w:rPr>
          <w:rFonts w:ascii="Book Antiqua" w:hAnsi="Book Antiqua" w:cs="Arial"/>
          <w:b/>
          <w:sz w:val="24"/>
          <w:szCs w:val="24"/>
          <w:lang w:val="en-US"/>
        </w:rPr>
      </w:pPr>
      <w:r w:rsidRPr="004B39D6">
        <w:rPr>
          <w:rFonts w:ascii="Book Antiqua" w:hAnsi="Book Antiqua" w:cs="Arial"/>
          <w:sz w:val="24"/>
          <w:szCs w:val="24"/>
          <w:lang w:val="en-US"/>
        </w:rPr>
        <w:br w:type="page"/>
      </w:r>
      <w:r w:rsidRPr="004B39D6">
        <w:rPr>
          <w:rFonts w:ascii="Book Antiqua" w:hAnsi="Book Antiqua" w:cs="Arial"/>
          <w:b/>
          <w:sz w:val="24"/>
          <w:szCs w:val="24"/>
          <w:lang w:val="en-US"/>
        </w:rPr>
        <w:lastRenderedPageBreak/>
        <w:t>Abstract</w:t>
      </w:r>
    </w:p>
    <w:p w14:paraId="0B3753FE" w14:textId="6A20D3FB" w:rsidR="00934A47" w:rsidRPr="004B39D6" w:rsidRDefault="00934A47" w:rsidP="0081528B">
      <w:pPr>
        <w:snapToGrid w:val="0"/>
        <w:spacing w:after="0" w:line="360" w:lineRule="auto"/>
        <w:jc w:val="both"/>
        <w:rPr>
          <w:rFonts w:ascii="Book Antiqua" w:hAnsi="Book Antiqua" w:cs="Arial"/>
          <w:b/>
          <w:i/>
          <w:sz w:val="24"/>
          <w:szCs w:val="24"/>
          <w:lang w:val="en-US" w:eastAsia="zh-CN"/>
        </w:rPr>
      </w:pPr>
      <w:r w:rsidRPr="004B39D6">
        <w:rPr>
          <w:rFonts w:ascii="Book Antiqua" w:hAnsi="Book Antiqua" w:cs="Arial"/>
          <w:b/>
          <w:i/>
          <w:sz w:val="24"/>
          <w:szCs w:val="24"/>
          <w:lang w:val="en-US"/>
        </w:rPr>
        <w:t>AIM</w:t>
      </w:r>
    </w:p>
    <w:p w14:paraId="1842D4C4" w14:textId="649DEBDF" w:rsidR="00AF0565" w:rsidRPr="004B39D6" w:rsidRDefault="00AF0565" w:rsidP="0081528B">
      <w:pPr>
        <w:snapToGrid w:val="0"/>
        <w:spacing w:after="0" w:line="360" w:lineRule="auto"/>
        <w:jc w:val="both"/>
        <w:rPr>
          <w:rFonts w:ascii="Book Antiqua" w:hAnsi="Book Antiqua" w:cs="Arial"/>
          <w:sz w:val="24"/>
          <w:szCs w:val="24"/>
          <w:lang w:val="en-US"/>
        </w:rPr>
      </w:pPr>
      <w:proofErr w:type="gramStart"/>
      <w:r w:rsidRPr="004B39D6">
        <w:rPr>
          <w:rFonts w:ascii="Book Antiqua" w:hAnsi="Book Antiqua" w:cs="Arial"/>
          <w:sz w:val="24"/>
          <w:szCs w:val="24"/>
          <w:lang w:val="en-US"/>
        </w:rPr>
        <w:t>To investigate the role of glutathione S-</w:t>
      </w:r>
      <w:proofErr w:type="spellStart"/>
      <w:r w:rsidRPr="004B39D6">
        <w:rPr>
          <w:rFonts w:ascii="Book Antiqua" w:hAnsi="Book Antiqua" w:cs="Arial"/>
          <w:sz w:val="24"/>
          <w:szCs w:val="24"/>
          <w:lang w:val="en-US"/>
        </w:rPr>
        <w:t>transferase</w:t>
      </w:r>
      <w:proofErr w:type="spellEnd"/>
      <w:r w:rsidRPr="004B39D6">
        <w:rPr>
          <w:rFonts w:ascii="Book Antiqua" w:hAnsi="Book Antiqua" w:cs="Arial"/>
          <w:sz w:val="24"/>
          <w:szCs w:val="24"/>
          <w:lang w:val="en-US"/>
        </w:rPr>
        <w:t xml:space="preserve"> T1 donor-specific T lymphocytes in plasma cell</w:t>
      </w:r>
      <w:r w:rsidR="002E6613" w:rsidRPr="004B39D6">
        <w:rPr>
          <w:rFonts w:ascii="Book Antiqua" w:hAnsi="Book Antiqua" w:cs="Arial"/>
          <w:sz w:val="24"/>
          <w:szCs w:val="24"/>
          <w:lang w:val="en-US"/>
        </w:rPr>
        <w:t>-</w:t>
      </w:r>
      <w:r w:rsidRPr="004B39D6">
        <w:rPr>
          <w:rFonts w:ascii="Book Antiqua" w:hAnsi="Book Antiqua" w:cs="Arial"/>
          <w:sz w:val="24"/>
          <w:szCs w:val="24"/>
          <w:lang w:val="en-US"/>
        </w:rPr>
        <w:t>rich</w:t>
      </w:r>
      <w:r w:rsidR="002E6613" w:rsidRPr="004B39D6">
        <w:rPr>
          <w:rFonts w:ascii="Book Antiqua" w:hAnsi="Book Antiqua" w:cs="Arial"/>
          <w:sz w:val="24"/>
          <w:szCs w:val="24"/>
          <w:lang w:val="en-US"/>
        </w:rPr>
        <w:t xml:space="preserve"> </w:t>
      </w:r>
      <w:r w:rsidRPr="004B39D6">
        <w:rPr>
          <w:rFonts w:ascii="Book Antiqua" w:hAnsi="Book Antiqua" w:cs="Arial"/>
          <w:sz w:val="24"/>
          <w:szCs w:val="24"/>
          <w:lang w:val="en-US"/>
        </w:rPr>
        <w:t>rejection of liver allograft</w:t>
      </w:r>
      <w:r w:rsidR="00452659" w:rsidRPr="004B39D6">
        <w:rPr>
          <w:rFonts w:ascii="Book Antiqua" w:hAnsi="Book Antiqua" w:cs="Arial"/>
          <w:sz w:val="24"/>
          <w:szCs w:val="24"/>
          <w:lang w:val="en-US"/>
        </w:rPr>
        <w:t>s</w:t>
      </w:r>
      <w:r w:rsidRPr="004B39D6">
        <w:rPr>
          <w:rFonts w:ascii="Book Antiqua" w:hAnsi="Book Antiqua" w:cs="Arial"/>
          <w:sz w:val="24"/>
          <w:szCs w:val="24"/>
          <w:lang w:val="en-US"/>
        </w:rPr>
        <w:t>.</w:t>
      </w:r>
      <w:proofErr w:type="gramEnd"/>
    </w:p>
    <w:p w14:paraId="56E934E0" w14:textId="77777777" w:rsidR="00834C76" w:rsidRPr="004B39D6" w:rsidRDefault="00834C76" w:rsidP="0081528B">
      <w:pPr>
        <w:snapToGrid w:val="0"/>
        <w:spacing w:after="0" w:line="360" w:lineRule="auto"/>
        <w:jc w:val="both"/>
        <w:rPr>
          <w:rFonts w:ascii="Book Antiqua" w:hAnsi="Book Antiqua" w:cs="Arial"/>
          <w:b/>
          <w:sz w:val="24"/>
          <w:szCs w:val="24"/>
          <w:lang w:val="en-US"/>
        </w:rPr>
      </w:pPr>
    </w:p>
    <w:p w14:paraId="0871345B" w14:textId="63857491" w:rsidR="00934A47" w:rsidRPr="004B39D6" w:rsidRDefault="00934A47" w:rsidP="0081528B">
      <w:pPr>
        <w:snapToGrid w:val="0"/>
        <w:spacing w:after="0" w:line="360" w:lineRule="auto"/>
        <w:jc w:val="both"/>
        <w:rPr>
          <w:rFonts w:ascii="Book Antiqua" w:hAnsi="Book Antiqua" w:cs="Arial"/>
          <w:b/>
          <w:i/>
          <w:sz w:val="24"/>
          <w:szCs w:val="24"/>
          <w:lang w:val="en-US" w:eastAsia="zh-CN"/>
        </w:rPr>
      </w:pPr>
      <w:r w:rsidRPr="004B39D6">
        <w:rPr>
          <w:rFonts w:ascii="Book Antiqua" w:hAnsi="Book Antiqua" w:cs="Arial"/>
          <w:b/>
          <w:i/>
          <w:sz w:val="24"/>
          <w:szCs w:val="24"/>
          <w:lang w:val="en-US"/>
        </w:rPr>
        <w:t>METHODS</w:t>
      </w:r>
    </w:p>
    <w:p w14:paraId="4B9E4EC4" w14:textId="0B558156" w:rsidR="00AF0565" w:rsidRPr="004B39D6" w:rsidRDefault="00617750"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t>The study group included 22 liver</w:t>
      </w:r>
      <w:r w:rsidR="00AF0565" w:rsidRPr="004B39D6">
        <w:rPr>
          <w:rFonts w:ascii="Book Antiqua" w:hAnsi="Book Antiqua" w:cs="Arial"/>
          <w:sz w:val="24"/>
          <w:szCs w:val="24"/>
          <w:lang w:val="en-US"/>
        </w:rPr>
        <w:t xml:space="preserve"> transplant patients</w:t>
      </w:r>
      <w:r w:rsidRPr="004B39D6">
        <w:rPr>
          <w:rFonts w:ascii="Book Antiqua" w:hAnsi="Book Antiqua" w:cs="Arial"/>
          <w:sz w:val="24"/>
          <w:szCs w:val="24"/>
          <w:lang w:val="en-US"/>
        </w:rPr>
        <w:t xml:space="preserve">. </w:t>
      </w:r>
      <w:r w:rsidR="00486ED8" w:rsidRPr="004B39D6">
        <w:rPr>
          <w:rFonts w:ascii="Book Antiqua" w:hAnsi="Book Antiqua" w:cs="Arial"/>
          <w:sz w:val="24"/>
          <w:szCs w:val="24"/>
          <w:lang w:val="en-US"/>
        </w:rPr>
        <w:t>Among them, 18</w:t>
      </w:r>
      <w:r w:rsidRPr="004B39D6">
        <w:rPr>
          <w:rFonts w:ascii="Book Antiqua" w:hAnsi="Book Antiqua" w:cs="Arial"/>
          <w:sz w:val="24"/>
          <w:szCs w:val="24"/>
          <w:lang w:val="en-US"/>
        </w:rPr>
        <w:t xml:space="preserve"> patients were mi</w:t>
      </w:r>
      <w:r w:rsidR="007C1D06" w:rsidRPr="004B39D6">
        <w:rPr>
          <w:rFonts w:ascii="Book Antiqua" w:hAnsi="Book Antiqua" w:cs="Arial"/>
          <w:sz w:val="24"/>
          <w:szCs w:val="24"/>
          <w:lang w:val="en-US"/>
        </w:rPr>
        <w:t xml:space="preserve">smatched for the </w:t>
      </w:r>
      <w:r w:rsidR="00E37A6C" w:rsidRPr="004B39D6">
        <w:rPr>
          <w:rFonts w:ascii="Book Antiqua" w:hAnsi="Book Antiqua" w:cs="Arial"/>
          <w:sz w:val="24"/>
          <w:szCs w:val="24"/>
          <w:lang w:val="en-US"/>
        </w:rPr>
        <w:t>glutathione S-</w:t>
      </w:r>
      <w:proofErr w:type="spellStart"/>
      <w:r w:rsidR="00E37A6C" w:rsidRPr="004B39D6">
        <w:rPr>
          <w:rFonts w:ascii="Book Antiqua" w:hAnsi="Book Antiqua" w:cs="Arial"/>
          <w:sz w:val="24"/>
          <w:szCs w:val="24"/>
          <w:lang w:val="en-US"/>
        </w:rPr>
        <w:t>transferase</w:t>
      </w:r>
      <w:proofErr w:type="spellEnd"/>
      <w:r w:rsidR="00E37A6C" w:rsidRPr="004B39D6">
        <w:rPr>
          <w:rFonts w:ascii="Book Antiqua" w:hAnsi="Book Antiqua" w:cs="Arial"/>
          <w:sz w:val="24"/>
          <w:szCs w:val="24"/>
          <w:lang w:val="en-US"/>
        </w:rPr>
        <w:t xml:space="preserve"> T1</w:t>
      </w:r>
      <w:r w:rsidR="00E37A6C" w:rsidRPr="004B39D6">
        <w:rPr>
          <w:rFonts w:ascii="Book Antiqua" w:hAnsi="Book Antiqua" w:cs="Arial"/>
          <w:sz w:val="24"/>
          <w:szCs w:val="24"/>
          <w:lang w:val="en-US" w:eastAsia="zh-CN"/>
        </w:rPr>
        <w:t xml:space="preserve"> (</w:t>
      </w:r>
      <w:r w:rsidR="00412682" w:rsidRPr="004B39D6">
        <w:rPr>
          <w:rFonts w:ascii="Book Antiqua" w:hAnsi="Book Antiqua" w:cs="Arial"/>
          <w:sz w:val="24"/>
          <w:szCs w:val="24"/>
          <w:lang w:val="en-US"/>
        </w:rPr>
        <w:t>GSTT1</w:t>
      </w:r>
      <w:r w:rsidR="00E37A6C" w:rsidRPr="004B39D6">
        <w:rPr>
          <w:rFonts w:ascii="Book Antiqua" w:hAnsi="Book Antiqua" w:cs="Arial"/>
          <w:sz w:val="24"/>
          <w:szCs w:val="24"/>
          <w:lang w:val="en-US" w:eastAsia="zh-CN"/>
        </w:rPr>
        <w:t>)</w:t>
      </w:r>
      <w:r w:rsidR="007C1D06" w:rsidRPr="004B39D6">
        <w:rPr>
          <w:rFonts w:ascii="Book Antiqua" w:hAnsi="Book Antiqua" w:cs="Arial"/>
          <w:sz w:val="24"/>
          <w:szCs w:val="24"/>
          <w:lang w:val="en-US"/>
        </w:rPr>
        <w:t xml:space="preserve"> alleles (don+/rec</w:t>
      </w:r>
      <w:r w:rsidRPr="004B39D6">
        <w:rPr>
          <w:rFonts w:ascii="Book Antiqua" w:hAnsi="Book Antiqua" w:cs="Arial"/>
          <w:sz w:val="24"/>
          <w:szCs w:val="24"/>
          <w:lang w:val="en-US"/>
        </w:rPr>
        <w:t>-</w:t>
      </w:r>
      <w:r w:rsidR="00486ED8" w:rsidRPr="004B39D6">
        <w:rPr>
          <w:rFonts w:ascii="Book Antiqua" w:hAnsi="Book Antiqua" w:cs="Arial"/>
          <w:sz w:val="24"/>
          <w:szCs w:val="24"/>
          <w:lang w:val="en-US"/>
        </w:rPr>
        <w:t>)</w:t>
      </w:r>
      <w:r w:rsidR="00452659" w:rsidRPr="004B39D6">
        <w:rPr>
          <w:rFonts w:ascii="Book Antiqua" w:hAnsi="Book Antiqua" w:cs="Arial"/>
          <w:sz w:val="24"/>
          <w:szCs w:val="24"/>
          <w:lang w:val="en-US"/>
        </w:rPr>
        <w:t>,</w:t>
      </w:r>
      <w:r w:rsidR="00486ED8" w:rsidRPr="004B39D6">
        <w:rPr>
          <w:rFonts w:ascii="Book Antiqua" w:hAnsi="Book Antiqua" w:cs="Arial"/>
          <w:sz w:val="24"/>
          <w:szCs w:val="24"/>
          <w:lang w:val="en-US"/>
        </w:rPr>
        <w:t xml:space="preserve"> and 4 were </w:t>
      </w:r>
      <w:r w:rsidR="00B94F1F" w:rsidRPr="004B39D6">
        <w:rPr>
          <w:rFonts w:ascii="Book Antiqua" w:hAnsi="Book Antiqua" w:cs="Arial"/>
          <w:sz w:val="24"/>
          <w:szCs w:val="24"/>
          <w:lang w:val="en-US"/>
        </w:rPr>
        <w:t xml:space="preserve">matched </w:t>
      </w:r>
      <w:r w:rsidR="00486ED8" w:rsidRPr="004B39D6">
        <w:rPr>
          <w:rFonts w:ascii="Book Antiqua" w:hAnsi="Book Antiqua" w:cs="Arial"/>
          <w:sz w:val="24"/>
          <w:szCs w:val="24"/>
          <w:lang w:val="en-US"/>
        </w:rPr>
        <w:t xml:space="preserve">(don+/rec+). </w:t>
      </w:r>
      <w:r w:rsidR="007F22F8" w:rsidRPr="004B39D6">
        <w:rPr>
          <w:rFonts w:ascii="Book Antiqua" w:hAnsi="Book Antiqua" w:cs="Arial"/>
          <w:sz w:val="24"/>
          <w:szCs w:val="24"/>
          <w:lang w:val="en-US"/>
        </w:rPr>
        <w:t>Seven of the mismatched patients produced anti-GSTT1 antibodies and developed plasma cell</w:t>
      </w:r>
      <w:r w:rsidR="002E6613" w:rsidRPr="004B39D6">
        <w:rPr>
          <w:rFonts w:ascii="Book Antiqua" w:hAnsi="Book Antiqua" w:cs="Arial"/>
          <w:sz w:val="24"/>
          <w:szCs w:val="24"/>
          <w:lang w:val="en-US"/>
        </w:rPr>
        <w:t>-</w:t>
      </w:r>
      <w:r w:rsidR="007F22F8" w:rsidRPr="004B39D6">
        <w:rPr>
          <w:rFonts w:ascii="Book Antiqua" w:hAnsi="Book Antiqua" w:cs="Arial"/>
          <w:sz w:val="24"/>
          <w:szCs w:val="24"/>
          <w:lang w:val="en-US"/>
        </w:rPr>
        <w:t>rich</w:t>
      </w:r>
      <w:r w:rsidR="002E6613" w:rsidRPr="004B39D6">
        <w:rPr>
          <w:rFonts w:ascii="Book Antiqua" w:hAnsi="Book Antiqua" w:cs="Arial"/>
          <w:sz w:val="24"/>
          <w:szCs w:val="24"/>
          <w:lang w:val="en-US"/>
        </w:rPr>
        <w:t xml:space="preserve"> </w:t>
      </w:r>
      <w:r w:rsidR="007F22F8" w:rsidRPr="004B39D6">
        <w:rPr>
          <w:rFonts w:ascii="Book Antiqua" w:hAnsi="Book Antiqua" w:cs="Arial"/>
          <w:sz w:val="24"/>
          <w:szCs w:val="24"/>
          <w:lang w:val="en-US"/>
        </w:rPr>
        <w:t xml:space="preserve">rejection (former </w:t>
      </w:r>
      <w:r w:rsidR="007F22F8" w:rsidRPr="004B39D6">
        <w:rPr>
          <w:rFonts w:ascii="Book Antiqua" w:hAnsi="Book Antiqua" w:cs="Arial"/>
          <w:i/>
          <w:sz w:val="24"/>
          <w:szCs w:val="24"/>
          <w:lang w:val="en-US"/>
        </w:rPr>
        <w:t>de novo</w:t>
      </w:r>
      <w:r w:rsidR="007F22F8" w:rsidRPr="004B39D6">
        <w:rPr>
          <w:rFonts w:ascii="Book Antiqua" w:hAnsi="Book Antiqua" w:cs="Arial"/>
          <w:sz w:val="24"/>
          <w:szCs w:val="24"/>
          <w:lang w:val="en-US"/>
        </w:rPr>
        <w:t xml:space="preserve"> </w:t>
      </w:r>
      <w:r w:rsidR="00A26C4B" w:rsidRPr="004B39D6">
        <w:rPr>
          <w:rFonts w:ascii="Book Antiqua" w:hAnsi="Book Antiqua" w:cs="Arial"/>
          <w:sz w:val="24"/>
          <w:szCs w:val="24"/>
          <w:lang w:val="en-US"/>
        </w:rPr>
        <w:t>i</w:t>
      </w:r>
      <w:r w:rsidR="007F22F8" w:rsidRPr="004B39D6">
        <w:rPr>
          <w:rFonts w:ascii="Book Antiqua" w:hAnsi="Book Antiqua" w:cs="Arial"/>
          <w:sz w:val="24"/>
          <w:szCs w:val="24"/>
          <w:lang w:val="en-US"/>
        </w:rPr>
        <w:t xml:space="preserve">mmune hepatitis). For </w:t>
      </w:r>
      <w:r w:rsidR="000250D5" w:rsidRPr="004B39D6">
        <w:rPr>
          <w:rFonts w:ascii="Book Antiqua" w:hAnsi="Book Antiqua" w:cs="Arial"/>
          <w:sz w:val="24"/>
          <w:szCs w:val="24"/>
          <w:lang w:val="en-US"/>
        </w:rPr>
        <w:t xml:space="preserve">the </w:t>
      </w:r>
      <w:r w:rsidR="007F22F8" w:rsidRPr="004B39D6">
        <w:rPr>
          <w:rFonts w:ascii="Book Antiqua" w:hAnsi="Book Antiqua" w:cs="Arial"/>
          <w:sz w:val="24"/>
          <w:szCs w:val="24"/>
          <w:lang w:val="en-US"/>
        </w:rPr>
        <w:t>detection of specific T lymphocytes, p</w:t>
      </w:r>
      <w:r w:rsidR="006E5324" w:rsidRPr="004B39D6">
        <w:rPr>
          <w:rFonts w:ascii="Book Antiqua" w:hAnsi="Book Antiqua" w:cs="Arial"/>
          <w:sz w:val="24"/>
          <w:szCs w:val="24"/>
          <w:lang w:val="en-US"/>
        </w:rPr>
        <w:t>eripheral blood mononuclear cells</w:t>
      </w:r>
      <w:r w:rsidR="00412682">
        <w:rPr>
          <w:rFonts w:ascii="Book Antiqua" w:hAnsi="Book Antiqua" w:cs="Arial" w:hint="eastAsia"/>
          <w:sz w:val="24"/>
          <w:szCs w:val="24"/>
          <w:lang w:val="en-US" w:eastAsia="zh-CN"/>
        </w:rPr>
        <w:t xml:space="preserve"> </w:t>
      </w:r>
      <w:r w:rsidR="006E5324" w:rsidRPr="004B39D6">
        <w:rPr>
          <w:rFonts w:ascii="Book Antiqua" w:hAnsi="Book Antiqua" w:cs="Arial"/>
          <w:sz w:val="24"/>
          <w:szCs w:val="24"/>
          <w:lang w:val="en-US"/>
        </w:rPr>
        <w:t xml:space="preserve">were collected and stored in liquid </w:t>
      </w:r>
      <w:r w:rsidR="007F22F8" w:rsidRPr="004B39D6">
        <w:rPr>
          <w:rFonts w:ascii="Book Antiqua" w:hAnsi="Book Antiqua" w:cs="Arial"/>
          <w:sz w:val="24"/>
          <w:szCs w:val="24"/>
          <w:lang w:val="en-US"/>
        </w:rPr>
        <w:t xml:space="preserve">nitrogen. </w:t>
      </w:r>
      <w:r w:rsidR="000250D5" w:rsidRPr="004B39D6">
        <w:rPr>
          <w:rFonts w:ascii="Book Antiqua" w:hAnsi="Book Antiqua" w:cs="Arial"/>
          <w:sz w:val="24"/>
          <w:szCs w:val="24"/>
          <w:lang w:val="en-US"/>
        </w:rPr>
        <w:t>The m</w:t>
      </w:r>
      <w:r w:rsidR="007F22F8" w:rsidRPr="004B39D6">
        <w:rPr>
          <w:rFonts w:ascii="Book Antiqua" w:hAnsi="Book Antiqua" w:cs="Arial"/>
          <w:sz w:val="24"/>
          <w:szCs w:val="24"/>
          <w:lang w:val="en-US"/>
        </w:rPr>
        <w:t xml:space="preserve">emory </w:t>
      </w:r>
      <w:r w:rsidR="006E5324" w:rsidRPr="004B39D6">
        <w:rPr>
          <w:rFonts w:ascii="Book Antiqua" w:hAnsi="Book Antiqua" w:cs="Arial"/>
          <w:sz w:val="24"/>
          <w:szCs w:val="24"/>
          <w:lang w:val="en-US"/>
        </w:rPr>
        <w:t>T cell</w:t>
      </w:r>
      <w:r w:rsidR="00486ED8" w:rsidRPr="004B39D6">
        <w:rPr>
          <w:rFonts w:ascii="Book Antiqua" w:hAnsi="Book Antiqua" w:cs="Arial"/>
          <w:sz w:val="24"/>
          <w:szCs w:val="24"/>
          <w:lang w:val="en-US"/>
        </w:rPr>
        <w:t xml:space="preserve"> response was studied by </w:t>
      </w:r>
      <w:r w:rsidR="006E5324" w:rsidRPr="004B39D6">
        <w:rPr>
          <w:rFonts w:ascii="Book Antiqua" w:hAnsi="Book Antiqua" w:cs="Arial"/>
          <w:sz w:val="24"/>
          <w:szCs w:val="24"/>
          <w:lang w:val="en-US"/>
        </w:rPr>
        <w:t>adding to the cell cultures</w:t>
      </w:r>
      <w:r w:rsidR="00452659" w:rsidRPr="004B39D6">
        <w:rPr>
          <w:rFonts w:ascii="Book Antiqua" w:hAnsi="Book Antiqua" w:cs="Arial"/>
          <w:sz w:val="24"/>
          <w:szCs w:val="24"/>
          <w:lang w:val="en-US"/>
        </w:rPr>
        <w:t xml:space="preserve"> to</w:t>
      </w:r>
      <w:r w:rsidR="006E5324" w:rsidRPr="004B39D6">
        <w:rPr>
          <w:rFonts w:ascii="Book Antiqua" w:hAnsi="Book Antiqua" w:cs="Arial"/>
          <w:sz w:val="24"/>
          <w:szCs w:val="24"/>
          <w:lang w:val="en-US"/>
        </w:rPr>
        <w:t xml:space="preserve"> a mix of 39 custom</w:t>
      </w:r>
      <w:r w:rsidR="000D7C2F" w:rsidRPr="004B39D6">
        <w:rPr>
          <w:rFonts w:ascii="Book Antiqua" w:hAnsi="Book Antiqua" w:cs="Arial"/>
          <w:sz w:val="24"/>
          <w:szCs w:val="24"/>
          <w:lang w:val="en-US"/>
        </w:rPr>
        <w:t>-</w:t>
      </w:r>
      <w:r w:rsidR="006E5324" w:rsidRPr="004B39D6">
        <w:rPr>
          <w:rFonts w:ascii="Book Antiqua" w:hAnsi="Book Antiqua" w:cs="Arial"/>
          <w:sz w:val="24"/>
          <w:szCs w:val="24"/>
          <w:lang w:val="en-US"/>
        </w:rPr>
        <w:t>made</w:t>
      </w:r>
      <w:r w:rsidR="000D7C2F" w:rsidRPr="004B39D6">
        <w:rPr>
          <w:rFonts w:ascii="Book Antiqua" w:hAnsi="Book Antiqua" w:cs="Arial"/>
          <w:sz w:val="24"/>
          <w:szCs w:val="24"/>
          <w:lang w:val="en-US"/>
        </w:rPr>
        <w:t>,</w:t>
      </w:r>
      <w:r w:rsidR="006E5324" w:rsidRPr="004B39D6">
        <w:rPr>
          <w:rFonts w:ascii="Book Antiqua" w:hAnsi="Book Antiqua" w:cs="Arial"/>
          <w:sz w:val="24"/>
          <w:szCs w:val="24"/>
          <w:lang w:val="en-US"/>
        </w:rPr>
        <w:t xml:space="preserve"> </w:t>
      </w:r>
      <w:r w:rsidR="000D7C2F" w:rsidRPr="004B39D6">
        <w:rPr>
          <w:rFonts w:ascii="Book Antiqua" w:hAnsi="Book Antiqua" w:cs="Arial"/>
          <w:sz w:val="24"/>
          <w:szCs w:val="24"/>
          <w:lang w:val="en-US"/>
        </w:rPr>
        <w:t>15-mer overlapping peptides, which</w:t>
      </w:r>
      <w:r w:rsidR="006E5324" w:rsidRPr="004B39D6">
        <w:rPr>
          <w:rFonts w:ascii="Book Antiqua" w:hAnsi="Book Antiqua" w:cs="Arial"/>
          <w:sz w:val="24"/>
          <w:szCs w:val="24"/>
          <w:lang w:val="en-US"/>
        </w:rPr>
        <w:t xml:space="preserve"> covered the entire GSTT1 </w:t>
      </w:r>
      <w:r w:rsidR="000D7C2F" w:rsidRPr="004B39D6">
        <w:rPr>
          <w:rFonts w:ascii="Book Antiqua" w:hAnsi="Book Antiqua" w:cs="Arial"/>
          <w:sz w:val="24"/>
          <w:szCs w:val="24"/>
          <w:lang w:val="en-US"/>
        </w:rPr>
        <w:t>amino acid</w:t>
      </w:r>
      <w:r w:rsidR="006E5324" w:rsidRPr="004B39D6">
        <w:rPr>
          <w:rFonts w:ascii="Book Antiqua" w:hAnsi="Book Antiqua" w:cs="Arial"/>
          <w:sz w:val="24"/>
          <w:szCs w:val="24"/>
          <w:lang w:val="en-US"/>
        </w:rPr>
        <w:t xml:space="preserve"> sequence.</w:t>
      </w:r>
      <w:r w:rsidR="00486ED8" w:rsidRPr="004B39D6">
        <w:rPr>
          <w:rFonts w:ascii="Book Antiqua" w:hAnsi="Book Antiqua" w:cs="Arial"/>
          <w:sz w:val="24"/>
          <w:szCs w:val="24"/>
          <w:lang w:val="en-US"/>
        </w:rPr>
        <w:t xml:space="preserve"> </w:t>
      </w:r>
      <w:r w:rsidR="006E5324" w:rsidRPr="004B39D6">
        <w:rPr>
          <w:rFonts w:ascii="Book Antiqua" w:hAnsi="Book Antiqua" w:cs="Arial"/>
          <w:sz w:val="24"/>
          <w:szCs w:val="24"/>
          <w:lang w:val="en-US"/>
        </w:rPr>
        <w:t xml:space="preserve">The specific cellular response to peptides was analyzed by flow </w:t>
      </w:r>
      <w:proofErr w:type="spellStart"/>
      <w:r w:rsidR="006E5324" w:rsidRPr="004B39D6">
        <w:rPr>
          <w:rFonts w:ascii="Book Antiqua" w:hAnsi="Book Antiqua" w:cs="Arial"/>
          <w:sz w:val="24"/>
          <w:szCs w:val="24"/>
          <w:lang w:val="en-US"/>
        </w:rPr>
        <w:t>cytometry</w:t>
      </w:r>
      <w:proofErr w:type="spellEnd"/>
      <w:r w:rsidR="006E5324" w:rsidRPr="004B39D6">
        <w:rPr>
          <w:rFonts w:ascii="Book Antiqua" w:hAnsi="Book Antiqua" w:cs="Arial"/>
          <w:sz w:val="24"/>
          <w:szCs w:val="24"/>
          <w:lang w:val="en-US"/>
        </w:rPr>
        <w:t xml:space="preserve"> using the markers CD8, CD4, IL-4 and </w:t>
      </w:r>
      <w:proofErr w:type="spellStart"/>
      <w:r w:rsidR="006E5324" w:rsidRPr="004B39D6">
        <w:rPr>
          <w:rFonts w:ascii="Book Antiqua" w:hAnsi="Book Antiqua" w:cs="Arial"/>
          <w:sz w:val="24"/>
          <w:szCs w:val="24"/>
          <w:lang w:val="en-US"/>
        </w:rPr>
        <w:t>IFNγ</w:t>
      </w:r>
      <w:proofErr w:type="spellEnd"/>
      <w:r w:rsidR="000D7C2F" w:rsidRPr="004B39D6">
        <w:rPr>
          <w:rFonts w:ascii="Book Antiqua" w:hAnsi="Book Antiqua" w:cs="Arial"/>
          <w:sz w:val="24"/>
          <w:szCs w:val="24"/>
          <w:lang w:val="en-US"/>
        </w:rPr>
        <w:t>.</w:t>
      </w:r>
    </w:p>
    <w:p w14:paraId="1340836E" w14:textId="77777777" w:rsidR="000D3DE9" w:rsidRPr="004B39D6" w:rsidRDefault="000D3DE9" w:rsidP="0081528B">
      <w:pPr>
        <w:snapToGrid w:val="0"/>
        <w:spacing w:after="0" w:line="360" w:lineRule="auto"/>
        <w:jc w:val="both"/>
        <w:rPr>
          <w:rFonts w:ascii="Book Antiqua" w:hAnsi="Book Antiqua" w:cs="Arial"/>
          <w:sz w:val="24"/>
          <w:szCs w:val="24"/>
          <w:lang w:val="en-US"/>
        </w:rPr>
      </w:pPr>
    </w:p>
    <w:p w14:paraId="11D5D511" w14:textId="01A52A70" w:rsidR="00934A47" w:rsidRPr="004B39D6" w:rsidRDefault="00934A47" w:rsidP="0081528B">
      <w:pPr>
        <w:snapToGrid w:val="0"/>
        <w:spacing w:after="0" w:line="360" w:lineRule="auto"/>
        <w:jc w:val="both"/>
        <w:rPr>
          <w:rFonts w:ascii="Book Antiqua" w:hAnsi="Book Antiqua" w:cs="Arial"/>
          <w:b/>
          <w:i/>
          <w:sz w:val="24"/>
          <w:szCs w:val="24"/>
          <w:lang w:val="en-US" w:eastAsia="zh-CN"/>
        </w:rPr>
      </w:pPr>
      <w:r w:rsidRPr="004B39D6">
        <w:rPr>
          <w:rFonts w:ascii="Book Antiqua" w:hAnsi="Book Antiqua" w:cs="Arial"/>
          <w:b/>
          <w:i/>
          <w:sz w:val="24"/>
          <w:szCs w:val="24"/>
          <w:lang w:val="en-US"/>
        </w:rPr>
        <w:t>RESULTS</w:t>
      </w:r>
    </w:p>
    <w:p w14:paraId="2CFEDEB7" w14:textId="535BA05A" w:rsidR="000D3DE9" w:rsidRPr="004B39D6" w:rsidRDefault="000D2FBB"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t>Activation of CD8</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T </w:t>
      </w:r>
      <w:r w:rsidR="007256AD" w:rsidRPr="004B39D6">
        <w:rPr>
          <w:rFonts w:ascii="Book Antiqua" w:hAnsi="Book Antiqua" w:cs="Arial"/>
          <w:sz w:val="24"/>
          <w:szCs w:val="24"/>
          <w:lang w:val="en-US"/>
        </w:rPr>
        <w:t xml:space="preserve">cells with different peptides </w:t>
      </w:r>
      <w:r w:rsidRPr="004B39D6">
        <w:rPr>
          <w:rFonts w:ascii="Book Antiqua" w:hAnsi="Book Antiqua" w:cs="Arial"/>
          <w:sz w:val="24"/>
          <w:szCs w:val="24"/>
          <w:lang w:val="en-US"/>
        </w:rPr>
        <w:t>was observed exclusively in t</w:t>
      </w:r>
      <w:r w:rsidR="007F22F8" w:rsidRPr="004B39D6">
        <w:rPr>
          <w:rFonts w:ascii="Book Antiqua" w:hAnsi="Book Antiqua" w:cs="Arial"/>
          <w:sz w:val="24"/>
          <w:szCs w:val="24"/>
          <w:lang w:val="en-US"/>
        </w:rPr>
        <w:t>he group of patients with plasma-cell rich rejection</w:t>
      </w:r>
      <w:r w:rsidR="007256AD" w:rsidRPr="004B39D6">
        <w:rPr>
          <w:rFonts w:ascii="Book Antiqua" w:hAnsi="Book Antiqua" w:cs="Arial"/>
          <w:sz w:val="24"/>
          <w:szCs w:val="24"/>
          <w:lang w:val="en-US"/>
        </w:rPr>
        <w:t xml:space="preserve"> (3 out of 7)</w:t>
      </w:r>
      <w:r w:rsidRPr="004B39D6">
        <w:rPr>
          <w:rFonts w:ascii="Book Antiqua" w:hAnsi="Book Antiqua" w:cs="Arial"/>
          <w:sz w:val="24"/>
          <w:szCs w:val="24"/>
          <w:lang w:val="en-US"/>
        </w:rPr>
        <w:t>, with production of IL-4 and</w:t>
      </w:r>
      <w:r w:rsidR="007256AD" w:rsidRPr="004B39D6">
        <w:rPr>
          <w:rFonts w:ascii="Book Antiqua" w:hAnsi="Book Antiqua" w:cs="Arial"/>
          <w:sz w:val="24"/>
          <w:szCs w:val="24"/>
          <w:lang w:val="en-US"/>
        </w:rPr>
        <w:t>/</w:t>
      </w:r>
      <w:r w:rsidRPr="004B39D6">
        <w:rPr>
          <w:rFonts w:ascii="Book Antiqua" w:hAnsi="Book Antiqua" w:cs="Arial"/>
          <w:sz w:val="24"/>
          <w:szCs w:val="24"/>
          <w:lang w:val="en-US"/>
        </w:rPr>
        <w:t xml:space="preserve">or </w:t>
      </w:r>
      <w:proofErr w:type="spellStart"/>
      <w:r w:rsidRPr="004B39D6">
        <w:rPr>
          <w:rFonts w:ascii="Book Antiqua" w:hAnsi="Book Antiqua" w:cs="Arial"/>
          <w:sz w:val="24"/>
          <w:szCs w:val="24"/>
          <w:lang w:val="en-US"/>
        </w:rPr>
        <w:t>IFNγ</w:t>
      </w:r>
      <w:proofErr w:type="spellEnd"/>
      <w:r w:rsidRPr="004B39D6">
        <w:rPr>
          <w:rFonts w:ascii="Book Antiqua" w:hAnsi="Book Antiqua" w:cs="Arial"/>
          <w:sz w:val="24"/>
          <w:szCs w:val="24"/>
          <w:lang w:val="en-US"/>
        </w:rPr>
        <w:t xml:space="preserve"> at a rate of 1-4.92%</w:t>
      </w:r>
      <w:r w:rsidR="007256AD" w:rsidRPr="004B39D6">
        <w:rPr>
          <w:rFonts w:ascii="Book Antiqua" w:hAnsi="Book Antiqua" w:cs="Arial"/>
          <w:sz w:val="24"/>
          <w:szCs w:val="24"/>
          <w:lang w:val="en-US"/>
        </w:rPr>
        <w:t xml:space="preserve"> depending on the peptides</w:t>
      </w:r>
      <w:r w:rsidRPr="004B39D6">
        <w:rPr>
          <w:rFonts w:ascii="Book Antiqua" w:hAnsi="Book Antiqua" w:cs="Arial"/>
          <w:sz w:val="24"/>
          <w:szCs w:val="24"/>
          <w:lang w:val="en-US"/>
        </w:rPr>
        <w:t xml:space="preserve">. </w:t>
      </w:r>
      <w:r w:rsidR="000250D5" w:rsidRPr="004B39D6">
        <w:rPr>
          <w:rFonts w:ascii="Book Antiqua" w:hAnsi="Book Antiqua" w:cs="Arial"/>
          <w:sz w:val="24"/>
          <w:szCs w:val="24"/>
          <w:lang w:val="en-US"/>
        </w:rPr>
        <w:t xml:space="preserve">The </w:t>
      </w:r>
      <w:r w:rsidR="007256AD" w:rsidRPr="004B39D6">
        <w:rPr>
          <w:rFonts w:ascii="Book Antiqua" w:hAnsi="Book Antiqua" w:cs="Arial"/>
          <w:sz w:val="24"/>
          <w:szCs w:val="24"/>
          <w:lang w:val="en-US"/>
        </w:rPr>
        <w:t>CD4</w:t>
      </w:r>
      <w:r w:rsidR="007256AD" w:rsidRPr="004B39D6">
        <w:rPr>
          <w:rFonts w:ascii="Book Antiqua" w:hAnsi="Book Antiqua" w:cs="Arial"/>
          <w:sz w:val="24"/>
          <w:szCs w:val="24"/>
          <w:vertAlign w:val="superscript"/>
          <w:lang w:val="en-US"/>
        </w:rPr>
        <w:t xml:space="preserve">+ </w:t>
      </w:r>
      <w:r w:rsidR="007256AD" w:rsidRPr="004B39D6">
        <w:rPr>
          <w:rFonts w:ascii="Book Antiqua" w:hAnsi="Book Antiqua" w:cs="Arial"/>
          <w:sz w:val="24"/>
          <w:szCs w:val="24"/>
          <w:lang w:val="en-US"/>
        </w:rPr>
        <w:t xml:space="preserve">response was most common </w:t>
      </w:r>
      <w:r w:rsidR="00B94F1F" w:rsidRPr="004B39D6">
        <w:rPr>
          <w:rFonts w:ascii="Book Antiqua" w:hAnsi="Book Antiqua" w:cs="Arial"/>
          <w:sz w:val="24"/>
          <w:szCs w:val="24"/>
          <w:lang w:val="en-US"/>
        </w:rPr>
        <w:t>and</w:t>
      </w:r>
      <w:r w:rsidR="007256AD" w:rsidRPr="004B39D6">
        <w:rPr>
          <w:rFonts w:ascii="Book Antiqua" w:hAnsi="Book Antiqua" w:cs="Arial"/>
          <w:sz w:val="24"/>
          <w:szCs w:val="24"/>
          <w:lang w:val="en-US"/>
        </w:rPr>
        <w:t xml:space="preserve"> not exclusive </w:t>
      </w:r>
      <w:r w:rsidR="000250D5" w:rsidRPr="004B39D6">
        <w:rPr>
          <w:rFonts w:ascii="Book Antiqua" w:hAnsi="Book Antiqua" w:cs="Arial"/>
          <w:sz w:val="24"/>
          <w:szCs w:val="24"/>
          <w:lang w:val="en-US"/>
        </w:rPr>
        <w:t xml:space="preserve">for </w:t>
      </w:r>
      <w:r w:rsidR="00B94F1F" w:rsidRPr="004B39D6">
        <w:rPr>
          <w:rFonts w:ascii="Book Antiqua" w:hAnsi="Book Antiqua" w:cs="Arial"/>
          <w:sz w:val="24"/>
          <w:szCs w:val="24"/>
          <w:lang w:val="en-US"/>
        </w:rPr>
        <w:t xml:space="preserve">patients </w:t>
      </w:r>
      <w:r w:rsidR="007256AD" w:rsidRPr="004B39D6">
        <w:rPr>
          <w:rFonts w:ascii="Book Antiqua" w:hAnsi="Book Antiqua" w:cs="Arial"/>
          <w:sz w:val="24"/>
          <w:szCs w:val="24"/>
          <w:lang w:val="en-US"/>
        </w:rPr>
        <w:t>with the disease</w:t>
      </w:r>
      <w:r w:rsidR="00740116" w:rsidRPr="004B39D6">
        <w:rPr>
          <w:rFonts w:ascii="Book Antiqua" w:hAnsi="Book Antiqua" w:cs="Arial"/>
          <w:sz w:val="24"/>
          <w:szCs w:val="24"/>
          <w:lang w:val="en-US"/>
        </w:rPr>
        <w:t>,</w:t>
      </w:r>
      <w:r w:rsidR="007256AD" w:rsidRPr="004B39D6">
        <w:rPr>
          <w:rFonts w:ascii="Book Antiqua" w:hAnsi="Book Antiqua" w:cs="Arial"/>
          <w:sz w:val="24"/>
          <w:szCs w:val="24"/>
          <w:lang w:val="en-US"/>
        </w:rPr>
        <w:t xml:space="preserve"> where 5 </w:t>
      </w:r>
      <w:r w:rsidR="00B94F1F" w:rsidRPr="004B39D6">
        <w:rPr>
          <w:rFonts w:ascii="Book Antiqua" w:hAnsi="Book Antiqua" w:cs="Arial"/>
          <w:sz w:val="24"/>
          <w:szCs w:val="24"/>
          <w:lang w:val="en-US"/>
        </w:rPr>
        <w:t xml:space="preserve">out </w:t>
      </w:r>
      <w:r w:rsidR="007256AD" w:rsidRPr="004B39D6">
        <w:rPr>
          <w:rFonts w:ascii="Book Antiqua" w:hAnsi="Book Antiqua" w:cs="Arial"/>
          <w:sz w:val="24"/>
          <w:szCs w:val="24"/>
          <w:lang w:val="en-US"/>
        </w:rPr>
        <w:t xml:space="preserve">of 7 showed percentages of activated cells </w:t>
      </w:r>
      <w:r w:rsidR="00740116" w:rsidRPr="004B39D6">
        <w:rPr>
          <w:rFonts w:ascii="Book Antiqua" w:hAnsi="Book Antiqua" w:cs="Arial"/>
          <w:sz w:val="24"/>
          <w:szCs w:val="24"/>
          <w:lang w:val="en-US"/>
        </w:rPr>
        <w:t>from</w:t>
      </w:r>
      <w:r w:rsidR="007256AD" w:rsidRPr="004B39D6">
        <w:rPr>
          <w:rFonts w:ascii="Book Antiqua" w:hAnsi="Book Antiqua" w:cs="Arial"/>
          <w:sz w:val="24"/>
          <w:szCs w:val="24"/>
          <w:lang w:val="en-US"/>
        </w:rPr>
        <w:t xml:space="preserve"> 1.</w:t>
      </w:r>
      <w:r w:rsidR="00D24B68" w:rsidRPr="004B39D6">
        <w:rPr>
          <w:rFonts w:ascii="Book Antiqua" w:hAnsi="Book Antiqua" w:cs="Arial"/>
          <w:sz w:val="24"/>
          <w:szCs w:val="24"/>
          <w:lang w:val="en-US"/>
        </w:rPr>
        <w:t>24</w:t>
      </w:r>
      <w:r w:rsidR="007256AD" w:rsidRPr="004B39D6">
        <w:rPr>
          <w:rFonts w:ascii="Book Antiqua" w:hAnsi="Book Antiqua" w:cs="Arial"/>
          <w:sz w:val="24"/>
          <w:szCs w:val="24"/>
          <w:lang w:val="en-US"/>
        </w:rPr>
        <w:t xml:space="preserve"> to 31.34%. Additionally, two patients </w:t>
      </w:r>
      <w:r w:rsidR="00740116" w:rsidRPr="004B39D6">
        <w:rPr>
          <w:rFonts w:ascii="Book Antiqua" w:hAnsi="Book Antiqua" w:cs="Arial"/>
          <w:sz w:val="24"/>
          <w:szCs w:val="24"/>
          <w:lang w:val="en-US"/>
        </w:rPr>
        <w:t>without the disease but with the mismatch</w:t>
      </w:r>
      <w:r w:rsidR="003A5B34" w:rsidRPr="004B39D6">
        <w:rPr>
          <w:rFonts w:ascii="Book Antiqua" w:hAnsi="Book Antiqua" w:cs="Arial"/>
          <w:sz w:val="24"/>
          <w:szCs w:val="24"/>
          <w:lang w:val="en-US"/>
        </w:rPr>
        <w:t xml:space="preserve"> </w:t>
      </w:r>
      <w:r w:rsidR="00740116" w:rsidRPr="004B39D6">
        <w:rPr>
          <w:rFonts w:ascii="Book Antiqua" w:hAnsi="Book Antiqua" w:cs="Arial"/>
          <w:sz w:val="24"/>
          <w:szCs w:val="24"/>
          <w:lang w:val="en-US"/>
        </w:rPr>
        <w:t>had cells that became stimulated with some peptides (</w:t>
      </w:r>
      <w:r w:rsidR="007256AD" w:rsidRPr="004B39D6">
        <w:rPr>
          <w:rFonts w:ascii="Book Antiqua" w:hAnsi="Book Antiqua" w:cs="Arial"/>
          <w:sz w:val="24"/>
          <w:szCs w:val="24"/>
          <w:lang w:val="en-US"/>
        </w:rPr>
        <w:t>1.45-5.18%</w:t>
      </w:r>
      <w:r w:rsidR="00740116" w:rsidRPr="004B39D6">
        <w:rPr>
          <w:rFonts w:ascii="Book Antiqua" w:hAnsi="Book Antiqua" w:cs="Arial"/>
          <w:sz w:val="24"/>
          <w:szCs w:val="24"/>
          <w:lang w:val="en-US"/>
        </w:rPr>
        <w:t>). Highly unexpected was the finding of a double positive CD4</w:t>
      </w:r>
      <w:r w:rsidR="00740116" w:rsidRPr="004B39D6">
        <w:rPr>
          <w:rFonts w:ascii="Book Antiqua" w:hAnsi="Book Antiqua" w:cs="Arial"/>
          <w:sz w:val="24"/>
          <w:szCs w:val="24"/>
          <w:vertAlign w:val="superscript"/>
          <w:lang w:val="en-US"/>
        </w:rPr>
        <w:t>+</w:t>
      </w:r>
      <w:r w:rsidR="004D2FA2" w:rsidRPr="004B39D6">
        <w:rPr>
          <w:rFonts w:ascii="Book Antiqua" w:hAnsi="Book Antiqua" w:cs="Arial"/>
          <w:sz w:val="24"/>
          <w:szCs w:val="24"/>
          <w:lang w:val="en-US"/>
        </w:rPr>
        <w:t>CD8</w:t>
      </w:r>
      <w:r w:rsidR="004D2FA2" w:rsidRPr="004B39D6">
        <w:rPr>
          <w:rFonts w:ascii="Book Antiqua" w:hAnsi="Book Antiqua" w:cs="Arial"/>
          <w:sz w:val="24"/>
          <w:szCs w:val="24"/>
          <w:vertAlign w:val="superscript"/>
          <w:lang w:val="en-US"/>
        </w:rPr>
        <w:t>low</w:t>
      </w:r>
      <w:r w:rsidR="00740116" w:rsidRPr="004B39D6">
        <w:rPr>
          <w:rFonts w:ascii="Book Antiqua" w:hAnsi="Book Antiqua" w:cs="Arial"/>
          <w:sz w:val="24"/>
          <w:szCs w:val="24"/>
          <w:lang w:val="en-US"/>
        </w:rPr>
        <w:t xml:space="preserve"> T cell population that showed the highest degree of activation with some of the peptides in 7 patients with the mismatch, </w:t>
      </w:r>
      <w:r w:rsidR="00452659" w:rsidRPr="004B39D6">
        <w:rPr>
          <w:rFonts w:ascii="Book Antiqua" w:hAnsi="Book Antiqua" w:cs="Arial"/>
          <w:sz w:val="24"/>
          <w:szCs w:val="24"/>
          <w:lang w:val="en-US"/>
        </w:rPr>
        <w:t xml:space="preserve">in </w:t>
      </w:r>
      <w:r w:rsidR="00740116" w:rsidRPr="004B39D6">
        <w:rPr>
          <w:rFonts w:ascii="Book Antiqua" w:hAnsi="Book Antiqua" w:cs="Arial"/>
          <w:sz w:val="24"/>
          <w:szCs w:val="24"/>
          <w:lang w:val="en-US"/>
        </w:rPr>
        <w:t xml:space="preserve">4 </w:t>
      </w:r>
      <w:r w:rsidR="00452659" w:rsidRPr="004B39D6">
        <w:rPr>
          <w:rFonts w:ascii="Book Antiqua" w:hAnsi="Book Antiqua" w:cs="Arial"/>
          <w:sz w:val="24"/>
          <w:szCs w:val="24"/>
          <w:lang w:val="en-US"/>
        </w:rPr>
        <w:t xml:space="preserve">patients </w:t>
      </w:r>
      <w:r w:rsidR="00740116" w:rsidRPr="004B39D6">
        <w:rPr>
          <w:rFonts w:ascii="Book Antiqua" w:hAnsi="Book Antiqua" w:cs="Arial"/>
          <w:sz w:val="24"/>
          <w:szCs w:val="24"/>
          <w:lang w:val="en-US"/>
        </w:rPr>
        <w:t xml:space="preserve">with plasma cell-rich rejection </w:t>
      </w:r>
      <w:r w:rsidR="00D24B68" w:rsidRPr="004B39D6">
        <w:rPr>
          <w:rFonts w:ascii="Book Antiqua" w:hAnsi="Book Antiqua" w:cs="Arial"/>
          <w:sz w:val="24"/>
          <w:szCs w:val="24"/>
          <w:lang w:val="en-US"/>
        </w:rPr>
        <w:t xml:space="preserve">and </w:t>
      </w:r>
      <w:r w:rsidR="00452659" w:rsidRPr="004B39D6">
        <w:rPr>
          <w:rFonts w:ascii="Book Antiqua" w:hAnsi="Book Antiqua" w:cs="Arial"/>
          <w:sz w:val="24"/>
          <w:szCs w:val="24"/>
          <w:lang w:val="en-US"/>
        </w:rPr>
        <w:t xml:space="preserve">in </w:t>
      </w:r>
      <w:r w:rsidR="00D24B68" w:rsidRPr="004B39D6">
        <w:rPr>
          <w:rFonts w:ascii="Book Antiqua" w:hAnsi="Book Antiqua" w:cs="Arial"/>
          <w:sz w:val="24"/>
          <w:szCs w:val="24"/>
          <w:lang w:val="en-US"/>
        </w:rPr>
        <w:t xml:space="preserve">3 </w:t>
      </w:r>
      <w:r w:rsidR="00452659" w:rsidRPr="004B39D6">
        <w:rPr>
          <w:rFonts w:ascii="Book Antiqua" w:hAnsi="Book Antiqua" w:cs="Arial"/>
          <w:sz w:val="24"/>
          <w:szCs w:val="24"/>
          <w:lang w:val="en-US"/>
        </w:rPr>
        <w:t xml:space="preserve">patients </w:t>
      </w:r>
      <w:r w:rsidR="00D24B68" w:rsidRPr="004B39D6">
        <w:rPr>
          <w:rFonts w:ascii="Book Antiqua" w:hAnsi="Book Antiqua" w:cs="Arial"/>
          <w:sz w:val="24"/>
          <w:szCs w:val="24"/>
          <w:lang w:val="en-US"/>
        </w:rPr>
        <w:t>without the disease</w:t>
      </w:r>
      <w:r w:rsidR="00740116" w:rsidRPr="004B39D6">
        <w:rPr>
          <w:rFonts w:ascii="Book Antiqua" w:hAnsi="Book Antiqua" w:cs="Arial"/>
          <w:sz w:val="24"/>
          <w:szCs w:val="24"/>
          <w:lang w:val="en-US"/>
        </w:rPr>
        <w:t>.</w:t>
      </w:r>
      <w:r w:rsidR="004D2FA2" w:rsidRPr="004B39D6">
        <w:rPr>
          <w:rFonts w:ascii="Book Antiqua" w:hAnsi="Book Antiqua" w:cs="Arial"/>
          <w:sz w:val="24"/>
          <w:szCs w:val="24"/>
          <w:lang w:val="en-US"/>
        </w:rPr>
        <w:t xml:space="preserve"> Unfortunately, CD4</w:t>
      </w:r>
      <w:r w:rsidR="004D2FA2" w:rsidRPr="004B39D6">
        <w:rPr>
          <w:rFonts w:ascii="Book Antiqua" w:hAnsi="Book Antiqua" w:cs="Arial"/>
          <w:sz w:val="24"/>
          <w:szCs w:val="24"/>
          <w:vertAlign w:val="superscript"/>
          <w:lang w:val="en-US"/>
        </w:rPr>
        <w:t>+</w:t>
      </w:r>
      <w:r w:rsidR="004D2FA2" w:rsidRPr="004B39D6">
        <w:rPr>
          <w:rFonts w:ascii="Book Antiqua" w:hAnsi="Book Antiqua" w:cs="Arial"/>
          <w:sz w:val="24"/>
          <w:szCs w:val="24"/>
          <w:lang w:val="en-US"/>
        </w:rPr>
        <w:t>CD8</w:t>
      </w:r>
      <w:r w:rsidR="004D2FA2" w:rsidRPr="004B39D6">
        <w:rPr>
          <w:rFonts w:ascii="Book Antiqua" w:hAnsi="Book Antiqua" w:cs="Arial"/>
          <w:sz w:val="24"/>
          <w:szCs w:val="24"/>
          <w:vertAlign w:val="superscript"/>
          <w:lang w:val="en-US"/>
        </w:rPr>
        <w:t xml:space="preserve">low </w:t>
      </w:r>
      <w:r w:rsidR="004D2FA2" w:rsidRPr="004B39D6">
        <w:rPr>
          <w:rFonts w:ascii="Book Antiqua" w:hAnsi="Book Antiqua" w:cs="Arial"/>
          <w:sz w:val="24"/>
          <w:szCs w:val="24"/>
          <w:lang w:val="en-US"/>
        </w:rPr>
        <w:t xml:space="preserve">cells </w:t>
      </w:r>
      <w:r w:rsidR="00414B23" w:rsidRPr="004B39D6">
        <w:rPr>
          <w:rFonts w:ascii="Book Antiqua" w:hAnsi="Book Antiqua" w:cs="Arial"/>
          <w:sz w:val="24"/>
          <w:szCs w:val="24"/>
          <w:lang w:val="en-US"/>
        </w:rPr>
        <w:t>represent 1% of the total number of lymphocytes</w:t>
      </w:r>
      <w:r w:rsidR="00C13443" w:rsidRPr="004B39D6">
        <w:rPr>
          <w:rFonts w:ascii="Book Antiqua" w:hAnsi="Book Antiqua" w:cs="Arial"/>
          <w:sz w:val="24"/>
          <w:szCs w:val="24"/>
          <w:lang w:val="en-US"/>
        </w:rPr>
        <w:t>,</w:t>
      </w:r>
      <w:r w:rsidR="00414B23" w:rsidRPr="004B39D6">
        <w:rPr>
          <w:rFonts w:ascii="Book Antiqua" w:hAnsi="Book Antiqua" w:cs="Arial"/>
          <w:sz w:val="24"/>
          <w:szCs w:val="24"/>
          <w:lang w:val="en-US"/>
        </w:rPr>
        <w:t xml:space="preserve"> </w:t>
      </w:r>
      <w:r w:rsidR="004D2FA2" w:rsidRPr="004B39D6">
        <w:rPr>
          <w:rFonts w:ascii="Book Antiqua" w:hAnsi="Book Antiqua" w:cs="Arial"/>
          <w:sz w:val="24"/>
          <w:szCs w:val="24"/>
          <w:lang w:val="en-US"/>
        </w:rPr>
        <w:t xml:space="preserve">and stimulation could not be </w:t>
      </w:r>
      <w:r w:rsidR="00A659AE" w:rsidRPr="004B39D6">
        <w:rPr>
          <w:rFonts w:ascii="Book Antiqua" w:hAnsi="Book Antiqua" w:cs="Arial"/>
          <w:sz w:val="24"/>
          <w:szCs w:val="24"/>
          <w:lang w:val="en-US"/>
        </w:rPr>
        <w:t>analyzed</w:t>
      </w:r>
      <w:r w:rsidR="004D2FA2" w:rsidRPr="004B39D6">
        <w:rPr>
          <w:rFonts w:ascii="Book Antiqua" w:hAnsi="Book Antiqua" w:cs="Arial"/>
          <w:sz w:val="24"/>
          <w:szCs w:val="24"/>
          <w:lang w:val="en-US"/>
        </w:rPr>
        <w:t xml:space="preserve"> in 9 patients due to the low number of gated cells. Cells from the 4 patients included as control</w:t>
      </w:r>
      <w:r w:rsidR="00C13443" w:rsidRPr="004B39D6">
        <w:rPr>
          <w:rFonts w:ascii="Book Antiqua" w:hAnsi="Book Antiqua" w:cs="Arial"/>
          <w:sz w:val="24"/>
          <w:szCs w:val="24"/>
          <w:lang w:val="en-US"/>
        </w:rPr>
        <w:t>s</w:t>
      </w:r>
      <w:r w:rsidR="004D2FA2" w:rsidRPr="004B39D6">
        <w:rPr>
          <w:rFonts w:ascii="Book Antiqua" w:hAnsi="Book Antiqua" w:cs="Arial"/>
          <w:sz w:val="24"/>
          <w:szCs w:val="24"/>
          <w:lang w:val="en-US"/>
        </w:rPr>
        <w:t xml:space="preserve"> did not show activation with any of the peptides. </w:t>
      </w:r>
    </w:p>
    <w:p w14:paraId="48B2DE75" w14:textId="77777777" w:rsidR="004D2FA2" w:rsidRPr="004B39D6" w:rsidRDefault="004D2FA2" w:rsidP="0081528B">
      <w:pPr>
        <w:snapToGrid w:val="0"/>
        <w:spacing w:after="0" w:line="360" w:lineRule="auto"/>
        <w:jc w:val="both"/>
        <w:rPr>
          <w:rFonts w:ascii="Book Antiqua" w:hAnsi="Book Antiqua" w:cs="Arial"/>
          <w:sz w:val="24"/>
          <w:szCs w:val="24"/>
          <w:lang w:val="en-US"/>
        </w:rPr>
      </w:pPr>
    </w:p>
    <w:p w14:paraId="3859B1E0" w14:textId="3066C5BF" w:rsidR="00934A47" w:rsidRPr="004B39D6" w:rsidRDefault="004D2FA2" w:rsidP="0081528B">
      <w:pPr>
        <w:snapToGrid w:val="0"/>
        <w:spacing w:after="0" w:line="360" w:lineRule="auto"/>
        <w:jc w:val="both"/>
        <w:rPr>
          <w:rFonts w:ascii="Book Antiqua" w:hAnsi="Book Antiqua" w:cs="Arial"/>
          <w:i/>
          <w:sz w:val="24"/>
          <w:szCs w:val="24"/>
          <w:lang w:val="en-US" w:eastAsia="zh-CN"/>
        </w:rPr>
      </w:pPr>
      <w:r w:rsidRPr="004B39D6">
        <w:rPr>
          <w:rFonts w:ascii="Book Antiqua" w:hAnsi="Book Antiqua" w:cs="Arial"/>
          <w:b/>
          <w:i/>
          <w:sz w:val="24"/>
          <w:szCs w:val="24"/>
          <w:lang w:val="en-US"/>
        </w:rPr>
        <w:t>CONCLUSION</w:t>
      </w:r>
    </w:p>
    <w:p w14:paraId="110D0F64" w14:textId="6409B823" w:rsidR="004D2FA2" w:rsidRPr="004B39D6" w:rsidRDefault="006625A6"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t xml:space="preserve">Patients with </w:t>
      </w:r>
      <w:r w:rsidR="00D6545B" w:rsidRPr="004B39D6">
        <w:rPr>
          <w:rFonts w:ascii="Book Antiqua" w:hAnsi="Book Antiqua" w:cs="Arial"/>
          <w:sz w:val="24"/>
          <w:szCs w:val="24"/>
          <w:lang w:val="en-US"/>
        </w:rPr>
        <w:t>GSTT1 mi</w:t>
      </w:r>
      <w:r w:rsidR="003669CB" w:rsidRPr="004B39D6">
        <w:rPr>
          <w:rFonts w:ascii="Book Antiqua" w:hAnsi="Book Antiqua" w:cs="Arial"/>
          <w:sz w:val="24"/>
          <w:szCs w:val="24"/>
          <w:lang w:val="en-US"/>
        </w:rPr>
        <w:t>smatch can develop a specific T-</w:t>
      </w:r>
      <w:r w:rsidR="00D6545B" w:rsidRPr="004B39D6">
        <w:rPr>
          <w:rFonts w:ascii="Book Antiqua" w:hAnsi="Book Antiqua" w:cs="Arial"/>
          <w:sz w:val="24"/>
          <w:szCs w:val="24"/>
          <w:lang w:val="en-US"/>
        </w:rPr>
        <w:t>cell response</w:t>
      </w:r>
      <w:r w:rsidR="00C13443" w:rsidRPr="004B39D6">
        <w:rPr>
          <w:rFonts w:ascii="Book Antiqua" w:hAnsi="Book Antiqua" w:cs="Arial"/>
          <w:sz w:val="24"/>
          <w:szCs w:val="24"/>
          <w:lang w:val="en-US"/>
        </w:rPr>
        <w:t>,</w:t>
      </w:r>
      <w:r w:rsidR="00D6545B" w:rsidRPr="004B39D6">
        <w:rPr>
          <w:rFonts w:ascii="Book Antiqua" w:hAnsi="Book Antiqua" w:cs="Arial"/>
          <w:sz w:val="24"/>
          <w:szCs w:val="24"/>
          <w:lang w:val="en-US"/>
        </w:rPr>
        <w:t xml:space="preserve"> </w:t>
      </w:r>
      <w:r w:rsidR="00F672D1" w:rsidRPr="004B39D6">
        <w:rPr>
          <w:rFonts w:ascii="Book Antiqua" w:hAnsi="Book Antiqua" w:cs="Arial"/>
          <w:sz w:val="24"/>
          <w:szCs w:val="24"/>
          <w:lang w:val="en-US"/>
        </w:rPr>
        <w:t xml:space="preserve">but the potential role </w:t>
      </w:r>
      <w:r w:rsidR="00C13443" w:rsidRPr="004B39D6">
        <w:rPr>
          <w:rFonts w:ascii="Book Antiqua" w:hAnsi="Book Antiqua" w:cs="Arial"/>
          <w:sz w:val="24"/>
          <w:szCs w:val="24"/>
          <w:lang w:val="en-US"/>
        </w:rPr>
        <w:t xml:space="preserve">of this response </w:t>
      </w:r>
      <w:r w:rsidR="00F672D1" w:rsidRPr="004B39D6">
        <w:rPr>
          <w:rFonts w:ascii="Book Antiqua" w:hAnsi="Book Antiqua" w:cs="Arial"/>
          <w:sz w:val="24"/>
          <w:szCs w:val="24"/>
          <w:lang w:val="en-US"/>
        </w:rPr>
        <w:t xml:space="preserve">in the pathogenesis of </w:t>
      </w:r>
      <w:r w:rsidR="00D6545B" w:rsidRPr="004B39D6">
        <w:rPr>
          <w:rFonts w:ascii="Book Antiqua" w:hAnsi="Book Antiqua" w:cs="Arial"/>
          <w:sz w:val="24"/>
          <w:szCs w:val="24"/>
          <w:lang w:val="en-US"/>
        </w:rPr>
        <w:t>plasma cell-rich rejection</w:t>
      </w:r>
      <w:r w:rsidR="00F672D1" w:rsidRPr="004B39D6">
        <w:rPr>
          <w:rFonts w:ascii="Book Antiqua" w:hAnsi="Book Antiqua" w:cs="Arial"/>
          <w:sz w:val="24"/>
          <w:szCs w:val="24"/>
          <w:lang w:val="en-US"/>
        </w:rPr>
        <w:t xml:space="preserve"> is unknown.</w:t>
      </w:r>
      <w:r w:rsidR="00D6545B" w:rsidRPr="004B39D6">
        <w:rPr>
          <w:rFonts w:ascii="Book Antiqua" w:hAnsi="Book Antiqua" w:cs="Arial"/>
          <w:sz w:val="24"/>
          <w:szCs w:val="24"/>
          <w:lang w:val="en-US"/>
        </w:rPr>
        <w:t xml:space="preserve"> </w:t>
      </w:r>
    </w:p>
    <w:p w14:paraId="47BBF3B1" w14:textId="77777777" w:rsidR="003B780A" w:rsidRPr="004B39D6" w:rsidRDefault="003B780A" w:rsidP="0081528B">
      <w:pPr>
        <w:snapToGrid w:val="0"/>
        <w:spacing w:after="0" w:line="360" w:lineRule="auto"/>
        <w:jc w:val="both"/>
        <w:rPr>
          <w:rFonts w:ascii="Book Antiqua" w:hAnsi="Book Antiqua" w:cs="Arial"/>
          <w:sz w:val="24"/>
          <w:szCs w:val="24"/>
          <w:lang w:val="en-US" w:eastAsia="zh-CN"/>
        </w:rPr>
      </w:pPr>
    </w:p>
    <w:p w14:paraId="10809862" w14:textId="3A45BAAE" w:rsidR="003B780A" w:rsidRPr="004B39D6" w:rsidRDefault="00F672D1"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b/>
          <w:sz w:val="24"/>
          <w:szCs w:val="24"/>
          <w:lang w:val="en-US"/>
        </w:rPr>
        <w:t>Key words</w:t>
      </w:r>
      <w:r w:rsidR="00AF0565" w:rsidRPr="004B39D6">
        <w:rPr>
          <w:rFonts w:ascii="Book Antiqua" w:hAnsi="Book Antiqua" w:cs="Arial"/>
          <w:b/>
          <w:sz w:val="24"/>
          <w:szCs w:val="24"/>
          <w:lang w:val="en-US"/>
        </w:rPr>
        <w:t>:</w:t>
      </w:r>
      <w:r w:rsidR="00AF0565" w:rsidRPr="004B39D6">
        <w:rPr>
          <w:rFonts w:ascii="Book Antiqua" w:hAnsi="Book Antiqua" w:cs="Arial"/>
          <w:sz w:val="24"/>
          <w:szCs w:val="24"/>
          <w:lang w:val="en-US"/>
        </w:rPr>
        <w:t xml:space="preserve"> </w:t>
      </w:r>
      <w:bookmarkStart w:id="102" w:name="OLE_LINK905"/>
      <w:bookmarkStart w:id="103" w:name="OLE_LINK906"/>
      <w:r w:rsidR="006F2F40" w:rsidRPr="004B39D6">
        <w:rPr>
          <w:rFonts w:ascii="Book Antiqua" w:hAnsi="Book Antiqua" w:cs="Arial"/>
          <w:i/>
          <w:sz w:val="24"/>
          <w:szCs w:val="24"/>
          <w:lang w:val="en-US"/>
        </w:rPr>
        <w:t>D</w:t>
      </w:r>
      <w:r w:rsidR="00AF0565" w:rsidRPr="004B39D6">
        <w:rPr>
          <w:rFonts w:ascii="Book Antiqua" w:hAnsi="Book Antiqua" w:cs="Arial"/>
          <w:i/>
          <w:sz w:val="24"/>
          <w:szCs w:val="24"/>
          <w:lang w:val="en-US"/>
        </w:rPr>
        <w:t>e novo</w:t>
      </w:r>
      <w:r w:rsidR="00AF0565" w:rsidRPr="004B39D6">
        <w:rPr>
          <w:rFonts w:ascii="Book Antiqua" w:hAnsi="Book Antiqua" w:cs="Arial"/>
          <w:sz w:val="24"/>
          <w:szCs w:val="24"/>
          <w:lang w:val="en-US"/>
        </w:rPr>
        <w:t xml:space="preserve"> </w:t>
      </w:r>
      <w:r w:rsidR="00452659" w:rsidRPr="004B39D6">
        <w:rPr>
          <w:rFonts w:ascii="Book Antiqua" w:hAnsi="Book Antiqua" w:cs="Arial"/>
          <w:sz w:val="24"/>
          <w:szCs w:val="24"/>
          <w:lang w:val="en-US"/>
        </w:rPr>
        <w:t>immune hepatitis</w:t>
      </w:r>
      <w:r w:rsidR="006F2F40" w:rsidRPr="004B39D6">
        <w:rPr>
          <w:rFonts w:ascii="Book Antiqua" w:hAnsi="Book Antiqua" w:cs="Arial"/>
          <w:sz w:val="24"/>
          <w:szCs w:val="24"/>
          <w:lang w:val="en-US" w:eastAsia="zh-CN"/>
        </w:rPr>
        <w:t>;</w:t>
      </w:r>
      <w:r w:rsidR="00AF0565" w:rsidRPr="004B39D6">
        <w:rPr>
          <w:rFonts w:ascii="Book Antiqua" w:hAnsi="Book Antiqua" w:cs="Arial"/>
          <w:sz w:val="24"/>
          <w:szCs w:val="24"/>
          <w:lang w:val="en-US"/>
        </w:rPr>
        <w:t xml:space="preserve"> </w:t>
      </w:r>
      <w:r w:rsidR="006F2F40" w:rsidRPr="004B39D6">
        <w:rPr>
          <w:rFonts w:ascii="Book Antiqua" w:hAnsi="Book Antiqua" w:cs="Arial"/>
          <w:sz w:val="24"/>
          <w:szCs w:val="24"/>
          <w:lang w:val="en-US"/>
        </w:rPr>
        <w:t>D</w:t>
      </w:r>
      <w:r w:rsidR="00AF0565" w:rsidRPr="004B39D6">
        <w:rPr>
          <w:rFonts w:ascii="Book Antiqua" w:hAnsi="Book Antiqua" w:cs="Arial"/>
          <w:sz w:val="24"/>
          <w:szCs w:val="24"/>
          <w:lang w:val="en-US"/>
        </w:rPr>
        <w:t xml:space="preserve">onor-specific </w:t>
      </w:r>
      <w:r w:rsidR="006F2F40" w:rsidRPr="004B39D6">
        <w:rPr>
          <w:rFonts w:ascii="Book Antiqua" w:hAnsi="Book Antiqua" w:cs="Arial"/>
          <w:sz w:val="24"/>
          <w:szCs w:val="24"/>
          <w:lang w:val="en-US"/>
        </w:rPr>
        <w:t>glutathione S-</w:t>
      </w:r>
      <w:proofErr w:type="spellStart"/>
      <w:r w:rsidR="006F2F40" w:rsidRPr="004B39D6">
        <w:rPr>
          <w:rFonts w:ascii="Book Antiqua" w:hAnsi="Book Antiqua" w:cs="Arial"/>
          <w:sz w:val="24"/>
          <w:szCs w:val="24"/>
          <w:lang w:val="en-US"/>
        </w:rPr>
        <w:t>transferase</w:t>
      </w:r>
      <w:proofErr w:type="spellEnd"/>
      <w:r w:rsidR="006F2F40" w:rsidRPr="004B39D6">
        <w:rPr>
          <w:rFonts w:ascii="Book Antiqua" w:hAnsi="Book Antiqua" w:cs="Arial"/>
          <w:sz w:val="24"/>
          <w:szCs w:val="24"/>
          <w:lang w:val="en-US"/>
        </w:rPr>
        <w:t xml:space="preserve"> T1</w:t>
      </w:r>
      <w:r w:rsidR="00AF0565" w:rsidRPr="004B39D6">
        <w:rPr>
          <w:rFonts w:ascii="Book Antiqua" w:hAnsi="Book Antiqua" w:cs="Arial"/>
          <w:sz w:val="24"/>
          <w:szCs w:val="24"/>
          <w:lang w:val="en-US"/>
        </w:rPr>
        <w:t xml:space="preserve"> antibodies</w:t>
      </w:r>
      <w:r w:rsidR="006F2F40" w:rsidRPr="004B39D6">
        <w:rPr>
          <w:rFonts w:ascii="Book Antiqua" w:hAnsi="Book Antiqua" w:cs="Arial"/>
          <w:sz w:val="24"/>
          <w:szCs w:val="24"/>
          <w:lang w:val="en-US" w:eastAsia="zh-CN"/>
        </w:rPr>
        <w:t>;</w:t>
      </w:r>
      <w:r w:rsidR="00AF0565" w:rsidRPr="004B39D6">
        <w:rPr>
          <w:rFonts w:ascii="Book Antiqua" w:hAnsi="Book Antiqua" w:cs="Arial"/>
          <w:sz w:val="24"/>
          <w:szCs w:val="24"/>
          <w:lang w:val="en-US"/>
        </w:rPr>
        <w:t xml:space="preserve"> </w:t>
      </w:r>
      <w:r w:rsidR="006F2F40" w:rsidRPr="004B39D6">
        <w:rPr>
          <w:rFonts w:ascii="Book Antiqua" w:hAnsi="Book Antiqua" w:cs="Arial"/>
          <w:sz w:val="24"/>
          <w:szCs w:val="24"/>
          <w:lang w:val="en-US"/>
        </w:rPr>
        <w:t>I</w:t>
      </w:r>
      <w:r w:rsidR="00AF0565" w:rsidRPr="004B39D6">
        <w:rPr>
          <w:rFonts w:ascii="Book Antiqua" w:hAnsi="Book Antiqua" w:cs="Arial"/>
          <w:sz w:val="24"/>
          <w:szCs w:val="24"/>
          <w:lang w:val="en-US"/>
        </w:rPr>
        <w:t>ndirect presentation</w:t>
      </w:r>
      <w:r w:rsidR="006F2F40" w:rsidRPr="004B39D6">
        <w:rPr>
          <w:rFonts w:ascii="Book Antiqua" w:hAnsi="Book Antiqua" w:cs="Arial"/>
          <w:sz w:val="24"/>
          <w:szCs w:val="24"/>
          <w:lang w:val="en-US" w:eastAsia="zh-CN"/>
        </w:rPr>
        <w:t>;</w:t>
      </w:r>
      <w:r w:rsidR="00AF0565" w:rsidRPr="004B39D6">
        <w:rPr>
          <w:rFonts w:ascii="Book Antiqua" w:hAnsi="Book Antiqua" w:cs="Arial"/>
          <w:sz w:val="24"/>
          <w:szCs w:val="24"/>
          <w:lang w:val="en-US"/>
        </w:rPr>
        <w:t xml:space="preserve"> </w:t>
      </w:r>
      <w:r w:rsidR="006F2F40" w:rsidRPr="004B39D6">
        <w:rPr>
          <w:rFonts w:ascii="Book Antiqua" w:hAnsi="Book Antiqua" w:cs="Arial"/>
          <w:sz w:val="24"/>
          <w:szCs w:val="24"/>
          <w:lang w:val="en-US"/>
        </w:rPr>
        <w:t>Glutathione S-</w:t>
      </w:r>
      <w:proofErr w:type="spellStart"/>
      <w:r w:rsidR="006F2F40" w:rsidRPr="004B39D6">
        <w:rPr>
          <w:rFonts w:ascii="Book Antiqua" w:hAnsi="Book Antiqua" w:cs="Arial"/>
          <w:sz w:val="24"/>
          <w:szCs w:val="24"/>
          <w:lang w:val="en-US"/>
        </w:rPr>
        <w:t>transferase</w:t>
      </w:r>
      <w:proofErr w:type="spellEnd"/>
      <w:r w:rsidR="006F2F40" w:rsidRPr="004B39D6">
        <w:rPr>
          <w:rFonts w:ascii="Book Antiqua" w:hAnsi="Book Antiqua" w:cs="Arial"/>
          <w:sz w:val="24"/>
          <w:szCs w:val="24"/>
          <w:lang w:val="en-US"/>
        </w:rPr>
        <w:t xml:space="preserve"> T1</w:t>
      </w:r>
      <w:r w:rsidR="00AF0565" w:rsidRPr="004B39D6">
        <w:rPr>
          <w:rFonts w:ascii="Book Antiqua" w:hAnsi="Book Antiqua" w:cs="Arial"/>
          <w:sz w:val="24"/>
          <w:szCs w:val="24"/>
          <w:lang w:val="en-US"/>
        </w:rPr>
        <w:t>-memory T cells</w:t>
      </w:r>
      <w:r w:rsidR="006F2F40" w:rsidRPr="004B39D6">
        <w:rPr>
          <w:rFonts w:ascii="Book Antiqua" w:hAnsi="Book Antiqua" w:cs="Arial"/>
          <w:sz w:val="24"/>
          <w:szCs w:val="24"/>
          <w:lang w:val="en-US" w:eastAsia="zh-CN"/>
        </w:rPr>
        <w:t xml:space="preserve">; </w:t>
      </w:r>
      <w:r w:rsidR="006F2F40" w:rsidRPr="004B39D6">
        <w:rPr>
          <w:rFonts w:ascii="Book Antiqua" w:hAnsi="Book Antiqua" w:cs="Arial"/>
          <w:sz w:val="24"/>
          <w:szCs w:val="24"/>
          <w:lang w:val="en-US"/>
        </w:rPr>
        <w:t>D</w:t>
      </w:r>
      <w:r w:rsidR="00AF0565" w:rsidRPr="004B39D6">
        <w:rPr>
          <w:rFonts w:ascii="Book Antiqua" w:hAnsi="Book Antiqua" w:cs="Arial"/>
          <w:sz w:val="24"/>
          <w:szCs w:val="24"/>
          <w:lang w:val="en-US"/>
        </w:rPr>
        <w:t>onor/recipient mismatch</w:t>
      </w:r>
      <w:bookmarkEnd w:id="102"/>
      <w:bookmarkEnd w:id="103"/>
    </w:p>
    <w:p w14:paraId="30629B3A" w14:textId="77777777" w:rsidR="003B780A" w:rsidRPr="004B39D6" w:rsidRDefault="003B780A" w:rsidP="0081528B">
      <w:pPr>
        <w:snapToGrid w:val="0"/>
        <w:spacing w:after="0" w:line="360" w:lineRule="auto"/>
        <w:jc w:val="both"/>
        <w:rPr>
          <w:rFonts w:ascii="Book Antiqua" w:hAnsi="Book Antiqua" w:cs="Arial"/>
          <w:sz w:val="24"/>
          <w:szCs w:val="24"/>
          <w:lang w:val="en-US" w:eastAsia="zh-CN"/>
        </w:rPr>
      </w:pPr>
    </w:p>
    <w:p w14:paraId="10665529" w14:textId="77777777" w:rsidR="006F2F40" w:rsidRPr="004B39D6" w:rsidRDefault="006F2F40" w:rsidP="0081528B">
      <w:pPr>
        <w:widowControl w:val="0"/>
        <w:adjustRightInd w:val="0"/>
        <w:snapToGrid w:val="0"/>
        <w:spacing w:after="0" w:line="360" w:lineRule="auto"/>
        <w:jc w:val="both"/>
        <w:rPr>
          <w:rFonts w:ascii="Book Antiqua" w:hAnsi="Book Antiqua" w:cs="Tahoma"/>
          <w:color w:val="000000"/>
          <w:kern w:val="2"/>
          <w:sz w:val="24"/>
          <w:szCs w:val="24"/>
        </w:rPr>
      </w:pPr>
      <w:bookmarkStart w:id="104" w:name="OLE_LINK148"/>
      <w:bookmarkStart w:id="105" w:name="OLE_LINK149"/>
      <w:bookmarkStart w:id="106" w:name="OLE_LINK200"/>
      <w:bookmarkStart w:id="107" w:name="OLE_LINK288"/>
      <w:bookmarkStart w:id="108" w:name="OLE_LINK1864"/>
      <w:bookmarkStart w:id="109" w:name="OLE_LINK382"/>
      <w:bookmarkStart w:id="110" w:name="OLE_LINK306"/>
      <w:bookmarkStart w:id="111" w:name="OLE_LINK569"/>
      <w:bookmarkStart w:id="112" w:name="OLE_LINK682"/>
      <w:bookmarkStart w:id="113" w:name="OLE_LINK78"/>
      <w:bookmarkStart w:id="114" w:name="OLE_LINK79"/>
      <w:bookmarkStart w:id="115" w:name="OLE_LINK86"/>
      <w:bookmarkStart w:id="116" w:name="OLE_LINK99"/>
      <w:bookmarkStart w:id="117" w:name="OLE_LINK217"/>
      <w:bookmarkStart w:id="118" w:name="OLE_LINK245"/>
      <w:bookmarkStart w:id="119" w:name="OLE_LINK246"/>
      <w:bookmarkStart w:id="120" w:name="OLE_LINK274"/>
      <w:bookmarkStart w:id="121" w:name="OLE_LINK320"/>
      <w:bookmarkStart w:id="122" w:name="OLE_LINK333"/>
      <w:bookmarkStart w:id="123" w:name="OLE_LINK456"/>
      <w:bookmarkStart w:id="124" w:name="OLE_LINK494"/>
      <w:bookmarkStart w:id="125" w:name="OLE_LINK596"/>
      <w:bookmarkStart w:id="126" w:name="OLE_LINK686"/>
      <w:bookmarkStart w:id="127" w:name="OLE_LINK907"/>
      <w:r w:rsidRPr="004B39D6">
        <w:rPr>
          <w:rFonts w:ascii="Book Antiqua" w:hAnsi="Book Antiqua" w:cs="Tahoma"/>
          <w:b/>
          <w:color w:val="000000"/>
          <w:kern w:val="2"/>
          <w:sz w:val="24"/>
          <w:szCs w:val="24"/>
          <w:lang w:eastAsia="ja-JP"/>
        </w:rPr>
        <w:t>© The Author(s) 201</w:t>
      </w:r>
      <w:r w:rsidRPr="004B39D6">
        <w:rPr>
          <w:rFonts w:ascii="Book Antiqua" w:hAnsi="Book Antiqua" w:cs="Tahoma"/>
          <w:b/>
          <w:color w:val="000000"/>
          <w:kern w:val="2"/>
          <w:sz w:val="24"/>
          <w:szCs w:val="24"/>
        </w:rPr>
        <w:t>7</w:t>
      </w:r>
      <w:r w:rsidRPr="004B39D6">
        <w:rPr>
          <w:rFonts w:ascii="Book Antiqua" w:hAnsi="Book Antiqua" w:cs="Tahoma"/>
          <w:b/>
          <w:color w:val="000000"/>
          <w:kern w:val="2"/>
          <w:sz w:val="24"/>
          <w:szCs w:val="24"/>
          <w:lang w:eastAsia="ja-JP"/>
        </w:rPr>
        <w:t>.</w:t>
      </w:r>
      <w:r w:rsidRPr="004B39D6">
        <w:rPr>
          <w:rFonts w:ascii="Book Antiqua" w:hAnsi="Book Antiqua" w:cs="Tahoma"/>
          <w:color w:val="000000"/>
          <w:kern w:val="2"/>
          <w:sz w:val="24"/>
          <w:szCs w:val="24"/>
          <w:lang w:eastAsia="ja-JP"/>
        </w:rPr>
        <w:t xml:space="preserve"> Published by Baishideng Publishing Group Inc. All rights reserved.</w:t>
      </w:r>
      <w:bookmarkEnd w:id="104"/>
      <w:bookmarkEnd w:id="105"/>
      <w:bookmarkEnd w:id="106"/>
      <w:bookmarkEnd w:id="107"/>
      <w:bookmarkEnd w:id="108"/>
      <w:bookmarkEnd w:id="109"/>
      <w:bookmarkEnd w:id="110"/>
      <w:bookmarkEnd w:id="111"/>
      <w:bookmarkEnd w:id="112"/>
    </w:p>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14:paraId="2017874B" w14:textId="77777777" w:rsidR="006F2F40" w:rsidRPr="004B39D6" w:rsidRDefault="006F2F40" w:rsidP="0081528B">
      <w:pPr>
        <w:snapToGrid w:val="0"/>
        <w:spacing w:after="0" w:line="360" w:lineRule="auto"/>
        <w:jc w:val="both"/>
        <w:rPr>
          <w:rFonts w:ascii="Book Antiqua" w:hAnsi="Book Antiqua" w:cs="Arial"/>
          <w:sz w:val="24"/>
          <w:szCs w:val="24"/>
          <w:lang w:val="en-US" w:eastAsia="zh-CN"/>
        </w:rPr>
      </w:pPr>
    </w:p>
    <w:p w14:paraId="51E9DFAE" w14:textId="6299039B" w:rsidR="00E82484" w:rsidRPr="004B39D6" w:rsidRDefault="00834C76"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b/>
          <w:sz w:val="24"/>
          <w:szCs w:val="24"/>
          <w:lang w:val="en-US"/>
        </w:rPr>
        <w:t xml:space="preserve">Core </w:t>
      </w:r>
      <w:r w:rsidR="0081528B" w:rsidRPr="004B39D6">
        <w:rPr>
          <w:rFonts w:ascii="Book Antiqua" w:hAnsi="Book Antiqua" w:cs="Arial"/>
          <w:b/>
          <w:sz w:val="24"/>
          <w:szCs w:val="24"/>
          <w:lang w:val="en-US"/>
        </w:rPr>
        <w:t>t</w:t>
      </w:r>
      <w:r w:rsidRPr="004B39D6">
        <w:rPr>
          <w:rFonts w:ascii="Book Antiqua" w:hAnsi="Book Antiqua" w:cs="Arial"/>
          <w:b/>
          <w:sz w:val="24"/>
          <w:szCs w:val="24"/>
          <w:lang w:val="en-US"/>
        </w:rPr>
        <w:t xml:space="preserve">ip: </w:t>
      </w:r>
      <w:bookmarkStart w:id="128" w:name="OLE_LINK908"/>
      <w:bookmarkStart w:id="129" w:name="OLE_LINK909"/>
      <w:r w:rsidRPr="004B39D6">
        <w:rPr>
          <w:rFonts w:ascii="Book Antiqua" w:hAnsi="Book Antiqua" w:cs="Arial"/>
          <w:sz w:val="24"/>
          <w:szCs w:val="24"/>
          <w:lang w:val="en-US"/>
        </w:rPr>
        <w:t xml:space="preserve">In solid organ transplants, donor recipient mismatch of </w:t>
      </w:r>
      <w:bookmarkStart w:id="130" w:name="OLE_LINK865"/>
      <w:bookmarkStart w:id="131" w:name="OLE_LINK866"/>
      <w:r w:rsidRPr="004B39D6">
        <w:rPr>
          <w:rFonts w:ascii="Book Antiqua" w:hAnsi="Book Antiqua" w:cs="Arial"/>
          <w:sz w:val="24"/>
          <w:szCs w:val="24"/>
          <w:lang w:val="en-US"/>
        </w:rPr>
        <w:t>glutathione S-</w:t>
      </w:r>
      <w:proofErr w:type="spellStart"/>
      <w:r w:rsidRPr="004B39D6">
        <w:rPr>
          <w:rFonts w:ascii="Book Antiqua" w:hAnsi="Book Antiqua" w:cs="Arial"/>
          <w:sz w:val="24"/>
          <w:szCs w:val="24"/>
          <w:lang w:val="en-US"/>
        </w:rPr>
        <w:t>transferase</w:t>
      </w:r>
      <w:proofErr w:type="spellEnd"/>
      <w:r w:rsidRPr="004B39D6">
        <w:rPr>
          <w:rFonts w:ascii="Book Antiqua" w:hAnsi="Book Antiqua" w:cs="Arial"/>
          <w:sz w:val="24"/>
          <w:szCs w:val="24"/>
          <w:lang w:val="en-US"/>
        </w:rPr>
        <w:t xml:space="preserve"> T1 (GSTT1)</w:t>
      </w:r>
      <w:bookmarkEnd w:id="130"/>
      <w:bookmarkEnd w:id="131"/>
      <w:r w:rsidRPr="004B39D6">
        <w:rPr>
          <w:rFonts w:ascii="Book Antiqua" w:hAnsi="Book Antiqua" w:cs="Arial"/>
          <w:sz w:val="24"/>
          <w:szCs w:val="24"/>
          <w:lang w:val="en-US"/>
        </w:rPr>
        <w:t xml:space="preserve"> alleles triggers a specific immune response with</w:t>
      </w:r>
      <w:r w:rsidR="00804FB8" w:rsidRPr="004B39D6">
        <w:rPr>
          <w:rFonts w:ascii="Book Antiqua" w:hAnsi="Book Antiqua" w:cs="Arial"/>
          <w:sz w:val="24"/>
          <w:szCs w:val="24"/>
          <w:lang w:val="en-US"/>
        </w:rPr>
        <w:t xml:space="preserve"> the</w:t>
      </w:r>
      <w:r w:rsidRPr="004B39D6">
        <w:rPr>
          <w:rFonts w:ascii="Book Antiqua" w:hAnsi="Book Antiqua" w:cs="Arial"/>
          <w:sz w:val="24"/>
          <w:szCs w:val="24"/>
          <w:lang w:val="en-US"/>
        </w:rPr>
        <w:t xml:space="preserve"> production of </w:t>
      </w:r>
      <w:proofErr w:type="spellStart"/>
      <w:r w:rsidRPr="004B39D6">
        <w:rPr>
          <w:rFonts w:ascii="Book Antiqua" w:hAnsi="Book Antiqua" w:cs="Arial"/>
          <w:sz w:val="24"/>
          <w:szCs w:val="24"/>
          <w:lang w:val="en-US"/>
        </w:rPr>
        <w:t>IgG</w:t>
      </w:r>
      <w:proofErr w:type="spellEnd"/>
      <w:r w:rsidRPr="004B39D6">
        <w:rPr>
          <w:rFonts w:ascii="Book Antiqua" w:hAnsi="Book Antiqua" w:cs="Arial"/>
          <w:sz w:val="24"/>
          <w:szCs w:val="24"/>
          <w:lang w:val="en-US"/>
        </w:rPr>
        <w:t xml:space="preserve"> antibodies. </w:t>
      </w:r>
      <w:r w:rsidR="00E82484" w:rsidRPr="004B39D6">
        <w:rPr>
          <w:rFonts w:ascii="Book Antiqua" w:hAnsi="Book Antiqua" w:cs="Arial"/>
          <w:sz w:val="24"/>
          <w:szCs w:val="24"/>
          <w:lang w:val="en-US"/>
        </w:rPr>
        <w:t xml:space="preserve">In a proportion </w:t>
      </w:r>
      <w:r w:rsidR="004D70BF" w:rsidRPr="004B39D6">
        <w:rPr>
          <w:rFonts w:ascii="Book Antiqua" w:hAnsi="Book Antiqua" w:cs="Arial"/>
          <w:sz w:val="24"/>
          <w:szCs w:val="24"/>
          <w:lang w:val="en-US"/>
        </w:rPr>
        <w:t xml:space="preserve">of </w:t>
      </w:r>
      <w:r w:rsidR="00B94F1F" w:rsidRPr="004B39D6">
        <w:rPr>
          <w:rFonts w:ascii="Book Antiqua" w:hAnsi="Book Antiqua" w:cs="Arial"/>
          <w:sz w:val="24"/>
          <w:szCs w:val="24"/>
          <w:lang w:val="en-US"/>
        </w:rPr>
        <w:t xml:space="preserve">mismatched </w:t>
      </w:r>
      <w:r w:rsidR="00496910" w:rsidRPr="004B39D6">
        <w:rPr>
          <w:rFonts w:ascii="Book Antiqua" w:hAnsi="Book Antiqua" w:cs="Arial"/>
          <w:sz w:val="24"/>
          <w:szCs w:val="24"/>
          <w:lang w:val="en-US"/>
        </w:rPr>
        <w:t>liver and kidney transplants</w:t>
      </w:r>
      <w:r w:rsidR="00804FB8" w:rsidRPr="004B39D6">
        <w:rPr>
          <w:rFonts w:ascii="Book Antiqua" w:hAnsi="Book Antiqua" w:cs="Arial"/>
          <w:sz w:val="24"/>
          <w:szCs w:val="24"/>
          <w:lang w:val="en-US"/>
        </w:rPr>
        <w:t>,</w:t>
      </w:r>
      <w:r w:rsidR="00496910" w:rsidRPr="004B39D6">
        <w:rPr>
          <w:rFonts w:ascii="Book Antiqua" w:hAnsi="Book Antiqua" w:cs="Arial"/>
          <w:sz w:val="24"/>
          <w:szCs w:val="24"/>
          <w:lang w:val="en-US"/>
        </w:rPr>
        <w:t xml:space="preserve"> </w:t>
      </w:r>
      <w:r w:rsidR="00E82484" w:rsidRPr="004B39D6">
        <w:rPr>
          <w:rFonts w:ascii="Book Antiqua" w:hAnsi="Book Antiqua" w:cs="Arial"/>
          <w:sz w:val="24"/>
          <w:szCs w:val="24"/>
          <w:lang w:val="en-US"/>
        </w:rPr>
        <w:t>t</w:t>
      </w:r>
      <w:r w:rsidRPr="004B39D6">
        <w:rPr>
          <w:rFonts w:ascii="Book Antiqua" w:hAnsi="Book Antiqua" w:cs="Arial"/>
          <w:sz w:val="24"/>
          <w:szCs w:val="24"/>
          <w:lang w:val="en-US"/>
        </w:rPr>
        <w:t xml:space="preserve">he clinical outcome </w:t>
      </w:r>
      <w:r w:rsidR="00496910" w:rsidRPr="004B39D6">
        <w:rPr>
          <w:rFonts w:ascii="Book Antiqua" w:hAnsi="Book Antiqua" w:cs="Arial"/>
          <w:sz w:val="24"/>
          <w:szCs w:val="24"/>
          <w:lang w:val="en-US"/>
        </w:rPr>
        <w:t>is</w:t>
      </w:r>
      <w:r w:rsidR="00E82484" w:rsidRPr="004B39D6">
        <w:rPr>
          <w:rFonts w:ascii="Book Antiqua" w:hAnsi="Book Antiqua" w:cs="Arial"/>
          <w:sz w:val="24"/>
          <w:szCs w:val="24"/>
          <w:lang w:val="en-US"/>
        </w:rPr>
        <w:t xml:space="preserve"> rejection</w:t>
      </w:r>
      <w:r w:rsidRPr="004B39D6">
        <w:rPr>
          <w:rFonts w:ascii="Book Antiqua" w:hAnsi="Book Antiqua" w:cs="Arial"/>
          <w:sz w:val="24"/>
          <w:szCs w:val="24"/>
          <w:lang w:val="en-US"/>
        </w:rPr>
        <w:t xml:space="preserve">. </w:t>
      </w:r>
      <w:r w:rsidR="00E82484" w:rsidRPr="004B39D6">
        <w:rPr>
          <w:rFonts w:ascii="Book Antiqua" w:hAnsi="Book Antiqua" w:cs="Arial"/>
          <w:sz w:val="24"/>
          <w:szCs w:val="24"/>
          <w:lang w:val="en-US"/>
        </w:rPr>
        <w:t>However, detection of GSTT1-specific T lymphocytes has not been documented. We provide the first evidence of T cells</w:t>
      </w:r>
      <w:r w:rsidR="004D70BF" w:rsidRPr="004B39D6">
        <w:rPr>
          <w:rFonts w:ascii="Book Antiqua" w:hAnsi="Book Antiqua" w:cs="Arial"/>
          <w:sz w:val="24"/>
          <w:szCs w:val="24"/>
          <w:lang w:val="en-US"/>
        </w:rPr>
        <w:t xml:space="preserve"> </w:t>
      </w:r>
      <w:r w:rsidR="00E82484" w:rsidRPr="004B39D6">
        <w:rPr>
          <w:rFonts w:ascii="Book Antiqua" w:hAnsi="Book Antiqua" w:cs="Arial"/>
          <w:sz w:val="24"/>
          <w:szCs w:val="24"/>
          <w:lang w:val="en-US"/>
        </w:rPr>
        <w:t xml:space="preserve">able to become activated by GSTT1 peptides </w:t>
      </w:r>
      <w:r w:rsidR="004D70BF" w:rsidRPr="004B39D6">
        <w:rPr>
          <w:rFonts w:ascii="Book Antiqua" w:hAnsi="Book Antiqua" w:cs="Arial"/>
          <w:sz w:val="24"/>
          <w:szCs w:val="24"/>
          <w:lang w:val="en-US"/>
        </w:rPr>
        <w:t>in</w:t>
      </w:r>
      <w:r w:rsidR="003408DB" w:rsidRPr="004B39D6">
        <w:rPr>
          <w:rFonts w:ascii="Book Antiqua" w:hAnsi="Book Antiqua" w:cs="Arial"/>
          <w:sz w:val="24"/>
          <w:szCs w:val="24"/>
          <w:lang w:val="en-US"/>
        </w:rPr>
        <w:t xml:space="preserve"> patients who </w:t>
      </w:r>
      <w:r w:rsidR="00496910" w:rsidRPr="004B39D6">
        <w:rPr>
          <w:rFonts w:ascii="Book Antiqua" w:hAnsi="Book Antiqua" w:cs="Arial"/>
          <w:sz w:val="24"/>
          <w:szCs w:val="24"/>
          <w:lang w:val="en-US"/>
        </w:rPr>
        <w:t xml:space="preserve">develop plasma cell-rich </w:t>
      </w:r>
      <w:r w:rsidR="0090340D" w:rsidRPr="004B39D6">
        <w:rPr>
          <w:rFonts w:ascii="Book Antiqua" w:hAnsi="Book Antiqua" w:cs="Arial"/>
          <w:sz w:val="24"/>
          <w:szCs w:val="24"/>
          <w:lang w:val="en-US"/>
        </w:rPr>
        <w:t xml:space="preserve">(PC-rich) </w:t>
      </w:r>
      <w:r w:rsidR="00496910" w:rsidRPr="004B39D6">
        <w:rPr>
          <w:rFonts w:ascii="Book Antiqua" w:hAnsi="Book Antiqua" w:cs="Arial"/>
          <w:sz w:val="24"/>
          <w:szCs w:val="24"/>
          <w:lang w:val="en-US"/>
        </w:rPr>
        <w:t>rejection</w:t>
      </w:r>
      <w:r w:rsidR="004D70BF" w:rsidRPr="004B39D6">
        <w:rPr>
          <w:rFonts w:ascii="Book Antiqua" w:hAnsi="Book Antiqua" w:cs="Arial"/>
          <w:sz w:val="24"/>
          <w:szCs w:val="24"/>
          <w:lang w:val="en-US"/>
        </w:rPr>
        <w:t xml:space="preserve"> after </w:t>
      </w:r>
      <w:r w:rsidR="00F672D1" w:rsidRPr="004B39D6">
        <w:rPr>
          <w:rFonts w:ascii="Book Antiqua" w:hAnsi="Book Antiqua" w:cs="Arial"/>
          <w:sz w:val="24"/>
          <w:szCs w:val="24"/>
          <w:lang w:val="en-US"/>
        </w:rPr>
        <w:t xml:space="preserve">GSTT1-mismatch </w:t>
      </w:r>
      <w:r w:rsidR="004D70BF" w:rsidRPr="004B39D6">
        <w:rPr>
          <w:rFonts w:ascii="Book Antiqua" w:hAnsi="Book Antiqua" w:cs="Arial"/>
          <w:sz w:val="24"/>
          <w:szCs w:val="24"/>
          <w:lang w:val="en-US"/>
        </w:rPr>
        <w:t>liver transplant</w:t>
      </w:r>
      <w:r w:rsidR="003F44FF" w:rsidRPr="004B39D6">
        <w:rPr>
          <w:rFonts w:ascii="Book Antiqua" w:hAnsi="Book Antiqua" w:cs="Arial"/>
          <w:sz w:val="24"/>
          <w:szCs w:val="24"/>
          <w:lang w:val="en-US"/>
        </w:rPr>
        <w:t>ation</w:t>
      </w:r>
      <w:r w:rsidR="004D70BF" w:rsidRPr="004B39D6">
        <w:rPr>
          <w:rFonts w:ascii="Book Antiqua" w:hAnsi="Book Antiqua" w:cs="Arial"/>
          <w:sz w:val="24"/>
          <w:szCs w:val="24"/>
          <w:lang w:val="en-US"/>
        </w:rPr>
        <w:t xml:space="preserve">. </w:t>
      </w:r>
      <w:r w:rsidR="00F11A5B" w:rsidRPr="004B39D6">
        <w:rPr>
          <w:rFonts w:ascii="Book Antiqua" w:hAnsi="Book Antiqua"/>
          <w:sz w:val="24"/>
          <w:szCs w:val="24"/>
          <w:lang w:val="en-US"/>
        </w:rPr>
        <w:t>Interestingly,</w:t>
      </w:r>
      <w:r w:rsidR="004D70BF" w:rsidRPr="004B39D6">
        <w:rPr>
          <w:rFonts w:ascii="Book Antiqua" w:hAnsi="Book Antiqua"/>
          <w:sz w:val="24"/>
          <w:szCs w:val="24"/>
          <w:lang w:val="en-US"/>
        </w:rPr>
        <w:t xml:space="preserve"> not only CD8</w:t>
      </w:r>
      <w:r w:rsidR="004D70BF" w:rsidRPr="004B39D6">
        <w:rPr>
          <w:rFonts w:ascii="Book Antiqua" w:hAnsi="Book Antiqua"/>
          <w:sz w:val="24"/>
          <w:szCs w:val="24"/>
          <w:vertAlign w:val="superscript"/>
          <w:lang w:val="en-US"/>
        </w:rPr>
        <w:t>+</w:t>
      </w:r>
      <w:r w:rsidR="004D70BF" w:rsidRPr="004B39D6">
        <w:rPr>
          <w:rFonts w:ascii="Book Antiqua" w:hAnsi="Book Antiqua"/>
          <w:sz w:val="24"/>
          <w:szCs w:val="24"/>
          <w:lang w:val="en-US"/>
        </w:rPr>
        <w:t xml:space="preserve"> or CD4</w:t>
      </w:r>
      <w:r w:rsidR="004D70BF" w:rsidRPr="004B39D6">
        <w:rPr>
          <w:rFonts w:ascii="Book Antiqua" w:hAnsi="Book Antiqua"/>
          <w:sz w:val="24"/>
          <w:szCs w:val="24"/>
          <w:vertAlign w:val="superscript"/>
          <w:lang w:val="en-US"/>
        </w:rPr>
        <w:t>+</w:t>
      </w:r>
      <w:r w:rsidR="004D70BF" w:rsidRPr="004B39D6">
        <w:rPr>
          <w:rFonts w:ascii="Book Antiqua" w:hAnsi="Book Antiqua"/>
          <w:sz w:val="24"/>
          <w:szCs w:val="24"/>
          <w:lang w:val="en-US"/>
        </w:rPr>
        <w:t xml:space="preserve"> cells</w:t>
      </w:r>
      <w:r w:rsidR="003408DB" w:rsidRPr="004B39D6">
        <w:rPr>
          <w:rFonts w:ascii="Book Antiqua" w:hAnsi="Book Antiqua"/>
          <w:sz w:val="24"/>
          <w:szCs w:val="24"/>
          <w:lang w:val="en-US"/>
        </w:rPr>
        <w:t xml:space="preserve"> but also</w:t>
      </w:r>
      <w:r w:rsidR="00F11A5B" w:rsidRPr="004B39D6">
        <w:rPr>
          <w:rFonts w:ascii="Book Antiqua" w:hAnsi="Book Antiqua"/>
          <w:sz w:val="24"/>
          <w:szCs w:val="24"/>
          <w:lang w:val="en-US"/>
        </w:rPr>
        <w:t xml:space="preserve"> double positive </w:t>
      </w:r>
      <w:r w:rsidR="004D70BF" w:rsidRPr="004B39D6">
        <w:rPr>
          <w:rFonts w:ascii="Book Antiqua" w:hAnsi="Book Antiqua"/>
          <w:sz w:val="24"/>
          <w:szCs w:val="24"/>
          <w:lang w:val="en-US"/>
        </w:rPr>
        <w:t>CD4</w:t>
      </w:r>
      <w:r w:rsidR="004D70BF" w:rsidRPr="004B39D6">
        <w:rPr>
          <w:rFonts w:ascii="Book Antiqua" w:hAnsi="Book Antiqua"/>
          <w:sz w:val="24"/>
          <w:szCs w:val="24"/>
          <w:vertAlign w:val="superscript"/>
          <w:lang w:val="en-US"/>
        </w:rPr>
        <w:t>+</w:t>
      </w:r>
      <w:r w:rsidR="004D70BF" w:rsidRPr="004B39D6">
        <w:rPr>
          <w:rFonts w:ascii="Book Antiqua" w:hAnsi="Book Antiqua"/>
          <w:sz w:val="24"/>
          <w:szCs w:val="24"/>
          <w:lang w:val="en-US"/>
        </w:rPr>
        <w:t>CD8</w:t>
      </w:r>
      <w:r w:rsidR="004D70BF" w:rsidRPr="004B39D6">
        <w:rPr>
          <w:rFonts w:ascii="Book Antiqua" w:hAnsi="Book Antiqua"/>
          <w:sz w:val="24"/>
          <w:szCs w:val="24"/>
          <w:vertAlign w:val="superscript"/>
          <w:lang w:val="en-US"/>
        </w:rPr>
        <w:t>low</w:t>
      </w:r>
      <w:r w:rsidR="004D70BF" w:rsidRPr="004B39D6">
        <w:rPr>
          <w:rFonts w:ascii="Book Antiqua" w:hAnsi="Book Antiqua"/>
          <w:sz w:val="24"/>
          <w:szCs w:val="24"/>
          <w:lang w:val="en-US"/>
        </w:rPr>
        <w:t xml:space="preserve"> </w:t>
      </w:r>
      <w:r w:rsidR="003F44FF" w:rsidRPr="004B39D6">
        <w:rPr>
          <w:rFonts w:ascii="Book Antiqua" w:hAnsi="Book Antiqua"/>
          <w:sz w:val="24"/>
          <w:szCs w:val="24"/>
          <w:lang w:val="en-US"/>
        </w:rPr>
        <w:t xml:space="preserve">cells </w:t>
      </w:r>
      <w:r w:rsidR="00F11A5B" w:rsidRPr="004B39D6">
        <w:rPr>
          <w:rFonts w:ascii="Book Antiqua" w:hAnsi="Book Antiqua"/>
          <w:sz w:val="24"/>
          <w:szCs w:val="24"/>
          <w:lang w:val="en-US"/>
        </w:rPr>
        <w:t xml:space="preserve">reacted to the antigenic stimulation </w:t>
      </w:r>
      <w:r w:rsidR="002C0304" w:rsidRPr="002C0304">
        <w:rPr>
          <w:rFonts w:ascii="Book Antiqua" w:hAnsi="Book Antiqua"/>
          <w:i/>
          <w:sz w:val="24"/>
          <w:szCs w:val="24"/>
          <w:lang w:val="en-US"/>
        </w:rPr>
        <w:t>in vitro</w:t>
      </w:r>
      <w:r w:rsidR="00F11A5B" w:rsidRPr="004B39D6">
        <w:rPr>
          <w:rFonts w:ascii="Book Antiqua" w:hAnsi="Book Antiqua"/>
          <w:sz w:val="24"/>
          <w:szCs w:val="24"/>
          <w:lang w:val="en-US"/>
        </w:rPr>
        <w:t xml:space="preserve">. </w:t>
      </w:r>
      <w:bookmarkEnd w:id="128"/>
      <w:bookmarkEnd w:id="129"/>
    </w:p>
    <w:p w14:paraId="1436E75C" w14:textId="77777777" w:rsidR="00834C76" w:rsidRPr="004B39D6" w:rsidRDefault="00834C76" w:rsidP="0081528B">
      <w:pPr>
        <w:snapToGrid w:val="0"/>
        <w:spacing w:after="0" w:line="360" w:lineRule="auto"/>
        <w:jc w:val="both"/>
        <w:rPr>
          <w:rFonts w:ascii="Book Antiqua" w:hAnsi="Book Antiqua" w:cs="Arial"/>
          <w:sz w:val="24"/>
          <w:szCs w:val="24"/>
          <w:lang w:val="en-US"/>
        </w:rPr>
      </w:pPr>
    </w:p>
    <w:p w14:paraId="2F5F6A46" w14:textId="77777777" w:rsidR="0081528B" w:rsidRPr="004B39D6" w:rsidRDefault="00834C76" w:rsidP="0081528B">
      <w:pPr>
        <w:spacing w:line="360" w:lineRule="auto"/>
        <w:rPr>
          <w:rFonts w:ascii="Book Antiqua" w:hAnsi="Book Antiqua" w:cs="Arial"/>
          <w:sz w:val="24"/>
          <w:szCs w:val="24"/>
          <w:lang w:val="en-US" w:eastAsia="zh-CN"/>
        </w:rPr>
      </w:pPr>
      <w:bookmarkStart w:id="132" w:name="OLE_LINK910"/>
      <w:r w:rsidRPr="004B39D6">
        <w:rPr>
          <w:rFonts w:ascii="Book Antiqua" w:hAnsi="Book Antiqua" w:cs="Arial"/>
          <w:sz w:val="24"/>
          <w:szCs w:val="24"/>
          <w:lang w:val="en-US"/>
        </w:rPr>
        <w:t xml:space="preserve">Martinez-Bravo JM, Sanchez B, Sousa JM, Acevedo MJ, Gomez-Bravo MA, </w:t>
      </w:r>
      <w:proofErr w:type="spellStart"/>
      <w:r w:rsidRPr="004B39D6">
        <w:rPr>
          <w:rFonts w:ascii="Book Antiqua" w:hAnsi="Book Antiqua" w:cs="Arial"/>
          <w:sz w:val="24"/>
          <w:szCs w:val="24"/>
          <w:lang w:val="en-US"/>
        </w:rPr>
        <w:t>Nuñez-Roldan</w:t>
      </w:r>
      <w:proofErr w:type="spellEnd"/>
      <w:r w:rsidRPr="004B39D6">
        <w:rPr>
          <w:rFonts w:ascii="Book Antiqua" w:hAnsi="Book Antiqua" w:cs="Arial"/>
          <w:sz w:val="24"/>
          <w:szCs w:val="24"/>
          <w:lang w:val="en-US"/>
        </w:rPr>
        <w:t xml:space="preserve"> A, Aguilera I. </w:t>
      </w:r>
      <w:r w:rsidR="0081528B" w:rsidRPr="004B39D6">
        <w:rPr>
          <w:rFonts w:ascii="Book Antiqua" w:hAnsi="Book Antiqua" w:cs="Arial"/>
          <w:sz w:val="24"/>
          <w:szCs w:val="24"/>
          <w:lang w:val="en-US"/>
        </w:rPr>
        <w:t xml:space="preserve">T-cell </w:t>
      </w:r>
      <w:proofErr w:type="spellStart"/>
      <w:r w:rsidR="0081528B" w:rsidRPr="004B39D6">
        <w:rPr>
          <w:rFonts w:ascii="Book Antiqua" w:hAnsi="Book Antiqua" w:cs="Arial"/>
          <w:sz w:val="24"/>
          <w:szCs w:val="24"/>
          <w:lang w:val="en-US"/>
        </w:rPr>
        <w:t>allorecognition</w:t>
      </w:r>
      <w:proofErr w:type="spellEnd"/>
      <w:r w:rsidR="0081528B" w:rsidRPr="004B39D6">
        <w:rPr>
          <w:rFonts w:ascii="Book Antiqua" w:hAnsi="Book Antiqua" w:cs="Arial"/>
          <w:sz w:val="24"/>
          <w:szCs w:val="24"/>
          <w:lang w:val="en-US"/>
        </w:rPr>
        <w:t xml:space="preserve"> of donor glutathione S-</w:t>
      </w:r>
      <w:proofErr w:type="spellStart"/>
      <w:r w:rsidR="0081528B" w:rsidRPr="004B39D6">
        <w:rPr>
          <w:rFonts w:ascii="Book Antiqua" w:hAnsi="Book Antiqua" w:cs="Arial"/>
          <w:sz w:val="24"/>
          <w:szCs w:val="24"/>
          <w:lang w:val="en-US"/>
        </w:rPr>
        <w:t>transferase</w:t>
      </w:r>
      <w:proofErr w:type="spellEnd"/>
      <w:r w:rsidR="0081528B" w:rsidRPr="004B39D6">
        <w:rPr>
          <w:rFonts w:ascii="Book Antiqua" w:hAnsi="Book Antiqua" w:cs="Arial"/>
          <w:sz w:val="24"/>
          <w:szCs w:val="24"/>
          <w:lang w:val="en-US"/>
        </w:rPr>
        <w:t xml:space="preserve"> T1 in plasma cell-rich rejection</w:t>
      </w:r>
      <w:r w:rsidR="0081528B" w:rsidRPr="004B39D6">
        <w:rPr>
          <w:rFonts w:ascii="Book Antiqua" w:hAnsi="Book Antiqua" w:cs="Arial"/>
          <w:sz w:val="24"/>
          <w:szCs w:val="24"/>
          <w:lang w:val="en-US" w:eastAsia="zh-CN"/>
        </w:rPr>
        <w:t xml:space="preserve">. </w:t>
      </w:r>
      <w:bookmarkStart w:id="133" w:name="OLE_LINK490"/>
      <w:bookmarkStart w:id="134" w:name="OLE_LINK491"/>
      <w:bookmarkStart w:id="135" w:name="OLE_LINK553"/>
      <w:bookmarkStart w:id="136" w:name="OLE_LINK687"/>
      <w:r w:rsidR="0081528B" w:rsidRPr="004B39D6">
        <w:rPr>
          <w:rFonts w:ascii="Book Antiqua" w:hAnsi="Book Antiqua" w:cs="Arial"/>
          <w:i/>
          <w:iCs/>
          <w:sz w:val="24"/>
          <w:szCs w:val="24"/>
          <w:lang w:val="en-US" w:eastAsia="zh-CN"/>
        </w:rPr>
        <w:t xml:space="preserve">World J </w:t>
      </w:r>
      <w:proofErr w:type="spellStart"/>
      <w:r w:rsidR="0081528B" w:rsidRPr="004B39D6">
        <w:rPr>
          <w:rFonts w:ascii="Book Antiqua" w:hAnsi="Book Antiqua" w:cs="Arial"/>
          <w:i/>
          <w:iCs/>
          <w:sz w:val="24"/>
          <w:szCs w:val="24"/>
          <w:lang w:val="en-US" w:eastAsia="zh-CN"/>
        </w:rPr>
        <w:t>Hepatol</w:t>
      </w:r>
      <w:proofErr w:type="spellEnd"/>
      <w:r w:rsidR="0081528B" w:rsidRPr="004B39D6">
        <w:rPr>
          <w:rFonts w:ascii="Book Antiqua" w:hAnsi="Book Antiqua" w:cs="Arial"/>
          <w:i/>
          <w:iCs/>
          <w:sz w:val="24"/>
          <w:szCs w:val="24"/>
          <w:lang w:val="en-US" w:eastAsia="zh-CN"/>
        </w:rPr>
        <w:t xml:space="preserve"> </w:t>
      </w:r>
      <w:r w:rsidR="0081528B" w:rsidRPr="004B39D6">
        <w:rPr>
          <w:rFonts w:ascii="Book Antiqua" w:hAnsi="Book Antiqua" w:cs="Arial"/>
          <w:sz w:val="24"/>
          <w:szCs w:val="24"/>
          <w:lang w:val="en-US" w:eastAsia="zh-CN"/>
        </w:rPr>
        <w:t xml:space="preserve">2017; </w:t>
      </w:r>
      <w:proofErr w:type="gramStart"/>
      <w:r w:rsidR="0081528B" w:rsidRPr="004B39D6">
        <w:rPr>
          <w:rFonts w:ascii="Book Antiqua" w:hAnsi="Book Antiqua" w:cs="Arial"/>
          <w:sz w:val="24"/>
          <w:szCs w:val="24"/>
          <w:lang w:val="en-US" w:eastAsia="zh-CN"/>
        </w:rPr>
        <w:t>In</w:t>
      </w:r>
      <w:proofErr w:type="gramEnd"/>
      <w:r w:rsidR="0081528B" w:rsidRPr="004B39D6">
        <w:rPr>
          <w:rFonts w:ascii="Book Antiqua" w:hAnsi="Book Antiqua" w:cs="Arial"/>
          <w:sz w:val="24"/>
          <w:szCs w:val="24"/>
          <w:lang w:val="en-US" w:eastAsia="zh-CN"/>
        </w:rPr>
        <w:t xml:space="preserve"> press</w:t>
      </w:r>
    </w:p>
    <w:bookmarkEnd w:id="132"/>
    <w:bookmarkEnd w:id="133"/>
    <w:bookmarkEnd w:id="134"/>
    <w:bookmarkEnd w:id="135"/>
    <w:bookmarkEnd w:id="136"/>
    <w:p w14:paraId="28E65008" w14:textId="6BBE2DDD" w:rsidR="0081528B" w:rsidRPr="004B39D6" w:rsidRDefault="0081528B" w:rsidP="0081528B">
      <w:pPr>
        <w:snapToGrid w:val="0"/>
        <w:spacing w:after="0" w:line="360" w:lineRule="auto"/>
        <w:jc w:val="both"/>
        <w:rPr>
          <w:rFonts w:ascii="Book Antiqua" w:hAnsi="Book Antiqua" w:cs="Arial"/>
          <w:sz w:val="24"/>
          <w:szCs w:val="24"/>
          <w:lang w:val="en-US" w:eastAsia="zh-CN"/>
        </w:rPr>
      </w:pPr>
    </w:p>
    <w:p w14:paraId="41EFD5B5" w14:textId="77777777" w:rsidR="0081528B" w:rsidRPr="004B39D6" w:rsidRDefault="0081528B" w:rsidP="0081528B">
      <w:pPr>
        <w:snapToGrid w:val="0"/>
        <w:spacing w:after="0" w:line="360" w:lineRule="auto"/>
        <w:jc w:val="both"/>
        <w:rPr>
          <w:rFonts w:ascii="Book Antiqua" w:hAnsi="Book Antiqua" w:cs="Arial"/>
          <w:sz w:val="24"/>
          <w:szCs w:val="24"/>
          <w:lang w:val="en-US" w:eastAsia="zh-CN"/>
        </w:rPr>
      </w:pPr>
    </w:p>
    <w:p w14:paraId="000BABB7" w14:textId="77777777" w:rsidR="00383DD4" w:rsidRPr="004B39D6" w:rsidRDefault="00383DD4" w:rsidP="0081528B">
      <w:pPr>
        <w:snapToGrid w:val="0"/>
        <w:spacing w:after="0" w:line="360" w:lineRule="auto"/>
        <w:jc w:val="both"/>
        <w:rPr>
          <w:rFonts w:ascii="Book Antiqua" w:hAnsi="Book Antiqua" w:cs="Arial"/>
          <w:sz w:val="24"/>
          <w:szCs w:val="24"/>
          <w:lang w:val="en-US"/>
        </w:rPr>
      </w:pPr>
    </w:p>
    <w:p w14:paraId="1594F7C0" w14:textId="71BCEC40" w:rsidR="003B780A" w:rsidRPr="004B39D6" w:rsidRDefault="003B780A" w:rsidP="0081528B">
      <w:pPr>
        <w:snapToGrid w:val="0"/>
        <w:spacing w:after="0" w:line="360" w:lineRule="auto"/>
        <w:jc w:val="both"/>
        <w:rPr>
          <w:rFonts w:ascii="Book Antiqua" w:hAnsi="Book Antiqua" w:cs="Arial"/>
          <w:b/>
          <w:sz w:val="24"/>
          <w:szCs w:val="24"/>
          <w:lang w:val="en-US"/>
        </w:rPr>
      </w:pPr>
      <w:r w:rsidRPr="004B39D6">
        <w:rPr>
          <w:rFonts w:ascii="Book Antiqua" w:hAnsi="Book Antiqua" w:cs="Arial"/>
          <w:b/>
          <w:sz w:val="24"/>
          <w:szCs w:val="24"/>
          <w:lang w:val="en-US"/>
        </w:rPr>
        <w:t>INTRODUCTION</w:t>
      </w:r>
      <w:r w:rsidR="001B6E00" w:rsidRPr="004B39D6">
        <w:rPr>
          <w:rFonts w:ascii="Book Antiqua" w:hAnsi="Book Antiqua" w:cs="Arial"/>
          <w:b/>
          <w:sz w:val="24"/>
          <w:szCs w:val="24"/>
          <w:lang w:val="en-US"/>
        </w:rPr>
        <w:t xml:space="preserve"> </w:t>
      </w:r>
    </w:p>
    <w:p w14:paraId="0EF14623" w14:textId="20D4FA35" w:rsidR="001B6E00" w:rsidRPr="004B39D6" w:rsidRDefault="001B6E00"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t>In the context of liver transplantation, both</w:t>
      </w:r>
      <w:r w:rsidR="00394E75" w:rsidRPr="004B39D6">
        <w:rPr>
          <w:rFonts w:ascii="Book Antiqua" w:hAnsi="Book Antiqua" w:cs="Arial"/>
          <w:sz w:val="24"/>
          <w:szCs w:val="24"/>
          <w:lang w:val="en-US"/>
        </w:rPr>
        <w:t xml:space="preserve"> </w:t>
      </w:r>
      <w:r w:rsidR="00E37A6C" w:rsidRPr="004B39D6">
        <w:rPr>
          <w:rFonts w:ascii="Book Antiqua" w:hAnsi="Book Antiqua" w:cs="Arial"/>
          <w:sz w:val="24"/>
          <w:szCs w:val="24"/>
          <w:lang w:val="en-US"/>
        </w:rPr>
        <w:t>glutathione S-</w:t>
      </w:r>
      <w:proofErr w:type="spellStart"/>
      <w:r w:rsidR="00E37A6C" w:rsidRPr="004B39D6">
        <w:rPr>
          <w:rFonts w:ascii="Book Antiqua" w:hAnsi="Book Antiqua" w:cs="Arial"/>
          <w:sz w:val="24"/>
          <w:szCs w:val="24"/>
          <w:lang w:val="en-US"/>
        </w:rPr>
        <w:t>transferase</w:t>
      </w:r>
      <w:proofErr w:type="spellEnd"/>
      <w:r w:rsidR="00E37A6C" w:rsidRPr="004B39D6">
        <w:rPr>
          <w:rFonts w:ascii="Book Antiqua" w:hAnsi="Book Antiqua" w:cs="Arial"/>
          <w:sz w:val="24"/>
          <w:szCs w:val="24"/>
          <w:lang w:val="en-US"/>
        </w:rPr>
        <w:t xml:space="preserve"> T1 (GSTT1)</w:t>
      </w:r>
      <w:r w:rsidRPr="004B39D6">
        <w:rPr>
          <w:rFonts w:ascii="Book Antiqua" w:hAnsi="Book Antiqua" w:cs="Arial"/>
          <w:sz w:val="24"/>
          <w:szCs w:val="24"/>
          <w:lang w:val="en-US"/>
        </w:rPr>
        <w:t xml:space="preserve"> mismatch and the presence of GSTT1 antibodies have been associated with the </w:t>
      </w:r>
      <w:r w:rsidRPr="004B39D6">
        <w:rPr>
          <w:rFonts w:ascii="Book Antiqua" w:hAnsi="Book Antiqua" w:cs="Arial"/>
          <w:sz w:val="24"/>
          <w:szCs w:val="24"/>
          <w:lang w:val="en-US"/>
        </w:rPr>
        <w:lastRenderedPageBreak/>
        <w:t xml:space="preserve">development of </w:t>
      </w:r>
      <w:r w:rsidRPr="004B39D6">
        <w:rPr>
          <w:rFonts w:ascii="Book Antiqua" w:hAnsi="Book Antiqua" w:cs="Arial"/>
          <w:i/>
          <w:sz w:val="24"/>
          <w:szCs w:val="24"/>
          <w:lang w:val="en-US"/>
        </w:rPr>
        <w:t>de novo</w:t>
      </w:r>
      <w:r w:rsidR="007F0333" w:rsidRPr="004B39D6">
        <w:rPr>
          <w:rFonts w:ascii="Book Antiqua" w:hAnsi="Book Antiqua" w:cs="Arial"/>
          <w:sz w:val="24"/>
          <w:szCs w:val="24"/>
          <w:lang w:val="en-US"/>
        </w:rPr>
        <w:t xml:space="preserve"> immune hepatitis</w:t>
      </w:r>
      <w:r w:rsidR="007F0333" w:rsidRPr="004B39D6">
        <w:rPr>
          <w:rFonts w:ascii="Book Antiqua" w:hAnsi="Book Antiqua" w:cs="Arial"/>
          <w:sz w:val="24"/>
          <w:szCs w:val="24"/>
          <w:vertAlign w:val="superscript"/>
          <w:lang w:val="en-US"/>
        </w:rPr>
        <w:t>[1-3]</w:t>
      </w:r>
      <w:r w:rsidRPr="004B39D6">
        <w:rPr>
          <w:rFonts w:ascii="Book Antiqua" w:hAnsi="Book Antiqua" w:cs="Arial"/>
          <w:sz w:val="24"/>
          <w:szCs w:val="24"/>
          <w:lang w:val="en-US"/>
        </w:rPr>
        <w:t>, recently accepted as a rejection of the liver allograft</w:t>
      </w:r>
      <w:r w:rsidR="00394E75" w:rsidRPr="004B39D6">
        <w:rPr>
          <w:rFonts w:ascii="Book Antiqua" w:hAnsi="Book Antiqua" w:cs="Arial"/>
          <w:sz w:val="24"/>
          <w:szCs w:val="24"/>
          <w:lang w:val="en-US"/>
        </w:rPr>
        <w:t xml:space="preserve"> </w:t>
      </w:r>
      <w:r w:rsidRPr="004B39D6">
        <w:rPr>
          <w:rFonts w:ascii="Book Antiqua" w:hAnsi="Book Antiqua" w:cs="Arial"/>
          <w:sz w:val="24"/>
          <w:szCs w:val="24"/>
          <w:lang w:val="en-US"/>
        </w:rPr>
        <w:t xml:space="preserve">in which allogeneic hepatocytes that express GSTT1 </w:t>
      </w:r>
      <w:r w:rsidR="00A06F05" w:rsidRPr="004B39D6">
        <w:rPr>
          <w:rFonts w:ascii="Book Antiqua" w:hAnsi="Book Antiqua" w:cs="Arial"/>
          <w:sz w:val="24"/>
          <w:szCs w:val="24"/>
          <w:lang w:val="en-US"/>
        </w:rPr>
        <w:t xml:space="preserve">constitutively </w:t>
      </w:r>
      <w:r w:rsidRPr="004B39D6">
        <w:rPr>
          <w:rFonts w:ascii="Book Antiqua" w:hAnsi="Book Antiqua" w:cs="Arial"/>
          <w:sz w:val="24"/>
          <w:szCs w:val="24"/>
          <w:lang w:val="en-US"/>
        </w:rPr>
        <w:t>in their cytoplasm are the main targets of the immune response. The Banff Working Group on Liver Allograft Pathology has recently updated the terminologies of post-transplant complications and encourag</w:t>
      </w:r>
      <w:r w:rsidR="0090340D" w:rsidRPr="004B39D6">
        <w:rPr>
          <w:rFonts w:ascii="Book Antiqua" w:hAnsi="Book Antiqua" w:cs="Arial"/>
          <w:sz w:val="24"/>
          <w:szCs w:val="24"/>
          <w:lang w:val="en-US"/>
        </w:rPr>
        <w:t xml:space="preserve">es the use of “plasma cell-rich </w:t>
      </w:r>
      <w:r w:rsidRPr="004B39D6">
        <w:rPr>
          <w:rFonts w:ascii="Book Antiqua" w:hAnsi="Book Antiqua" w:cs="Arial"/>
          <w:sz w:val="24"/>
          <w:szCs w:val="24"/>
          <w:lang w:val="en-US"/>
        </w:rPr>
        <w:t>rejection” instead of the former “</w:t>
      </w:r>
      <w:r w:rsidRPr="004B39D6">
        <w:rPr>
          <w:rFonts w:ascii="Book Antiqua" w:hAnsi="Book Antiqua" w:cs="Arial"/>
          <w:i/>
          <w:sz w:val="24"/>
          <w:szCs w:val="24"/>
          <w:lang w:val="en-US"/>
        </w:rPr>
        <w:t>de novo</w:t>
      </w:r>
      <w:r w:rsidRPr="004B39D6">
        <w:rPr>
          <w:rFonts w:ascii="Book Antiqua" w:hAnsi="Book Antiqua" w:cs="Arial"/>
          <w:sz w:val="24"/>
          <w:szCs w:val="24"/>
          <w:lang w:val="en-US"/>
        </w:rPr>
        <w:t xml:space="preserve"> autoimmune hepatitis”</w:t>
      </w:r>
      <w:r w:rsidRPr="004B39D6">
        <w:rPr>
          <w:rFonts w:ascii="Book Antiqua" w:hAnsi="Book Antiqua" w:cs="Arial"/>
          <w:sz w:val="24"/>
          <w:szCs w:val="24"/>
          <w:vertAlign w:val="superscript"/>
          <w:lang w:val="en-US"/>
        </w:rPr>
        <w:t>[</w:t>
      </w:r>
      <w:r w:rsidR="007F0333" w:rsidRPr="004B39D6">
        <w:rPr>
          <w:rFonts w:ascii="Book Antiqua" w:hAnsi="Book Antiqua" w:cs="Arial"/>
          <w:sz w:val="24"/>
          <w:szCs w:val="24"/>
          <w:vertAlign w:val="superscript"/>
          <w:lang w:val="en-US"/>
        </w:rPr>
        <w:t>4</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Therefore, in this manuscript, we will use the new terminology.</w:t>
      </w:r>
    </w:p>
    <w:p w14:paraId="591C67D5" w14:textId="003B63C9" w:rsidR="001B6E00" w:rsidRPr="004B39D6" w:rsidRDefault="0090340D" w:rsidP="0081528B">
      <w:pPr>
        <w:snapToGrid w:val="0"/>
        <w:spacing w:after="0" w:line="360" w:lineRule="auto"/>
        <w:ind w:right="284" w:firstLine="708"/>
        <w:jc w:val="both"/>
        <w:rPr>
          <w:rFonts w:ascii="Book Antiqua" w:hAnsi="Book Antiqua" w:cs="Arial"/>
          <w:sz w:val="24"/>
          <w:szCs w:val="24"/>
          <w:lang w:val="en-US"/>
        </w:rPr>
      </w:pPr>
      <w:r w:rsidRPr="004B39D6">
        <w:rPr>
          <w:rFonts w:ascii="Book Antiqua" w:hAnsi="Book Antiqua" w:cs="Arial"/>
          <w:sz w:val="24"/>
          <w:szCs w:val="24"/>
          <w:lang w:val="en-US"/>
        </w:rPr>
        <w:t xml:space="preserve">Plasma cell-rich (PC-rich) </w:t>
      </w:r>
      <w:r w:rsidR="001B6E00" w:rsidRPr="004B39D6">
        <w:rPr>
          <w:rFonts w:ascii="Book Antiqua" w:hAnsi="Book Antiqua" w:cs="Arial"/>
          <w:sz w:val="24"/>
          <w:szCs w:val="24"/>
          <w:lang w:val="en-US"/>
        </w:rPr>
        <w:t xml:space="preserve">rejection is a liver disorder of unclear pathogenesis that is usually diagnosed within the first two years after liver transplantation. A common feature </w:t>
      </w:r>
      <w:r w:rsidR="00452659" w:rsidRPr="004B39D6">
        <w:rPr>
          <w:rFonts w:ascii="Book Antiqua" w:hAnsi="Book Antiqua" w:cs="Arial"/>
          <w:sz w:val="24"/>
          <w:szCs w:val="24"/>
          <w:lang w:val="en-US"/>
        </w:rPr>
        <w:t xml:space="preserve">of </w:t>
      </w:r>
      <w:r w:rsidR="001B6E00" w:rsidRPr="004B39D6">
        <w:rPr>
          <w:rFonts w:ascii="Book Antiqua" w:hAnsi="Book Antiqua" w:cs="Arial"/>
          <w:sz w:val="24"/>
          <w:szCs w:val="24"/>
          <w:lang w:val="en-US"/>
        </w:rPr>
        <w:t>all the patients diagnosed in our hospital is the presence of GSTT1 antibodies due to the recognition of GSTT1 as a foreign antigen expressed in the graft when the recipient lacks this gene. Although it is a very</w:t>
      </w:r>
      <w:r w:rsidR="00B94F1F" w:rsidRPr="004B39D6">
        <w:rPr>
          <w:rFonts w:ascii="Book Antiqua" w:hAnsi="Book Antiqua" w:cs="Arial"/>
          <w:sz w:val="24"/>
          <w:szCs w:val="24"/>
          <w:lang w:val="en-US"/>
        </w:rPr>
        <w:t xml:space="preserve"> specific anti-donor response, it is unclear whether these antibodies</w:t>
      </w:r>
      <w:r w:rsidR="001B6E00" w:rsidRPr="004B39D6">
        <w:rPr>
          <w:rFonts w:ascii="Book Antiqua" w:hAnsi="Book Antiqua" w:cs="Arial"/>
          <w:sz w:val="24"/>
          <w:szCs w:val="24"/>
          <w:lang w:val="en-US"/>
        </w:rPr>
        <w:t xml:space="preserve"> have a pathogenic effect since some patients with sustained antibody-titers will never develop </w:t>
      </w:r>
      <w:r w:rsidRPr="004B39D6">
        <w:rPr>
          <w:rFonts w:ascii="Book Antiqua" w:hAnsi="Book Antiqua" w:cs="Arial"/>
          <w:sz w:val="24"/>
          <w:szCs w:val="24"/>
          <w:lang w:val="en-US"/>
        </w:rPr>
        <w:t xml:space="preserve">PC-rich </w:t>
      </w:r>
      <w:r w:rsidR="001B6E00" w:rsidRPr="004B39D6">
        <w:rPr>
          <w:rFonts w:ascii="Book Antiqua" w:hAnsi="Book Antiqua" w:cs="Arial"/>
          <w:sz w:val="24"/>
          <w:szCs w:val="24"/>
          <w:lang w:val="en-US"/>
        </w:rPr>
        <w:t xml:space="preserve">rejection. </w:t>
      </w:r>
    </w:p>
    <w:p w14:paraId="31C83C48" w14:textId="74025BBF" w:rsidR="001B6E00" w:rsidRPr="004B39D6" w:rsidRDefault="001B6E00" w:rsidP="0081528B">
      <w:pPr>
        <w:snapToGrid w:val="0"/>
        <w:spacing w:after="0" w:line="360" w:lineRule="auto"/>
        <w:ind w:right="284" w:firstLine="708"/>
        <w:jc w:val="both"/>
        <w:rPr>
          <w:rFonts w:ascii="Book Antiqua" w:hAnsi="Book Antiqua" w:cs="Arial"/>
          <w:sz w:val="24"/>
          <w:szCs w:val="24"/>
          <w:lang w:val="en-US"/>
        </w:rPr>
      </w:pPr>
      <w:r w:rsidRPr="004B39D6">
        <w:rPr>
          <w:rFonts w:ascii="Book Antiqua" w:hAnsi="Book Antiqua" w:cs="Arial"/>
          <w:sz w:val="24"/>
          <w:szCs w:val="24"/>
          <w:lang w:val="en-US"/>
        </w:rPr>
        <w:t xml:space="preserve">Pregnancy, transfusion and transplantation are circumstances where the host immune system is able to recognize foreign major and minor histocompatibility antigens. This is the case </w:t>
      </w:r>
      <w:r w:rsidR="00452659" w:rsidRPr="004B39D6">
        <w:rPr>
          <w:rFonts w:ascii="Book Antiqua" w:hAnsi="Book Antiqua" w:cs="Arial"/>
          <w:sz w:val="24"/>
          <w:szCs w:val="24"/>
          <w:lang w:val="en-US"/>
        </w:rPr>
        <w:t xml:space="preserve">for </w:t>
      </w:r>
      <w:r w:rsidRPr="004B39D6">
        <w:rPr>
          <w:rFonts w:ascii="Book Antiqua" w:hAnsi="Book Antiqua" w:cs="Arial"/>
          <w:sz w:val="24"/>
          <w:szCs w:val="24"/>
          <w:lang w:val="en-US"/>
        </w:rPr>
        <w:t xml:space="preserve">GSTT1, a drug metabolizing enzyme that is abundantly expressed in </w:t>
      </w:r>
      <w:r w:rsidR="006D1498" w:rsidRPr="004B39D6">
        <w:rPr>
          <w:rFonts w:ascii="Book Antiqua" w:hAnsi="Book Antiqua" w:cs="Arial"/>
          <w:sz w:val="24"/>
          <w:szCs w:val="24"/>
          <w:lang w:val="en-US"/>
        </w:rPr>
        <w:t xml:space="preserve">the </w:t>
      </w:r>
      <w:r w:rsidRPr="004B39D6">
        <w:rPr>
          <w:rFonts w:ascii="Book Antiqua" w:hAnsi="Book Antiqua" w:cs="Arial"/>
          <w:sz w:val="24"/>
          <w:szCs w:val="24"/>
          <w:lang w:val="en-US"/>
        </w:rPr>
        <w:t>liver and kidney. Recipients who lack this gene (</w:t>
      </w:r>
      <w:r w:rsidRPr="004B39D6">
        <w:rPr>
          <w:rFonts w:ascii="Book Antiqua" w:hAnsi="Book Antiqua" w:cs="Arial"/>
          <w:i/>
          <w:sz w:val="24"/>
          <w:szCs w:val="24"/>
          <w:lang w:val="en-US"/>
        </w:rPr>
        <w:t>GSTT1*0/0</w:t>
      </w:r>
      <w:r w:rsidRPr="004B39D6">
        <w:rPr>
          <w:rFonts w:ascii="Book Antiqua" w:hAnsi="Book Antiqua" w:cs="Arial"/>
          <w:sz w:val="24"/>
          <w:szCs w:val="24"/>
          <w:lang w:val="en-US"/>
        </w:rPr>
        <w:t>) might generate antibodies against GSTT1 after blood transfusion and/or organ transplantation from GSTT1-positive donors (</w:t>
      </w:r>
      <w:r w:rsidRPr="004B39D6">
        <w:rPr>
          <w:rFonts w:ascii="Book Antiqua" w:hAnsi="Book Antiqua" w:cs="Arial"/>
          <w:i/>
          <w:sz w:val="24"/>
          <w:szCs w:val="24"/>
          <w:lang w:val="en-US"/>
        </w:rPr>
        <w:t>GSTT1*A/0 or *A/A</w:t>
      </w:r>
      <w:r w:rsidRPr="004B39D6">
        <w:rPr>
          <w:rFonts w:ascii="Book Antiqua" w:hAnsi="Book Antiqua" w:cs="Arial"/>
          <w:sz w:val="24"/>
          <w:szCs w:val="24"/>
          <w:lang w:val="en-US"/>
        </w:rPr>
        <w:t>)</w:t>
      </w:r>
      <w:r w:rsidRPr="004B39D6">
        <w:rPr>
          <w:rFonts w:ascii="Book Antiqua" w:hAnsi="Book Antiqua" w:cs="Arial"/>
          <w:sz w:val="24"/>
          <w:szCs w:val="24"/>
          <w:vertAlign w:val="superscript"/>
          <w:lang w:val="en-US"/>
        </w:rPr>
        <w:t>[</w:t>
      </w:r>
      <w:r w:rsidR="0081528B" w:rsidRPr="004B39D6">
        <w:rPr>
          <w:rFonts w:ascii="Book Antiqua" w:hAnsi="Book Antiqua" w:cs="Arial"/>
          <w:sz w:val="24"/>
          <w:szCs w:val="24"/>
          <w:vertAlign w:val="superscript"/>
          <w:lang w:val="en-US"/>
        </w:rPr>
        <w:t>5,</w:t>
      </w:r>
      <w:r w:rsidR="007F0333" w:rsidRPr="004B39D6">
        <w:rPr>
          <w:rFonts w:ascii="Book Antiqua" w:hAnsi="Book Antiqua" w:cs="Arial"/>
          <w:sz w:val="24"/>
          <w:szCs w:val="24"/>
          <w:vertAlign w:val="superscript"/>
          <w:lang w:val="en-US"/>
        </w:rPr>
        <w:t>6</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It has been reported that the GSTT1 protein is able to induce a memory B cell response in </w:t>
      </w:r>
      <w:r w:rsidRPr="004B39D6">
        <w:rPr>
          <w:rFonts w:ascii="Book Antiqua" w:hAnsi="Book Antiqua" w:cs="Arial"/>
          <w:i/>
          <w:sz w:val="24"/>
          <w:szCs w:val="24"/>
          <w:lang w:val="en-US"/>
        </w:rPr>
        <w:t>GSTT1*0/0</w:t>
      </w:r>
      <w:r w:rsidRPr="004B39D6">
        <w:rPr>
          <w:rFonts w:ascii="Book Antiqua" w:hAnsi="Book Antiqua" w:cs="Arial"/>
          <w:sz w:val="24"/>
          <w:szCs w:val="24"/>
          <w:lang w:val="en-US"/>
        </w:rPr>
        <w:t xml:space="preserve"> women after pregnancy </w:t>
      </w:r>
      <w:r w:rsidR="006D1498" w:rsidRPr="004B39D6">
        <w:rPr>
          <w:rFonts w:ascii="Book Antiqua" w:hAnsi="Book Antiqua" w:cs="Arial"/>
          <w:sz w:val="24"/>
          <w:szCs w:val="24"/>
          <w:lang w:val="en-US"/>
        </w:rPr>
        <w:t xml:space="preserve">with </w:t>
      </w:r>
      <w:r w:rsidRPr="004B39D6">
        <w:rPr>
          <w:rFonts w:ascii="Book Antiqua" w:hAnsi="Book Antiqua" w:cs="Arial"/>
          <w:sz w:val="24"/>
          <w:szCs w:val="24"/>
          <w:lang w:val="en-US"/>
        </w:rPr>
        <w:t xml:space="preserve">GSTT1-positive </w:t>
      </w:r>
      <w:proofErr w:type="gramStart"/>
      <w:r w:rsidRPr="004B39D6">
        <w:rPr>
          <w:rFonts w:ascii="Book Antiqua" w:hAnsi="Book Antiqua" w:cs="Arial"/>
          <w:sz w:val="24"/>
          <w:szCs w:val="24"/>
          <w:lang w:val="en-US"/>
        </w:rPr>
        <w:t>offspring</w:t>
      </w:r>
      <w:r w:rsidRPr="004B39D6">
        <w:rPr>
          <w:rFonts w:ascii="Book Antiqua" w:hAnsi="Book Antiqua" w:cs="Arial"/>
          <w:sz w:val="24"/>
          <w:szCs w:val="24"/>
          <w:vertAlign w:val="superscript"/>
          <w:lang w:val="en-US"/>
        </w:rPr>
        <w:t>[</w:t>
      </w:r>
      <w:proofErr w:type="gramEnd"/>
      <w:r w:rsidR="007F0333" w:rsidRPr="004B39D6">
        <w:rPr>
          <w:rFonts w:ascii="Book Antiqua" w:hAnsi="Book Antiqua" w:cs="Arial"/>
          <w:sz w:val="24"/>
          <w:szCs w:val="24"/>
          <w:vertAlign w:val="superscript"/>
          <w:lang w:val="en-US"/>
        </w:rPr>
        <w:t>6</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Moreover, it has been demonstrated that GSTT1-specific plasma cells are </w:t>
      </w:r>
      <w:r w:rsidR="005F4764" w:rsidRPr="004B39D6">
        <w:rPr>
          <w:rFonts w:ascii="Book Antiqua" w:hAnsi="Book Antiqua" w:cs="Arial"/>
          <w:sz w:val="24"/>
          <w:szCs w:val="24"/>
          <w:lang w:val="en-US"/>
        </w:rPr>
        <w:t xml:space="preserve">quickly </w:t>
      </w:r>
      <w:r w:rsidRPr="004B39D6">
        <w:rPr>
          <w:rFonts w:ascii="Book Antiqua" w:hAnsi="Book Antiqua" w:cs="Arial"/>
          <w:sz w:val="24"/>
          <w:szCs w:val="24"/>
          <w:lang w:val="en-US"/>
        </w:rPr>
        <w:t xml:space="preserve">activated when a GSTT1-positive patient receives an infusion of hematopoietic cells from an HLA-identical sensitized </w:t>
      </w:r>
      <w:proofErr w:type="gramStart"/>
      <w:r w:rsidRPr="004B39D6">
        <w:rPr>
          <w:rFonts w:ascii="Book Antiqua" w:hAnsi="Book Antiqua" w:cs="Arial"/>
          <w:sz w:val="24"/>
          <w:szCs w:val="24"/>
          <w:lang w:val="en-US"/>
        </w:rPr>
        <w:t>donor</w:t>
      </w:r>
      <w:r w:rsidRPr="004B39D6">
        <w:rPr>
          <w:rFonts w:ascii="Book Antiqua" w:hAnsi="Book Antiqua" w:cs="Arial"/>
          <w:sz w:val="24"/>
          <w:szCs w:val="24"/>
          <w:vertAlign w:val="superscript"/>
          <w:lang w:val="en-US"/>
        </w:rPr>
        <w:t>[</w:t>
      </w:r>
      <w:proofErr w:type="gramEnd"/>
      <w:r w:rsidR="007F0333" w:rsidRPr="004B39D6">
        <w:rPr>
          <w:rFonts w:ascii="Book Antiqua" w:hAnsi="Book Antiqua" w:cs="Arial"/>
          <w:sz w:val="24"/>
          <w:szCs w:val="24"/>
          <w:vertAlign w:val="superscript"/>
          <w:lang w:val="en-US"/>
        </w:rPr>
        <w:t>7</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w:t>
      </w:r>
    </w:p>
    <w:p w14:paraId="69BD7131" w14:textId="69699D93" w:rsidR="001B6E00" w:rsidRPr="004B39D6" w:rsidRDefault="001B6E00" w:rsidP="0081528B">
      <w:pPr>
        <w:snapToGrid w:val="0"/>
        <w:spacing w:after="0" w:line="360" w:lineRule="auto"/>
        <w:ind w:firstLine="708"/>
        <w:jc w:val="both"/>
        <w:rPr>
          <w:rFonts w:ascii="Book Antiqua" w:hAnsi="Book Antiqua" w:cs="Arial"/>
          <w:sz w:val="24"/>
          <w:szCs w:val="24"/>
          <w:lang w:val="en-US"/>
        </w:rPr>
      </w:pPr>
      <w:r w:rsidRPr="004B39D6">
        <w:rPr>
          <w:rFonts w:ascii="Book Antiqua" w:hAnsi="Book Antiqua" w:cs="Arial"/>
          <w:sz w:val="24"/>
          <w:szCs w:val="24"/>
          <w:lang w:val="en-US"/>
        </w:rPr>
        <w:t>The liver is a very special organ with a variety of important cell types able to function as APCs. Hepatocytes</w:t>
      </w:r>
      <w:r w:rsidR="007A325B" w:rsidRPr="004B39D6">
        <w:rPr>
          <w:rFonts w:ascii="Book Antiqua" w:hAnsi="Book Antiqua" w:cs="Arial"/>
          <w:sz w:val="24"/>
          <w:szCs w:val="24"/>
          <w:lang w:val="en-US"/>
        </w:rPr>
        <w:t xml:space="preserve">, which </w:t>
      </w:r>
      <w:r w:rsidRPr="004B39D6">
        <w:rPr>
          <w:rFonts w:ascii="Book Antiqua" w:hAnsi="Book Antiqua" w:cs="Arial"/>
          <w:sz w:val="24"/>
          <w:szCs w:val="24"/>
          <w:lang w:val="en-US"/>
        </w:rPr>
        <w:t>represent 60% of the liver cells</w:t>
      </w:r>
      <w:r w:rsidR="007A325B" w:rsidRPr="004B39D6">
        <w:rPr>
          <w:rFonts w:ascii="Book Antiqua" w:hAnsi="Book Antiqua" w:cs="Arial"/>
          <w:sz w:val="24"/>
          <w:szCs w:val="24"/>
          <w:lang w:val="en-US"/>
        </w:rPr>
        <w:t>,</w:t>
      </w:r>
      <w:r w:rsidRPr="004B39D6">
        <w:rPr>
          <w:rFonts w:ascii="Book Antiqua" w:hAnsi="Book Antiqua" w:cs="Arial"/>
          <w:sz w:val="24"/>
          <w:szCs w:val="24"/>
          <w:lang w:val="en-US"/>
        </w:rPr>
        <w:t xml:space="preserve"> express MHC class I at low levels and have the ability to serve as </w:t>
      </w:r>
      <w:r w:rsidR="00602509" w:rsidRPr="004B39D6">
        <w:rPr>
          <w:rFonts w:ascii="Book Antiqua" w:hAnsi="Book Antiqua" w:cs="Arial"/>
          <w:sz w:val="24"/>
          <w:szCs w:val="24"/>
          <w:lang w:val="en-US"/>
        </w:rPr>
        <w:t>antigen presenting cells (</w:t>
      </w:r>
      <w:r w:rsidRPr="004B39D6">
        <w:rPr>
          <w:rFonts w:ascii="Book Antiqua" w:hAnsi="Book Antiqua" w:cs="Arial"/>
          <w:sz w:val="24"/>
          <w:szCs w:val="24"/>
          <w:lang w:val="en-US"/>
        </w:rPr>
        <w:t>APCs</w:t>
      </w:r>
      <w:r w:rsidR="00602509" w:rsidRPr="004B39D6">
        <w:rPr>
          <w:rFonts w:ascii="Book Antiqua" w:hAnsi="Book Antiqua" w:cs="Arial"/>
          <w:sz w:val="24"/>
          <w:szCs w:val="24"/>
          <w:lang w:val="en-US"/>
        </w:rPr>
        <w:t>)</w:t>
      </w:r>
      <w:r w:rsidRPr="004B39D6">
        <w:rPr>
          <w:rFonts w:ascii="Book Antiqua" w:hAnsi="Book Antiqua" w:cs="Arial"/>
          <w:sz w:val="24"/>
          <w:szCs w:val="24"/>
          <w:lang w:val="en-US"/>
        </w:rPr>
        <w:t xml:space="preserve">. Furthermore, under some pathological circumstances in a pro-inflammatory environment, parenchymal cells and biliary epithelial cells can </w:t>
      </w:r>
      <w:r w:rsidRPr="004B39D6">
        <w:rPr>
          <w:rFonts w:ascii="Book Antiqua" w:hAnsi="Book Antiqua" w:cs="Arial"/>
          <w:sz w:val="24"/>
          <w:szCs w:val="24"/>
          <w:lang w:val="en-US"/>
        </w:rPr>
        <w:lastRenderedPageBreak/>
        <w:t xml:space="preserve">express MHC class II </w:t>
      </w:r>
      <w:proofErr w:type="gramStart"/>
      <w:r w:rsidRPr="004B39D6">
        <w:rPr>
          <w:rFonts w:ascii="Book Antiqua" w:hAnsi="Book Antiqua" w:cs="Arial"/>
          <w:sz w:val="24"/>
          <w:szCs w:val="24"/>
          <w:lang w:val="en-US"/>
        </w:rPr>
        <w:t>antigens</w:t>
      </w:r>
      <w:r w:rsidRPr="004B39D6">
        <w:rPr>
          <w:rFonts w:ascii="Book Antiqua" w:hAnsi="Book Antiqua" w:cs="Arial"/>
          <w:sz w:val="24"/>
          <w:szCs w:val="24"/>
          <w:vertAlign w:val="superscript"/>
          <w:lang w:val="en-US"/>
        </w:rPr>
        <w:t>[</w:t>
      </w:r>
      <w:proofErr w:type="gramEnd"/>
      <w:r w:rsidRPr="004B39D6">
        <w:rPr>
          <w:rFonts w:ascii="Book Antiqua" w:hAnsi="Book Antiqua" w:cs="Arial"/>
          <w:sz w:val="24"/>
          <w:szCs w:val="24"/>
          <w:vertAlign w:val="superscript"/>
          <w:lang w:val="en-US"/>
        </w:rPr>
        <w:t>8]</w:t>
      </w:r>
      <w:r w:rsidRPr="004B39D6">
        <w:rPr>
          <w:rFonts w:ascii="Book Antiqua" w:hAnsi="Book Antiqua" w:cs="Arial"/>
          <w:sz w:val="24"/>
          <w:szCs w:val="24"/>
          <w:lang w:val="en-US"/>
        </w:rPr>
        <w:t>. Some studies in mouse models have indicated that both CD4</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and CD8</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T cells can independently initiate hepatocyte rejection, more rapidly in the case of CD8</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w:t>
      </w:r>
      <w:r w:rsidR="006979C2" w:rsidRPr="004B39D6">
        <w:rPr>
          <w:rFonts w:ascii="Book Antiqua" w:hAnsi="Book Antiqua" w:cs="Arial"/>
          <w:sz w:val="24"/>
          <w:szCs w:val="24"/>
          <w:lang w:val="en-US"/>
        </w:rPr>
        <w:t xml:space="preserve">cells, </w:t>
      </w:r>
      <w:r w:rsidRPr="004B39D6">
        <w:rPr>
          <w:rFonts w:ascii="Book Antiqua" w:hAnsi="Book Antiqua" w:cs="Arial"/>
          <w:sz w:val="24"/>
          <w:szCs w:val="24"/>
          <w:lang w:val="en-US"/>
        </w:rPr>
        <w:t>somehow preceding the CD4</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mediated </w:t>
      </w:r>
      <w:proofErr w:type="gramStart"/>
      <w:r w:rsidRPr="004B39D6">
        <w:rPr>
          <w:rFonts w:ascii="Book Antiqua" w:hAnsi="Book Antiqua" w:cs="Arial"/>
          <w:sz w:val="24"/>
          <w:szCs w:val="24"/>
          <w:lang w:val="en-US"/>
        </w:rPr>
        <w:t>response</w:t>
      </w:r>
      <w:r w:rsidRPr="004B39D6">
        <w:rPr>
          <w:rFonts w:ascii="Book Antiqua" w:hAnsi="Book Antiqua" w:cs="Arial"/>
          <w:sz w:val="24"/>
          <w:szCs w:val="24"/>
          <w:vertAlign w:val="superscript"/>
          <w:lang w:val="en-US"/>
        </w:rPr>
        <w:t>[</w:t>
      </w:r>
      <w:proofErr w:type="gramEnd"/>
      <w:r w:rsidRPr="004B39D6">
        <w:rPr>
          <w:rFonts w:ascii="Book Antiqua" w:hAnsi="Book Antiqua" w:cs="Arial"/>
          <w:sz w:val="24"/>
          <w:szCs w:val="24"/>
          <w:vertAlign w:val="superscript"/>
          <w:lang w:val="en-US"/>
        </w:rPr>
        <w:t>9]</w:t>
      </w:r>
      <w:r w:rsidRPr="004B39D6">
        <w:rPr>
          <w:rFonts w:ascii="Book Antiqua" w:hAnsi="Book Antiqua" w:cs="Arial"/>
          <w:sz w:val="24"/>
          <w:szCs w:val="24"/>
          <w:lang w:val="en-US"/>
        </w:rPr>
        <w:t>. In humans, patients with chronic allograft failure of kidney graft</w:t>
      </w:r>
      <w:r w:rsidR="004420A3" w:rsidRPr="004B39D6">
        <w:rPr>
          <w:rFonts w:ascii="Book Antiqua" w:hAnsi="Book Antiqua" w:cs="Arial"/>
          <w:sz w:val="24"/>
          <w:szCs w:val="24"/>
          <w:lang w:val="en-US"/>
        </w:rPr>
        <w:t>s</w:t>
      </w:r>
      <w:r w:rsidRPr="004B39D6">
        <w:rPr>
          <w:rFonts w:ascii="Book Antiqua" w:hAnsi="Book Antiqua" w:cs="Arial"/>
          <w:sz w:val="24"/>
          <w:szCs w:val="24"/>
          <w:lang w:val="en-US"/>
        </w:rPr>
        <w:t xml:space="preserve"> have significantly higher frequencies of CD4</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T cells indirectly activated by allogeneic peptides when compared with controls</w:t>
      </w:r>
      <w:r w:rsidR="004420A3" w:rsidRPr="004B39D6">
        <w:rPr>
          <w:rFonts w:ascii="Book Antiqua" w:hAnsi="Book Antiqua" w:cs="Arial"/>
          <w:sz w:val="24"/>
          <w:szCs w:val="24"/>
          <w:lang w:val="en-US"/>
        </w:rPr>
        <w:t>,</w:t>
      </w:r>
      <w:r w:rsidRPr="004B39D6">
        <w:rPr>
          <w:rFonts w:ascii="Book Antiqua" w:hAnsi="Book Antiqua" w:cs="Arial"/>
          <w:sz w:val="24"/>
          <w:szCs w:val="24"/>
          <w:lang w:val="en-US"/>
        </w:rPr>
        <w:t xml:space="preserve"> whereas CD4</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T cells activated in a direct manner reduced the cytotoxic T cell </w:t>
      </w:r>
      <w:proofErr w:type="gramStart"/>
      <w:r w:rsidRPr="004B39D6">
        <w:rPr>
          <w:rFonts w:ascii="Book Antiqua" w:hAnsi="Book Antiqua" w:cs="Arial"/>
          <w:sz w:val="24"/>
          <w:szCs w:val="24"/>
          <w:lang w:val="en-US"/>
        </w:rPr>
        <w:t>response</w:t>
      </w:r>
      <w:r w:rsidRPr="004B39D6">
        <w:rPr>
          <w:rFonts w:ascii="Book Antiqua" w:hAnsi="Book Antiqua" w:cs="Arial"/>
          <w:sz w:val="24"/>
          <w:szCs w:val="24"/>
          <w:vertAlign w:val="superscript"/>
          <w:lang w:val="en-US"/>
        </w:rPr>
        <w:t>[</w:t>
      </w:r>
      <w:proofErr w:type="gramEnd"/>
      <w:r w:rsidRPr="004B39D6">
        <w:rPr>
          <w:rFonts w:ascii="Book Antiqua" w:hAnsi="Book Antiqua" w:cs="Arial"/>
          <w:sz w:val="24"/>
          <w:szCs w:val="24"/>
          <w:vertAlign w:val="superscript"/>
          <w:lang w:val="en-US"/>
        </w:rPr>
        <w:t>10]</w:t>
      </w:r>
      <w:r w:rsidRPr="004B39D6">
        <w:rPr>
          <w:rFonts w:ascii="Book Antiqua" w:hAnsi="Book Antiqua" w:cs="Arial"/>
          <w:sz w:val="24"/>
          <w:szCs w:val="24"/>
          <w:lang w:val="en-US"/>
        </w:rPr>
        <w:t xml:space="preserve">. However, there are variables such as immunosuppression therapy that can alter the immunological response in different ways. </w:t>
      </w:r>
    </w:p>
    <w:p w14:paraId="23AC593E" w14:textId="0007A0C7" w:rsidR="001B6E00" w:rsidRPr="004B39D6" w:rsidRDefault="001B6E00" w:rsidP="0081528B">
      <w:pPr>
        <w:snapToGrid w:val="0"/>
        <w:spacing w:after="0" w:line="360" w:lineRule="auto"/>
        <w:ind w:firstLine="708"/>
        <w:jc w:val="both"/>
        <w:rPr>
          <w:rFonts w:ascii="Book Antiqua" w:hAnsi="Book Antiqua" w:cs="Arial"/>
          <w:sz w:val="24"/>
          <w:szCs w:val="24"/>
          <w:lang w:val="en-US"/>
        </w:rPr>
      </w:pPr>
      <w:r w:rsidRPr="004B39D6">
        <w:rPr>
          <w:rFonts w:ascii="Book Antiqua" w:hAnsi="Book Antiqua" w:cs="Arial"/>
          <w:sz w:val="24"/>
          <w:szCs w:val="24"/>
          <w:lang w:val="en-US"/>
        </w:rPr>
        <w:t xml:space="preserve">In this </w:t>
      </w:r>
      <w:r w:rsidR="007256AF" w:rsidRPr="004B39D6">
        <w:rPr>
          <w:rFonts w:ascii="Book Antiqua" w:hAnsi="Book Antiqua" w:cs="Arial"/>
          <w:sz w:val="24"/>
          <w:szCs w:val="24"/>
          <w:lang w:val="en-US"/>
        </w:rPr>
        <w:t>study,</w:t>
      </w:r>
      <w:r w:rsidRPr="004B39D6">
        <w:rPr>
          <w:rFonts w:ascii="Book Antiqua" w:hAnsi="Book Antiqua" w:cs="Arial"/>
          <w:sz w:val="24"/>
          <w:szCs w:val="24"/>
          <w:lang w:val="en-US"/>
        </w:rPr>
        <w:t xml:space="preserve"> we aim to explore the role of T cell</w:t>
      </w:r>
      <w:r w:rsidR="00B94F1F" w:rsidRPr="004B39D6">
        <w:rPr>
          <w:rFonts w:ascii="Book Antiqua" w:hAnsi="Book Antiqua" w:cs="Arial"/>
          <w:sz w:val="24"/>
          <w:szCs w:val="24"/>
          <w:lang w:val="en-US"/>
        </w:rPr>
        <w:t>s in the context of PC-</w:t>
      </w:r>
      <w:r w:rsidRPr="004B39D6">
        <w:rPr>
          <w:rFonts w:ascii="Book Antiqua" w:hAnsi="Book Antiqua" w:cs="Arial"/>
          <w:sz w:val="24"/>
          <w:szCs w:val="24"/>
          <w:lang w:val="en-US"/>
        </w:rPr>
        <w:t>rich</w:t>
      </w:r>
      <w:r w:rsidR="00B94F1F" w:rsidRPr="004B39D6">
        <w:rPr>
          <w:rFonts w:ascii="Book Antiqua" w:hAnsi="Book Antiqua" w:cs="Arial"/>
          <w:sz w:val="24"/>
          <w:szCs w:val="24"/>
          <w:lang w:val="en-US"/>
        </w:rPr>
        <w:t xml:space="preserve"> </w:t>
      </w:r>
      <w:r w:rsidRPr="004B39D6">
        <w:rPr>
          <w:rFonts w:ascii="Book Antiqua" w:hAnsi="Book Antiqua" w:cs="Arial"/>
          <w:sz w:val="24"/>
          <w:szCs w:val="24"/>
          <w:lang w:val="en-US"/>
        </w:rPr>
        <w:t xml:space="preserve">rejection. We have compared the T cell response in PBMCs </w:t>
      </w:r>
      <w:r w:rsidR="005F4764" w:rsidRPr="004B39D6">
        <w:rPr>
          <w:rFonts w:ascii="Book Antiqua" w:hAnsi="Book Antiqua" w:cs="Arial"/>
          <w:sz w:val="24"/>
          <w:szCs w:val="24"/>
          <w:lang w:val="en-US"/>
        </w:rPr>
        <w:t>collected from</w:t>
      </w:r>
      <w:r w:rsidRPr="004B39D6">
        <w:rPr>
          <w:rFonts w:ascii="Book Antiqua" w:hAnsi="Book Antiqua" w:cs="Arial"/>
          <w:sz w:val="24"/>
          <w:szCs w:val="24"/>
          <w:lang w:val="en-US"/>
        </w:rPr>
        <w:t xml:space="preserve"> 18 GSTT1-mismatc</w:t>
      </w:r>
      <w:r w:rsidR="005F4764" w:rsidRPr="004B39D6">
        <w:rPr>
          <w:rFonts w:ascii="Book Antiqua" w:hAnsi="Book Antiqua" w:cs="Arial"/>
          <w:sz w:val="24"/>
          <w:szCs w:val="24"/>
          <w:lang w:val="en-US"/>
        </w:rPr>
        <w:t>h</w:t>
      </w:r>
      <w:r w:rsidR="002C1647" w:rsidRPr="004B39D6">
        <w:rPr>
          <w:rFonts w:ascii="Book Antiqua" w:hAnsi="Book Antiqua" w:cs="Arial"/>
          <w:sz w:val="24"/>
          <w:szCs w:val="24"/>
          <w:lang w:val="en-US"/>
        </w:rPr>
        <w:t>ed liver transplant</w:t>
      </w:r>
      <w:r w:rsidR="004420A3" w:rsidRPr="004B39D6">
        <w:rPr>
          <w:rFonts w:ascii="Book Antiqua" w:hAnsi="Book Antiqua" w:cs="Arial"/>
          <w:sz w:val="24"/>
          <w:szCs w:val="24"/>
          <w:lang w:val="en-US"/>
        </w:rPr>
        <w:t xml:space="preserve"> </w:t>
      </w:r>
      <w:r w:rsidR="002C1647" w:rsidRPr="004B39D6">
        <w:rPr>
          <w:rFonts w:ascii="Book Antiqua" w:hAnsi="Book Antiqua" w:cs="Arial"/>
          <w:sz w:val="24"/>
          <w:szCs w:val="24"/>
          <w:lang w:val="en-US"/>
        </w:rPr>
        <w:t xml:space="preserve">patients, </w:t>
      </w:r>
      <w:r w:rsidRPr="004B39D6">
        <w:rPr>
          <w:rFonts w:ascii="Book Antiqua" w:hAnsi="Book Antiqua" w:cs="Arial"/>
          <w:sz w:val="24"/>
          <w:szCs w:val="24"/>
          <w:lang w:val="en-US"/>
        </w:rPr>
        <w:t xml:space="preserve">7 of which had a diagnosis of </w:t>
      </w:r>
      <w:r w:rsidR="00B94F1F" w:rsidRPr="004B39D6">
        <w:rPr>
          <w:rFonts w:ascii="Book Antiqua" w:hAnsi="Book Antiqua" w:cs="Arial"/>
          <w:sz w:val="24"/>
          <w:szCs w:val="24"/>
          <w:lang w:val="en-US"/>
        </w:rPr>
        <w:t xml:space="preserve">PC-rich </w:t>
      </w:r>
      <w:r w:rsidRPr="004B39D6">
        <w:rPr>
          <w:rFonts w:ascii="Book Antiqua" w:hAnsi="Book Antiqua" w:cs="Arial"/>
          <w:sz w:val="24"/>
          <w:szCs w:val="24"/>
          <w:lang w:val="en-US"/>
        </w:rPr>
        <w:t>rejection</w:t>
      </w:r>
      <w:r w:rsidR="002C1647" w:rsidRPr="004B39D6">
        <w:rPr>
          <w:rFonts w:ascii="Book Antiqua" w:hAnsi="Book Antiqua" w:cs="Arial"/>
          <w:sz w:val="24"/>
          <w:szCs w:val="24"/>
          <w:lang w:val="en-US"/>
        </w:rPr>
        <w:t>,</w:t>
      </w:r>
      <w:r w:rsidR="005F4764" w:rsidRPr="004B39D6">
        <w:rPr>
          <w:rFonts w:ascii="Book Antiqua" w:hAnsi="Book Antiqua" w:cs="Arial"/>
          <w:sz w:val="24"/>
          <w:szCs w:val="24"/>
          <w:lang w:val="en-US"/>
        </w:rPr>
        <w:t xml:space="preserve"> </w:t>
      </w:r>
      <w:r w:rsidR="002C1647" w:rsidRPr="004B39D6">
        <w:rPr>
          <w:rFonts w:ascii="Book Antiqua" w:hAnsi="Book Antiqua" w:cs="Arial"/>
          <w:sz w:val="24"/>
          <w:szCs w:val="24"/>
          <w:lang w:val="en-US"/>
        </w:rPr>
        <w:t xml:space="preserve">with 4 GSTT1-matched </w:t>
      </w:r>
      <w:r w:rsidRPr="004B39D6">
        <w:rPr>
          <w:rFonts w:ascii="Book Antiqua" w:hAnsi="Book Antiqua" w:cs="Arial"/>
          <w:sz w:val="24"/>
          <w:szCs w:val="24"/>
          <w:lang w:val="en-US"/>
        </w:rPr>
        <w:t xml:space="preserve">transplanted </w:t>
      </w:r>
      <w:r w:rsidR="002C1647" w:rsidRPr="004B39D6">
        <w:rPr>
          <w:rFonts w:ascii="Book Antiqua" w:hAnsi="Book Antiqua" w:cs="Arial"/>
          <w:sz w:val="24"/>
          <w:szCs w:val="24"/>
          <w:lang w:val="en-US"/>
        </w:rPr>
        <w:t>patients</w:t>
      </w:r>
      <w:r w:rsidRPr="004B39D6">
        <w:rPr>
          <w:rFonts w:ascii="Book Antiqua" w:hAnsi="Book Antiqua" w:cs="Arial"/>
          <w:sz w:val="24"/>
          <w:szCs w:val="24"/>
          <w:lang w:val="en-US"/>
        </w:rPr>
        <w:t xml:space="preserve"> after re-stimulation </w:t>
      </w:r>
      <w:r w:rsidR="002C0304" w:rsidRPr="002C0304">
        <w:rPr>
          <w:rFonts w:ascii="Book Antiqua" w:hAnsi="Book Antiqua" w:cs="Arial"/>
          <w:i/>
          <w:sz w:val="24"/>
          <w:szCs w:val="24"/>
          <w:lang w:val="en-US"/>
        </w:rPr>
        <w:t>in vitro</w:t>
      </w:r>
      <w:r w:rsidRPr="004B39D6">
        <w:rPr>
          <w:rFonts w:ascii="Book Antiqua" w:hAnsi="Book Antiqua" w:cs="Arial"/>
          <w:sz w:val="24"/>
          <w:szCs w:val="24"/>
          <w:lang w:val="en-US"/>
        </w:rPr>
        <w:t xml:space="preserve"> with the whole set of GSTT1 peptides. In summary, we have </w:t>
      </w:r>
      <w:r w:rsidR="007F0333" w:rsidRPr="004B39D6">
        <w:rPr>
          <w:rFonts w:ascii="Book Antiqua" w:hAnsi="Book Antiqua" w:cs="Arial"/>
          <w:sz w:val="24"/>
          <w:szCs w:val="24"/>
          <w:lang w:val="en-US"/>
        </w:rPr>
        <w:t xml:space="preserve">the first </w:t>
      </w:r>
      <w:r w:rsidR="003408DB" w:rsidRPr="004B39D6">
        <w:rPr>
          <w:rFonts w:ascii="Book Antiqua" w:hAnsi="Book Antiqua" w:cs="Arial"/>
          <w:sz w:val="24"/>
          <w:szCs w:val="24"/>
          <w:lang w:val="en-US"/>
        </w:rPr>
        <w:t xml:space="preserve">evidence </w:t>
      </w:r>
      <w:r w:rsidR="007F0333" w:rsidRPr="004B39D6">
        <w:rPr>
          <w:rFonts w:ascii="Book Antiqua" w:hAnsi="Book Antiqua" w:cs="Arial"/>
          <w:sz w:val="24"/>
          <w:szCs w:val="24"/>
          <w:lang w:val="en-US"/>
        </w:rPr>
        <w:t>of</w:t>
      </w:r>
      <w:r w:rsidRPr="004B39D6">
        <w:rPr>
          <w:rFonts w:ascii="Book Antiqua" w:hAnsi="Book Antiqua" w:cs="Arial"/>
          <w:sz w:val="24"/>
          <w:szCs w:val="24"/>
          <w:lang w:val="en-US"/>
        </w:rPr>
        <w:t xml:space="preserve"> GSTT1-specific memory T cells ready to become activated after recall with the antigen</w:t>
      </w:r>
      <w:r w:rsidR="004420A3" w:rsidRPr="004B39D6">
        <w:rPr>
          <w:rFonts w:ascii="Book Antiqua" w:hAnsi="Book Antiqua" w:cs="Arial"/>
          <w:sz w:val="24"/>
          <w:szCs w:val="24"/>
          <w:lang w:val="en-US"/>
        </w:rPr>
        <w:t>,</w:t>
      </w:r>
      <w:r w:rsidRPr="004B39D6">
        <w:rPr>
          <w:rFonts w:ascii="Book Antiqua" w:hAnsi="Book Antiqua" w:cs="Arial"/>
          <w:sz w:val="24"/>
          <w:szCs w:val="24"/>
          <w:lang w:val="en-US"/>
        </w:rPr>
        <w:t xml:space="preserve"> but further studies will be needed </w:t>
      </w:r>
      <w:r w:rsidR="003408DB" w:rsidRPr="004B39D6">
        <w:rPr>
          <w:rFonts w:ascii="Book Antiqua" w:hAnsi="Book Antiqua" w:cs="Arial"/>
          <w:sz w:val="24"/>
          <w:szCs w:val="24"/>
          <w:lang w:val="en-US"/>
        </w:rPr>
        <w:t>to</w:t>
      </w:r>
      <w:r w:rsidRPr="004B39D6">
        <w:rPr>
          <w:rFonts w:ascii="Book Antiqua" w:hAnsi="Book Antiqua" w:cs="Arial"/>
          <w:sz w:val="24"/>
          <w:szCs w:val="24"/>
          <w:lang w:val="en-US"/>
        </w:rPr>
        <w:t xml:space="preserve"> test the potential role of these cells in </w:t>
      </w:r>
      <w:r w:rsidR="007F0333" w:rsidRPr="004B39D6">
        <w:rPr>
          <w:rFonts w:ascii="Book Antiqua" w:hAnsi="Book Antiqua" w:cs="Arial"/>
          <w:sz w:val="24"/>
          <w:szCs w:val="24"/>
          <w:lang w:val="en-US"/>
        </w:rPr>
        <w:t xml:space="preserve">the pathogenesis of </w:t>
      </w:r>
      <w:r w:rsidR="002C1647" w:rsidRPr="004B39D6">
        <w:rPr>
          <w:rFonts w:ascii="Book Antiqua" w:hAnsi="Book Antiqua" w:cs="Arial"/>
          <w:sz w:val="24"/>
          <w:szCs w:val="24"/>
          <w:lang w:val="en-US"/>
        </w:rPr>
        <w:t xml:space="preserve">PC-rich </w:t>
      </w:r>
      <w:r w:rsidRPr="004B39D6">
        <w:rPr>
          <w:rFonts w:ascii="Book Antiqua" w:hAnsi="Book Antiqua" w:cs="Arial"/>
          <w:sz w:val="24"/>
          <w:szCs w:val="24"/>
          <w:lang w:val="en-US"/>
        </w:rPr>
        <w:t xml:space="preserve">rejection.  </w:t>
      </w:r>
    </w:p>
    <w:p w14:paraId="25E85D57" w14:textId="77777777" w:rsidR="001B6E00" w:rsidRPr="004B39D6" w:rsidRDefault="001B6E00" w:rsidP="0081528B">
      <w:pPr>
        <w:snapToGrid w:val="0"/>
        <w:spacing w:after="0" w:line="360" w:lineRule="auto"/>
        <w:ind w:right="284" w:firstLine="708"/>
        <w:jc w:val="both"/>
        <w:rPr>
          <w:rFonts w:ascii="Book Antiqua" w:hAnsi="Book Antiqua" w:cs="Arial"/>
          <w:sz w:val="24"/>
          <w:szCs w:val="24"/>
          <w:lang w:val="en-US"/>
        </w:rPr>
      </w:pPr>
    </w:p>
    <w:p w14:paraId="5E51A6D3" w14:textId="77777777" w:rsidR="003B780A" w:rsidRPr="004B39D6" w:rsidRDefault="00A81BEE" w:rsidP="0081528B">
      <w:pPr>
        <w:snapToGrid w:val="0"/>
        <w:spacing w:after="0" w:line="360" w:lineRule="auto"/>
        <w:jc w:val="both"/>
        <w:rPr>
          <w:rFonts w:ascii="Book Antiqua" w:hAnsi="Book Antiqua" w:cs="Arial"/>
          <w:b/>
          <w:sz w:val="24"/>
          <w:szCs w:val="24"/>
          <w:lang w:val="en-US"/>
        </w:rPr>
      </w:pPr>
      <w:r w:rsidRPr="004B39D6">
        <w:rPr>
          <w:rFonts w:ascii="Book Antiqua" w:hAnsi="Book Antiqua" w:cs="Arial"/>
          <w:b/>
          <w:sz w:val="24"/>
          <w:szCs w:val="24"/>
          <w:lang w:val="en-US"/>
        </w:rPr>
        <w:t xml:space="preserve">MATERIALS AND </w:t>
      </w:r>
      <w:r w:rsidR="003B780A" w:rsidRPr="004B39D6">
        <w:rPr>
          <w:rFonts w:ascii="Book Antiqua" w:hAnsi="Book Antiqua" w:cs="Arial"/>
          <w:b/>
          <w:sz w:val="24"/>
          <w:szCs w:val="24"/>
          <w:lang w:val="en-US"/>
        </w:rPr>
        <w:t>METHODS</w:t>
      </w:r>
    </w:p>
    <w:p w14:paraId="7D79CCC8" w14:textId="77777777" w:rsidR="001D6D04" w:rsidRPr="004B39D6" w:rsidRDefault="003B780A" w:rsidP="0081528B">
      <w:pPr>
        <w:snapToGrid w:val="0"/>
        <w:spacing w:after="0" w:line="360" w:lineRule="auto"/>
        <w:jc w:val="both"/>
        <w:rPr>
          <w:rFonts w:ascii="Book Antiqua" w:hAnsi="Book Antiqua" w:cs="Arial"/>
          <w:b/>
          <w:i/>
          <w:sz w:val="24"/>
          <w:szCs w:val="24"/>
          <w:lang w:val="en-US"/>
        </w:rPr>
      </w:pPr>
      <w:r w:rsidRPr="004B39D6">
        <w:rPr>
          <w:rFonts w:ascii="Book Antiqua" w:hAnsi="Book Antiqua" w:cs="Arial"/>
          <w:b/>
          <w:i/>
          <w:sz w:val="24"/>
          <w:szCs w:val="24"/>
          <w:lang w:val="en-US"/>
        </w:rPr>
        <w:t>Patients</w:t>
      </w:r>
    </w:p>
    <w:p w14:paraId="44B21695" w14:textId="28203670" w:rsidR="003B780A" w:rsidRPr="004B39D6" w:rsidRDefault="001848D1"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t xml:space="preserve">The study group included 22 liver transplant patients, 10 females and 12 males, who </w:t>
      </w:r>
      <w:r w:rsidR="004420A3" w:rsidRPr="004B39D6">
        <w:rPr>
          <w:rFonts w:ascii="Book Antiqua" w:hAnsi="Book Antiqua" w:cs="Arial"/>
          <w:sz w:val="24"/>
          <w:szCs w:val="24"/>
          <w:lang w:val="en-US"/>
        </w:rPr>
        <w:t xml:space="preserve">had </w:t>
      </w:r>
      <w:r w:rsidRPr="004B39D6">
        <w:rPr>
          <w:rFonts w:ascii="Book Antiqua" w:hAnsi="Book Antiqua" w:cs="Arial"/>
          <w:sz w:val="24"/>
          <w:szCs w:val="24"/>
          <w:lang w:val="en-US"/>
        </w:rPr>
        <w:t>transplant</w:t>
      </w:r>
      <w:r w:rsidR="004420A3" w:rsidRPr="004B39D6">
        <w:rPr>
          <w:rFonts w:ascii="Book Antiqua" w:hAnsi="Book Antiqua" w:cs="Arial"/>
          <w:sz w:val="24"/>
          <w:szCs w:val="24"/>
          <w:lang w:val="en-US"/>
        </w:rPr>
        <w:t>s</w:t>
      </w:r>
      <w:r w:rsidRPr="004B39D6">
        <w:rPr>
          <w:rFonts w:ascii="Book Antiqua" w:hAnsi="Book Antiqua" w:cs="Arial"/>
          <w:sz w:val="24"/>
          <w:szCs w:val="24"/>
          <w:lang w:val="en-US"/>
        </w:rPr>
        <w:t xml:space="preserve"> between June 1996 and April 2011.</w:t>
      </w:r>
      <w:r w:rsidR="001D6D04" w:rsidRPr="004B39D6">
        <w:rPr>
          <w:rFonts w:ascii="Book Antiqua" w:hAnsi="Book Antiqua" w:cs="Arial"/>
          <w:sz w:val="24"/>
          <w:szCs w:val="24"/>
          <w:lang w:val="en-US"/>
        </w:rPr>
        <w:t xml:space="preserve"> </w:t>
      </w:r>
      <w:r w:rsidRPr="004B39D6">
        <w:rPr>
          <w:rFonts w:ascii="Book Antiqua" w:hAnsi="Book Antiqua" w:cs="Arial"/>
          <w:sz w:val="24"/>
          <w:szCs w:val="24"/>
          <w:lang w:val="en-US"/>
        </w:rPr>
        <w:t xml:space="preserve">Eighteen of </w:t>
      </w:r>
      <w:r w:rsidR="004420A3" w:rsidRPr="004B39D6">
        <w:rPr>
          <w:rFonts w:ascii="Book Antiqua" w:hAnsi="Book Antiqua" w:cs="Arial"/>
          <w:sz w:val="24"/>
          <w:szCs w:val="24"/>
          <w:lang w:val="en-US"/>
        </w:rPr>
        <w:t>the patients</w:t>
      </w:r>
      <w:r w:rsidR="004420A3" w:rsidRPr="004B39D6">
        <w:rPr>
          <w:rFonts w:ascii="Book Antiqua" w:hAnsi="Book Antiqua"/>
          <w:sz w:val="24"/>
          <w:szCs w:val="24"/>
          <w:lang w:val="en-US"/>
        </w:rPr>
        <w:t xml:space="preserve"> </w:t>
      </w:r>
      <w:r w:rsidR="001D6D04" w:rsidRPr="004B39D6">
        <w:rPr>
          <w:rFonts w:ascii="Book Antiqua" w:hAnsi="Book Antiqua" w:cs="Arial"/>
          <w:sz w:val="24"/>
          <w:szCs w:val="24"/>
          <w:lang w:val="en-US"/>
        </w:rPr>
        <w:t>lacked the GSTT1 gene and received a liver from a GSTT1 positive donor (rec-/don+). Consequently, all of them were candidates to develop a specific immune response against this foreign antigen.</w:t>
      </w:r>
      <w:r w:rsidR="003B780A" w:rsidRPr="004B39D6">
        <w:rPr>
          <w:rFonts w:ascii="Book Antiqua" w:hAnsi="Book Antiqua" w:cs="Arial"/>
          <w:sz w:val="24"/>
          <w:szCs w:val="24"/>
          <w:lang w:val="en-US"/>
        </w:rPr>
        <w:t xml:space="preserve"> </w:t>
      </w:r>
      <w:r w:rsidR="001D6D04" w:rsidRPr="004B39D6">
        <w:rPr>
          <w:rFonts w:ascii="Book Antiqua" w:hAnsi="Book Antiqua" w:cs="Arial"/>
          <w:sz w:val="24"/>
          <w:szCs w:val="24"/>
          <w:lang w:val="en-US"/>
        </w:rPr>
        <w:t>Four additional patients without the GSTT1 mismatch (rec+/don+) were included as a control group</w:t>
      </w:r>
      <w:r w:rsidRPr="004B39D6">
        <w:rPr>
          <w:rFonts w:ascii="Book Antiqua" w:hAnsi="Book Antiqua" w:cs="Arial"/>
          <w:sz w:val="24"/>
          <w:szCs w:val="24"/>
          <w:lang w:val="en-US"/>
        </w:rPr>
        <w:t>.</w:t>
      </w:r>
      <w:r w:rsidRPr="004B39D6">
        <w:rPr>
          <w:rFonts w:ascii="Book Antiqua" w:hAnsi="Book Antiqua"/>
          <w:sz w:val="24"/>
          <w:szCs w:val="24"/>
          <w:lang w:val="en-US"/>
        </w:rPr>
        <w:t xml:space="preserve"> </w:t>
      </w:r>
      <w:r w:rsidRPr="004B39D6">
        <w:rPr>
          <w:rFonts w:ascii="Book Antiqua" w:hAnsi="Book Antiqua" w:cs="Arial"/>
          <w:sz w:val="24"/>
          <w:szCs w:val="24"/>
          <w:lang w:val="en-US"/>
        </w:rPr>
        <w:t>Within the mismatched patients</w:t>
      </w:r>
      <w:r w:rsidR="005B673F" w:rsidRPr="004B39D6">
        <w:rPr>
          <w:rFonts w:ascii="Book Antiqua" w:hAnsi="Book Antiqua" w:cs="Arial"/>
          <w:sz w:val="24"/>
          <w:szCs w:val="24"/>
          <w:lang w:val="en-US"/>
        </w:rPr>
        <w:t>,</w:t>
      </w:r>
      <w:r w:rsidRPr="004B39D6">
        <w:rPr>
          <w:rFonts w:ascii="Book Antiqua" w:hAnsi="Book Antiqua" w:cs="Arial"/>
          <w:sz w:val="24"/>
          <w:szCs w:val="24"/>
          <w:lang w:val="en-US"/>
        </w:rPr>
        <w:t xml:space="preserve"> </w:t>
      </w:r>
      <w:r w:rsidR="00494EE6" w:rsidRPr="004B39D6">
        <w:rPr>
          <w:rFonts w:ascii="Book Antiqua" w:hAnsi="Book Antiqua" w:cs="Arial"/>
          <w:sz w:val="24"/>
          <w:szCs w:val="24"/>
          <w:lang w:val="en-US"/>
        </w:rPr>
        <w:t xml:space="preserve">we observed three different types of immune </w:t>
      </w:r>
      <w:r w:rsidR="001D6D04" w:rsidRPr="004B39D6">
        <w:rPr>
          <w:rFonts w:ascii="Book Antiqua" w:hAnsi="Book Antiqua" w:cs="Arial"/>
          <w:sz w:val="24"/>
          <w:szCs w:val="24"/>
          <w:lang w:val="en-US"/>
        </w:rPr>
        <w:t xml:space="preserve">and clinical </w:t>
      </w:r>
      <w:r w:rsidR="00494EE6" w:rsidRPr="004B39D6">
        <w:rPr>
          <w:rFonts w:ascii="Book Antiqua" w:hAnsi="Book Antiqua" w:cs="Arial"/>
          <w:sz w:val="24"/>
          <w:szCs w:val="24"/>
          <w:lang w:val="en-US"/>
        </w:rPr>
        <w:t>response</w:t>
      </w:r>
      <w:r w:rsidR="001D6D04" w:rsidRPr="004B39D6">
        <w:rPr>
          <w:rFonts w:ascii="Book Antiqua" w:hAnsi="Book Antiqua" w:cs="Arial"/>
          <w:sz w:val="24"/>
          <w:szCs w:val="24"/>
          <w:lang w:val="en-US"/>
        </w:rPr>
        <w:t>s</w:t>
      </w:r>
      <w:r w:rsidR="00494EE6" w:rsidRPr="004B39D6">
        <w:rPr>
          <w:rFonts w:ascii="Book Antiqua" w:hAnsi="Book Antiqua" w:cs="Arial"/>
          <w:sz w:val="24"/>
          <w:szCs w:val="24"/>
          <w:lang w:val="en-US"/>
        </w:rPr>
        <w:t xml:space="preserve"> regarding the GSTT1 antigen.</w:t>
      </w:r>
      <w:r w:rsidR="00506091" w:rsidRPr="004B39D6">
        <w:rPr>
          <w:rFonts w:ascii="Book Antiqua" w:hAnsi="Book Antiqua" w:cs="Arial"/>
          <w:sz w:val="24"/>
          <w:szCs w:val="24"/>
          <w:lang w:val="en-US"/>
        </w:rPr>
        <w:t xml:space="preserve"> Group 1 consisted of 7</w:t>
      </w:r>
      <w:r w:rsidR="003408DB" w:rsidRPr="004B39D6">
        <w:rPr>
          <w:rFonts w:ascii="Book Antiqua" w:hAnsi="Book Antiqua" w:cs="Arial"/>
          <w:sz w:val="24"/>
          <w:szCs w:val="24"/>
          <w:lang w:val="en-US"/>
        </w:rPr>
        <w:t xml:space="preserve"> patients who </w:t>
      </w:r>
      <w:r w:rsidR="00506091" w:rsidRPr="004B39D6">
        <w:rPr>
          <w:rFonts w:ascii="Book Antiqua" w:hAnsi="Book Antiqua" w:cs="Arial"/>
          <w:sz w:val="24"/>
          <w:szCs w:val="24"/>
          <w:lang w:val="en-US"/>
        </w:rPr>
        <w:t>produced anti-GSTT1 antibodies</w:t>
      </w:r>
      <w:r w:rsidR="0021275B" w:rsidRPr="004B39D6">
        <w:rPr>
          <w:rFonts w:ascii="Book Antiqua" w:hAnsi="Book Antiqua" w:cs="Arial"/>
          <w:sz w:val="24"/>
          <w:szCs w:val="24"/>
          <w:lang w:val="en-US"/>
        </w:rPr>
        <w:t xml:space="preserve"> and developed PC-rich </w:t>
      </w:r>
      <w:r w:rsidR="00506091" w:rsidRPr="004B39D6">
        <w:rPr>
          <w:rFonts w:ascii="Book Antiqua" w:hAnsi="Book Antiqua" w:cs="Arial"/>
          <w:sz w:val="24"/>
          <w:szCs w:val="24"/>
          <w:lang w:val="en-US"/>
        </w:rPr>
        <w:t>rejection</w:t>
      </w:r>
      <w:r w:rsidR="00497E86" w:rsidRPr="004B39D6">
        <w:rPr>
          <w:rFonts w:ascii="Book Antiqua" w:hAnsi="Book Antiqua" w:cs="Arial"/>
          <w:sz w:val="24"/>
          <w:szCs w:val="24"/>
          <w:lang w:val="en-US"/>
        </w:rPr>
        <w:t xml:space="preserve">. </w:t>
      </w:r>
      <w:r w:rsidR="00506091" w:rsidRPr="004B39D6">
        <w:rPr>
          <w:rFonts w:ascii="Book Antiqua" w:hAnsi="Book Antiqua" w:cs="Arial"/>
          <w:sz w:val="24"/>
          <w:szCs w:val="24"/>
          <w:lang w:val="en-US"/>
        </w:rPr>
        <w:t>Group 2 included 2</w:t>
      </w:r>
      <w:r w:rsidR="003408DB" w:rsidRPr="004B39D6">
        <w:rPr>
          <w:rFonts w:ascii="Book Antiqua" w:hAnsi="Book Antiqua" w:cs="Arial"/>
          <w:sz w:val="24"/>
          <w:szCs w:val="24"/>
          <w:lang w:val="en-US"/>
        </w:rPr>
        <w:t xml:space="preserve"> patients who </w:t>
      </w:r>
      <w:r w:rsidR="00506091" w:rsidRPr="004B39D6">
        <w:rPr>
          <w:rFonts w:ascii="Book Antiqua" w:hAnsi="Book Antiqua" w:cs="Arial"/>
          <w:sz w:val="24"/>
          <w:szCs w:val="24"/>
          <w:lang w:val="en-US"/>
        </w:rPr>
        <w:t xml:space="preserve">produced anti-GSTT1 antibodies but did not develop </w:t>
      </w:r>
      <w:r w:rsidR="0021275B" w:rsidRPr="004B39D6">
        <w:rPr>
          <w:rFonts w:ascii="Book Antiqua" w:hAnsi="Book Antiqua" w:cs="Arial"/>
          <w:sz w:val="24"/>
          <w:szCs w:val="24"/>
          <w:lang w:val="en-US"/>
        </w:rPr>
        <w:t xml:space="preserve">PC-rich </w:t>
      </w:r>
      <w:r w:rsidR="00506091" w:rsidRPr="004B39D6">
        <w:rPr>
          <w:rFonts w:ascii="Book Antiqua" w:hAnsi="Book Antiqua" w:cs="Arial"/>
          <w:sz w:val="24"/>
          <w:szCs w:val="24"/>
          <w:lang w:val="en-US"/>
        </w:rPr>
        <w:t>rejection.</w:t>
      </w:r>
      <w:r w:rsidR="00497E86" w:rsidRPr="004B39D6">
        <w:rPr>
          <w:rFonts w:ascii="Book Antiqua" w:hAnsi="Book Antiqua" w:cs="Arial"/>
          <w:sz w:val="24"/>
          <w:szCs w:val="24"/>
          <w:lang w:val="en-US"/>
        </w:rPr>
        <w:t xml:space="preserve"> </w:t>
      </w:r>
      <w:r w:rsidR="00506091" w:rsidRPr="004B39D6">
        <w:rPr>
          <w:rFonts w:ascii="Book Antiqua" w:hAnsi="Book Antiqua" w:cs="Arial"/>
          <w:sz w:val="24"/>
          <w:szCs w:val="24"/>
          <w:lang w:val="en-US"/>
        </w:rPr>
        <w:t>Group 3 included 9</w:t>
      </w:r>
      <w:r w:rsidR="003408DB" w:rsidRPr="004B39D6">
        <w:rPr>
          <w:rFonts w:ascii="Book Antiqua" w:hAnsi="Book Antiqua" w:cs="Arial"/>
          <w:sz w:val="24"/>
          <w:szCs w:val="24"/>
          <w:lang w:val="en-US"/>
        </w:rPr>
        <w:t xml:space="preserve"> patients who </w:t>
      </w:r>
      <w:r w:rsidR="00506091" w:rsidRPr="004B39D6">
        <w:rPr>
          <w:rFonts w:ascii="Book Antiqua" w:hAnsi="Book Antiqua" w:cs="Arial"/>
          <w:sz w:val="24"/>
          <w:szCs w:val="24"/>
          <w:lang w:val="en-US"/>
        </w:rPr>
        <w:t>did not p</w:t>
      </w:r>
      <w:r w:rsidR="00494EE6" w:rsidRPr="004B39D6">
        <w:rPr>
          <w:rFonts w:ascii="Book Antiqua" w:hAnsi="Book Antiqua" w:cs="Arial"/>
          <w:sz w:val="24"/>
          <w:szCs w:val="24"/>
          <w:lang w:val="en-US"/>
        </w:rPr>
        <w:t>roduce</w:t>
      </w:r>
      <w:r w:rsidR="00506091" w:rsidRPr="004B39D6">
        <w:rPr>
          <w:rFonts w:ascii="Book Antiqua" w:hAnsi="Book Antiqua" w:cs="Arial"/>
          <w:sz w:val="24"/>
          <w:szCs w:val="24"/>
          <w:lang w:val="en-US"/>
        </w:rPr>
        <w:t xml:space="preserve"> anti-GSTT1 antibodies </w:t>
      </w:r>
      <w:r w:rsidR="00497E86" w:rsidRPr="004B39D6">
        <w:rPr>
          <w:rFonts w:ascii="Book Antiqua" w:hAnsi="Book Antiqua" w:cs="Arial"/>
          <w:sz w:val="24"/>
          <w:szCs w:val="24"/>
          <w:lang w:val="en-US"/>
        </w:rPr>
        <w:t>(</w:t>
      </w:r>
      <w:r w:rsidR="005B673F" w:rsidRPr="004B39D6">
        <w:rPr>
          <w:rFonts w:ascii="Book Antiqua" w:hAnsi="Book Antiqua" w:cs="Arial"/>
          <w:sz w:val="24"/>
          <w:szCs w:val="24"/>
          <w:lang w:val="en-US"/>
        </w:rPr>
        <w:t xml:space="preserve">which </w:t>
      </w:r>
      <w:r w:rsidR="00506091" w:rsidRPr="004B39D6">
        <w:rPr>
          <w:rFonts w:ascii="Book Antiqua" w:hAnsi="Book Antiqua" w:cs="Arial"/>
          <w:sz w:val="24"/>
          <w:szCs w:val="24"/>
          <w:lang w:val="en-US"/>
        </w:rPr>
        <w:t>always precede clinical mani</w:t>
      </w:r>
      <w:r w:rsidR="00497E86" w:rsidRPr="004B39D6">
        <w:rPr>
          <w:rFonts w:ascii="Book Antiqua" w:hAnsi="Book Antiqua" w:cs="Arial"/>
          <w:sz w:val="24"/>
          <w:szCs w:val="24"/>
          <w:lang w:val="en-US"/>
        </w:rPr>
        <w:t>festations)</w:t>
      </w:r>
      <w:r w:rsidR="00506091" w:rsidRPr="004B39D6">
        <w:rPr>
          <w:rFonts w:ascii="Book Antiqua" w:hAnsi="Book Antiqua" w:cs="Arial"/>
          <w:sz w:val="24"/>
          <w:szCs w:val="24"/>
          <w:lang w:val="en-US"/>
        </w:rPr>
        <w:t xml:space="preserve"> </w:t>
      </w:r>
      <w:r w:rsidR="005B673F" w:rsidRPr="004B39D6">
        <w:rPr>
          <w:rFonts w:ascii="Book Antiqua" w:hAnsi="Book Antiqua" w:cs="Arial"/>
          <w:sz w:val="24"/>
          <w:szCs w:val="24"/>
          <w:lang w:val="en-US"/>
        </w:rPr>
        <w:t xml:space="preserve">and </w:t>
      </w:r>
      <w:r w:rsidR="00506091" w:rsidRPr="004B39D6">
        <w:rPr>
          <w:rFonts w:ascii="Book Antiqua" w:hAnsi="Book Antiqua" w:cs="Arial"/>
          <w:sz w:val="24"/>
          <w:szCs w:val="24"/>
          <w:lang w:val="en-US"/>
        </w:rPr>
        <w:t xml:space="preserve">consequently did not develop the </w:t>
      </w:r>
      <w:r w:rsidR="00506091" w:rsidRPr="004B39D6">
        <w:rPr>
          <w:rFonts w:ascii="Book Antiqua" w:hAnsi="Book Antiqua" w:cs="Arial"/>
          <w:sz w:val="24"/>
          <w:szCs w:val="24"/>
          <w:lang w:val="en-US"/>
        </w:rPr>
        <w:lastRenderedPageBreak/>
        <w:t xml:space="preserve">disease. </w:t>
      </w:r>
      <w:r w:rsidR="003B780A" w:rsidRPr="004B39D6">
        <w:rPr>
          <w:rFonts w:ascii="Book Antiqua" w:hAnsi="Book Antiqua" w:cs="Arial"/>
          <w:sz w:val="24"/>
          <w:szCs w:val="24"/>
          <w:lang w:val="en-US"/>
        </w:rPr>
        <w:t>Written informed consent was obtained from all</w:t>
      </w:r>
      <w:r w:rsidR="005B673F" w:rsidRPr="004B39D6">
        <w:rPr>
          <w:rFonts w:ascii="Book Antiqua" w:hAnsi="Book Antiqua" w:cs="Arial"/>
          <w:sz w:val="24"/>
          <w:szCs w:val="24"/>
          <w:lang w:val="en-US"/>
        </w:rPr>
        <w:t xml:space="preserve"> of</w:t>
      </w:r>
      <w:r w:rsidR="003B780A" w:rsidRPr="004B39D6">
        <w:rPr>
          <w:rFonts w:ascii="Book Antiqua" w:hAnsi="Book Antiqua" w:cs="Arial"/>
          <w:sz w:val="24"/>
          <w:szCs w:val="24"/>
          <w:lang w:val="en-US"/>
        </w:rPr>
        <w:t xml:space="preserve"> the participants</w:t>
      </w:r>
      <w:r w:rsidR="005B673F" w:rsidRPr="004B39D6">
        <w:rPr>
          <w:rFonts w:ascii="Book Antiqua" w:hAnsi="Book Antiqua" w:cs="Arial"/>
          <w:sz w:val="24"/>
          <w:szCs w:val="24"/>
          <w:lang w:val="en-US"/>
        </w:rPr>
        <w:t>,</w:t>
      </w:r>
      <w:r w:rsidR="003B780A" w:rsidRPr="004B39D6">
        <w:rPr>
          <w:rFonts w:ascii="Book Antiqua" w:hAnsi="Book Antiqua" w:cs="Arial"/>
          <w:sz w:val="24"/>
          <w:szCs w:val="24"/>
          <w:lang w:val="en-US"/>
        </w:rPr>
        <w:t xml:space="preserve"> and the procedures were in accordance with the Helsinki Declaration. The study protocol was approved by the Ethics Committee of </w:t>
      </w:r>
      <w:r w:rsidR="005B673F" w:rsidRPr="004B39D6">
        <w:rPr>
          <w:rFonts w:ascii="Book Antiqua" w:hAnsi="Book Antiqua" w:cs="Arial"/>
          <w:sz w:val="24"/>
          <w:szCs w:val="24"/>
          <w:lang w:val="en-US"/>
        </w:rPr>
        <w:t xml:space="preserve">the </w:t>
      </w:r>
      <w:r w:rsidR="000B3091" w:rsidRPr="004B39D6">
        <w:rPr>
          <w:rFonts w:ascii="Book Antiqua" w:hAnsi="Book Antiqua" w:cs="Arial"/>
          <w:sz w:val="24"/>
          <w:szCs w:val="24"/>
          <w:lang w:val="en-US"/>
        </w:rPr>
        <w:t xml:space="preserve">University </w:t>
      </w:r>
      <w:r w:rsidR="003B780A" w:rsidRPr="004B39D6">
        <w:rPr>
          <w:rFonts w:ascii="Book Antiqua" w:hAnsi="Book Antiqua" w:cs="Arial"/>
          <w:sz w:val="24"/>
          <w:szCs w:val="24"/>
          <w:lang w:val="en-US"/>
        </w:rPr>
        <w:t>Hospit</w:t>
      </w:r>
      <w:r w:rsidR="00A3161C" w:rsidRPr="004B39D6">
        <w:rPr>
          <w:rFonts w:ascii="Book Antiqua" w:hAnsi="Book Antiqua" w:cs="Arial"/>
          <w:sz w:val="24"/>
          <w:szCs w:val="24"/>
          <w:lang w:val="en-US"/>
        </w:rPr>
        <w:t xml:space="preserve">al </w:t>
      </w:r>
      <w:proofErr w:type="spellStart"/>
      <w:r w:rsidR="00A3161C" w:rsidRPr="004B39D6">
        <w:rPr>
          <w:rFonts w:ascii="Book Antiqua" w:hAnsi="Book Antiqua" w:cs="Arial"/>
          <w:sz w:val="24"/>
          <w:szCs w:val="24"/>
          <w:lang w:val="en-US"/>
        </w:rPr>
        <w:t>Virgen</w:t>
      </w:r>
      <w:proofErr w:type="spellEnd"/>
      <w:r w:rsidR="00A3161C" w:rsidRPr="004B39D6">
        <w:rPr>
          <w:rFonts w:ascii="Book Antiqua" w:hAnsi="Book Antiqua" w:cs="Arial"/>
          <w:sz w:val="24"/>
          <w:szCs w:val="24"/>
          <w:lang w:val="en-US"/>
        </w:rPr>
        <w:t xml:space="preserve"> del </w:t>
      </w:r>
      <w:proofErr w:type="spellStart"/>
      <w:r w:rsidR="00A3161C" w:rsidRPr="004B39D6">
        <w:rPr>
          <w:rFonts w:ascii="Book Antiqua" w:hAnsi="Book Antiqua" w:cs="Arial"/>
          <w:sz w:val="24"/>
          <w:szCs w:val="24"/>
          <w:lang w:val="en-US"/>
        </w:rPr>
        <w:t>Rocí</w:t>
      </w:r>
      <w:r w:rsidR="003B780A" w:rsidRPr="004B39D6">
        <w:rPr>
          <w:rFonts w:ascii="Book Antiqua" w:hAnsi="Book Antiqua" w:cs="Arial"/>
          <w:sz w:val="24"/>
          <w:szCs w:val="24"/>
          <w:lang w:val="en-US"/>
        </w:rPr>
        <w:t>o</w:t>
      </w:r>
      <w:proofErr w:type="spellEnd"/>
      <w:r w:rsidR="00886DD0" w:rsidRPr="004B39D6">
        <w:rPr>
          <w:rFonts w:ascii="Book Antiqua" w:hAnsi="Book Antiqua" w:cs="Arial"/>
          <w:sz w:val="24"/>
          <w:szCs w:val="24"/>
          <w:lang w:val="en-US"/>
        </w:rPr>
        <w:t>, Seville, Spain</w:t>
      </w:r>
      <w:r w:rsidR="003B780A" w:rsidRPr="004B39D6">
        <w:rPr>
          <w:rFonts w:ascii="Book Antiqua" w:hAnsi="Book Antiqua" w:cs="Arial"/>
          <w:sz w:val="24"/>
          <w:szCs w:val="24"/>
          <w:lang w:val="en-US"/>
        </w:rPr>
        <w:t xml:space="preserve">. </w:t>
      </w:r>
      <w:r w:rsidR="00A72D9E" w:rsidRPr="004B39D6">
        <w:rPr>
          <w:rFonts w:ascii="Book Antiqua" w:hAnsi="Book Antiqua" w:cs="Arial"/>
          <w:sz w:val="24"/>
          <w:szCs w:val="24"/>
          <w:lang w:val="en-US"/>
        </w:rPr>
        <w:t>Patient c</w:t>
      </w:r>
      <w:r w:rsidR="003B780A" w:rsidRPr="004B39D6">
        <w:rPr>
          <w:rFonts w:ascii="Book Antiqua" w:hAnsi="Book Antiqua" w:cs="Arial"/>
          <w:sz w:val="24"/>
          <w:szCs w:val="24"/>
          <w:lang w:val="en-US"/>
        </w:rPr>
        <w:t>haracteristics are de</w:t>
      </w:r>
      <w:r w:rsidR="00A72D9E" w:rsidRPr="004B39D6">
        <w:rPr>
          <w:rFonts w:ascii="Book Antiqua" w:hAnsi="Book Antiqua" w:cs="Arial"/>
          <w:sz w:val="24"/>
          <w:szCs w:val="24"/>
          <w:lang w:val="en-US"/>
        </w:rPr>
        <w:t>scrib</w:t>
      </w:r>
      <w:r w:rsidR="003B780A" w:rsidRPr="004B39D6">
        <w:rPr>
          <w:rFonts w:ascii="Book Antiqua" w:hAnsi="Book Antiqua" w:cs="Arial"/>
          <w:sz w:val="24"/>
          <w:szCs w:val="24"/>
          <w:lang w:val="en-US"/>
        </w:rPr>
        <w:t xml:space="preserve">ed in Table 1. Baseline immunosuppression was cyclosporine in 13 cases and </w:t>
      </w:r>
      <w:proofErr w:type="spellStart"/>
      <w:r w:rsidR="003B780A" w:rsidRPr="004B39D6">
        <w:rPr>
          <w:rFonts w:ascii="Book Antiqua" w:hAnsi="Book Antiqua" w:cs="Arial"/>
          <w:sz w:val="24"/>
          <w:szCs w:val="24"/>
          <w:lang w:val="en-US"/>
        </w:rPr>
        <w:t>tacrolimus</w:t>
      </w:r>
      <w:proofErr w:type="spellEnd"/>
      <w:r w:rsidR="003B780A" w:rsidRPr="004B39D6">
        <w:rPr>
          <w:rFonts w:ascii="Book Antiqua" w:hAnsi="Book Antiqua" w:cs="Arial"/>
          <w:sz w:val="24"/>
          <w:szCs w:val="24"/>
          <w:lang w:val="en-US"/>
        </w:rPr>
        <w:t xml:space="preserve"> in 9 cases, either alone or combined with </w:t>
      </w:r>
      <w:proofErr w:type="spellStart"/>
      <w:r w:rsidR="003B780A" w:rsidRPr="004B39D6">
        <w:rPr>
          <w:rFonts w:ascii="Book Antiqua" w:hAnsi="Book Antiqua" w:cs="Arial"/>
          <w:sz w:val="24"/>
          <w:szCs w:val="24"/>
          <w:lang w:val="en-US"/>
        </w:rPr>
        <w:t>mycophenolate</w:t>
      </w:r>
      <w:proofErr w:type="spellEnd"/>
      <w:r w:rsidR="003B780A" w:rsidRPr="004B39D6">
        <w:rPr>
          <w:rFonts w:ascii="Book Antiqua" w:hAnsi="Book Antiqua" w:cs="Arial"/>
          <w:sz w:val="24"/>
          <w:szCs w:val="24"/>
          <w:lang w:val="en-US"/>
        </w:rPr>
        <w:t xml:space="preserve"> </w:t>
      </w:r>
      <w:proofErr w:type="spellStart"/>
      <w:r w:rsidR="002607EA" w:rsidRPr="004B39D6">
        <w:rPr>
          <w:rFonts w:ascii="Book Antiqua" w:hAnsi="Book Antiqua" w:cs="Arial"/>
          <w:sz w:val="24"/>
          <w:szCs w:val="24"/>
          <w:lang w:val="en-US"/>
        </w:rPr>
        <w:t>mofetil</w:t>
      </w:r>
      <w:proofErr w:type="spellEnd"/>
      <w:r w:rsidR="002607EA" w:rsidRPr="004B39D6">
        <w:rPr>
          <w:rFonts w:ascii="Book Antiqua" w:hAnsi="Book Antiqua" w:cs="Arial"/>
          <w:sz w:val="24"/>
          <w:szCs w:val="24"/>
          <w:lang w:val="en-US"/>
        </w:rPr>
        <w:t xml:space="preserve"> </w:t>
      </w:r>
      <w:r w:rsidR="003B780A" w:rsidRPr="004B39D6">
        <w:rPr>
          <w:rFonts w:ascii="Book Antiqua" w:hAnsi="Book Antiqua" w:cs="Arial"/>
          <w:sz w:val="24"/>
          <w:szCs w:val="24"/>
          <w:lang w:val="en-US"/>
        </w:rPr>
        <w:t>and steroids during the first months. Cells were obtained at a mean time of 6.68 years after the transplant (1-16)</w:t>
      </w:r>
      <w:r w:rsidR="002607EA" w:rsidRPr="004B39D6">
        <w:rPr>
          <w:rFonts w:ascii="Book Antiqua" w:hAnsi="Book Antiqua" w:cs="Arial"/>
          <w:sz w:val="24"/>
          <w:szCs w:val="24"/>
          <w:lang w:val="en-US"/>
        </w:rPr>
        <w:t>. C</w:t>
      </w:r>
      <w:r w:rsidR="003B780A" w:rsidRPr="004B39D6">
        <w:rPr>
          <w:rFonts w:ascii="Book Antiqua" w:hAnsi="Book Antiqua" w:cs="Arial"/>
          <w:sz w:val="24"/>
          <w:szCs w:val="24"/>
          <w:lang w:val="en-US"/>
        </w:rPr>
        <w:t>hanges in the immunosuppression therapy at the time</w:t>
      </w:r>
      <w:r w:rsidR="002607EA" w:rsidRPr="004B39D6">
        <w:rPr>
          <w:rFonts w:ascii="Book Antiqua" w:hAnsi="Book Antiqua" w:cs="Arial"/>
          <w:sz w:val="24"/>
          <w:szCs w:val="24"/>
          <w:lang w:val="en-US"/>
        </w:rPr>
        <w:t xml:space="preserve"> of cell extraction</w:t>
      </w:r>
      <w:r w:rsidR="003B780A" w:rsidRPr="004B39D6">
        <w:rPr>
          <w:rFonts w:ascii="Book Antiqua" w:hAnsi="Book Antiqua" w:cs="Arial"/>
          <w:sz w:val="24"/>
          <w:szCs w:val="24"/>
          <w:lang w:val="en-US"/>
        </w:rPr>
        <w:t xml:space="preserve"> are described in Table 1. Six of the patients with </w:t>
      </w:r>
      <w:r w:rsidR="0021275B" w:rsidRPr="004B39D6">
        <w:rPr>
          <w:rFonts w:ascii="Book Antiqua" w:hAnsi="Book Antiqua" w:cs="Arial"/>
          <w:sz w:val="24"/>
          <w:szCs w:val="24"/>
          <w:lang w:val="en-US"/>
        </w:rPr>
        <w:t xml:space="preserve">PC-rich </w:t>
      </w:r>
      <w:r w:rsidR="00A3161C" w:rsidRPr="004B39D6">
        <w:rPr>
          <w:rFonts w:ascii="Book Antiqua" w:hAnsi="Book Antiqua" w:cs="Arial"/>
          <w:sz w:val="24"/>
          <w:szCs w:val="24"/>
          <w:lang w:val="en-US"/>
        </w:rPr>
        <w:t>rejection</w:t>
      </w:r>
      <w:r w:rsidR="00A3161C" w:rsidRPr="004B39D6">
        <w:rPr>
          <w:rFonts w:ascii="Book Antiqua" w:hAnsi="Book Antiqua" w:cs="Arial"/>
          <w:i/>
          <w:sz w:val="24"/>
          <w:szCs w:val="24"/>
          <w:lang w:val="en-US"/>
        </w:rPr>
        <w:t xml:space="preserve"> </w:t>
      </w:r>
      <w:r w:rsidR="003B780A" w:rsidRPr="004B39D6">
        <w:rPr>
          <w:rFonts w:ascii="Book Antiqua" w:hAnsi="Book Antiqua" w:cs="Arial"/>
          <w:sz w:val="24"/>
          <w:szCs w:val="24"/>
          <w:lang w:val="en-US"/>
        </w:rPr>
        <w:t>were also receiving predn</w:t>
      </w:r>
      <w:r w:rsidR="00A3161C" w:rsidRPr="004B39D6">
        <w:rPr>
          <w:rFonts w:ascii="Book Antiqua" w:hAnsi="Book Antiqua" w:cs="Arial"/>
          <w:sz w:val="24"/>
          <w:szCs w:val="24"/>
          <w:lang w:val="en-US"/>
        </w:rPr>
        <w:t xml:space="preserve">isone as </w:t>
      </w:r>
      <w:r w:rsidR="000307AB" w:rsidRPr="004B39D6">
        <w:rPr>
          <w:rFonts w:ascii="Book Antiqua" w:hAnsi="Book Antiqua" w:cs="Arial"/>
          <w:sz w:val="24"/>
          <w:szCs w:val="24"/>
          <w:lang w:val="en-US"/>
        </w:rPr>
        <w:t xml:space="preserve">a </w:t>
      </w:r>
      <w:r w:rsidR="00A3161C" w:rsidRPr="004B39D6">
        <w:rPr>
          <w:rFonts w:ascii="Book Antiqua" w:hAnsi="Book Antiqua" w:cs="Arial"/>
          <w:sz w:val="24"/>
          <w:szCs w:val="24"/>
          <w:lang w:val="en-US"/>
        </w:rPr>
        <w:t>specific treatment</w:t>
      </w:r>
      <w:r w:rsidR="000307AB" w:rsidRPr="004B39D6">
        <w:rPr>
          <w:rFonts w:ascii="Book Antiqua" w:hAnsi="Book Antiqua" w:cs="Arial"/>
          <w:sz w:val="24"/>
          <w:szCs w:val="24"/>
          <w:lang w:val="en-US"/>
        </w:rPr>
        <w:t>,</w:t>
      </w:r>
      <w:r w:rsidR="00A3161C" w:rsidRPr="004B39D6">
        <w:rPr>
          <w:rFonts w:ascii="Book Antiqua" w:hAnsi="Book Antiqua" w:cs="Arial"/>
          <w:sz w:val="24"/>
          <w:szCs w:val="24"/>
          <w:lang w:val="en-US"/>
        </w:rPr>
        <w:t xml:space="preserve"> and one patient </w:t>
      </w:r>
      <w:r w:rsidR="003B780A" w:rsidRPr="004B39D6">
        <w:rPr>
          <w:rFonts w:ascii="Book Antiqua" w:hAnsi="Book Antiqua" w:cs="Arial"/>
          <w:sz w:val="24"/>
          <w:szCs w:val="24"/>
          <w:lang w:val="en-US"/>
        </w:rPr>
        <w:t xml:space="preserve">was not adequately diagnosed </w:t>
      </w:r>
      <w:r w:rsidR="00494EE6" w:rsidRPr="004B39D6">
        <w:rPr>
          <w:rFonts w:ascii="Book Antiqua" w:hAnsi="Book Antiqua" w:cs="Arial"/>
          <w:sz w:val="24"/>
          <w:szCs w:val="24"/>
          <w:lang w:val="en-US"/>
        </w:rPr>
        <w:t xml:space="preserve">and </w:t>
      </w:r>
      <w:r w:rsidR="003B780A" w:rsidRPr="004B39D6">
        <w:rPr>
          <w:rFonts w:ascii="Book Antiqua" w:hAnsi="Book Antiqua" w:cs="Arial"/>
          <w:sz w:val="24"/>
          <w:szCs w:val="24"/>
          <w:lang w:val="en-US"/>
        </w:rPr>
        <w:t xml:space="preserve">died in 2014. </w:t>
      </w:r>
    </w:p>
    <w:p w14:paraId="7F192AC4" w14:textId="77777777" w:rsidR="003B780A" w:rsidRPr="004B39D6" w:rsidRDefault="003B780A" w:rsidP="0081528B">
      <w:pPr>
        <w:snapToGrid w:val="0"/>
        <w:spacing w:after="0" w:line="360" w:lineRule="auto"/>
        <w:jc w:val="both"/>
        <w:rPr>
          <w:rFonts w:ascii="Book Antiqua" w:hAnsi="Book Antiqua" w:cs="Arial"/>
          <w:sz w:val="24"/>
          <w:szCs w:val="24"/>
          <w:lang w:val="en-US"/>
        </w:rPr>
      </w:pPr>
    </w:p>
    <w:p w14:paraId="038A9CD7" w14:textId="77777777" w:rsidR="003B780A" w:rsidRPr="004B39D6" w:rsidRDefault="003B780A" w:rsidP="0081528B">
      <w:pPr>
        <w:snapToGrid w:val="0"/>
        <w:spacing w:after="0" w:line="360" w:lineRule="auto"/>
        <w:jc w:val="both"/>
        <w:rPr>
          <w:rFonts w:ascii="Book Antiqua" w:hAnsi="Book Antiqua" w:cs="Arial"/>
          <w:b/>
          <w:i/>
          <w:sz w:val="24"/>
          <w:szCs w:val="24"/>
          <w:lang w:val="en-US"/>
        </w:rPr>
      </w:pPr>
      <w:r w:rsidRPr="004B39D6">
        <w:rPr>
          <w:rFonts w:ascii="Book Antiqua" w:hAnsi="Book Antiqua" w:cs="Arial"/>
          <w:b/>
          <w:i/>
          <w:sz w:val="24"/>
          <w:szCs w:val="24"/>
          <w:lang w:val="en-US"/>
        </w:rPr>
        <w:t>GSTT1 genotyping</w:t>
      </w:r>
    </w:p>
    <w:p w14:paraId="77AF8C7D" w14:textId="03E6793A" w:rsidR="003B780A" w:rsidRPr="004B39D6" w:rsidRDefault="003B780A" w:rsidP="0081528B">
      <w:pPr>
        <w:autoSpaceDE w:val="0"/>
        <w:autoSpaceDN w:val="0"/>
        <w:adjustRightInd w:val="0"/>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t>Peripheral blood samples from the patients and their donors were collected</w:t>
      </w:r>
      <w:r w:rsidR="000307AB" w:rsidRPr="004B39D6">
        <w:rPr>
          <w:rFonts w:ascii="Book Antiqua" w:hAnsi="Book Antiqua" w:cs="Arial"/>
          <w:sz w:val="24"/>
          <w:szCs w:val="24"/>
          <w:lang w:val="en-US"/>
        </w:rPr>
        <w:t>,</w:t>
      </w:r>
      <w:r w:rsidRPr="004B39D6">
        <w:rPr>
          <w:rFonts w:ascii="Book Antiqua" w:hAnsi="Book Antiqua" w:cs="Arial"/>
          <w:sz w:val="24"/>
          <w:szCs w:val="24"/>
          <w:lang w:val="en-US"/>
        </w:rPr>
        <w:t xml:space="preserve"> and genomic DNA was purified using the </w:t>
      </w:r>
      <w:proofErr w:type="spellStart"/>
      <w:r w:rsidRPr="004B39D6">
        <w:rPr>
          <w:rFonts w:ascii="Book Antiqua" w:hAnsi="Book Antiqua" w:cs="Arial"/>
          <w:sz w:val="24"/>
          <w:szCs w:val="24"/>
          <w:lang w:val="en-US"/>
        </w:rPr>
        <w:t>QIAmp</w:t>
      </w:r>
      <w:proofErr w:type="spellEnd"/>
      <w:r w:rsidRPr="004B39D6">
        <w:rPr>
          <w:rFonts w:ascii="Book Antiqua" w:hAnsi="Book Antiqua" w:cs="Arial"/>
          <w:sz w:val="24"/>
          <w:szCs w:val="24"/>
          <w:lang w:val="en-US"/>
        </w:rPr>
        <w:t xml:space="preserve"> DNA mini kit (</w:t>
      </w:r>
      <w:proofErr w:type="spellStart"/>
      <w:r w:rsidRPr="004B39D6">
        <w:rPr>
          <w:rFonts w:ascii="Book Antiqua" w:hAnsi="Book Antiqua" w:cs="Arial"/>
          <w:sz w:val="24"/>
          <w:szCs w:val="24"/>
          <w:lang w:val="en-US"/>
        </w:rPr>
        <w:t>Qiagen</w:t>
      </w:r>
      <w:proofErr w:type="spellEnd"/>
      <w:r w:rsidRPr="004B39D6">
        <w:rPr>
          <w:rFonts w:ascii="Book Antiqua" w:hAnsi="Book Antiqua" w:cs="Arial"/>
          <w:sz w:val="24"/>
          <w:szCs w:val="24"/>
          <w:lang w:val="en-US"/>
        </w:rPr>
        <w:t>, Hilden, Germany) according to the manufacturer’s protocol.</w:t>
      </w:r>
      <w:r w:rsidRPr="004B39D6">
        <w:rPr>
          <w:rFonts w:ascii="Book Antiqua" w:hAnsi="Book Antiqua" w:cs="Arial"/>
          <w:color w:val="000000"/>
          <w:sz w:val="24"/>
          <w:szCs w:val="24"/>
          <w:lang w:val="en-US"/>
        </w:rPr>
        <w:t xml:space="preserve"> Primers and conditions for the GSTT1 PCR reaction </w:t>
      </w:r>
      <w:r w:rsidRPr="004B39D6">
        <w:rPr>
          <w:rFonts w:ascii="Book Antiqua" w:hAnsi="Book Antiqua" w:cs="Arial"/>
          <w:sz w:val="24"/>
          <w:szCs w:val="24"/>
          <w:lang w:val="en-US"/>
        </w:rPr>
        <w:t>have been</w:t>
      </w:r>
      <w:r w:rsidR="00412682">
        <w:rPr>
          <w:rFonts w:ascii="Book Antiqua" w:hAnsi="Book Antiqua" w:cs="Arial"/>
          <w:sz w:val="24"/>
          <w:szCs w:val="24"/>
          <w:lang w:val="en-US"/>
        </w:rPr>
        <w:t xml:space="preserve"> described in detail </w:t>
      </w:r>
      <w:proofErr w:type="gramStart"/>
      <w:r w:rsidR="00412682">
        <w:rPr>
          <w:rFonts w:ascii="Book Antiqua" w:hAnsi="Book Antiqua" w:cs="Arial"/>
          <w:sz w:val="24"/>
          <w:szCs w:val="24"/>
          <w:lang w:val="en-US"/>
        </w:rPr>
        <w:t>elsewhere</w:t>
      </w:r>
      <w:r w:rsidR="00D4349C" w:rsidRPr="004B39D6">
        <w:rPr>
          <w:rFonts w:ascii="Book Antiqua" w:hAnsi="Book Antiqua" w:cs="Arial"/>
          <w:sz w:val="24"/>
          <w:szCs w:val="24"/>
          <w:vertAlign w:val="superscript"/>
          <w:lang w:val="en-US"/>
        </w:rPr>
        <w:t>[</w:t>
      </w:r>
      <w:proofErr w:type="gramEnd"/>
      <w:r w:rsidR="00551E75" w:rsidRPr="004B39D6">
        <w:rPr>
          <w:rFonts w:ascii="Book Antiqua" w:hAnsi="Book Antiqua" w:cs="Arial"/>
          <w:sz w:val="24"/>
          <w:szCs w:val="24"/>
          <w:vertAlign w:val="superscript"/>
          <w:lang w:val="en-US"/>
        </w:rPr>
        <w:t>11</w:t>
      </w:r>
      <w:r w:rsidR="00D4349C"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w:t>
      </w:r>
    </w:p>
    <w:p w14:paraId="24AD93F1" w14:textId="77777777" w:rsidR="003B780A" w:rsidRPr="004B39D6" w:rsidRDefault="003B780A" w:rsidP="0081528B">
      <w:pPr>
        <w:autoSpaceDE w:val="0"/>
        <w:autoSpaceDN w:val="0"/>
        <w:adjustRightInd w:val="0"/>
        <w:snapToGrid w:val="0"/>
        <w:spacing w:after="0" w:line="360" w:lineRule="auto"/>
        <w:ind w:firstLine="708"/>
        <w:jc w:val="both"/>
        <w:rPr>
          <w:rFonts w:ascii="Book Antiqua" w:hAnsi="Book Antiqua" w:cs="Arial"/>
          <w:sz w:val="24"/>
          <w:szCs w:val="24"/>
          <w:lang w:val="en-US"/>
        </w:rPr>
      </w:pPr>
    </w:p>
    <w:p w14:paraId="32115A32" w14:textId="77777777" w:rsidR="003B780A" w:rsidRPr="004B39D6" w:rsidRDefault="003B780A" w:rsidP="0081528B">
      <w:pPr>
        <w:snapToGrid w:val="0"/>
        <w:spacing w:after="0" w:line="360" w:lineRule="auto"/>
        <w:jc w:val="both"/>
        <w:rPr>
          <w:rFonts w:ascii="Book Antiqua" w:hAnsi="Book Antiqua" w:cs="Arial"/>
          <w:b/>
          <w:i/>
          <w:sz w:val="24"/>
          <w:szCs w:val="24"/>
          <w:lang w:val="en-US"/>
        </w:rPr>
      </w:pPr>
      <w:r w:rsidRPr="004B39D6">
        <w:rPr>
          <w:rFonts w:ascii="Book Antiqua" w:hAnsi="Book Antiqua" w:cs="Arial"/>
          <w:b/>
          <w:i/>
          <w:sz w:val="24"/>
          <w:szCs w:val="24"/>
          <w:lang w:val="en-US"/>
        </w:rPr>
        <w:t xml:space="preserve">Detection of GSTT1 antibodies </w:t>
      </w:r>
    </w:p>
    <w:p w14:paraId="5EBDFB3E" w14:textId="3A25F5AA" w:rsidR="003B780A" w:rsidRPr="004B39D6" w:rsidRDefault="003B780A" w:rsidP="0081528B">
      <w:pPr>
        <w:autoSpaceDE w:val="0"/>
        <w:autoSpaceDN w:val="0"/>
        <w:adjustRightInd w:val="0"/>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t xml:space="preserve">Following the manufacturer’s protocol, total </w:t>
      </w:r>
      <w:proofErr w:type="spellStart"/>
      <w:r w:rsidRPr="004B39D6">
        <w:rPr>
          <w:rFonts w:ascii="Book Antiqua" w:hAnsi="Book Antiqua" w:cs="Arial"/>
          <w:sz w:val="24"/>
          <w:szCs w:val="24"/>
          <w:lang w:val="en-US"/>
        </w:rPr>
        <w:t>IgG</w:t>
      </w:r>
      <w:proofErr w:type="spellEnd"/>
      <w:r w:rsidRPr="004B39D6">
        <w:rPr>
          <w:rFonts w:ascii="Book Antiqua" w:hAnsi="Book Antiqua" w:cs="Arial"/>
          <w:sz w:val="24"/>
          <w:szCs w:val="24"/>
          <w:lang w:val="en-US"/>
        </w:rPr>
        <w:t xml:space="preserve"> antibodies in sera were analyzed using a commercially </w:t>
      </w:r>
      <w:r w:rsidR="002607EA" w:rsidRPr="004B39D6">
        <w:rPr>
          <w:rFonts w:ascii="Book Antiqua" w:hAnsi="Book Antiqua" w:cs="Arial"/>
          <w:sz w:val="24"/>
          <w:szCs w:val="24"/>
          <w:lang w:val="en-US"/>
        </w:rPr>
        <w:t xml:space="preserve">available </w:t>
      </w:r>
      <w:r w:rsidRPr="004B39D6">
        <w:rPr>
          <w:rFonts w:ascii="Book Antiqua" w:hAnsi="Book Antiqua" w:cs="Arial"/>
          <w:sz w:val="24"/>
          <w:szCs w:val="24"/>
          <w:lang w:val="en-US"/>
        </w:rPr>
        <w:t>ELISA</w:t>
      </w:r>
      <w:r w:rsidR="00452659" w:rsidRPr="004B39D6">
        <w:rPr>
          <w:rFonts w:ascii="Book Antiqua" w:hAnsi="Book Antiqua" w:cs="Arial"/>
          <w:sz w:val="24"/>
          <w:szCs w:val="24"/>
          <w:lang w:val="en-US"/>
        </w:rPr>
        <w:t>,</w:t>
      </w:r>
      <w:r w:rsidRPr="004B39D6">
        <w:rPr>
          <w:rFonts w:ascii="Book Antiqua" w:hAnsi="Book Antiqua" w:cs="Arial"/>
          <w:sz w:val="24"/>
          <w:szCs w:val="24"/>
          <w:lang w:val="en-US"/>
        </w:rPr>
        <w:t xml:space="preserve"> which contains the human GSTT1 recombinant protein (</w:t>
      </w:r>
      <w:proofErr w:type="spellStart"/>
      <w:r w:rsidRPr="004B39D6">
        <w:rPr>
          <w:rFonts w:ascii="Book Antiqua" w:hAnsi="Book Antiqua" w:cs="Arial"/>
          <w:sz w:val="24"/>
          <w:szCs w:val="24"/>
          <w:lang w:val="en-US"/>
        </w:rPr>
        <w:t>Biomedal</w:t>
      </w:r>
      <w:proofErr w:type="spellEnd"/>
      <w:r w:rsidRPr="004B39D6">
        <w:rPr>
          <w:rFonts w:ascii="Book Antiqua" w:hAnsi="Book Antiqua" w:cs="Arial"/>
          <w:sz w:val="24"/>
          <w:szCs w:val="24"/>
          <w:lang w:val="en-US"/>
        </w:rPr>
        <w:t xml:space="preserve">, Seville, Spain). </w:t>
      </w:r>
    </w:p>
    <w:p w14:paraId="395C5383" w14:textId="77777777" w:rsidR="003B780A" w:rsidRPr="004B39D6" w:rsidRDefault="003B780A" w:rsidP="0081528B">
      <w:pPr>
        <w:autoSpaceDE w:val="0"/>
        <w:autoSpaceDN w:val="0"/>
        <w:adjustRightInd w:val="0"/>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t xml:space="preserve">  </w:t>
      </w:r>
    </w:p>
    <w:p w14:paraId="25FCA833" w14:textId="77777777" w:rsidR="003B780A" w:rsidRPr="004B39D6" w:rsidRDefault="003B780A" w:rsidP="0081528B">
      <w:pPr>
        <w:autoSpaceDE w:val="0"/>
        <w:autoSpaceDN w:val="0"/>
        <w:adjustRightInd w:val="0"/>
        <w:snapToGrid w:val="0"/>
        <w:spacing w:after="0" w:line="360" w:lineRule="auto"/>
        <w:jc w:val="both"/>
        <w:rPr>
          <w:rFonts w:ascii="Book Antiqua" w:hAnsi="Book Antiqua" w:cs="Arial"/>
          <w:b/>
          <w:i/>
          <w:sz w:val="24"/>
          <w:szCs w:val="24"/>
          <w:lang w:val="en-US"/>
        </w:rPr>
      </w:pPr>
      <w:r w:rsidRPr="004B39D6">
        <w:rPr>
          <w:rFonts w:ascii="Book Antiqua" w:hAnsi="Book Antiqua" w:cs="Arial"/>
          <w:b/>
          <w:i/>
          <w:sz w:val="24"/>
          <w:szCs w:val="24"/>
          <w:lang w:val="en-US"/>
        </w:rPr>
        <w:t>GSTT1 peptides</w:t>
      </w:r>
    </w:p>
    <w:p w14:paraId="68CD7DAC" w14:textId="1F3108B4" w:rsidR="003B780A" w:rsidRPr="004B39D6" w:rsidRDefault="003B780A" w:rsidP="0081528B">
      <w:pPr>
        <w:autoSpaceDE w:val="0"/>
        <w:autoSpaceDN w:val="0"/>
        <w:adjustRightInd w:val="0"/>
        <w:snapToGrid w:val="0"/>
        <w:spacing w:after="0" w:line="360" w:lineRule="auto"/>
        <w:ind w:right="-143"/>
        <w:jc w:val="both"/>
        <w:rPr>
          <w:rFonts w:ascii="Book Antiqua" w:hAnsi="Book Antiqua" w:cs="Arial"/>
          <w:sz w:val="24"/>
          <w:szCs w:val="24"/>
          <w:lang w:val="en-US"/>
        </w:rPr>
      </w:pPr>
      <w:r w:rsidRPr="004B39D6">
        <w:rPr>
          <w:rFonts w:ascii="Book Antiqua" w:hAnsi="Book Antiqua" w:cs="Arial"/>
          <w:sz w:val="24"/>
          <w:szCs w:val="24"/>
          <w:lang w:val="en-US"/>
        </w:rPr>
        <w:t>We selected 15-mer peptides that overlapped by 9 a</w:t>
      </w:r>
      <w:r w:rsidR="00D369BE" w:rsidRPr="004B39D6">
        <w:rPr>
          <w:rFonts w:ascii="Book Antiqua" w:hAnsi="Book Antiqua" w:cs="Arial"/>
          <w:sz w:val="24"/>
          <w:szCs w:val="24"/>
          <w:lang w:val="en-US"/>
        </w:rPr>
        <w:t xml:space="preserve">mino </w:t>
      </w:r>
      <w:r w:rsidRPr="004B39D6">
        <w:rPr>
          <w:rFonts w:ascii="Book Antiqua" w:hAnsi="Book Antiqua" w:cs="Arial"/>
          <w:sz w:val="24"/>
          <w:szCs w:val="24"/>
          <w:lang w:val="en-US"/>
        </w:rPr>
        <w:t>a</w:t>
      </w:r>
      <w:r w:rsidR="00D369BE" w:rsidRPr="004B39D6">
        <w:rPr>
          <w:rFonts w:ascii="Book Antiqua" w:hAnsi="Book Antiqua" w:cs="Arial"/>
          <w:sz w:val="24"/>
          <w:szCs w:val="24"/>
          <w:lang w:val="en-US"/>
        </w:rPr>
        <w:t>cids</w:t>
      </w:r>
      <w:r w:rsidRPr="004B39D6">
        <w:rPr>
          <w:rFonts w:ascii="Book Antiqua" w:hAnsi="Book Antiqua" w:cs="Arial"/>
          <w:sz w:val="24"/>
          <w:szCs w:val="24"/>
          <w:lang w:val="en-US"/>
        </w:rPr>
        <w:t xml:space="preserve"> and spanned the GSTT1 protein. </w:t>
      </w:r>
      <w:r w:rsidR="00494EE6" w:rsidRPr="004B39D6">
        <w:rPr>
          <w:rFonts w:ascii="Book Antiqua" w:hAnsi="Book Antiqua" w:cs="Arial"/>
          <w:sz w:val="24"/>
          <w:szCs w:val="24"/>
          <w:lang w:val="en-US"/>
        </w:rPr>
        <w:t>In total,</w:t>
      </w:r>
      <w:r w:rsidR="00633CD6" w:rsidRPr="004B39D6">
        <w:rPr>
          <w:rFonts w:ascii="Book Antiqua" w:hAnsi="Book Antiqua" w:cs="Arial"/>
          <w:sz w:val="24"/>
          <w:szCs w:val="24"/>
          <w:lang w:val="en-US"/>
        </w:rPr>
        <w:t xml:space="preserve"> there were 39 peptides (</w:t>
      </w:r>
      <w:r w:rsidR="0090340D" w:rsidRPr="004B39D6">
        <w:rPr>
          <w:rFonts w:ascii="Book Antiqua" w:hAnsi="Book Antiqua" w:cs="Arial"/>
          <w:sz w:val="24"/>
          <w:szCs w:val="24"/>
          <w:lang w:val="en-US"/>
        </w:rPr>
        <w:t>Table 2</w:t>
      </w:r>
      <w:r w:rsidR="00E231CB" w:rsidRPr="004B39D6">
        <w:rPr>
          <w:rFonts w:ascii="Book Antiqua" w:hAnsi="Book Antiqua" w:cs="Arial"/>
          <w:sz w:val="24"/>
          <w:szCs w:val="24"/>
          <w:lang w:val="en-US"/>
        </w:rPr>
        <w:t xml:space="preserve">). </w:t>
      </w:r>
      <w:r w:rsidRPr="004B39D6">
        <w:rPr>
          <w:rFonts w:ascii="Book Antiqua" w:hAnsi="Book Antiqua" w:cs="Arial"/>
          <w:sz w:val="24"/>
          <w:szCs w:val="24"/>
          <w:lang w:val="en-US"/>
        </w:rPr>
        <w:t xml:space="preserve">Peptides were synthesized by Innovative Peptide Solutions, JPT (Berlin, Germany). Peptide purity was higher than 80%, as assayed by HPLC, and </w:t>
      </w:r>
      <w:r w:rsidR="00CF2C9A" w:rsidRPr="004B39D6">
        <w:rPr>
          <w:rFonts w:ascii="Book Antiqua" w:hAnsi="Book Antiqua" w:cs="Arial"/>
          <w:sz w:val="24"/>
          <w:szCs w:val="24"/>
          <w:lang w:val="en-US"/>
        </w:rPr>
        <w:t xml:space="preserve">the peptide </w:t>
      </w:r>
      <w:r w:rsidRPr="004B39D6">
        <w:rPr>
          <w:rFonts w:ascii="Book Antiqua" w:hAnsi="Book Antiqua" w:cs="Arial"/>
          <w:sz w:val="24"/>
          <w:szCs w:val="24"/>
          <w:lang w:val="en-US"/>
        </w:rPr>
        <w:t>composition was verified by mass spectrometry. Lyophilized peptides were dissolved at 1</w:t>
      </w:r>
      <w:r w:rsidR="003408DB" w:rsidRPr="004B39D6">
        <w:rPr>
          <w:rFonts w:ascii="Book Antiqua" w:hAnsi="Book Antiqua" w:cs="Arial"/>
          <w:sz w:val="24"/>
          <w:szCs w:val="24"/>
          <w:lang w:val="en-US"/>
        </w:rPr>
        <w:t>0 m</w:t>
      </w:r>
      <w:r w:rsidRPr="004B39D6">
        <w:rPr>
          <w:rFonts w:ascii="Book Antiqua" w:hAnsi="Book Antiqua" w:cs="Arial"/>
          <w:sz w:val="24"/>
          <w:szCs w:val="24"/>
          <w:lang w:val="en-US"/>
        </w:rPr>
        <w:t>g/m</w:t>
      </w:r>
      <w:r w:rsidR="00412682" w:rsidRPr="004B39D6">
        <w:rPr>
          <w:rFonts w:ascii="Book Antiqua" w:hAnsi="Book Antiqua" w:cs="Arial"/>
          <w:sz w:val="24"/>
          <w:szCs w:val="24"/>
          <w:lang w:val="en-US"/>
        </w:rPr>
        <w:t>L</w:t>
      </w:r>
      <w:r w:rsidRPr="004B39D6">
        <w:rPr>
          <w:rFonts w:ascii="Book Antiqua" w:hAnsi="Book Antiqua" w:cs="Arial"/>
          <w:sz w:val="24"/>
          <w:szCs w:val="24"/>
          <w:lang w:val="en-US"/>
        </w:rPr>
        <w:t xml:space="preserve"> in DMSO, </w:t>
      </w:r>
      <w:proofErr w:type="spellStart"/>
      <w:r w:rsidRPr="004B39D6">
        <w:rPr>
          <w:rFonts w:ascii="Book Antiqua" w:hAnsi="Book Antiqua" w:cs="Arial"/>
          <w:sz w:val="24"/>
          <w:szCs w:val="24"/>
          <w:lang w:val="en-US"/>
        </w:rPr>
        <w:t>aliquoted</w:t>
      </w:r>
      <w:proofErr w:type="spellEnd"/>
      <w:r w:rsidRPr="004B39D6">
        <w:rPr>
          <w:rFonts w:ascii="Book Antiqua" w:hAnsi="Book Antiqua" w:cs="Arial"/>
          <w:sz w:val="24"/>
          <w:szCs w:val="24"/>
          <w:lang w:val="en-US"/>
        </w:rPr>
        <w:t xml:space="preserve">, and stored at -20°C. </w:t>
      </w:r>
    </w:p>
    <w:p w14:paraId="2E5B24D3" w14:textId="77777777" w:rsidR="003B780A" w:rsidRPr="004B39D6" w:rsidRDefault="003B780A" w:rsidP="0081528B">
      <w:pPr>
        <w:autoSpaceDE w:val="0"/>
        <w:autoSpaceDN w:val="0"/>
        <w:adjustRightInd w:val="0"/>
        <w:snapToGrid w:val="0"/>
        <w:spacing w:after="0" w:line="360" w:lineRule="auto"/>
        <w:jc w:val="both"/>
        <w:rPr>
          <w:rFonts w:ascii="Book Antiqua" w:hAnsi="Book Antiqua" w:cs="Arial"/>
          <w:sz w:val="24"/>
          <w:szCs w:val="24"/>
          <w:lang w:val="en-US"/>
        </w:rPr>
      </w:pPr>
    </w:p>
    <w:p w14:paraId="79A0775C" w14:textId="77777777" w:rsidR="003B780A" w:rsidRPr="004B39D6" w:rsidRDefault="003B780A" w:rsidP="0081528B">
      <w:pPr>
        <w:autoSpaceDE w:val="0"/>
        <w:autoSpaceDN w:val="0"/>
        <w:adjustRightInd w:val="0"/>
        <w:snapToGrid w:val="0"/>
        <w:spacing w:after="0" w:line="360" w:lineRule="auto"/>
        <w:jc w:val="both"/>
        <w:rPr>
          <w:rFonts w:ascii="Book Antiqua" w:hAnsi="Book Antiqua" w:cs="Arial"/>
          <w:b/>
          <w:i/>
          <w:sz w:val="24"/>
          <w:szCs w:val="24"/>
          <w:lang w:val="en-US"/>
        </w:rPr>
      </w:pPr>
      <w:r w:rsidRPr="004B39D6">
        <w:rPr>
          <w:rFonts w:ascii="Book Antiqua" w:hAnsi="Book Antiqua" w:cs="Arial"/>
          <w:b/>
          <w:i/>
          <w:sz w:val="24"/>
          <w:szCs w:val="24"/>
          <w:lang w:val="en-US"/>
        </w:rPr>
        <w:t>Cell isolation and culture with the GSTT1 peptides</w:t>
      </w:r>
    </w:p>
    <w:p w14:paraId="1C0FF3EB" w14:textId="37C36B02" w:rsidR="003B780A" w:rsidRPr="004B39D6" w:rsidRDefault="002607EA" w:rsidP="0081528B">
      <w:pPr>
        <w:autoSpaceDE w:val="0"/>
        <w:autoSpaceDN w:val="0"/>
        <w:adjustRightInd w:val="0"/>
        <w:snapToGrid w:val="0"/>
        <w:spacing w:after="0" w:line="360" w:lineRule="auto"/>
        <w:ind w:right="-143"/>
        <w:jc w:val="both"/>
        <w:rPr>
          <w:rFonts w:ascii="Book Antiqua" w:hAnsi="Book Antiqua" w:cs="Arial"/>
          <w:sz w:val="24"/>
          <w:szCs w:val="24"/>
          <w:lang w:val="en-US"/>
        </w:rPr>
      </w:pPr>
      <w:r w:rsidRPr="004B39D6">
        <w:rPr>
          <w:rFonts w:ascii="Book Antiqua" w:hAnsi="Book Antiqua" w:cs="Arial"/>
          <w:sz w:val="24"/>
          <w:szCs w:val="24"/>
          <w:lang w:val="en-US"/>
        </w:rPr>
        <w:lastRenderedPageBreak/>
        <w:t xml:space="preserve">Post-transplant </w:t>
      </w:r>
      <w:r w:rsidR="003B780A" w:rsidRPr="004B39D6">
        <w:rPr>
          <w:rFonts w:ascii="Book Antiqua" w:hAnsi="Book Antiqua" w:cs="Arial"/>
          <w:sz w:val="24"/>
          <w:szCs w:val="24"/>
          <w:lang w:val="en-US"/>
        </w:rPr>
        <w:t xml:space="preserve">PBMCs were isolated using BD </w:t>
      </w:r>
      <w:proofErr w:type="spellStart"/>
      <w:r w:rsidR="003B780A" w:rsidRPr="004B39D6">
        <w:rPr>
          <w:rFonts w:ascii="Book Antiqua" w:hAnsi="Book Antiqua" w:cs="Arial"/>
          <w:sz w:val="24"/>
          <w:szCs w:val="24"/>
          <w:lang w:val="en-US"/>
        </w:rPr>
        <w:t>Vacutainer</w:t>
      </w:r>
      <w:proofErr w:type="spellEnd"/>
      <w:r w:rsidR="003B780A" w:rsidRPr="004B39D6">
        <w:rPr>
          <w:rFonts w:ascii="Book Antiqua" w:hAnsi="Book Antiqua" w:cs="Arial"/>
          <w:sz w:val="24"/>
          <w:szCs w:val="24"/>
          <w:lang w:val="en-US"/>
        </w:rPr>
        <w:t xml:space="preserve"> CPT </w:t>
      </w:r>
      <w:proofErr w:type="spellStart"/>
      <w:r w:rsidR="003B780A" w:rsidRPr="004B39D6">
        <w:rPr>
          <w:rFonts w:ascii="Book Antiqua" w:hAnsi="Book Antiqua" w:cs="Arial"/>
          <w:sz w:val="24"/>
          <w:szCs w:val="24"/>
          <w:lang w:val="en-US"/>
        </w:rPr>
        <w:t>ficoll</w:t>
      </w:r>
      <w:proofErr w:type="spellEnd"/>
      <w:r w:rsidR="003B780A" w:rsidRPr="004B39D6">
        <w:rPr>
          <w:rFonts w:ascii="Book Antiqua" w:hAnsi="Book Antiqua" w:cs="Arial"/>
          <w:sz w:val="24"/>
          <w:szCs w:val="24"/>
          <w:lang w:val="en-US"/>
        </w:rPr>
        <w:t xml:space="preserve"> tubes (BD Biosciences, CA</w:t>
      </w:r>
      <w:r w:rsidR="00452659" w:rsidRPr="004B39D6">
        <w:rPr>
          <w:rFonts w:ascii="Book Antiqua" w:hAnsi="Book Antiqua" w:cs="Arial"/>
          <w:sz w:val="24"/>
          <w:szCs w:val="24"/>
          <w:lang w:val="en-US"/>
        </w:rPr>
        <w:t>,</w:t>
      </w:r>
      <w:r w:rsidR="003B780A" w:rsidRPr="004B39D6">
        <w:rPr>
          <w:rFonts w:ascii="Book Antiqua" w:hAnsi="Book Antiqua" w:cs="Arial"/>
          <w:sz w:val="24"/>
          <w:szCs w:val="24"/>
          <w:lang w:val="en-US"/>
        </w:rPr>
        <w:t xml:space="preserve"> </w:t>
      </w:r>
      <w:r w:rsidR="00412682" w:rsidRPr="00412682">
        <w:rPr>
          <w:rFonts w:ascii="Book Antiqua" w:hAnsi="Book Antiqua" w:cs="Arial"/>
          <w:sz w:val="24"/>
          <w:szCs w:val="24"/>
          <w:lang w:val="en-US"/>
        </w:rPr>
        <w:t>United States</w:t>
      </w:r>
      <w:r w:rsidR="003B780A" w:rsidRPr="004B39D6">
        <w:rPr>
          <w:rFonts w:ascii="Book Antiqua" w:hAnsi="Book Antiqua" w:cs="Arial"/>
          <w:sz w:val="24"/>
          <w:szCs w:val="24"/>
          <w:lang w:val="en-US"/>
        </w:rPr>
        <w:t>), frozen in FCS containing 10% DMSO, and stored in liquid nitrogen. For stimulation experiments, 3-4</w:t>
      </w:r>
      <w:r w:rsidR="00412682">
        <w:rPr>
          <w:rFonts w:ascii="Book Antiqua" w:hAnsi="Book Antiqua" w:cs="Arial" w:hint="eastAsia"/>
          <w:sz w:val="24"/>
          <w:szCs w:val="24"/>
          <w:lang w:val="en-US" w:eastAsia="zh-CN"/>
        </w:rPr>
        <w:t xml:space="preserve"> </w:t>
      </w:r>
      <w:r w:rsidR="00412682">
        <w:rPr>
          <w:rFonts w:ascii="Book Antiqua" w:hAnsi="Book Antiqua" w:cs="Arial"/>
          <w:sz w:val="24"/>
          <w:szCs w:val="24"/>
          <w:lang w:val="en-US"/>
        </w:rPr>
        <w:sym w:font="Symbol" w:char="F0B4"/>
      </w:r>
      <w:r w:rsidR="00412682">
        <w:rPr>
          <w:rFonts w:ascii="Book Antiqua" w:hAnsi="Book Antiqua" w:cs="Arial" w:hint="eastAsia"/>
          <w:sz w:val="24"/>
          <w:szCs w:val="24"/>
          <w:lang w:val="en-US" w:eastAsia="zh-CN"/>
        </w:rPr>
        <w:t xml:space="preserve"> </w:t>
      </w:r>
      <w:r w:rsidR="003B780A" w:rsidRPr="004B39D6">
        <w:rPr>
          <w:rFonts w:ascii="Book Antiqua" w:hAnsi="Book Antiqua" w:cs="Arial"/>
          <w:sz w:val="24"/>
          <w:szCs w:val="24"/>
          <w:lang w:val="en-US"/>
        </w:rPr>
        <w:t>10</w:t>
      </w:r>
      <w:r w:rsidR="003B780A" w:rsidRPr="004B39D6">
        <w:rPr>
          <w:rFonts w:ascii="Book Antiqua" w:hAnsi="Book Antiqua" w:cs="Arial"/>
          <w:sz w:val="24"/>
          <w:szCs w:val="24"/>
          <w:vertAlign w:val="superscript"/>
          <w:lang w:val="en-US"/>
        </w:rPr>
        <w:t>5</w:t>
      </w:r>
      <w:r w:rsidR="003B780A" w:rsidRPr="004B39D6">
        <w:rPr>
          <w:rFonts w:ascii="Book Antiqua" w:hAnsi="Book Antiqua" w:cs="Arial"/>
          <w:sz w:val="24"/>
          <w:szCs w:val="24"/>
          <w:lang w:val="en-US"/>
        </w:rPr>
        <w:t xml:space="preserve"> cells were cultured in RPMI 1640 medium supplemented with 10% heat-inactivated fetal bovine serum (</w:t>
      </w:r>
      <w:proofErr w:type="spellStart"/>
      <w:r w:rsidR="003B780A" w:rsidRPr="004B39D6">
        <w:rPr>
          <w:rFonts w:ascii="Book Antiqua" w:hAnsi="Book Antiqua" w:cs="Arial"/>
          <w:sz w:val="24"/>
          <w:szCs w:val="24"/>
          <w:lang w:val="en-US"/>
        </w:rPr>
        <w:t>Biochrom</w:t>
      </w:r>
      <w:proofErr w:type="spellEnd"/>
      <w:r w:rsidR="003B780A" w:rsidRPr="004B39D6">
        <w:rPr>
          <w:rFonts w:ascii="Book Antiqua" w:hAnsi="Book Antiqua" w:cs="Arial"/>
          <w:sz w:val="24"/>
          <w:szCs w:val="24"/>
          <w:lang w:val="en-US"/>
        </w:rPr>
        <w:t xml:space="preserve"> AG, Berlin, Germany), Penicillin / </w:t>
      </w:r>
      <w:proofErr w:type="spellStart"/>
      <w:r w:rsidR="003B780A" w:rsidRPr="004B39D6">
        <w:rPr>
          <w:rFonts w:ascii="Book Antiqua" w:hAnsi="Book Antiqua" w:cs="Arial"/>
          <w:sz w:val="24"/>
          <w:szCs w:val="24"/>
          <w:lang w:val="en-US"/>
        </w:rPr>
        <w:t>Streptomicin</w:t>
      </w:r>
      <w:proofErr w:type="spellEnd"/>
      <w:r w:rsidR="003B780A" w:rsidRPr="004B39D6">
        <w:rPr>
          <w:rFonts w:ascii="Book Antiqua" w:hAnsi="Book Antiqua" w:cs="Arial"/>
          <w:sz w:val="24"/>
          <w:szCs w:val="24"/>
          <w:lang w:val="en-US"/>
        </w:rPr>
        <w:t xml:space="preserve"> (100 U penicillin/m</w:t>
      </w:r>
      <w:r w:rsidR="00412682" w:rsidRPr="004B39D6">
        <w:rPr>
          <w:rFonts w:ascii="Book Antiqua" w:hAnsi="Book Antiqua" w:cs="Arial"/>
          <w:sz w:val="24"/>
          <w:szCs w:val="24"/>
          <w:lang w:val="en-US"/>
        </w:rPr>
        <w:t>L</w:t>
      </w:r>
      <w:r w:rsidR="003B780A" w:rsidRPr="004B39D6">
        <w:rPr>
          <w:rFonts w:ascii="Book Antiqua" w:hAnsi="Book Antiqua" w:cs="Arial"/>
          <w:sz w:val="24"/>
          <w:szCs w:val="24"/>
          <w:lang w:val="en-US"/>
        </w:rPr>
        <w:t>, 10</w:t>
      </w:r>
      <w:r w:rsidR="003408DB" w:rsidRPr="004B39D6">
        <w:rPr>
          <w:rFonts w:ascii="Book Antiqua" w:hAnsi="Book Antiqua" w:cs="Arial"/>
          <w:sz w:val="24"/>
          <w:szCs w:val="24"/>
          <w:lang w:val="en-US"/>
        </w:rPr>
        <w:t xml:space="preserve">0 µg </w:t>
      </w:r>
      <w:r w:rsidR="003B780A" w:rsidRPr="004B39D6">
        <w:rPr>
          <w:rFonts w:ascii="Book Antiqua" w:hAnsi="Book Antiqua" w:cs="Arial"/>
          <w:sz w:val="24"/>
          <w:szCs w:val="24"/>
          <w:lang w:val="en-US"/>
        </w:rPr>
        <w:t>streptomycin/m</w:t>
      </w:r>
      <w:r w:rsidR="00412682" w:rsidRPr="004B39D6">
        <w:rPr>
          <w:rFonts w:ascii="Book Antiqua" w:hAnsi="Book Antiqua" w:cs="Arial"/>
          <w:sz w:val="24"/>
          <w:szCs w:val="24"/>
          <w:lang w:val="en-US"/>
        </w:rPr>
        <w:t>L</w:t>
      </w:r>
      <w:r w:rsidR="003B780A" w:rsidRPr="004B39D6">
        <w:rPr>
          <w:rFonts w:ascii="Book Antiqua" w:hAnsi="Book Antiqua" w:cs="Arial"/>
          <w:sz w:val="24"/>
          <w:szCs w:val="24"/>
          <w:lang w:val="en-US"/>
        </w:rPr>
        <w:t xml:space="preserve">), </w:t>
      </w:r>
      <w:r w:rsidR="003408DB" w:rsidRPr="004B39D6">
        <w:rPr>
          <w:rFonts w:ascii="Book Antiqua" w:hAnsi="Book Antiqua" w:cs="Arial"/>
          <w:sz w:val="24"/>
          <w:szCs w:val="24"/>
          <w:lang w:val="en-US"/>
        </w:rPr>
        <w:t xml:space="preserve">1 </w:t>
      </w:r>
      <w:proofErr w:type="spellStart"/>
      <w:r w:rsidR="003408DB" w:rsidRPr="004B39D6">
        <w:rPr>
          <w:rFonts w:ascii="Book Antiqua" w:hAnsi="Book Antiqua" w:cs="Arial"/>
          <w:sz w:val="24"/>
          <w:szCs w:val="24"/>
          <w:lang w:val="en-US"/>
        </w:rPr>
        <w:t>m</w:t>
      </w:r>
      <w:r w:rsidR="00412682">
        <w:rPr>
          <w:rFonts w:ascii="Book Antiqua" w:hAnsi="Book Antiqua" w:cs="Arial" w:hint="eastAsia"/>
          <w:sz w:val="24"/>
          <w:szCs w:val="24"/>
          <w:lang w:val="en-US" w:eastAsia="zh-CN"/>
        </w:rPr>
        <w:t>mol</w:t>
      </w:r>
      <w:proofErr w:type="spellEnd"/>
      <w:r w:rsidR="00412682">
        <w:rPr>
          <w:rFonts w:ascii="Book Antiqua" w:hAnsi="Book Antiqua" w:cs="Arial" w:hint="eastAsia"/>
          <w:sz w:val="24"/>
          <w:szCs w:val="24"/>
          <w:lang w:val="en-US" w:eastAsia="zh-CN"/>
        </w:rPr>
        <w:t>/L</w:t>
      </w:r>
      <w:r w:rsidR="003B780A" w:rsidRPr="004B39D6">
        <w:rPr>
          <w:rFonts w:ascii="Book Antiqua" w:hAnsi="Book Antiqua" w:cs="Arial"/>
          <w:sz w:val="24"/>
          <w:szCs w:val="24"/>
          <w:lang w:val="en-US"/>
        </w:rPr>
        <w:t xml:space="preserve"> Na-</w:t>
      </w:r>
      <w:proofErr w:type="spellStart"/>
      <w:r w:rsidR="003B780A" w:rsidRPr="004B39D6">
        <w:rPr>
          <w:rFonts w:ascii="Book Antiqua" w:hAnsi="Book Antiqua" w:cs="Arial"/>
          <w:sz w:val="24"/>
          <w:szCs w:val="24"/>
          <w:lang w:val="en-US"/>
        </w:rPr>
        <w:t>Piruvate</w:t>
      </w:r>
      <w:proofErr w:type="spellEnd"/>
      <w:r w:rsidR="003B780A" w:rsidRPr="004B39D6">
        <w:rPr>
          <w:rFonts w:ascii="Book Antiqua" w:hAnsi="Book Antiqua" w:cs="Arial"/>
          <w:sz w:val="24"/>
          <w:szCs w:val="24"/>
          <w:lang w:val="en-US"/>
        </w:rPr>
        <w:t xml:space="preserve"> (Sigma Aldrich, MI, EEUU) and L-Glutamine (</w:t>
      </w:r>
      <w:r w:rsidR="003408DB" w:rsidRPr="004B39D6">
        <w:rPr>
          <w:rFonts w:ascii="Book Antiqua" w:hAnsi="Book Antiqua" w:cs="Arial"/>
          <w:sz w:val="24"/>
          <w:szCs w:val="24"/>
          <w:lang w:val="en-US"/>
        </w:rPr>
        <w:t xml:space="preserve">2 </w:t>
      </w:r>
      <w:proofErr w:type="spellStart"/>
      <w:r w:rsidR="003408DB" w:rsidRPr="004B39D6">
        <w:rPr>
          <w:rFonts w:ascii="Book Antiqua" w:hAnsi="Book Antiqua" w:cs="Arial"/>
          <w:sz w:val="24"/>
          <w:szCs w:val="24"/>
          <w:lang w:val="en-US"/>
        </w:rPr>
        <w:t>m</w:t>
      </w:r>
      <w:r w:rsidR="00412682">
        <w:rPr>
          <w:rFonts w:ascii="Book Antiqua" w:hAnsi="Book Antiqua" w:cs="Arial" w:hint="eastAsia"/>
          <w:sz w:val="24"/>
          <w:szCs w:val="24"/>
          <w:lang w:val="en-US" w:eastAsia="zh-CN"/>
        </w:rPr>
        <w:t>mol</w:t>
      </w:r>
      <w:proofErr w:type="spellEnd"/>
      <w:r w:rsidR="00412682">
        <w:rPr>
          <w:rFonts w:ascii="Book Antiqua" w:hAnsi="Book Antiqua" w:cs="Arial" w:hint="eastAsia"/>
          <w:sz w:val="24"/>
          <w:szCs w:val="24"/>
          <w:lang w:val="en-US" w:eastAsia="zh-CN"/>
        </w:rPr>
        <w:t>/L</w:t>
      </w:r>
      <w:r w:rsidR="003B780A" w:rsidRPr="004B39D6">
        <w:rPr>
          <w:rFonts w:ascii="Book Antiqua" w:hAnsi="Book Antiqua" w:cs="Arial"/>
          <w:sz w:val="24"/>
          <w:szCs w:val="24"/>
          <w:lang w:val="en-US"/>
        </w:rPr>
        <w:t xml:space="preserve">, Irvine Scientific, </w:t>
      </w:r>
      <w:proofErr w:type="spellStart"/>
      <w:r w:rsidR="003B780A" w:rsidRPr="004B39D6">
        <w:rPr>
          <w:rFonts w:ascii="Book Antiqua" w:hAnsi="Book Antiqua" w:cs="Arial"/>
          <w:sz w:val="24"/>
          <w:szCs w:val="24"/>
          <w:lang w:val="en-US"/>
        </w:rPr>
        <w:t>Wicklow</w:t>
      </w:r>
      <w:proofErr w:type="spellEnd"/>
      <w:r w:rsidR="003B780A" w:rsidRPr="004B39D6">
        <w:rPr>
          <w:rFonts w:ascii="Book Antiqua" w:hAnsi="Book Antiqua" w:cs="Arial"/>
          <w:sz w:val="24"/>
          <w:szCs w:val="24"/>
          <w:lang w:val="en-US"/>
        </w:rPr>
        <w:t>, Ireland)</w:t>
      </w:r>
      <w:r w:rsidR="006F4B9A" w:rsidRPr="004B39D6">
        <w:rPr>
          <w:rFonts w:ascii="Book Antiqua" w:hAnsi="Book Antiqua" w:cs="Arial"/>
          <w:sz w:val="24"/>
          <w:szCs w:val="24"/>
          <w:lang w:val="en-US"/>
        </w:rPr>
        <w:t xml:space="preserve"> </w:t>
      </w:r>
      <w:r w:rsidR="003B780A" w:rsidRPr="004B39D6">
        <w:rPr>
          <w:rFonts w:ascii="Book Antiqua" w:hAnsi="Book Antiqua" w:cs="Arial"/>
          <w:sz w:val="24"/>
          <w:szCs w:val="24"/>
          <w:lang w:val="en-US"/>
        </w:rPr>
        <w:t xml:space="preserve">in the presence of 8 pools, each one containing 5 peptides and the last one </w:t>
      </w:r>
      <w:r w:rsidR="00200FCB" w:rsidRPr="004B39D6">
        <w:rPr>
          <w:rFonts w:ascii="Book Antiqua" w:hAnsi="Book Antiqua" w:cs="Arial"/>
          <w:sz w:val="24"/>
          <w:szCs w:val="24"/>
          <w:lang w:val="en-US"/>
        </w:rPr>
        <w:t xml:space="preserve">containing </w:t>
      </w:r>
      <w:r w:rsidR="003B780A" w:rsidRPr="004B39D6">
        <w:rPr>
          <w:rFonts w:ascii="Book Antiqua" w:hAnsi="Book Antiqua" w:cs="Arial"/>
          <w:sz w:val="24"/>
          <w:szCs w:val="24"/>
          <w:lang w:val="en-US"/>
        </w:rPr>
        <w:t>only 4 (10 µg/m</w:t>
      </w:r>
      <w:r w:rsidR="00412682" w:rsidRPr="004B39D6">
        <w:rPr>
          <w:rFonts w:ascii="Book Antiqua" w:hAnsi="Book Antiqua" w:cs="Arial"/>
          <w:sz w:val="24"/>
          <w:szCs w:val="24"/>
          <w:lang w:val="en-US"/>
        </w:rPr>
        <w:t xml:space="preserve">L </w:t>
      </w:r>
      <w:r w:rsidR="003B780A" w:rsidRPr="004B39D6">
        <w:rPr>
          <w:rFonts w:ascii="Book Antiqua" w:hAnsi="Book Antiqua" w:cs="Arial"/>
          <w:sz w:val="24"/>
          <w:szCs w:val="24"/>
          <w:lang w:val="en-US"/>
        </w:rPr>
        <w:t>each peptide)</w:t>
      </w:r>
      <w:r w:rsidR="00200FCB" w:rsidRPr="004B39D6">
        <w:rPr>
          <w:rFonts w:ascii="Book Antiqua" w:hAnsi="Book Antiqua" w:cs="Arial"/>
          <w:sz w:val="24"/>
          <w:szCs w:val="24"/>
          <w:lang w:val="en-US"/>
        </w:rPr>
        <w:t>.</w:t>
      </w:r>
      <w:r w:rsidR="003B780A" w:rsidRPr="004B39D6">
        <w:rPr>
          <w:rFonts w:ascii="Book Antiqua" w:hAnsi="Book Antiqua" w:cs="Arial"/>
          <w:sz w:val="24"/>
          <w:szCs w:val="24"/>
          <w:lang w:val="en-US"/>
        </w:rPr>
        <w:t xml:space="preserve"> </w:t>
      </w:r>
      <w:r w:rsidR="007256AF" w:rsidRPr="004B39D6">
        <w:rPr>
          <w:rFonts w:ascii="Book Antiqua" w:hAnsi="Book Antiqua" w:cs="Arial"/>
          <w:sz w:val="24"/>
          <w:szCs w:val="24"/>
          <w:lang w:val="en-US"/>
        </w:rPr>
        <w:t>Next, 10</w:t>
      </w:r>
      <w:r w:rsidR="00200FCB" w:rsidRPr="004B39D6">
        <w:rPr>
          <w:rFonts w:ascii="Book Antiqua" w:hAnsi="Book Antiqua" w:cs="Arial"/>
          <w:sz w:val="24"/>
          <w:szCs w:val="24"/>
          <w:lang w:val="en-US"/>
        </w:rPr>
        <w:t xml:space="preserve"> </w:t>
      </w:r>
      <w:r w:rsidR="007256AF" w:rsidRPr="004B39D6">
        <w:rPr>
          <w:rFonts w:ascii="Book Antiqua" w:hAnsi="Book Antiqua" w:cs="Arial"/>
          <w:sz w:val="24"/>
          <w:szCs w:val="24"/>
          <w:lang w:val="en-US"/>
        </w:rPr>
        <w:t>µ</w:t>
      </w:r>
      <w:r w:rsidR="003B780A" w:rsidRPr="004B39D6">
        <w:rPr>
          <w:rFonts w:ascii="Book Antiqua" w:hAnsi="Book Antiqua" w:cs="Arial"/>
          <w:sz w:val="24"/>
          <w:szCs w:val="24"/>
          <w:lang w:val="en-US"/>
        </w:rPr>
        <w:t>g/m</w:t>
      </w:r>
      <w:r w:rsidR="00412682" w:rsidRPr="004B39D6">
        <w:rPr>
          <w:rFonts w:ascii="Book Antiqua" w:hAnsi="Book Antiqua" w:cs="Arial"/>
          <w:sz w:val="24"/>
          <w:szCs w:val="24"/>
          <w:lang w:val="en-US"/>
        </w:rPr>
        <w:t>L</w:t>
      </w:r>
      <w:r w:rsidR="003B780A" w:rsidRPr="004B39D6">
        <w:rPr>
          <w:rFonts w:ascii="Book Antiqua" w:hAnsi="Book Antiqua" w:cs="Arial"/>
          <w:sz w:val="24"/>
          <w:szCs w:val="24"/>
          <w:lang w:val="en-US"/>
        </w:rPr>
        <w:t xml:space="preserve"> anti-CD28/CD49d (BD Biosciences, CA, </w:t>
      </w:r>
      <w:r w:rsidR="00412682" w:rsidRPr="00412682">
        <w:rPr>
          <w:rFonts w:ascii="Book Antiqua" w:hAnsi="Book Antiqua" w:cs="Arial"/>
          <w:sz w:val="24"/>
          <w:szCs w:val="24"/>
          <w:lang w:val="en-US"/>
        </w:rPr>
        <w:t>United States</w:t>
      </w:r>
      <w:r w:rsidR="003B780A" w:rsidRPr="004B39D6">
        <w:rPr>
          <w:rFonts w:ascii="Book Antiqua" w:hAnsi="Book Antiqua" w:cs="Arial"/>
          <w:sz w:val="24"/>
          <w:szCs w:val="24"/>
          <w:lang w:val="en-US"/>
        </w:rPr>
        <w:t xml:space="preserve">) </w:t>
      </w:r>
      <w:r w:rsidR="00200FCB" w:rsidRPr="004B39D6">
        <w:rPr>
          <w:rFonts w:ascii="Book Antiqua" w:hAnsi="Book Antiqua" w:cs="Arial"/>
          <w:sz w:val="24"/>
          <w:szCs w:val="24"/>
          <w:lang w:val="en-US"/>
        </w:rPr>
        <w:t xml:space="preserve">was added for </w:t>
      </w:r>
      <w:r w:rsidR="003B780A" w:rsidRPr="004B39D6">
        <w:rPr>
          <w:rFonts w:ascii="Book Antiqua" w:hAnsi="Book Antiqua" w:cs="Arial"/>
          <w:sz w:val="24"/>
          <w:szCs w:val="24"/>
          <w:lang w:val="en-US"/>
        </w:rPr>
        <w:t>48 h at 37</w:t>
      </w:r>
      <w:r w:rsidR="00412682">
        <w:rPr>
          <w:rFonts w:ascii="Book Antiqua" w:hAnsi="Book Antiqua" w:cs="Arial" w:hint="eastAsia"/>
          <w:sz w:val="24"/>
          <w:szCs w:val="24"/>
          <w:lang w:val="en-US" w:eastAsia="zh-CN"/>
        </w:rPr>
        <w:t xml:space="preserve"> </w:t>
      </w:r>
      <w:r w:rsidR="003B780A" w:rsidRPr="004B39D6">
        <w:rPr>
          <w:rFonts w:ascii="Book Antiqua" w:hAnsi="Book Antiqua" w:cs="Arial"/>
          <w:sz w:val="24"/>
          <w:szCs w:val="24"/>
          <w:lang w:val="en-US"/>
        </w:rPr>
        <w:t>ºC 5% CO</w:t>
      </w:r>
      <w:r w:rsidR="003B780A" w:rsidRPr="00412682">
        <w:rPr>
          <w:rFonts w:ascii="Book Antiqua" w:hAnsi="Book Antiqua" w:cs="Arial"/>
          <w:sz w:val="24"/>
          <w:szCs w:val="24"/>
          <w:vertAlign w:val="subscript"/>
          <w:lang w:val="en-US"/>
        </w:rPr>
        <w:t>2</w:t>
      </w:r>
      <w:r w:rsidR="00200FCB" w:rsidRPr="004B39D6">
        <w:rPr>
          <w:rFonts w:ascii="Book Antiqua" w:hAnsi="Book Antiqua" w:cs="Arial"/>
          <w:sz w:val="24"/>
          <w:szCs w:val="24"/>
          <w:lang w:val="en-US"/>
        </w:rPr>
        <w:t>, and</w:t>
      </w:r>
      <w:r w:rsidR="003B780A" w:rsidRPr="004B39D6">
        <w:rPr>
          <w:rFonts w:ascii="Book Antiqua" w:hAnsi="Book Antiqua" w:cs="Arial"/>
          <w:sz w:val="24"/>
          <w:szCs w:val="24"/>
          <w:lang w:val="en-US"/>
        </w:rPr>
        <w:t xml:space="preserve"> 10 µg/mL </w:t>
      </w:r>
      <w:proofErr w:type="spellStart"/>
      <w:r w:rsidR="003B780A" w:rsidRPr="004B39D6">
        <w:rPr>
          <w:rFonts w:ascii="Book Antiqua" w:hAnsi="Book Antiqua" w:cs="Arial"/>
          <w:sz w:val="24"/>
          <w:szCs w:val="24"/>
          <w:lang w:val="en-US"/>
        </w:rPr>
        <w:t>Brefeldin</w:t>
      </w:r>
      <w:proofErr w:type="spellEnd"/>
      <w:r w:rsidR="003B780A" w:rsidRPr="004B39D6">
        <w:rPr>
          <w:rFonts w:ascii="Book Antiqua" w:hAnsi="Book Antiqua" w:cs="Arial"/>
          <w:sz w:val="24"/>
          <w:szCs w:val="24"/>
          <w:lang w:val="en-US"/>
        </w:rPr>
        <w:t xml:space="preserve"> A was added to the samples during the last four hours (Golgi Plug: BD Biosciences). A negative control (without peptide</w:t>
      </w:r>
      <w:r w:rsidR="00831899" w:rsidRPr="004B39D6">
        <w:rPr>
          <w:rFonts w:ascii="Book Antiqua" w:hAnsi="Book Antiqua" w:cs="Arial"/>
          <w:sz w:val="24"/>
          <w:szCs w:val="24"/>
          <w:lang w:val="en-US"/>
        </w:rPr>
        <w:t xml:space="preserve"> but with the proportional amount of DMSO</w:t>
      </w:r>
      <w:r w:rsidR="003B780A" w:rsidRPr="004B39D6">
        <w:rPr>
          <w:rFonts w:ascii="Book Antiqua" w:hAnsi="Book Antiqua" w:cs="Arial"/>
          <w:sz w:val="24"/>
          <w:szCs w:val="24"/>
          <w:lang w:val="en-US"/>
        </w:rPr>
        <w:t>) and a positive activation control with 1</w:t>
      </w:r>
      <w:r w:rsidR="003408DB" w:rsidRPr="004B39D6">
        <w:rPr>
          <w:rFonts w:ascii="Book Antiqua" w:hAnsi="Book Antiqua" w:cs="Arial"/>
          <w:sz w:val="24"/>
          <w:szCs w:val="24"/>
          <w:lang w:val="en-US"/>
        </w:rPr>
        <w:t xml:space="preserve">0 </w:t>
      </w:r>
      <w:proofErr w:type="spellStart"/>
      <w:r w:rsidR="003408DB" w:rsidRPr="004B39D6">
        <w:rPr>
          <w:rFonts w:ascii="Book Antiqua" w:hAnsi="Book Antiqua" w:cs="Arial"/>
          <w:sz w:val="24"/>
          <w:szCs w:val="24"/>
          <w:lang w:val="en-US"/>
        </w:rPr>
        <w:t>ng</w:t>
      </w:r>
      <w:proofErr w:type="spellEnd"/>
      <w:r w:rsidR="003B780A" w:rsidRPr="004B39D6">
        <w:rPr>
          <w:rFonts w:ascii="Book Antiqua" w:hAnsi="Book Antiqua" w:cs="Arial"/>
          <w:sz w:val="24"/>
          <w:szCs w:val="24"/>
          <w:lang w:val="en-US"/>
        </w:rPr>
        <w:t>/m</w:t>
      </w:r>
      <w:r w:rsidR="00412682" w:rsidRPr="004B39D6">
        <w:rPr>
          <w:rFonts w:ascii="Book Antiqua" w:hAnsi="Book Antiqua" w:cs="Arial"/>
          <w:sz w:val="24"/>
          <w:szCs w:val="24"/>
          <w:lang w:val="en-US"/>
        </w:rPr>
        <w:t>L</w:t>
      </w:r>
      <w:r w:rsidR="003B780A" w:rsidRPr="004B39D6">
        <w:rPr>
          <w:rFonts w:ascii="Book Antiqua" w:hAnsi="Book Antiqua" w:cs="Arial"/>
          <w:sz w:val="24"/>
          <w:szCs w:val="24"/>
          <w:lang w:val="en-US"/>
        </w:rPr>
        <w:t xml:space="preserve"> PMA + </w:t>
      </w:r>
      <w:r w:rsidR="003408DB" w:rsidRPr="004B39D6">
        <w:rPr>
          <w:rFonts w:ascii="Book Antiqua" w:hAnsi="Book Antiqua" w:cs="Arial"/>
          <w:sz w:val="24"/>
          <w:szCs w:val="24"/>
          <w:lang w:val="en-US"/>
        </w:rPr>
        <w:t>1 µ</w:t>
      </w:r>
      <w:r w:rsidR="003B780A" w:rsidRPr="004B39D6">
        <w:rPr>
          <w:rFonts w:ascii="Book Antiqua" w:hAnsi="Book Antiqua" w:cs="Arial"/>
          <w:sz w:val="24"/>
          <w:szCs w:val="24"/>
          <w:lang w:val="en-US"/>
        </w:rPr>
        <w:t>g/m</w:t>
      </w:r>
      <w:r w:rsidR="00412682" w:rsidRPr="004B39D6">
        <w:rPr>
          <w:rFonts w:ascii="Book Antiqua" w:hAnsi="Book Antiqua" w:cs="Arial"/>
          <w:sz w:val="24"/>
          <w:szCs w:val="24"/>
          <w:lang w:val="en-US"/>
        </w:rPr>
        <w:t xml:space="preserve">L </w:t>
      </w:r>
      <w:proofErr w:type="spellStart"/>
      <w:r w:rsidR="003B780A" w:rsidRPr="004B39D6">
        <w:rPr>
          <w:rFonts w:ascii="Book Antiqua" w:hAnsi="Book Antiqua" w:cs="Arial"/>
          <w:sz w:val="24"/>
          <w:szCs w:val="24"/>
          <w:lang w:val="en-US"/>
        </w:rPr>
        <w:t>ionomycin</w:t>
      </w:r>
      <w:proofErr w:type="spellEnd"/>
      <w:r w:rsidR="00A72D9E" w:rsidRPr="004B39D6">
        <w:rPr>
          <w:rFonts w:ascii="Book Antiqua" w:hAnsi="Book Antiqua" w:cs="Arial"/>
          <w:sz w:val="24"/>
          <w:szCs w:val="24"/>
          <w:lang w:val="en-US"/>
        </w:rPr>
        <w:t xml:space="preserve"> </w:t>
      </w:r>
      <w:r w:rsidR="003B780A" w:rsidRPr="004B39D6">
        <w:rPr>
          <w:rFonts w:ascii="Book Antiqua" w:hAnsi="Book Antiqua" w:cs="Arial"/>
          <w:sz w:val="24"/>
          <w:szCs w:val="24"/>
          <w:lang w:val="en-US"/>
        </w:rPr>
        <w:t>(Sigma Aldrich) were included in each assay. Pre-transplant samples were not available.</w:t>
      </w:r>
    </w:p>
    <w:p w14:paraId="2B0D3CA3" w14:textId="77777777" w:rsidR="003B780A" w:rsidRPr="004B39D6" w:rsidRDefault="003B780A" w:rsidP="0081528B">
      <w:pPr>
        <w:snapToGrid w:val="0"/>
        <w:spacing w:after="0" w:line="360" w:lineRule="auto"/>
        <w:jc w:val="both"/>
        <w:rPr>
          <w:rFonts w:ascii="Book Antiqua" w:hAnsi="Book Antiqua" w:cs="Arial"/>
          <w:b/>
          <w:sz w:val="24"/>
          <w:szCs w:val="24"/>
          <w:lang w:val="en-US"/>
        </w:rPr>
      </w:pPr>
    </w:p>
    <w:p w14:paraId="35DC10E2" w14:textId="4B7C6AB2" w:rsidR="003B780A" w:rsidRPr="004B39D6" w:rsidRDefault="003B780A" w:rsidP="0081528B">
      <w:pPr>
        <w:snapToGrid w:val="0"/>
        <w:spacing w:after="0" w:line="360" w:lineRule="auto"/>
        <w:jc w:val="both"/>
        <w:rPr>
          <w:rFonts w:ascii="Book Antiqua" w:hAnsi="Book Antiqua" w:cs="Arial"/>
          <w:b/>
          <w:i/>
          <w:sz w:val="24"/>
          <w:szCs w:val="24"/>
          <w:lang w:val="en-US"/>
        </w:rPr>
      </w:pPr>
      <w:r w:rsidRPr="004B39D6">
        <w:rPr>
          <w:rFonts w:ascii="Book Antiqua" w:hAnsi="Book Antiqua" w:cs="Arial"/>
          <w:b/>
          <w:i/>
          <w:sz w:val="24"/>
          <w:szCs w:val="24"/>
          <w:lang w:val="en-US"/>
        </w:rPr>
        <w:t xml:space="preserve">In </w:t>
      </w:r>
      <w:proofErr w:type="spellStart"/>
      <w:r w:rsidRPr="004B39D6">
        <w:rPr>
          <w:rFonts w:ascii="Book Antiqua" w:hAnsi="Book Antiqua" w:cs="Arial"/>
          <w:b/>
          <w:i/>
          <w:sz w:val="24"/>
          <w:szCs w:val="24"/>
          <w:lang w:val="en-US"/>
        </w:rPr>
        <w:t>silico</w:t>
      </w:r>
      <w:proofErr w:type="spellEnd"/>
      <w:r w:rsidRPr="004B39D6">
        <w:rPr>
          <w:rFonts w:ascii="Book Antiqua" w:hAnsi="Book Antiqua" w:cs="Arial"/>
          <w:b/>
          <w:i/>
          <w:sz w:val="24"/>
          <w:szCs w:val="24"/>
          <w:lang w:val="en-US"/>
        </w:rPr>
        <w:t xml:space="preserve"> analysis of MHC-peptide binding affinity</w:t>
      </w:r>
    </w:p>
    <w:p w14:paraId="56807582" w14:textId="77777777" w:rsidR="003B780A" w:rsidRPr="004B39D6" w:rsidRDefault="002607EA"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t>HLA class I and II b</w:t>
      </w:r>
      <w:r w:rsidR="00F675F0" w:rsidRPr="004B39D6">
        <w:rPr>
          <w:rFonts w:ascii="Book Antiqua" w:hAnsi="Book Antiqua" w:cs="Arial"/>
          <w:sz w:val="24"/>
          <w:szCs w:val="24"/>
          <w:lang w:val="en-US"/>
        </w:rPr>
        <w:t xml:space="preserve">inding afﬁnity </w:t>
      </w:r>
      <w:r w:rsidRPr="004B39D6">
        <w:rPr>
          <w:rFonts w:ascii="Book Antiqua" w:hAnsi="Book Antiqua" w:cs="Arial"/>
          <w:sz w:val="24"/>
          <w:szCs w:val="24"/>
          <w:lang w:val="en-US"/>
        </w:rPr>
        <w:t>to</w:t>
      </w:r>
      <w:r w:rsidR="00F675F0" w:rsidRPr="004B39D6">
        <w:rPr>
          <w:rFonts w:ascii="Book Antiqua" w:hAnsi="Book Antiqua" w:cs="Arial"/>
          <w:sz w:val="24"/>
          <w:szCs w:val="24"/>
          <w:lang w:val="en-US"/>
        </w:rPr>
        <w:t xml:space="preserve"> GSTT1 peptides </w:t>
      </w:r>
      <w:r w:rsidRPr="004B39D6">
        <w:rPr>
          <w:rFonts w:ascii="Book Antiqua" w:hAnsi="Book Antiqua" w:cs="Arial"/>
          <w:sz w:val="24"/>
          <w:szCs w:val="24"/>
          <w:lang w:val="en-US"/>
        </w:rPr>
        <w:t>was analyzed</w:t>
      </w:r>
      <w:r w:rsidR="00F675F0" w:rsidRPr="004B39D6">
        <w:rPr>
          <w:rFonts w:ascii="Book Antiqua" w:hAnsi="Book Antiqua" w:cs="Arial"/>
          <w:sz w:val="24"/>
          <w:szCs w:val="24"/>
          <w:lang w:val="en-US"/>
        </w:rPr>
        <w:t xml:space="preserve"> by the </w:t>
      </w:r>
      <w:r w:rsidR="003B780A" w:rsidRPr="004B39D6">
        <w:rPr>
          <w:rFonts w:ascii="Book Antiqua" w:hAnsi="Book Antiqua" w:cs="Arial"/>
          <w:sz w:val="24"/>
          <w:szCs w:val="24"/>
          <w:lang w:val="en-US"/>
        </w:rPr>
        <w:t>Immune Epitope Database (</w:t>
      </w:r>
      <w:r w:rsidR="003B780A" w:rsidRPr="004B39D6">
        <w:rPr>
          <w:rFonts w:ascii="Book Antiqua" w:hAnsi="Book Antiqua" w:cs="Arial"/>
          <w:color w:val="222222"/>
          <w:sz w:val="24"/>
          <w:szCs w:val="24"/>
          <w:lang w:val="en-US"/>
        </w:rPr>
        <w:t xml:space="preserve">IEDB) and Analysis Resources </w:t>
      </w:r>
      <w:proofErr w:type="spellStart"/>
      <w:r w:rsidR="003B780A" w:rsidRPr="004B39D6">
        <w:rPr>
          <w:rFonts w:ascii="Book Antiqua" w:hAnsi="Book Antiqua" w:cs="Arial"/>
          <w:color w:val="222222"/>
          <w:sz w:val="24"/>
          <w:szCs w:val="24"/>
          <w:lang w:val="en-US"/>
        </w:rPr>
        <w:t>NetMHCI</w:t>
      </w:r>
      <w:proofErr w:type="spellEnd"/>
      <w:r w:rsidR="003B780A" w:rsidRPr="004B39D6">
        <w:rPr>
          <w:rFonts w:ascii="Book Antiqua" w:hAnsi="Book Antiqua" w:cs="Arial"/>
          <w:color w:val="222222"/>
          <w:sz w:val="24"/>
          <w:szCs w:val="24"/>
          <w:lang w:val="en-US"/>
        </w:rPr>
        <w:t>/</w:t>
      </w:r>
      <w:proofErr w:type="spellStart"/>
      <w:r w:rsidR="003B780A" w:rsidRPr="004B39D6">
        <w:rPr>
          <w:rFonts w:ascii="Book Antiqua" w:hAnsi="Book Antiqua" w:cs="Arial"/>
          <w:color w:val="222222"/>
          <w:sz w:val="24"/>
          <w:szCs w:val="24"/>
          <w:lang w:val="en-US"/>
        </w:rPr>
        <w:t>IIpan</w:t>
      </w:r>
      <w:proofErr w:type="spellEnd"/>
      <w:r w:rsidR="003B780A" w:rsidRPr="004B39D6">
        <w:rPr>
          <w:rFonts w:ascii="Book Antiqua" w:hAnsi="Book Antiqua" w:cs="Arial"/>
          <w:sz w:val="24"/>
          <w:szCs w:val="24"/>
          <w:lang w:val="en-US"/>
        </w:rPr>
        <w:t xml:space="preserve">. </w:t>
      </w:r>
    </w:p>
    <w:p w14:paraId="1928DA0A" w14:textId="77777777" w:rsidR="003B780A" w:rsidRPr="004B39D6" w:rsidRDefault="003B780A" w:rsidP="0081528B">
      <w:pPr>
        <w:snapToGrid w:val="0"/>
        <w:spacing w:after="0" w:line="360" w:lineRule="auto"/>
        <w:jc w:val="both"/>
        <w:rPr>
          <w:rFonts w:ascii="Book Antiqua" w:hAnsi="Book Antiqua" w:cs="Arial"/>
          <w:sz w:val="24"/>
          <w:szCs w:val="24"/>
          <w:lang w:val="en-US"/>
        </w:rPr>
      </w:pPr>
    </w:p>
    <w:p w14:paraId="4F4174FE" w14:textId="77777777" w:rsidR="003B780A" w:rsidRPr="004B39D6" w:rsidRDefault="003B780A" w:rsidP="0081528B">
      <w:pPr>
        <w:snapToGrid w:val="0"/>
        <w:spacing w:after="0" w:line="360" w:lineRule="auto"/>
        <w:jc w:val="both"/>
        <w:rPr>
          <w:rFonts w:ascii="Book Antiqua" w:hAnsi="Book Antiqua" w:cs="Arial"/>
          <w:b/>
          <w:i/>
          <w:sz w:val="24"/>
          <w:szCs w:val="24"/>
          <w:lang w:val="en-US"/>
        </w:rPr>
      </w:pPr>
      <w:r w:rsidRPr="004B39D6">
        <w:rPr>
          <w:rFonts w:ascii="Book Antiqua" w:hAnsi="Book Antiqua" w:cs="Arial"/>
          <w:b/>
          <w:i/>
          <w:sz w:val="24"/>
          <w:szCs w:val="24"/>
          <w:lang w:val="en-US"/>
        </w:rPr>
        <w:t xml:space="preserve">Flow </w:t>
      </w:r>
      <w:proofErr w:type="spellStart"/>
      <w:r w:rsidRPr="004B39D6">
        <w:rPr>
          <w:rFonts w:ascii="Book Antiqua" w:hAnsi="Book Antiqua" w:cs="Arial"/>
          <w:b/>
          <w:i/>
          <w:sz w:val="24"/>
          <w:szCs w:val="24"/>
          <w:lang w:val="en-US"/>
        </w:rPr>
        <w:t>cytometry</w:t>
      </w:r>
      <w:proofErr w:type="spellEnd"/>
    </w:p>
    <w:p w14:paraId="1D32196E" w14:textId="472C0FA4" w:rsidR="003B780A" w:rsidRPr="004B39D6" w:rsidRDefault="007256AF"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t>Immunofluorescence</w:t>
      </w:r>
      <w:r w:rsidR="003B780A" w:rsidRPr="004B39D6">
        <w:rPr>
          <w:rFonts w:ascii="Book Antiqua" w:hAnsi="Book Antiqua" w:cs="Arial"/>
          <w:sz w:val="24"/>
          <w:szCs w:val="24"/>
          <w:lang w:val="en-US"/>
        </w:rPr>
        <w:t xml:space="preserve"> staining was performed after fixation and </w:t>
      </w:r>
      <w:proofErr w:type="spellStart"/>
      <w:r w:rsidR="003B780A" w:rsidRPr="004B39D6">
        <w:rPr>
          <w:rFonts w:ascii="Book Antiqua" w:hAnsi="Book Antiqua" w:cs="Arial"/>
          <w:sz w:val="24"/>
          <w:szCs w:val="24"/>
          <w:lang w:val="en-US"/>
        </w:rPr>
        <w:t>permeabilization</w:t>
      </w:r>
      <w:proofErr w:type="spellEnd"/>
      <w:r w:rsidR="003B780A" w:rsidRPr="004B39D6">
        <w:rPr>
          <w:rFonts w:ascii="Book Antiqua" w:hAnsi="Book Antiqua" w:cs="Arial"/>
          <w:sz w:val="24"/>
          <w:szCs w:val="24"/>
          <w:lang w:val="en-US"/>
        </w:rPr>
        <w:t xml:space="preserve"> using lysi</w:t>
      </w:r>
      <w:r w:rsidR="00FA630E" w:rsidRPr="004B39D6">
        <w:rPr>
          <w:rFonts w:ascii="Book Antiqua" w:hAnsi="Book Antiqua" w:cs="Arial"/>
          <w:sz w:val="24"/>
          <w:szCs w:val="24"/>
          <w:lang w:val="en-US"/>
        </w:rPr>
        <w:t>ng solution (BD Biosciences, CA</w:t>
      </w:r>
      <w:r w:rsidR="00452659" w:rsidRPr="004B39D6">
        <w:rPr>
          <w:rFonts w:ascii="Book Antiqua" w:hAnsi="Book Antiqua" w:cs="Arial"/>
          <w:sz w:val="24"/>
          <w:szCs w:val="24"/>
          <w:lang w:val="en-US"/>
        </w:rPr>
        <w:t>,</w:t>
      </w:r>
      <w:r w:rsidR="003B780A" w:rsidRPr="004B39D6">
        <w:rPr>
          <w:rFonts w:ascii="Book Antiqua" w:hAnsi="Book Antiqua" w:cs="Arial"/>
          <w:sz w:val="24"/>
          <w:szCs w:val="24"/>
          <w:lang w:val="en-US"/>
        </w:rPr>
        <w:t xml:space="preserve"> USA) </w:t>
      </w:r>
      <w:r w:rsidR="00831899" w:rsidRPr="004B39D6">
        <w:rPr>
          <w:rFonts w:ascii="Book Antiqua" w:hAnsi="Book Antiqua" w:cs="Arial"/>
          <w:sz w:val="24"/>
          <w:szCs w:val="24"/>
          <w:lang w:val="en-US"/>
        </w:rPr>
        <w:t>with</w:t>
      </w:r>
      <w:r w:rsidR="003B780A" w:rsidRPr="004B39D6">
        <w:rPr>
          <w:rFonts w:ascii="Book Antiqua" w:hAnsi="Book Antiqua" w:cs="Arial"/>
          <w:sz w:val="24"/>
          <w:szCs w:val="24"/>
          <w:lang w:val="en-US"/>
        </w:rPr>
        <w:t xml:space="preserve"> the following surface and intracellular markers: anti-human CD4-PerCP/CD8-APC/</w:t>
      </w:r>
      <w:proofErr w:type="spellStart"/>
      <w:r w:rsidR="003B780A" w:rsidRPr="004B39D6">
        <w:rPr>
          <w:rFonts w:ascii="Book Antiqua" w:hAnsi="Book Antiqua" w:cs="Arial"/>
          <w:sz w:val="24"/>
          <w:szCs w:val="24"/>
          <w:lang w:val="en-US"/>
        </w:rPr>
        <w:t>IFNγ</w:t>
      </w:r>
      <w:proofErr w:type="spellEnd"/>
      <w:r w:rsidR="003B780A" w:rsidRPr="004B39D6">
        <w:rPr>
          <w:rFonts w:ascii="Book Antiqua" w:hAnsi="Book Antiqua" w:cs="Arial"/>
          <w:sz w:val="24"/>
          <w:szCs w:val="24"/>
          <w:lang w:val="en-US"/>
        </w:rPr>
        <w:t>-FITC/IL-4-PE (Bect</w:t>
      </w:r>
      <w:r w:rsidR="00886DD0" w:rsidRPr="004B39D6">
        <w:rPr>
          <w:rFonts w:ascii="Book Antiqua" w:hAnsi="Book Antiqua" w:cs="Arial"/>
          <w:sz w:val="24"/>
          <w:szCs w:val="24"/>
          <w:lang w:val="en-US"/>
        </w:rPr>
        <w:t>on Dickinson BD Biosciences, CA</w:t>
      </w:r>
      <w:r w:rsidR="00452659" w:rsidRPr="004B39D6">
        <w:rPr>
          <w:rFonts w:ascii="Book Antiqua" w:hAnsi="Book Antiqua" w:cs="Arial"/>
          <w:sz w:val="24"/>
          <w:szCs w:val="24"/>
          <w:lang w:val="en-US"/>
        </w:rPr>
        <w:t>,</w:t>
      </w:r>
      <w:r w:rsidR="00886DD0" w:rsidRPr="004B39D6">
        <w:rPr>
          <w:rFonts w:ascii="Book Antiqua" w:hAnsi="Book Antiqua" w:cs="Arial"/>
          <w:sz w:val="24"/>
          <w:szCs w:val="24"/>
          <w:lang w:val="en-US"/>
        </w:rPr>
        <w:t xml:space="preserve"> </w:t>
      </w:r>
      <w:r w:rsidR="00412682" w:rsidRPr="00412682">
        <w:rPr>
          <w:rFonts w:ascii="Book Antiqua" w:hAnsi="Book Antiqua" w:cs="Arial"/>
          <w:sz w:val="24"/>
          <w:szCs w:val="24"/>
          <w:lang w:val="en-US"/>
        </w:rPr>
        <w:t>United States</w:t>
      </w:r>
      <w:r w:rsidR="003B780A" w:rsidRPr="004B39D6">
        <w:rPr>
          <w:rFonts w:ascii="Book Antiqua" w:hAnsi="Book Antiqua" w:cs="Arial"/>
          <w:sz w:val="24"/>
          <w:szCs w:val="24"/>
          <w:lang w:val="en-US"/>
        </w:rPr>
        <w:t xml:space="preserve">). Lymphocyte cytokine release patterns were analyzed by flow </w:t>
      </w:r>
      <w:proofErr w:type="spellStart"/>
      <w:r w:rsidR="003B780A" w:rsidRPr="004B39D6">
        <w:rPr>
          <w:rFonts w:ascii="Book Antiqua" w:hAnsi="Book Antiqua" w:cs="Arial"/>
          <w:sz w:val="24"/>
          <w:szCs w:val="24"/>
          <w:lang w:val="en-US"/>
        </w:rPr>
        <w:t>cytometry</w:t>
      </w:r>
      <w:proofErr w:type="spellEnd"/>
      <w:r w:rsidR="003B780A" w:rsidRPr="004B39D6">
        <w:rPr>
          <w:rFonts w:ascii="Book Antiqua" w:hAnsi="Book Antiqua" w:cs="Arial"/>
          <w:sz w:val="24"/>
          <w:szCs w:val="24"/>
          <w:lang w:val="en-US"/>
        </w:rPr>
        <w:t xml:space="preserve"> (</w:t>
      </w:r>
      <w:proofErr w:type="spellStart"/>
      <w:r w:rsidR="003B780A" w:rsidRPr="004B39D6">
        <w:rPr>
          <w:rFonts w:ascii="Book Antiqua" w:hAnsi="Book Antiqua" w:cs="Arial"/>
          <w:sz w:val="24"/>
          <w:szCs w:val="24"/>
          <w:lang w:val="en-US"/>
        </w:rPr>
        <w:t>FACSort</w:t>
      </w:r>
      <w:proofErr w:type="spellEnd"/>
      <w:r w:rsidR="003B780A" w:rsidRPr="004B39D6">
        <w:rPr>
          <w:rFonts w:ascii="Book Antiqua" w:hAnsi="Book Antiqua" w:cs="Arial"/>
          <w:sz w:val="24"/>
          <w:szCs w:val="24"/>
          <w:lang w:val="en-US"/>
        </w:rPr>
        <w:t xml:space="preserve">; BD Biosciences) using </w:t>
      </w:r>
      <w:proofErr w:type="spellStart"/>
      <w:r w:rsidR="003B780A" w:rsidRPr="004B39D6">
        <w:rPr>
          <w:rFonts w:ascii="Book Antiqua" w:hAnsi="Book Antiqua" w:cs="Arial"/>
          <w:sz w:val="24"/>
          <w:szCs w:val="24"/>
          <w:lang w:val="en-US"/>
        </w:rPr>
        <w:t>CELLQuest</w:t>
      </w:r>
      <w:proofErr w:type="spellEnd"/>
      <w:r w:rsidR="003B780A" w:rsidRPr="004B39D6">
        <w:rPr>
          <w:rFonts w:ascii="Book Antiqua" w:hAnsi="Book Antiqua" w:cs="Arial"/>
          <w:sz w:val="24"/>
          <w:szCs w:val="24"/>
          <w:lang w:val="en-US"/>
        </w:rPr>
        <w:t xml:space="preserve"> software. The specific cellular response to the different pools was calculated by subtracting the percentage of activation of T cells cultured without GSTT1 peptides (negative control). Typically</w:t>
      </w:r>
      <w:r w:rsidR="003D7268" w:rsidRPr="004B39D6">
        <w:rPr>
          <w:rFonts w:ascii="Book Antiqua" w:hAnsi="Book Antiqua" w:cs="Arial"/>
          <w:sz w:val="24"/>
          <w:szCs w:val="24"/>
          <w:lang w:val="en-US"/>
        </w:rPr>
        <w:t>,</w:t>
      </w:r>
      <w:r w:rsidR="003B780A" w:rsidRPr="004B39D6">
        <w:rPr>
          <w:rFonts w:ascii="Book Antiqua" w:hAnsi="Book Antiqua" w:cs="Arial"/>
          <w:sz w:val="24"/>
          <w:szCs w:val="24"/>
          <w:lang w:val="en-US"/>
        </w:rPr>
        <w:t xml:space="preserve"> 50000 events were collected using FL3 (CD4PerCP-Cy5) or FL4 (CD8-APC) as a fluorescent trigger. A second set of gating was drawn to include CD8</w:t>
      </w:r>
      <w:r w:rsidR="003B780A" w:rsidRPr="004B39D6">
        <w:rPr>
          <w:rFonts w:ascii="Book Antiqua" w:hAnsi="Book Antiqua" w:cs="Arial"/>
          <w:sz w:val="24"/>
          <w:szCs w:val="24"/>
          <w:vertAlign w:val="superscript"/>
          <w:lang w:val="en-US"/>
        </w:rPr>
        <w:t>-</w:t>
      </w:r>
      <w:r w:rsidR="00831899" w:rsidRPr="004B39D6">
        <w:rPr>
          <w:rFonts w:ascii="Book Antiqua" w:hAnsi="Book Antiqua" w:cs="Arial"/>
          <w:sz w:val="24"/>
          <w:szCs w:val="24"/>
          <w:vertAlign w:val="superscript"/>
          <w:lang w:val="en-US"/>
        </w:rPr>
        <w:t xml:space="preserve"> </w:t>
      </w:r>
      <w:r w:rsidR="003B780A" w:rsidRPr="004B39D6">
        <w:rPr>
          <w:rFonts w:ascii="Book Antiqua" w:hAnsi="Book Antiqua" w:cs="Arial"/>
          <w:sz w:val="24"/>
          <w:szCs w:val="24"/>
          <w:lang w:val="en-US"/>
        </w:rPr>
        <w:t>or CD8</w:t>
      </w:r>
      <w:r w:rsidR="003B780A" w:rsidRPr="004B39D6">
        <w:rPr>
          <w:rFonts w:ascii="Book Antiqua" w:hAnsi="Book Antiqua" w:cs="Arial"/>
          <w:sz w:val="24"/>
          <w:szCs w:val="24"/>
          <w:vertAlign w:val="superscript"/>
          <w:lang w:val="en-US"/>
        </w:rPr>
        <w:t xml:space="preserve">low </w:t>
      </w:r>
      <w:r w:rsidR="003B780A" w:rsidRPr="004B39D6">
        <w:rPr>
          <w:rFonts w:ascii="Book Antiqua" w:hAnsi="Book Antiqua" w:cs="Arial"/>
          <w:sz w:val="24"/>
          <w:szCs w:val="24"/>
          <w:lang w:val="en-US"/>
        </w:rPr>
        <w:t xml:space="preserve">and </w:t>
      </w:r>
      <w:proofErr w:type="spellStart"/>
      <w:r w:rsidR="003B780A" w:rsidRPr="004B39D6">
        <w:rPr>
          <w:rFonts w:ascii="Book Antiqua" w:hAnsi="Book Antiqua" w:cs="Arial"/>
          <w:sz w:val="24"/>
          <w:szCs w:val="24"/>
          <w:lang w:val="en-US"/>
        </w:rPr>
        <w:t>IFNγ</w:t>
      </w:r>
      <w:proofErr w:type="spellEnd"/>
      <w:r w:rsidR="003B780A" w:rsidRPr="004B39D6">
        <w:rPr>
          <w:rFonts w:ascii="Book Antiqua" w:hAnsi="Book Antiqua" w:cs="Arial"/>
          <w:sz w:val="24"/>
          <w:szCs w:val="24"/>
          <w:lang w:val="en-US"/>
        </w:rPr>
        <w:t xml:space="preserve"> and IL-4 expression. </w:t>
      </w:r>
    </w:p>
    <w:p w14:paraId="13CEFCFA" w14:textId="77777777" w:rsidR="0081528B" w:rsidRPr="004B39D6" w:rsidRDefault="0081528B" w:rsidP="0081528B">
      <w:pPr>
        <w:snapToGrid w:val="0"/>
        <w:spacing w:after="0" w:line="360" w:lineRule="auto"/>
        <w:jc w:val="both"/>
        <w:rPr>
          <w:rFonts w:ascii="Book Antiqua" w:hAnsi="Book Antiqua" w:cs="Arial"/>
          <w:sz w:val="24"/>
          <w:szCs w:val="24"/>
          <w:lang w:val="en-US" w:eastAsia="zh-CN"/>
        </w:rPr>
      </w:pPr>
    </w:p>
    <w:p w14:paraId="26064CAE" w14:textId="06CBBDDE" w:rsidR="003B780A" w:rsidRPr="004B39D6" w:rsidRDefault="003B780A" w:rsidP="0081528B">
      <w:pPr>
        <w:snapToGrid w:val="0"/>
        <w:spacing w:after="0" w:line="360" w:lineRule="auto"/>
        <w:jc w:val="both"/>
        <w:rPr>
          <w:rFonts w:ascii="Book Antiqua" w:hAnsi="Book Antiqua" w:cs="Arial"/>
          <w:b/>
          <w:sz w:val="24"/>
          <w:szCs w:val="24"/>
          <w:lang w:val="en-US"/>
        </w:rPr>
      </w:pPr>
      <w:r w:rsidRPr="004B39D6">
        <w:rPr>
          <w:rFonts w:ascii="Book Antiqua" w:hAnsi="Book Antiqua" w:cs="Arial"/>
          <w:b/>
          <w:sz w:val="24"/>
          <w:szCs w:val="24"/>
          <w:lang w:val="en-US"/>
        </w:rPr>
        <w:t>RESULTS</w:t>
      </w:r>
    </w:p>
    <w:p w14:paraId="5AB88022" w14:textId="77777777" w:rsidR="003B780A" w:rsidRPr="004B39D6" w:rsidRDefault="003B780A" w:rsidP="0081528B">
      <w:pPr>
        <w:snapToGrid w:val="0"/>
        <w:spacing w:after="0" w:line="360" w:lineRule="auto"/>
        <w:jc w:val="both"/>
        <w:rPr>
          <w:rFonts w:ascii="Book Antiqua" w:hAnsi="Book Antiqua" w:cs="Arial"/>
          <w:b/>
          <w:i/>
          <w:sz w:val="24"/>
          <w:szCs w:val="24"/>
          <w:lang w:val="en-US"/>
        </w:rPr>
      </w:pPr>
      <w:r w:rsidRPr="004B39D6">
        <w:rPr>
          <w:rFonts w:ascii="Book Antiqua" w:hAnsi="Book Antiqua" w:cs="Arial"/>
          <w:b/>
          <w:i/>
          <w:sz w:val="24"/>
          <w:szCs w:val="24"/>
          <w:lang w:val="en-US"/>
        </w:rPr>
        <w:lastRenderedPageBreak/>
        <w:t>Identification of memory T cell subsets specific for the GSTT1 antigen</w:t>
      </w:r>
    </w:p>
    <w:p w14:paraId="731878C8" w14:textId="11D89181" w:rsidR="0095755D" w:rsidRPr="004B39D6" w:rsidRDefault="00A0279E" w:rsidP="0081528B">
      <w:pPr>
        <w:tabs>
          <w:tab w:val="left" w:pos="990"/>
        </w:tabs>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t xml:space="preserve">We have categorized as positive the populations with more than 1% of activated cells. </w:t>
      </w:r>
      <w:r w:rsidR="00C062DE" w:rsidRPr="004B39D6">
        <w:rPr>
          <w:rFonts w:ascii="Book Antiqua" w:hAnsi="Book Antiqua" w:cs="Arial"/>
          <w:sz w:val="24"/>
          <w:szCs w:val="24"/>
          <w:lang w:val="en-US"/>
        </w:rPr>
        <w:t xml:space="preserve">All </w:t>
      </w:r>
      <w:r w:rsidR="001312CB" w:rsidRPr="004B39D6">
        <w:rPr>
          <w:rFonts w:ascii="Book Antiqua" w:hAnsi="Book Antiqua" w:cs="Arial"/>
          <w:sz w:val="24"/>
          <w:szCs w:val="24"/>
          <w:lang w:val="en-US"/>
        </w:rPr>
        <w:t xml:space="preserve">of </w:t>
      </w:r>
      <w:r w:rsidR="00C062DE" w:rsidRPr="004B39D6">
        <w:rPr>
          <w:rFonts w:ascii="Book Antiqua" w:hAnsi="Book Antiqua" w:cs="Arial"/>
          <w:sz w:val="24"/>
          <w:szCs w:val="24"/>
          <w:lang w:val="en-US"/>
        </w:rPr>
        <w:t>the</w:t>
      </w:r>
      <w:r w:rsidR="003408DB" w:rsidRPr="004B39D6">
        <w:rPr>
          <w:rFonts w:ascii="Book Antiqua" w:hAnsi="Book Antiqua" w:cs="Arial"/>
          <w:sz w:val="24"/>
          <w:szCs w:val="24"/>
          <w:lang w:val="en-US"/>
        </w:rPr>
        <w:t xml:space="preserve"> patients who </w:t>
      </w:r>
      <w:r w:rsidR="00C062DE" w:rsidRPr="004B39D6">
        <w:rPr>
          <w:rFonts w:ascii="Book Antiqua" w:hAnsi="Book Antiqua" w:cs="Arial"/>
          <w:sz w:val="24"/>
          <w:szCs w:val="24"/>
          <w:lang w:val="en-US"/>
        </w:rPr>
        <w:t>showed stimulation revealed a polyclonal T cell response</w:t>
      </w:r>
      <w:r w:rsidR="00D24B68" w:rsidRPr="004B39D6">
        <w:rPr>
          <w:rFonts w:ascii="Book Antiqua" w:hAnsi="Book Antiqua" w:cs="Arial"/>
          <w:sz w:val="24"/>
          <w:szCs w:val="24"/>
          <w:lang w:val="en-US"/>
        </w:rPr>
        <w:t xml:space="preserve"> since we observed stimulation with more than one peptide. For simplicity </w:t>
      </w:r>
      <w:r w:rsidR="00200BD2" w:rsidRPr="004B39D6">
        <w:rPr>
          <w:rFonts w:ascii="Book Antiqua" w:hAnsi="Book Antiqua" w:cs="Arial"/>
          <w:sz w:val="24"/>
          <w:szCs w:val="24"/>
          <w:lang w:val="en-US"/>
        </w:rPr>
        <w:t>reasons</w:t>
      </w:r>
      <w:r w:rsidR="0030337F" w:rsidRPr="004B39D6">
        <w:rPr>
          <w:rFonts w:ascii="Book Antiqua" w:hAnsi="Book Antiqua" w:cs="Arial"/>
          <w:sz w:val="24"/>
          <w:szCs w:val="24"/>
          <w:lang w:val="en-US"/>
        </w:rPr>
        <w:t>,</w:t>
      </w:r>
      <w:r w:rsidR="00200BD2" w:rsidRPr="004B39D6">
        <w:rPr>
          <w:rFonts w:ascii="Book Antiqua" w:hAnsi="Book Antiqua" w:cs="Arial"/>
          <w:sz w:val="24"/>
          <w:szCs w:val="24"/>
          <w:lang w:val="en-US"/>
        </w:rPr>
        <w:t xml:space="preserve"> </w:t>
      </w:r>
      <w:r w:rsidR="00D24B68" w:rsidRPr="004B39D6">
        <w:rPr>
          <w:rFonts w:ascii="Book Antiqua" w:hAnsi="Book Antiqua" w:cs="Arial"/>
          <w:sz w:val="24"/>
          <w:szCs w:val="24"/>
          <w:lang w:val="en-US"/>
        </w:rPr>
        <w:t xml:space="preserve">we have represented the highest </w:t>
      </w:r>
      <w:r w:rsidR="001F66EC" w:rsidRPr="004B39D6">
        <w:rPr>
          <w:rFonts w:ascii="Book Antiqua" w:hAnsi="Book Antiqua" w:cs="Arial"/>
          <w:sz w:val="24"/>
          <w:szCs w:val="24"/>
          <w:lang w:val="en-US"/>
        </w:rPr>
        <w:t>percentage</w:t>
      </w:r>
      <w:r w:rsidR="00D24B68" w:rsidRPr="004B39D6">
        <w:rPr>
          <w:rFonts w:ascii="Book Antiqua" w:hAnsi="Book Antiqua" w:cs="Arial"/>
          <w:sz w:val="24"/>
          <w:szCs w:val="24"/>
          <w:lang w:val="en-US"/>
        </w:rPr>
        <w:t xml:space="preserve"> of cell activation </w:t>
      </w:r>
      <w:r w:rsidR="00200BD2" w:rsidRPr="004B39D6">
        <w:rPr>
          <w:rFonts w:ascii="Book Antiqua" w:hAnsi="Book Antiqua" w:cs="Arial"/>
          <w:sz w:val="24"/>
          <w:szCs w:val="24"/>
          <w:lang w:val="en-US"/>
        </w:rPr>
        <w:t>among the positive values obtained with</w:t>
      </w:r>
      <w:r w:rsidR="001F66EC" w:rsidRPr="004B39D6">
        <w:rPr>
          <w:rFonts w:ascii="Book Antiqua" w:hAnsi="Book Antiqua" w:cs="Arial"/>
          <w:sz w:val="24"/>
          <w:szCs w:val="24"/>
          <w:lang w:val="en-US"/>
        </w:rPr>
        <w:t xml:space="preserve"> </w:t>
      </w:r>
      <w:r w:rsidR="00200BD2" w:rsidRPr="004B39D6">
        <w:rPr>
          <w:rFonts w:ascii="Book Antiqua" w:hAnsi="Book Antiqua" w:cs="Arial"/>
          <w:sz w:val="24"/>
          <w:szCs w:val="24"/>
          <w:lang w:val="en-US"/>
        </w:rPr>
        <w:t>each peptide</w:t>
      </w:r>
      <w:r w:rsidR="001F66EC" w:rsidRPr="004B39D6">
        <w:rPr>
          <w:rFonts w:ascii="Book Antiqua" w:hAnsi="Book Antiqua" w:cs="Arial"/>
          <w:sz w:val="24"/>
          <w:szCs w:val="24"/>
          <w:lang w:val="en-US"/>
        </w:rPr>
        <w:t xml:space="preserve"> </w:t>
      </w:r>
      <w:r w:rsidR="00C062DE" w:rsidRPr="004B39D6">
        <w:rPr>
          <w:rFonts w:ascii="Book Antiqua" w:hAnsi="Book Antiqua" w:cs="Arial"/>
          <w:sz w:val="24"/>
          <w:szCs w:val="24"/>
          <w:lang w:val="en-US"/>
        </w:rPr>
        <w:t>(Figure 1</w:t>
      </w:r>
      <w:r w:rsidR="001F66EC" w:rsidRPr="004B39D6">
        <w:rPr>
          <w:rFonts w:ascii="Book Antiqua" w:hAnsi="Book Antiqua" w:cs="Arial"/>
          <w:sz w:val="24"/>
          <w:szCs w:val="24"/>
          <w:lang w:val="en-US"/>
        </w:rPr>
        <w:t xml:space="preserve"> and Table 3</w:t>
      </w:r>
      <w:r w:rsidR="00C062DE" w:rsidRPr="004B39D6">
        <w:rPr>
          <w:rFonts w:ascii="Book Antiqua" w:hAnsi="Book Antiqua" w:cs="Arial"/>
          <w:sz w:val="24"/>
          <w:szCs w:val="24"/>
          <w:lang w:val="en-US"/>
        </w:rPr>
        <w:t xml:space="preserve">). </w:t>
      </w:r>
      <w:r w:rsidR="003B780A" w:rsidRPr="004B39D6">
        <w:rPr>
          <w:rFonts w:ascii="Book Antiqua" w:hAnsi="Book Antiqua" w:cs="Arial"/>
          <w:sz w:val="24"/>
          <w:szCs w:val="24"/>
          <w:lang w:val="en-US"/>
        </w:rPr>
        <w:t xml:space="preserve">The group of patients with </w:t>
      </w:r>
      <w:r w:rsidR="0021275B" w:rsidRPr="004B39D6">
        <w:rPr>
          <w:rFonts w:ascii="Book Antiqua" w:hAnsi="Book Antiqua" w:cs="Arial"/>
          <w:sz w:val="24"/>
          <w:szCs w:val="24"/>
          <w:lang w:val="en-US"/>
        </w:rPr>
        <w:t xml:space="preserve">PC-rich </w:t>
      </w:r>
      <w:r w:rsidR="00D369BE" w:rsidRPr="004B39D6">
        <w:rPr>
          <w:rFonts w:ascii="Book Antiqua" w:hAnsi="Book Antiqua" w:cs="Arial"/>
          <w:sz w:val="24"/>
          <w:szCs w:val="24"/>
          <w:lang w:val="en-US"/>
        </w:rPr>
        <w:t>rejection</w:t>
      </w:r>
      <w:r w:rsidR="003B780A" w:rsidRPr="004B39D6">
        <w:rPr>
          <w:rFonts w:ascii="Book Antiqua" w:hAnsi="Book Antiqua" w:cs="Arial"/>
          <w:sz w:val="24"/>
          <w:szCs w:val="24"/>
          <w:lang w:val="en-US"/>
        </w:rPr>
        <w:t xml:space="preserve"> (gr</w:t>
      </w:r>
      <w:r w:rsidR="00D369BE" w:rsidRPr="004B39D6">
        <w:rPr>
          <w:rFonts w:ascii="Book Antiqua" w:hAnsi="Book Antiqua" w:cs="Arial"/>
          <w:sz w:val="24"/>
          <w:szCs w:val="24"/>
          <w:lang w:val="en-US"/>
        </w:rPr>
        <w:t xml:space="preserve">oup 1) </w:t>
      </w:r>
      <w:r w:rsidR="00C062DE" w:rsidRPr="004B39D6">
        <w:rPr>
          <w:rFonts w:ascii="Book Antiqua" w:hAnsi="Book Antiqua" w:cs="Arial"/>
          <w:sz w:val="24"/>
          <w:szCs w:val="24"/>
          <w:lang w:val="en-US"/>
        </w:rPr>
        <w:t>was</w:t>
      </w:r>
      <w:r w:rsidRPr="004B39D6">
        <w:rPr>
          <w:rFonts w:ascii="Book Antiqua" w:hAnsi="Book Antiqua" w:cs="Arial"/>
          <w:sz w:val="24"/>
          <w:szCs w:val="24"/>
          <w:lang w:val="en-US"/>
        </w:rPr>
        <w:t xml:space="preserve"> the only </w:t>
      </w:r>
      <w:r w:rsidR="00C062DE" w:rsidRPr="004B39D6">
        <w:rPr>
          <w:rFonts w:ascii="Book Antiqua" w:hAnsi="Book Antiqua" w:cs="Arial"/>
          <w:sz w:val="24"/>
          <w:szCs w:val="24"/>
          <w:lang w:val="en-US"/>
        </w:rPr>
        <w:t>group</w:t>
      </w:r>
      <w:r w:rsidRPr="004B39D6">
        <w:rPr>
          <w:rFonts w:ascii="Book Antiqua" w:hAnsi="Book Antiqua" w:cs="Arial"/>
          <w:sz w:val="24"/>
          <w:szCs w:val="24"/>
          <w:lang w:val="en-US"/>
        </w:rPr>
        <w:t xml:space="preserve"> in which activation of CD8</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T cells was detected</w:t>
      </w:r>
      <w:r w:rsidR="001F66EC" w:rsidRPr="004B39D6">
        <w:rPr>
          <w:rFonts w:ascii="Book Antiqua" w:hAnsi="Book Antiqua" w:cs="Arial"/>
          <w:sz w:val="24"/>
          <w:szCs w:val="24"/>
          <w:lang w:val="en-US"/>
        </w:rPr>
        <w:t xml:space="preserve"> in 3 patients</w:t>
      </w:r>
      <w:r w:rsidR="005764E0" w:rsidRPr="004B39D6">
        <w:rPr>
          <w:rFonts w:ascii="Book Antiqua" w:hAnsi="Book Antiqua" w:cs="Arial"/>
          <w:sz w:val="24"/>
          <w:szCs w:val="24"/>
          <w:lang w:val="en-US"/>
        </w:rPr>
        <w:t xml:space="preserve">, expressing IL-4, </w:t>
      </w:r>
      <w:proofErr w:type="spellStart"/>
      <w:r w:rsidR="005764E0" w:rsidRPr="004B39D6">
        <w:rPr>
          <w:rFonts w:ascii="Book Antiqua" w:hAnsi="Book Antiqua" w:cs="Arial"/>
          <w:sz w:val="24"/>
          <w:szCs w:val="24"/>
          <w:lang w:val="en-US"/>
        </w:rPr>
        <w:t>IFNγ</w:t>
      </w:r>
      <w:proofErr w:type="spellEnd"/>
      <w:r w:rsidR="005764E0" w:rsidRPr="004B39D6">
        <w:rPr>
          <w:rFonts w:ascii="Book Antiqua" w:hAnsi="Book Antiqua" w:cs="Arial"/>
          <w:sz w:val="24"/>
          <w:szCs w:val="24"/>
          <w:lang w:val="en-US"/>
        </w:rPr>
        <w:t xml:space="preserve"> or both cytokines simultaneously</w:t>
      </w:r>
      <w:r w:rsidRPr="004B39D6">
        <w:rPr>
          <w:rFonts w:ascii="Book Antiqua" w:hAnsi="Book Antiqua" w:cs="Arial"/>
          <w:sz w:val="24"/>
          <w:szCs w:val="24"/>
          <w:lang w:val="en-US"/>
        </w:rPr>
        <w:t xml:space="preserve">. </w:t>
      </w:r>
      <w:r w:rsidR="00C062DE" w:rsidRPr="004B39D6">
        <w:rPr>
          <w:rFonts w:ascii="Book Antiqua" w:hAnsi="Book Antiqua" w:cs="Arial"/>
          <w:sz w:val="24"/>
          <w:szCs w:val="24"/>
          <w:lang w:val="en-US"/>
        </w:rPr>
        <w:t>This group</w:t>
      </w:r>
      <w:r w:rsidRPr="004B39D6">
        <w:rPr>
          <w:rFonts w:ascii="Book Antiqua" w:hAnsi="Book Antiqua" w:cs="Arial"/>
          <w:sz w:val="24"/>
          <w:szCs w:val="24"/>
          <w:lang w:val="en-US"/>
        </w:rPr>
        <w:t xml:space="preserve"> also </w:t>
      </w:r>
      <w:r w:rsidR="00D369BE" w:rsidRPr="004B39D6">
        <w:rPr>
          <w:rFonts w:ascii="Book Antiqua" w:hAnsi="Book Antiqua" w:cs="Arial"/>
          <w:sz w:val="24"/>
          <w:szCs w:val="24"/>
          <w:lang w:val="en-US"/>
        </w:rPr>
        <w:t xml:space="preserve">shows the most abundant </w:t>
      </w:r>
      <w:r w:rsidR="003B780A" w:rsidRPr="004B39D6">
        <w:rPr>
          <w:rFonts w:ascii="Book Antiqua" w:hAnsi="Book Antiqua" w:cs="Arial"/>
          <w:sz w:val="24"/>
          <w:szCs w:val="24"/>
          <w:lang w:val="en-US"/>
        </w:rPr>
        <w:t>and diverse patterns of CD4</w:t>
      </w:r>
      <w:r w:rsidR="003B780A" w:rsidRPr="004B39D6">
        <w:rPr>
          <w:rFonts w:ascii="Book Antiqua" w:hAnsi="Book Antiqua" w:cs="Arial"/>
          <w:sz w:val="24"/>
          <w:szCs w:val="24"/>
          <w:vertAlign w:val="superscript"/>
          <w:lang w:val="en-US"/>
        </w:rPr>
        <w:t>+</w:t>
      </w:r>
      <w:r w:rsidR="003B780A" w:rsidRPr="004B39D6">
        <w:rPr>
          <w:rFonts w:ascii="Book Antiqua" w:hAnsi="Book Antiqua" w:cs="Arial"/>
          <w:sz w:val="24"/>
          <w:szCs w:val="24"/>
          <w:lang w:val="en-US"/>
        </w:rPr>
        <w:t xml:space="preserve"> </w:t>
      </w:r>
      <w:r w:rsidR="001430C1" w:rsidRPr="004B39D6">
        <w:rPr>
          <w:rFonts w:ascii="Book Antiqua" w:hAnsi="Book Antiqua" w:cs="Arial"/>
          <w:sz w:val="24"/>
          <w:szCs w:val="24"/>
          <w:lang w:val="en-US"/>
        </w:rPr>
        <w:t xml:space="preserve">T cell </w:t>
      </w:r>
      <w:r w:rsidR="003B780A" w:rsidRPr="004B39D6">
        <w:rPr>
          <w:rFonts w:ascii="Book Antiqua" w:hAnsi="Book Antiqua" w:cs="Arial"/>
          <w:sz w:val="24"/>
          <w:szCs w:val="24"/>
          <w:lang w:val="en-US"/>
        </w:rPr>
        <w:t>activation exhibiting Th0</w:t>
      </w:r>
      <w:r w:rsidR="001F66EC" w:rsidRPr="004B39D6">
        <w:rPr>
          <w:rFonts w:ascii="Book Antiqua" w:hAnsi="Book Antiqua" w:cs="Arial"/>
          <w:sz w:val="24"/>
          <w:szCs w:val="24"/>
          <w:lang w:val="en-US"/>
        </w:rPr>
        <w:t xml:space="preserve"> (IL-4/ </w:t>
      </w:r>
      <w:proofErr w:type="spellStart"/>
      <w:r w:rsidR="001F66EC" w:rsidRPr="004B39D6">
        <w:rPr>
          <w:rFonts w:ascii="Book Antiqua" w:hAnsi="Book Antiqua" w:cs="Arial"/>
          <w:sz w:val="24"/>
          <w:szCs w:val="24"/>
          <w:lang w:val="en-US"/>
        </w:rPr>
        <w:t>IFN</w:t>
      </w:r>
      <w:r w:rsidR="0081528B" w:rsidRPr="004B39D6">
        <w:rPr>
          <w:rFonts w:ascii="Book Antiqua" w:hAnsi="Book Antiqua" w:cs="Arial"/>
          <w:sz w:val="24"/>
          <w:szCs w:val="24"/>
          <w:lang w:val="en-US"/>
        </w:rPr>
        <w:t>γ</w:t>
      </w:r>
      <w:proofErr w:type="spellEnd"/>
      <w:r w:rsidR="001F66EC" w:rsidRPr="004B39D6">
        <w:rPr>
          <w:rFonts w:ascii="Book Antiqua" w:hAnsi="Book Antiqua" w:cs="Arial"/>
          <w:sz w:val="24"/>
          <w:szCs w:val="24"/>
          <w:lang w:val="en-US"/>
        </w:rPr>
        <w:t>)</w:t>
      </w:r>
      <w:r w:rsidR="003B780A" w:rsidRPr="004B39D6">
        <w:rPr>
          <w:rFonts w:ascii="Book Antiqua" w:hAnsi="Book Antiqua" w:cs="Arial"/>
          <w:sz w:val="24"/>
          <w:szCs w:val="24"/>
          <w:lang w:val="en-US"/>
        </w:rPr>
        <w:t xml:space="preserve">, Th1 </w:t>
      </w:r>
      <w:r w:rsidR="001F66EC" w:rsidRPr="004B39D6">
        <w:rPr>
          <w:rFonts w:ascii="Book Antiqua" w:hAnsi="Book Antiqua" w:cs="Arial"/>
          <w:sz w:val="24"/>
          <w:szCs w:val="24"/>
          <w:lang w:val="en-US"/>
        </w:rPr>
        <w:t>(</w:t>
      </w:r>
      <w:proofErr w:type="spellStart"/>
      <w:r w:rsidR="001F66EC" w:rsidRPr="004B39D6">
        <w:rPr>
          <w:rFonts w:ascii="Book Antiqua" w:hAnsi="Book Antiqua" w:cs="Arial"/>
          <w:sz w:val="24"/>
          <w:szCs w:val="24"/>
          <w:lang w:val="en-US"/>
        </w:rPr>
        <w:t>IFNγ</w:t>
      </w:r>
      <w:proofErr w:type="spellEnd"/>
      <w:r w:rsidR="001F66EC" w:rsidRPr="004B39D6">
        <w:rPr>
          <w:rFonts w:ascii="Book Antiqua" w:hAnsi="Book Antiqua" w:cs="Arial"/>
          <w:sz w:val="24"/>
          <w:szCs w:val="24"/>
          <w:lang w:val="en-US"/>
        </w:rPr>
        <w:t xml:space="preserve">) </w:t>
      </w:r>
      <w:r w:rsidR="003B780A" w:rsidRPr="004B39D6">
        <w:rPr>
          <w:rFonts w:ascii="Book Antiqua" w:hAnsi="Book Antiqua" w:cs="Arial"/>
          <w:sz w:val="24"/>
          <w:szCs w:val="24"/>
          <w:lang w:val="en-US"/>
        </w:rPr>
        <w:t xml:space="preserve">and Th2 </w:t>
      </w:r>
      <w:r w:rsidR="001F66EC" w:rsidRPr="004B39D6">
        <w:rPr>
          <w:rFonts w:ascii="Book Antiqua" w:hAnsi="Book Antiqua" w:cs="Arial"/>
          <w:sz w:val="24"/>
          <w:szCs w:val="24"/>
          <w:lang w:val="en-US"/>
        </w:rPr>
        <w:t xml:space="preserve">(IL-4) </w:t>
      </w:r>
      <w:r w:rsidR="001430C1" w:rsidRPr="004B39D6">
        <w:rPr>
          <w:rFonts w:ascii="Book Antiqua" w:hAnsi="Book Antiqua" w:cs="Arial"/>
          <w:sz w:val="24"/>
          <w:szCs w:val="24"/>
          <w:lang w:val="en-US"/>
        </w:rPr>
        <w:t>pathways</w:t>
      </w:r>
      <w:r w:rsidR="000F7404" w:rsidRPr="004B39D6">
        <w:rPr>
          <w:rFonts w:ascii="Book Antiqua" w:hAnsi="Book Antiqua" w:cs="Arial"/>
          <w:sz w:val="24"/>
          <w:szCs w:val="24"/>
          <w:lang w:val="en-US"/>
        </w:rPr>
        <w:t xml:space="preserve">, although cellular activation is not exclusive of group 1 and </w:t>
      </w:r>
      <w:r w:rsidR="00E5288A" w:rsidRPr="004B39D6">
        <w:rPr>
          <w:rFonts w:ascii="Book Antiqua" w:hAnsi="Book Antiqua" w:cs="Arial"/>
          <w:sz w:val="24"/>
          <w:szCs w:val="24"/>
          <w:lang w:val="en-US"/>
        </w:rPr>
        <w:t xml:space="preserve">was </w:t>
      </w:r>
      <w:r w:rsidR="000F7404" w:rsidRPr="004B39D6">
        <w:rPr>
          <w:rFonts w:ascii="Book Antiqua" w:hAnsi="Book Antiqua" w:cs="Arial"/>
          <w:sz w:val="24"/>
          <w:szCs w:val="24"/>
          <w:lang w:val="en-US"/>
        </w:rPr>
        <w:t xml:space="preserve">also observed in two patients included in group 3 (Table </w:t>
      </w:r>
      <w:r w:rsidR="001F66EC" w:rsidRPr="004B39D6">
        <w:rPr>
          <w:rFonts w:ascii="Book Antiqua" w:hAnsi="Book Antiqua" w:cs="Arial"/>
          <w:sz w:val="24"/>
          <w:szCs w:val="24"/>
          <w:lang w:val="en-US"/>
        </w:rPr>
        <w:t>3</w:t>
      </w:r>
      <w:r w:rsidR="000F7404" w:rsidRPr="004B39D6">
        <w:rPr>
          <w:rFonts w:ascii="Book Antiqua" w:hAnsi="Book Antiqua" w:cs="Arial"/>
          <w:sz w:val="24"/>
          <w:szCs w:val="24"/>
          <w:lang w:val="en-US"/>
        </w:rPr>
        <w:t>)</w:t>
      </w:r>
      <w:r w:rsidR="003B780A" w:rsidRPr="004B39D6">
        <w:rPr>
          <w:rFonts w:ascii="Book Antiqua" w:hAnsi="Book Antiqua" w:cs="Arial"/>
          <w:sz w:val="24"/>
          <w:szCs w:val="24"/>
          <w:lang w:val="en-US"/>
        </w:rPr>
        <w:t>. The most striking result was the presence of CD4</w:t>
      </w:r>
      <w:r w:rsidR="003B780A" w:rsidRPr="004B39D6">
        <w:rPr>
          <w:rFonts w:ascii="Book Antiqua" w:hAnsi="Book Antiqua" w:cs="Arial"/>
          <w:sz w:val="24"/>
          <w:szCs w:val="24"/>
          <w:vertAlign w:val="superscript"/>
          <w:lang w:val="en-US"/>
        </w:rPr>
        <w:t>+</w:t>
      </w:r>
      <w:r w:rsidR="003B780A" w:rsidRPr="004B39D6">
        <w:rPr>
          <w:rFonts w:ascii="Book Antiqua" w:hAnsi="Book Antiqua" w:cs="Arial"/>
          <w:sz w:val="24"/>
          <w:szCs w:val="24"/>
          <w:lang w:val="en-US"/>
        </w:rPr>
        <w:t>CD8</w:t>
      </w:r>
      <w:r w:rsidR="003B780A" w:rsidRPr="004B39D6">
        <w:rPr>
          <w:rFonts w:ascii="Book Antiqua" w:hAnsi="Book Antiqua" w:cs="Arial"/>
          <w:sz w:val="24"/>
          <w:szCs w:val="24"/>
          <w:vertAlign w:val="superscript"/>
          <w:lang w:val="en-US"/>
        </w:rPr>
        <w:t>low</w:t>
      </w:r>
      <w:r w:rsidR="003B780A" w:rsidRPr="004B39D6">
        <w:rPr>
          <w:rFonts w:ascii="Book Antiqua" w:hAnsi="Book Antiqua" w:cs="Arial"/>
          <w:sz w:val="24"/>
          <w:szCs w:val="24"/>
          <w:lang w:val="en-US"/>
        </w:rPr>
        <w:t xml:space="preserve"> double positive </w:t>
      </w:r>
      <w:r w:rsidR="00584F2E" w:rsidRPr="004B39D6">
        <w:rPr>
          <w:rFonts w:ascii="Book Antiqua" w:hAnsi="Book Antiqua" w:cs="Arial"/>
          <w:sz w:val="24"/>
          <w:szCs w:val="24"/>
          <w:lang w:val="en-US"/>
        </w:rPr>
        <w:t xml:space="preserve">(DP) </w:t>
      </w:r>
      <w:r w:rsidR="003B780A" w:rsidRPr="004B39D6">
        <w:rPr>
          <w:rFonts w:ascii="Book Antiqua" w:hAnsi="Book Antiqua" w:cs="Arial"/>
          <w:sz w:val="24"/>
          <w:szCs w:val="24"/>
          <w:lang w:val="en-US"/>
        </w:rPr>
        <w:t>cells that</w:t>
      </w:r>
      <w:r w:rsidR="00584F2E" w:rsidRPr="004B39D6">
        <w:rPr>
          <w:rFonts w:ascii="Book Antiqua" w:hAnsi="Book Antiqua" w:cs="Arial"/>
          <w:sz w:val="24"/>
          <w:szCs w:val="24"/>
          <w:lang w:val="en-US"/>
        </w:rPr>
        <w:t xml:space="preserve"> seem to be enriched in GSTT1-specific </w:t>
      </w:r>
      <w:r w:rsidR="00200BD2" w:rsidRPr="004B39D6">
        <w:rPr>
          <w:rFonts w:ascii="Book Antiqua" w:hAnsi="Book Antiqua" w:cs="Arial"/>
          <w:sz w:val="24"/>
          <w:szCs w:val="24"/>
          <w:lang w:val="en-US"/>
        </w:rPr>
        <w:t xml:space="preserve">cells, especially cells </w:t>
      </w:r>
      <w:r w:rsidR="00584F2E" w:rsidRPr="004B39D6">
        <w:rPr>
          <w:rFonts w:ascii="Book Antiqua" w:hAnsi="Book Antiqua" w:cs="Arial"/>
          <w:sz w:val="24"/>
          <w:szCs w:val="24"/>
          <w:lang w:val="en-US"/>
        </w:rPr>
        <w:t xml:space="preserve">with </w:t>
      </w:r>
      <w:r w:rsidR="00200BD2" w:rsidRPr="004B39D6">
        <w:rPr>
          <w:rFonts w:ascii="Book Antiqua" w:hAnsi="Book Antiqua" w:cs="Arial"/>
          <w:sz w:val="24"/>
          <w:szCs w:val="24"/>
          <w:lang w:val="en-US"/>
        </w:rPr>
        <w:t xml:space="preserve">a </w:t>
      </w:r>
      <w:r w:rsidR="00584F2E" w:rsidRPr="004B39D6">
        <w:rPr>
          <w:rFonts w:ascii="Book Antiqua" w:hAnsi="Book Antiqua" w:cs="Arial"/>
          <w:sz w:val="24"/>
          <w:szCs w:val="24"/>
          <w:lang w:val="en-US"/>
        </w:rPr>
        <w:t xml:space="preserve">secretion </w:t>
      </w:r>
      <w:r w:rsidR="00200BD2" w:rsidRPr="004B39D6">
        <w:rPr>
          <w:rFonts w:ascii="Book Antiqua" w:hAnsi="Book Antiqua" w:cs="Arial"/>
          <w:sz w:val="24"/>
          <w:szCs w:val="24"/>
          <w:lang w:val="en-US"/>
        </w:rPr>
        <w:t xml:space="preserve">profile </w:t>
      </w:r>
      <w:r w:rsidR="00584F2E" w:rsidRPr="004B39D6">
        <w:rPr>
          <w:rFonts w:ascii="Book Antiqua" w:hAnsi="Book Antiqua" w:cs="Arial"/>
          <w:sz w:val="24"/>
          <w:szCs w:val="24"/>
          <w:lang w:val="en-US"/>
        </w:rPr>
        <w:t>of both cytokines tested (</w:t>
      </w:r>
      <w:r w:rsidR="0095755D" w:rsidRPr="004B39D6">
        <w:rPr>
          <w:rFonts w:ascii="Book Antiqua" w:hAnsi="Book Antiqua" w:cs="Arial"/>
          <w:sz w:val="24"/>
          <w:szCs w:val="24"/>
          <w:lang w:val="en-US"/>
        </w:rPr>
        <w:t xml:space="preserve">3.44% patient 2, </w:t>
      </w:r>
      <w:r w:rsidR="00584F2E" w:rsidRPr="004B39D6">
        <w:rPr>
          <w:rFonts w:ascii="Book Antiqua" w:hAnsi="Book Antiqua" w:cs="Arial"/>
          <w:sz w:val="24"/>
          <w:szCs w:val="24"/>
          <w:lang w:val="en-US"/>
        </w:rPr>
        <w:t>78.95% patient 3</w:t>
      </w:r>
      <w:r w:rsidR="0095755D" w:rsidRPr="004B39D6">
        <w:rPr>
          <w:rFonts w:ascii="Book Antiqua" w:hAnsi="Book Antiqua" w:cs="Arial"/>
          <w:sz w:val="24"/>
          <w:szCs w:val="24"/>
          <w:lang w:val="en-US"/>
        </w:rPr>
        <w:t>, 9.54% patient 4, 4.56</w:t>
      </w:r>
      <w:r w:rsidR="00452659" w:rsidRPr="004B39D6">
        <w:rPr>
          <w:rFonts w:ascii="Book Antiqua" w:hAnsi="Book Antiqua" w:cs="Arial"/>
          <w:sz w:val="24"/>
          <w:szCs w:val="24"/>
          <w:lang w:val="en-US"/>
        </w:rPr>
        <w:t>%</w:t>
      </w:r>
      <w:r w:rsidR="0095755D" w:rsidRPr="004B39D6">
        <w:rPr>
          <w:rFonts w:ascii="Book Antiqua" w:hAnsi="Book Antiqua" w:cs="Arial"/>
          <w:sz w:val="24"/>
          <w:szCs w:val="24"/>
          <w:lang w:val="en-US"/>
        </w:rPr>
        <w:t xml:space="preserve"> patient 5)</w:t>
      </w:r>
      <w:r w:rsidR="00584F2E" w:rsidRPr="004B39D6">
        <w:rPr>
          <w:rFonts w:ascii="Book Antiqua" w:hAnsi="Book Antiqua" w:cs="Arial"/>
          <w:sz w:val="24"/>
          <w:szCs w:val="24"/>
          <w:lang w:val="en-US"/>
        </w:rPr>
        <w:t>. Unfortunately, DP cells are not abundant</w:t>
      </w:r>
      <w:r w:rsidR="004200BD" w:rsidRPr="004B39D6">
        <w:rPr>
          <w:rFonts w:ascii="Book Antiqua" w:hAnsi="Book Antiqua" w:cs="Arial"/>
          <w:sz w:val="24"/>
          <w:szCs w:val="24"/>
          <w:lang w:val="en-US"/>
        </w:rPr>
        <w:t>,</w:t>
      </w:r>
      <w:r w:rsidR="00584F2E" w:rsidRPr="004B39D6">
        <w:rPr>
          <w:rFonts w:ascii="Book Antiqua" w:hAnsi="Book Antiqua" w:cs="Arial"/>
          <w:sz w:val="24"/>
          <w:szCs w:val="24"/>
          <w:lang w:val="en-US"/>
        </w:rPr>
        <w:t xml:space="preserve"> and only</w:t>
      </w:r>
      <w:r w:rsidR="003B780A" w:rsidRPr="004B39D6">
        <w:rPr>
          <w:rFonts w:ascii="Book Antiqua" w:hAnsi="Book Antiqua" w:cs="Arial"/>
          <w:sz w:val="24"/>
          <w:szCs w:val="24"/>
          <w:lang w:val="en-US"/>
        </w:rPr>
        <w:t xml:space="preserve"> </w:t>
      </w:r>
      <w:r w:rsidRPr="004B39D6">
        <w:rPr>
          <w:rFonts w:ascii="Book Antiqua" w:hAnsi="Book Antiqua" w:cs="Arial"/>
          <w:sz w:val="24"/>
          <w:szCs w:val="24"/>
          <w:lang w:val="en-US"/>
        </w:rPr>
        <w:t>4 of the 7 patients</w:t>
      </w:r>
      <w:r w:rsidR="003B780A" w:rsidRPr="004B39D6">
        <w:rPr>
          <w:rFonts w:ascii="Book Antiqua" w:hAnsi="Book Antiqua" w:cs="Arial"/>
          <w:sz w:val="24"/>
          <w:szCs w:val="24"/>
          <w:lang w:val="en-US"/>
        </w:rPr>
        <w:t xml:space="preserve"> </w:t>
      </w:r>
      <w:r w:rsidR="000F7404" w:rsidRPr="004B39D6">
        <w:rPr>
          <w:rFonts w:ascii="Book Antiqua" w:hAnsi="Book Antiqua" w:cs="Arial"/>
          <w:sz w:val="24"/>
          <w:szCs w:val="24"/>
          <w:lang w:val="en-US"/>
        </w:rPr>
        <w:t>with PC-rich rejection</w:t>
      </w:r>
      <w:r w:rsidR="00584F2E" w:rsidRPr="004B39D6">
        <w:rPr>
          <w:rFonts w:ascii="Book Antiqua" w:hAnsi="Book Antiqua" w:cs="Arial"/>
          <w:sz w:val="24"/>
          <w:szCs w:val="24"/>
          <w:lang w:val="en-US"/>
        </w:rPr>
        <w:t xml:space="preserve"> could be analyzed</w:t>
      </w:r>
      <w:r w:rsidR="000F7404" w:rsidRPr="004B39D6">
        <w:rPr>
          <w:rFonts w:ascii="Book Antiqua" w:hAnsi="Book Antiqua" w:cs="Arial"/>
          <w:sz w:val="24"/>
          <w:szCs w:val="24"/>
          <w:lang w:val="en-US"/>
        </w:rPr>
        <w:t xml:space="preserve"> </w:t>
      </w:r>
      <w:r w:rsidR="003B780A" w:rsidRPr="004B39D6">
        <w:rPr>
          <w:rFonts w:ascii="Book Antiqua" w:hAnsi="Book Antiqua" w:cs="Arial"/>
          <w:sz w:val="24"/>
          <w:szCs w:val="24"/>
          <w:lang w:val="en-US"/>
        </w:rPr>
        <w:t xml:space="preserve">due to the low number of double positive cells gated in the remaining </w:t>
      </w:r>
      <w:r w:rsidRPr="004B39D6">
        <w:rPr>
          <w:rFonts w:ascii="Book Antiqua" w:hAnsi="Book Antiqua" w:cs="Arial"/>
          <w:sz w:val="24"/>
          <w:szCs w:val="24"/>
          <w:lang w:val="en-US"/>
        </w:rPr>
        <w:t>3</w:t>
      </w:r>
      <w:r w:rsidR="003B780A" w:rsidRPr="004B39D6">
        <w:rPr>
          <w:rFonts w:ascii="Book Antiqua" w:hAnsi="Book Antiqua" w:cs="Arial"/>
          <w:sz w:val="24"/>
          <w:szCs w:val="24"/>
          <w:lang w:val="en-US"/>
        </w:rPr>
        <w:t xml:space="preserve"> cases. </w:t>
      </w:r>
    </w:p>
    <w:p w14:paraId="0CDE8818" w14:textId="30588D3B" w:rsidR="00730266" w:rsidRPr="004B39D6" w:rsidRDefault="006254C9" w:rsidP="0081528B">
      <w:pPr>
        <w:snapToGrid w:val="0"/>
        <w:spacing w:after="0" w:line="360" w:lineRule="auto"/>
        <w:ind w:firstLine="708"/>
        <w:jc w:val="both"/>
        <w:rPr>
          <w:rFonts w:ascii="Book Antiqua" w:hAnsi="Book Antiqua" w:cs="Arial"/>
          <w:sz w:val="24"/>
          <w:szCs w:val="24"/>
          <w:lang w:val="en-US"/>
        </w:rPr>
      </w:pPr>
      <w:r w:rsidRPr="004B39D6">
        <w:rPr>
          <w:rFonts w:ascii="Book Antiqua" w:hAnsi="Book Antiqua" w:cs="Arial"/>
          <w:sz w:val="24"/>
          <w:szCs w:val="24"/>
          <w:lang w:val="en-US"/>
        </w:rPr>
        <w:t>The patients with antibodies but without PC-rich rejection (group 2) did not show CD4</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or CD8</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T cell activation</w:t>
      </w:r>
      <w:r w:rsidR="004200BD" w:rsidRPr="004B39D6">
        <w:rPr>
          <w:rFonts w:ascii="Book Antiqua" w:hAnsi="Book Antiqua" w:cs="Arial"/>
          <w:sz w:val="24"/>
          <w:szCs w:val="24"/>
          <w:lang w:val="en-US"/>
        </w:rPr>
        <w:t>,</w:t>
      </w:r>
      <w:r w:rsidR="0095755D" w:rsidRPr="004B39D6">
        <w:rPr>
          <w:rFonts w:ascii="Book Antiqua" w:hAnsi="Book Antiqua" w:cs="Arial"/>
          <w:sz w:val="24"/>
          <w:szCs w:val="24"/>
          <w:lang w:val="en-US"/>
        </w:rPr>
        <w:t xml:space="preserve"> whereas</w:t>
      </w:r>
      <w:r w:rsidRPr="004B39D6">
        <w:rPr>
          <w:rFonts w:ascii="Book Antiqua" w:hAnsi="Book Antiqua" w:cs="Arial"/>
          <w:sz w:val="24"/>
          <w:szCs w:val="24"/>
          <w:lang w:val="en-US"/>
        </w:rPr>
        <w:t xml:space="preserve"> </w:t>
      </w:r>
      <w:r w:rsidR="0095755D" w:rsidRPr="004B39D6">
        <w:rPr>
          <w:rFonts w:ascii="Book Antiqua" w:hAnsi="Book Antiqua" w:cs="Arial"/>
          <w:sz w:val="24"/>
          <w:szCs w:val="24"/>
          <w:lang w:val="en-US"/>
        </w:rPr>
        <w:t>f</w:t>
      </w:r>
      <w:r w:rsidRPr="004B39D6">
        <w:rPr>
          <w:rFonts w:ascii="Book Antiqua" w:hAnsi="Book Antiqua" w:cs="Arial"/>
          <w:sz w:val="24"/>
          <w:szCs w:val="24"/>
          <w:lang w:val="en-US"/>
        </w:rPr>
        <w:t xml:space="preserve">ive of the 9 </w:t>
      </w:r>
      <w:r w:rsidR="00730266" w:rsidRPr="004B39D6">
        <w:rPr>
          <w:rFonts w:ascii="Book Antiqua" w:hAnsi="Book Antiqua" w:cs="Arial"/>
          <w:sz w:val="24"/>
          <w:szCs w:val="24"/>
          <w:lang w:val="en-US"/>
        </w:rPr>
        <w:t xml:space="preserve">patients included in group 3, without antibodies </w:t>
      </w:r>
      <w:r w:rsidR="00452659" w:rsidRPr="004B39D6">
        <w:rPr>
          <w:rFonts w:ascii="Book Antiqua" w:hAnsi="Book Antiqua" w:cs="Arial"/>
          <w:sz w:val="24"/>
          <w:szCs w:val="24"/>
          <w:lang w:val="en-US"/>
        </w:rPr>
        <w:t xml:space="preserve">and </w:t>
      </w:r>
      <w:r w:rsidR="0095755D" w:rsidRPr="004B39D6">
        <w:rPr>
          <w:rFonts w:ascii="Book Antiqua" w:hAnsi="Book Antiqua" w:cs="Arial"/>
          <w:sz w:val="24"/>
          <w:szCs w:val="24"/>
          <w:lang w:val="en-US"/>
        </w:rPr>
        <w:t>therefore without disease,</w:t>
      </w:r>
      <w:r w:rsidRPr="004B39D6">
        <w:rPr>
          <w:rFonts w:ascii="Book Antiqua" w:hAnsi="Book Antiqua" w:cs="Arial"/>
          <w:sz w:val="24"/>
          <w:szCs w:val="24"/>
          <w:lang w:val="en-US"/>
        </w:rPr>
        <w:t xml:space="preserve"> exhibited stimulation with some peptides</w:t>
      </w:r>
      <w:r w:rsidR="004200BD" w:rsidRPr="004B39D6">
        <w:rPr>
          <w:rFonts w:ascii="Book Antiqua" w:hAnsi="Book Antiqua" w:cs="Arial"/>
          <w:sz w:val="24"/>
          <w:szCs w:val="24"/>
          <w:lang w:val="en-US"/>
        </w:rPr>
        <w:t>.</w:t>
      </w:r>
      <w:r w:rsidRPr="004B39D6">
        <w:rPr>
          <w:rFonts w:ascii="Book Antiqua" w:hAnsi="Book Antiqua" w:cs="Arial"/>
          <w:sz w:val="24"/>
          <w:szCs w:val="24"/>
          <w:lang w:val="en-US"/>
        </w:rPr>
        <w:t xml:space="preserve"> </w:t>
      </w:r>
      <w:r w:rsidR="004200BD" w:rsidRPr="004B39D6">
        <w:rPr>
          <w:rFonts w:ascii="Book Antiqua" w:hAnsi="Book Antiqua" w:cs="Arial"/>
          <w:sz w:val="24"/>
          <w:szCs w:val="24"/>
          <w:lang w:val="en-US"/>
        </w:rPr>
        <w:t>A</w:t>
      </w:r>
      <w:r w:rsidRPr="004B39D6">
        <w:rPr>
          <w:rFonts w:ascii="Book Antiqua" w:hAnsi="Book Antiqua" w:cs="Arial"/>
          <w:sz w:val="24"/>
          <w:szCs w:val="24"/>
          <w:lang w:val="en-US"/>
        </w:rPr>
        <w:t>gain, the higher percentages of activation occurred in the double positive CD4</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CD8</w:t>
      </w:r>
      <w:r w:rsidRPr="004B39D6">
        <w:rPr>
          <w:rFonts w:ascii="Book Antiqua" w:hAnsi="Book Antiqua" w:cs="Arial"/>
          <w:sz w:val="24"/>
          <w:szCs w:val="24"/>
          <w:vertAlign w:val="superscript"/>
          <w:lang w:val="en-US"/>
        </w:rPr>
        <w:t>low</w:t>
      </w:r>
      <w:r w:rsidRPr="004B39D6">
        <w:rPr>
          <w:rFonts w:ascii="Book Antiqua" w:hAnsi="Book Antiqua" w:cs="Arial"/>
          <w:sz w:val="24"/>
          <w:szCs w:val="24"/>
          <w:lang w:val="en-US"/>
        </w:rPr>
        <w:t xml:space="preserve"> cells</w:t>
      </w:r>
      <w:r w:rsidR="00730266" w:rsidRPr="004B39D6">
        <w:rPr>
          <w:rFonts w:ascii="Book Antiqua" w:hAnsi="Book Antiqua" w:cs="Arial"/>
          <w:sz w:val="24"/>
          <w:szCs w:val="24"/>
          <w:lang w:val="en-US"/>
        </w:rPr>
        <w:t xml:space="preserve"> (6.63% patient 10, 29.58% patient 17 and 43.05% patient 18)</w:t>
      </w:r>
      <w:r w:rsidR="004200BD" w:rsidRPr="004B39D6">
        <w:rPr>
          <w:rFonts w:ascii="Book Antiqua" w:hAnsi="Book Antiqua" w:cs="Arial"/>
          <w:sz w:val="24"/>
          <w:szCs w:val="24"/>
          <w:lang w:val="en-US"/>
        </w:rPr>
        <w:t>,</w:t>
      </w:r>
      <w:r w:rsidR="008903FB" w:rsidRPr="004B39D6">
        <w:rPr>
          <w:rFonts w:ascii="Book Antiqua" w:hAnsi="Book Antiqua" w:cs="Arial"/>
          <w:sz w:val="24"/>
          <w:szCs w:val="24"/>
          <w:lang w:val="en-US"/>
        </w:rPr>
        <w:t xml:space="preserve"> although in some cases the number of double positive CD4</w:t>
      </w:r>
      <w:r w:rsidR="008903FB" w:rsidRPr="004B39D6">
        <w:rPr>
          <w:rFonts w:ascii="Book Antiqua" w:hAnsi="Book Antiqua" w:cs="Arial"/>
          <w:sz w:val="24"/>
          <w:szCs w:val="24"/>
          <w:vertAlign w:val="superscript"/>
          <w:lang w:val="en-US"/>
        </w:rPr>
        <w:t>+</w:t>
      </w:r>
      <w:r w:rsidR="008903FB" w:rsidRPr="004B39D6">
        <w:rPr>
          <w:rFonts w:ascii="Book Antiqua" w:hAnsi="Book Antiqua" w:cs="Arial"/>
          <w:sz w:val="24"/>
          <w:szCs w:val="24"/>
          <w:lang w:val="en-US"/>
        </w:rPr>
        <w:t>CD8</w:t>
      </w:r>
      <w:r w:rsidR="008903FB" w:rsidRPr="004B39D6">
        <w:rPr>
          <w:rFonts w:ascii="Book Antiqua" w:hAnsi="Book Antiqua" w:cs="Arial"/>
          <w:sz w:val="24"/>
          <w:szCs w:val="24"/>
          <w:vertAlign w:val="superscript"/>
          <w:lang w:val="en-US"/>
        </w:rPr>
        <w:t>low</w:t>
      </w:r>
      <w:r w:rsidR="008903FB" w:rsidRPr="004B39D6">
        <w:rPr>
          <w:rFonts w:ascii="Book Antiqua" w:hAnsi="Book Antiqua" w:cs="Arial"/>
          <w:sz w:val="24"/>
          <w:szCs w:val="24"/>
          <w:lang w:val="en-US"/>
        </w:rPr>
        <w:t xml:space="preserve"> </w:t>
      </w:r>
      <w:r w:rsidR="004200BD" w:rsidRPr="004B39D6">
        <w:rPr>
          <w:rFonts w:ascii="Book Antiqua" w:hAnsi="Book Antiqua" w:cs="Arial"/>
          <w:sz w:val="24"/>
          <w:szCs w:val="24"/>
          <w:lang w:val="en-US"/>
        </w:rPr>
        <w:t xml:space="preserve">cells </w:t>
      </w:r>
      <w:r w:rsidR="008903FB" w:rsidRPr="004B39D6">
        <w:rPr>
          <w:rFonts w:ascii="Book Antiqua" w:hAnsi="Book Antiqua" w:cs="Arial"/>
          <w:sz w:val="24"/>
          <w:szCs w:val="24"/>
          <w:lang w:val="en-US"/>
        </w:rPr>
        <w:t>was too low to perform further analysis</w:t>
      </w:r>
      <w:r w:rsidR="00730266" w:rsidRPr="004B39D6">
        <w:rPr>
          <w:rFonts w:ascii="Book Antiqua" w:hAnsi="Book Antiqua" w:cs="Arial"/>
          <w:sz w:val="24"/>
          <w:szCs w:val="24"/>
          <w:lang w:val="en-US"/>
        </w:rPr>
        <w:t xml:space="preserve"> (Table 3</w:t>
      </w:r>
      <w:r w:rsidR="000F7404" w:rsidRPr="004B39D6">
        <w:rPr>
          <w:rFonts w:ascii="Book Antiqua" w:hAnsi="Book Antiqua" w:cs="Arial"/>
          <w:sz w:val="24"/>
          <w:szCs w:val="24"/>
          <w:lang w:val="en-US"/>
        </w:rPr>
        <w:t>)</w:t>
      </w:r>
      <w:r w:rsidRPr="004B39D6">
        <w:rPr>
          <w:rFonts w:ascii="Book Antiqua" w:hAnsi="Book Antiqua" w:cs="Arial"/>
          <w:sz w:val="24"/>
          <w:szCs w:val="24"/>
          <w:lang w:val="en-US"/>
        </w:rPr>
        <w:t xml:space="preserve">. </w:t>
      </w:r>
      <w:r w:rsidR="00376DB0" w:rsidRPr="004B39D6">
        <w:rPr>
          <w:rFonts w:ascii="Book Antiqua" w:hAnsi="Book Antiqua" w:cs="Arial"/>
          <w:sz w:val="24"/>
          <w:szCs w:val="24"/>
          <w:lang w:val="en-US"/>
        </w:rPr>
        <w:t>The f</w:t>
      </w:r>
      <w:r w:rsidR="00730266" w:rsidRPr="004B39D6">
        <w:rPr>
          <w:rFonts w:ascii="Book Antiqua" w:hAnsi="Book Antiqua" w:cs="Arial"/>
          <w:sz w:val="24"/>
          <w:szCs w:val="24"/>
          <w:lang w:val="en-US"/>
        </w:rPr>
        <w:t xml:space="preserve">our patients included as </w:t>
      </w:r>
      <w:r w:rsidR="00376DB0" w:rsidRPr="004B39D6">
        <w:rPr>
          <w:rFonts w:ascii="Book Antiqua" w:hAnsi="Book Antiqua" w:cs="Arial"/>
          <w:sz w:val="24"/>
          <w:szCs w:val="24"/>
          <w:lang w:val="en-US"/>
        </w:rPr>
        <w:t xml:space="preserve">the </w:t>
      </w:r>
      <w:r w:rsidR="00730266" w:rsidRPr="004B39D6">
        <w:rPr>
          <w:rFonts w:ascii="Book Antiqua" w:hAnsi="Book Antiqua" w:cs="Arial"/>
          <w:sz w:val="24"/>
          <w:szCs w:val="24"/>
          <w:lang w:val="en-US"/>
        </w:rPr>
        <w:t>control group with recipients and donors that were matched for the GSTT1 positive allele did not become activated with any of the peptides assayed.</w:t>
      </w:r>
    </w:p>
    <w:p w14:paraId="5017C8E0" w14:textId="31FE1B31" w:rsidR="007852AD" w:rsidRPr="004B39D6" w:rsidRDefault="007464D3" w:rsidP="0081528B">
      <w:pPr>
        <w:snapToGrid w:val="0"/>
        <w:spacing w:after="0" w:line="360" w:lineRule="auto"/>
        <w:ind w:firstLine="708"/>
        <w:jc w:val="both"/>
        <w:rPr>
          <w:rFonts w:ascii="Book Antiqua" w:hAnsi="Book Antiqua" w:cs="Arial"/>
          <w:sz w:val="24"/>
          <w:szCs w:val="24"/>
          <w:lang w:val="en-US"/>
        </w:rPr>
      </w:pPr>
      <w:r w:rsidRPr="004B39D6">
        <w:rPr>
          <w:rFonts w:ascii="Book Antiqua" w:hAnsi="Book Antiqua" w:cs="Arial"/>
          <w:sz w:val="24"/>
          <w:szCs w:val="24"/>
          <w:lang w:val="en-US"/>
        </w:rPr>
        <w:t xml:space="preserve">In summary, </w:t>
      </w:r>
      <w:r w:rsidR="00B408EC" w:rsidRPr="004B39D6">
        <w:rPr>
          <w:rFonts w:ascii="Book Antiqua" w:hAnsi="Book Antiqua" w:cs="Arial"/>
          <w:sz w:val="24"/>
          <w:szCs w:val="24"/>
          <w:lang w:val="en-US"/>
        </w:rPr>
        <w:t xml:space="preserve">12 </w:t>
      </w:r>
      <w:r w:rsidR="003B780A" w:rsidRPr="004B39D6">
        <w:rPr>
          <w:rFonts w:ascii="Book Antiqua" w:hAnsi="Book Antiqua" w:cs="Arial"/>
          <w:sz w:val="24"/>
          <w:szCs w:val="24"/>
          <w:lang w:val="en-US"/>
        </w:rPr>
        <w:t xml:space="preserve">out of 18 </w:t>
      </w:r>
      <w:r w:rsidR="004326DA" w:rsidRPr="004B39D6">
        <w:rPr>
          <w:rFonts w:ascii="Book Antiqua" w:hAnsi="Book Antiqua" w:cs="Arial"/>
          <w:sz w:val="24"/>
          <w:szCs w:val="24"/>
          <w:lang w:val="en-US"/>
        </w:rPr>
        <w:t>liver transplant recipients</w:t>
      </w:r>
      <w:r w:rsidR="003B780A" w:rsidRPr="004B39D6">
        <w:rPr>
          <w:rFonts w:ascii="Book Antiqua" w:hAnsi="Book Antiqua" w:cs="Arial"/>
          <w:sz w:val="24"/>
          <w:szCs w:val="24"/>
          <w:lang w:val="en-US"/>
        </w:rPr>
        <w:t xml:space="preserve"> with the GSTT1 mismatch showed different degrees of </w:t>
      </w:r>
      <w:r w:rsidR="001430C1" w:rsidRPr="004B39D6">
        <w:rPr>
          <w:rFonts w:ascii="Book Antiqua" w:hAnsi="Book Antiqua" w:cs="Arial"/>
          <w:sz w:val="24"/>
          <w:szCs w:val="24"/>
          <w:lang w:val="en-US"/>
        </w:rPr>
        <w:t xml:space="preserve">T </w:t>
      </w:r>
      <w:r w:rsidR="003B780A" w:rsidRPr="004B39D6">
        <w:rPr>
          <w:rFonts w:ascii="Book Antiqua" w:hAnsi="Book Antiqua" w:cs="Arial"/>
          <w:sz w:val="24"/>
          <w:szCs w:val="24"/>
          <w:lang w:val="en-US"/>
        </w:rPr>
        <w:t xml:space="preserve">lymphocyte activation upon exposure to the </w:t>
      </w:r>
      <w:r w:rsidR="000F7404" w:rsidRPr="004B39D6">
        <w:rPr>
          <w:rFonts w:ascii="Book Antiqua" w:hAnsi="Book Antiqua" w:cs="Arial"/>
          <w:sz w:val="24"/>
          <w:szCs w:val="24"/>
          <w:lang w:val="en-US"/>
        </w:rPr>
        <w:t xml:space="preserve">GSTT1 </w:t>
      </w:r>
      <w:r w:rsidR="003B780A" w:rsidRPr="004B39D6">
        <w:rPr>
          <w:rFonts w:ascii="Book Antiqua" w:hAnsi="Book Antiqua" w:cs="Arial"/>
          <w:sz w:val="24"/>
          <w:szCs w:val="24"/>
          <w:lang w:val="en-US"/>
        </w:rPr>
        <w:t xml:space="preserve">peptides. </w:t>
      </w:r>
      <w:r w:rsidR="00730266" w:rsidRPr="004B39D6">
        <w:rPr>
          <w:rFonts w:ascii="Book Antiqua" w:hAnsi="Book Antiqua" w:cs="Arial"/>
          <w:sz w:val="24"/>
          <w:szCs w:val="24"/>
          <w:lang w:val="en-US"/>
        </w:rPr>
        <w:t xml:space="preserve">Although we could not test </w:t>
      </w:r>
      <w:r w:rsidR="00080A74" w:rsidRPr="004B39D6">
        <w:rPr>
          <w:rFonts w:ascii="Book Antiqua" w:hAnsi="Book Antiqua" w:cs="Arial"/>
          <w:sz w:val="24"/>
          <w:szCs w:val="24"/>
          <w:lang w:val="en-US"/>
        </w:rPr>
        <w:t xml:space="preserve">for </w:t>
      </w:r>
      <w:r w:rsidR="00730266" w:rsidRPr="004B39D6">
        <w:rPr>
          <w:rFonts w:ascii="Book Antiqua" w:hAnsi="Book Antiqua" w:cs="Arial"/>
          <w:sz w:val="24"/>
          <w:szCs w:val="24"/>
          <w:lang w:val="en-US"/>
        </w:rPr>
        <w:t>memory markers</w:t>
      </w:r>
      <w:r w:rsidR="00376DB0" w:rsidRPr="004B39D6">
        <w:rPr>
          <w:rFonts w:ascii="Book Antiqua" w:hAnsi="Book Antiqua" w:cs="Arial"/>
          <w:sz w:val="24"/>
          <w:szCs w:val="24"/>
          <w:lang w:val="en-US"/>
        </w:rPr>
        <w:t>,</w:t>
      </w:r>
      <w:r w:rsidR="00730266" w:rsidRPr="004B39D6">
        <w:rPr>
          <w:rFonts w:ascii="Book Antiqua" w:hAnsi="Book Antiqua" w:cs="Arial"/>
          <w:sz w:val="24"/>
          <w:szCs w:val="24"/>
          <w:lang w:val="en-US"/>
        </w:rPr>
        <w:t xml:space="preserve"> the short time of stimulation (48 h) indicates that</w:t>
      </w:r>
      <w:r w:rsidR="00080A74" w:rsidRPr="004B39D6">
        <w:rPr>
          <w:rFonts w:ascii="Book Antiqua" w:hAnsi="Book Antiqua" w:cs="Arial"/>
          <w:sz w:val="24"/>
          <w:szCs w:val="24"/>
          <w:lang w:val="en-US"/>
        </w:rPr>
        <w:t xml:space="preserve"> this</w:t>
      </w:r>
      <w:r w:rsidR="00730266" w:rsidRPr="004B39D6">
        <w:rPr>
          <w:rFonts w:ascii="Book Antiqua" w:hAnsi="Book Antiqua" w:cs="Arial"/>
          <w:sz w:val="24"/>
          <w:szCs w:val="24"/>
          <w:lang w:val="en-US"/>
        </w:rPr>
        <w:t xml:space="preserve"> is not a primary response but a reactivation of pre-existing GSTT1-specific lymphocytes. </w:t>
      </w:r>
      <w:r w:rsidR="007852AD" w:rsidRPr="004B39D6">
        <w:rPr>
          <w:rFonts w:ascii="Book Antiqua" w:hAnsi="Book Antiqua" w:cs="Arial"/>
          <w:sz w:val="24"/>
          <w:szCs w:val="24"/>
          <w:lang w:val="en-US"/>
        </w:rPr>
        <w:t>There are 3</w:t>
      </w:r>
      <w:r w:rsidRPr="004B39D6">
        <w:rPr>
          <w:rFonts w:ascii="Book Antiqua" w:hAnsi="Book Antiqua" w:cs="Arial"/>
          <w:sz w:val="24"/>
          <w:szCs w:val="24"/>
          <w:lang w:val="en-US"/>
        </w:rPr>
        <w:t xml:space="preserve"> cell types </w:t>
      </w:r>
      <w:r w:rsidRPr="004B39D6">
        <w:rPr>
          <w:rFonts w:ascii="Book Antiqua" w:hAnsi="Book Antiqua" w:cs="Arial"/>
          <w:sz w:val="24"/>
          <w:szCs w:val="24"/>
          <w:lang w:val="en-US"/>
        </w:rPr>
        <w:lastRenderedPageBreak/>
        <w:t>involved</w:t>
      </w:r>
      <w:r w:rsidR="00376DB0" w:rsidRPr="004B39D6">
        <w:rPr>
          <w:rFonts w:ascii="Book Antiqua" w:hAnsi="Book Antiqua" w:cs="Arial"/>
          <w:sz w:val="24"/>
          <w:szCs w:val="24"/>
          <w:lang w:val="en-US"/>
        </w:rPr>
        <w:t>, including</w:t>
      </w:r>
      <w:r w:rsidR="003B780A" w:rsidRPr="004B39D6">
        <w:rPr>
          <w:rFonts w:ascii="Book Antiqua" w:hAnsi="Book Antiqua" w:cs="Arial"/>
          <w:sz w:val="24"/>
          <w:szCs w:val="24"/>
          <w:lang w:val="en-US"/>
        </w:rPr>
        <w:t xml:space="preserve"> CD4</w:t>
      </w:r>
      <w:r w:rsidR="003B780A" w:rsidRPr="004B39D6">
        <w:rPr>
          <w:rFonts w:ascii="Book Antiqua" w:hAnsi="Book Antiqua" w:cs="Arial"/>
          <w:sz w:val="24"/>
          <w:szCs w:val="24"/>
          <w:vertAlign w:val="superscript"/>
          <w:lang w:val="en-US"/>
        </w:rPr>
        <w:t>+</w:t>
      </w:r>
      <w:r w:rsidR="003B780A" w:rsidRPr="004B39D6">
        <w:rPr>
          <w:rFonts w:ascii="Book Antiqua" w:hAnsi="Book Antiqua" w:cs="Arial"/>
          <w:sz w:val="24"/>
          <w:szCs w:val="24"/>
          <w:lang w:val="en-US"/>
        </w:rPr>
        <w:t>, CD8</w:t>
      </w:r>
      <w:r w:rsidR="003B780A" w:rsidRPr="004B39D6">
        <w:rPr>
          <w:rFonts w:ascii="Book Antiqua" w:hAnsi="Book Antiqua" w:cs="Arial"/>
          <w:sz w:val="24"/>
          <w:szCs w:val="24"/>
          <w:vertAlign w:val="superscript"/>
          <w:lang w:val="en-US"/>
        </w:rPr>
        <w:t>+</w:t>
      </w:r>
      <w:r w:rsidR="003B780A" w:rsidRPr="004B39D6">
        <w:rPr>
          <w:rFonts w:ascii="Book Antiqua" w:hAnsi="Book Antiqua" w:cs="Arial"/>
          <w:sz w:val="24"/>
          <w:szCs w:val="24"/>
          <w:lang w:val="en-US"/>
        </w:rPr>
        <w:t xml:space="preserve"> and CD4</w:t>
      </w:r>
      <w:r w:rsidR="003B780A" w:rsidRPr="004B39D6">
        <w:rPr>
          <w:rFonts w:ascii="Book Antiqua" w:hAnsi="Book Antiqua" w:cs="Arial"/>
          <w:sz w:val="24"/>
          <w:szCs w:val="24"/>
          <w:vertAlign w:val="superscript"/>
          <w:lang w:val="en-US"/>
        </w:rPr>
        <w:t>+</w:t>
      </w:r>
      <w:r w:rsidR="003B780A" w:rsidRPr="004B39D6">
        <w:rPr>
          <w:rFonts w:ascii="Book Antiqua" w:hAnsi="Book Antiqua" w:cs="Arial"/>
          <w:sz w:val="24"/>
          <w:szCs w:val="24"/>
          <w:lang w:val="en-US"/>
        </w:rPr>
        <w:t>CD8</w:t>
      </w:r>
      <w:r w:rsidR="003B780A" w:rsidRPr="004B39D6">
        <w:rPr>
          <w:rFonts w:ascii="Book Antiqua" w:hAnsi="Book Antiqua" w:cs="Arial"/>
          <w:sz w:val="24"/>
          <w:szCs w:val="24"/>
          <w:vertAlign w:val="superscript"/>
          <w:lang w:val="en-US"/>
        </w:rPr>
        <w:t xml:space="preserve">low </w:t>
      </w:r>
      <w:r w:rsidR="007852AD" w:rsidRPr="004B39D6">
        <w:rPr>
          <w:rFonts w:ascii="Book Antiqua" w:hAnsi="Book Antiqua" w:cs="Arial"/>
          <w:sz w:val="24"/>
          <w:szCs w:val="24"/>
          <w:lang w:val="en-US"/>
        </w:rPr>
        <w:t>cells, all of them with diverse cytokine expression patterns whose role is not easy to interpret</w:t>
      </w:r>
      <w:r w:rsidR="00080A74" w:rsidRPr="004B39D6">
        <w:rPr>
          <w:rFonts w:ascii="Book Antiqua" w:hAnsi="Book Antiqua" w:cs="Arial"/>
          <w:sz w:val="24"/>
          <w:szCs w:val="24"/>
          <w:lang w:val="en-US"/>
        </w:rPr>
        <w:t>, although DP cells are known to appear in situations of long-term exposure to antigens</w:t>
      </w:r>
      <w:r w:rsidR="007852AD" w:rsidRPr="004B39D6">
        <w:rPr>
          <w:rFonts w:ascii="Book Antiqua" w:hAnsi="Book Antiqua" w:cs="Arial"/>
          <w:sz w:val="24"/>
          <w:szCs w:val="24"/>
          <w:lang w:val="en-US"/>
        </w:rPr>
        <w:t>.</w:t>
      </w:r>
      <w:r w:rsidR="003B780A" w:rsidRPr="004B39D6">
        <w:rPr>
          <w:rFonts w:ascii="Book Antiqua" w:hAnsi="Book Antiqua" w:cs="Arial"/>
          <w:sz w:val="24"/>
          <w:szCs w:val="24"/>
          <w:lang w:val="en-US"/>
        </w:rPr>
        <w:t xml:space="preserve"> </w:t>
      </w:r>
    </w:p>
    <w:p w14:paraId="3B821024" w14:textId="77777777" w:rsidR="00080A74" w:rsidRPr="004B39D6" w:rsidRDefault="00080A74" w:rsidP="0081528B">
      <w:pPr>
        <w:snapToGrid w:val="0"/>
        <w:spacing w:after="0" w:line="360" w:lineRule="auto"/>
        <w:jc w:val="both"/>
        <w:rPr>
          <w:rFonts w:ascii="Book Antiqua" w:hAnsi="Book Antiqua" w:cs="Arial"/>
          <w:sz w:val="24"/>
          <w:szCs w:val="24"/>
          <w:lang w:val="en-US"/>
        </w:rPr>
      </w:pPr>
    </w:p>
    <w:p w14:paraId="07B21BF5" w14:textId="77777777" w:rsidR="00080A74" w:rsidRPr="004B39D6" w:rsidRDefault="00080A74" w:rsidP="0081528B">
      <w:pPr>
        <w:snapToGrid w:val="0"/>
        <w:spacing w:after="0" w:line="360" w:lineRule="auto"/>
        <w:jc w:val="both"/>
        <w:rPr>
          <w:rFonts w:ascii="Book Antiqua" w:hAnsi="Book Antiqua" w:cs="Arial"/>
          <w:b/>
          <w:i/>
          <w:sz w:val="24"/>
          <w:szCs w:val="24"/>
          <w:lang w:val="en-US"/>
        </w:rPr>
      </w:pPr>
      <w:r w:rsidRPr="004B39D6">
        <w:rPr>
          <w:rFonts w:ascii="Book Antiqua" w:hAnsi="Book Antiqua" w:cs="Arial"/>
          <w:b/>
          <w:i/>
          <w:sz w:val="24"/>
          <w:szCs w:val="24"/>
          <w:lang w:val="en-US"/>
        </w:rPr>
        <w:t>Antigenic areas of the GSTT1 protein</w:t>
      </w:r>
    </w:p>
    <w:p w14:paraId="56E7488A" w14:textId="7C65E85C" w:rsidR="003B780A" w:rsidRPr="004B39D6" w:rsidRDefault="003B780A"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t>When we analyzed the relative contribution of each pool to</w:t>
      </w:r>
      <w:r w:rsidR="004B5028" w:rsidRPr="004B39D6">
        <w:rPr>
          <w:rFonts w:ascii="Book Antiqua" w:hAnsi="Book Antiqua" w:cs="Arial"/>
          <w:sz w:val="24"/>
          <w:szCs w:val="24"/>
          <w:lang w:val="en-US"/>
        </w:rPr>
        <w:t xml:space="preserve"> the</w:t>
      </w:r>
      <w:r w:rsidRPr="004B39D6">
        <w:rPr>
          <w:rFonts w:ascii="Book Antiqua" w:hAnsi="Book Antiqua" w:cs="Arial"/>
          <w:sz w:val="24"/>
          <w:szCs w:val="24"/>
          <w:lang w:val="en-US"/>
        </w:rPr>
        <w:t xml:space="preserve"> activation </w:t>
      </w:r>
      <w:r w:rsidR="001430C1" w:rsidRPr="004B39D6">
        <w:rPr>
          <w:rFonts w:ascii="Book Antiqua" w:hAnsi="Book Antiqua" w:cs="Arial"/>
          <w:sz w:val="24"/>
          <w:szCs w:val="24"/>
          <w:lang w:val="en-US"/>
        </w:rPr>
        <w:t xml:space="preserve">of T lymphocytes </w:t>
      </w:r>
      <w:r w:rsidR="00287FE4" w:rsidRPr="004B39D6">
        <w:rPr>
          <w:rFonts w:ascii="Book Antiqua" w:hAnsi="Book Antiqua" w:cs="Arial"/>
          <w:sz w:val="24"/>
          <w:szCs w:val="24"/>
          <w:lang w:val="en-US"/>
        </w:rPr>
        <w:t xml:space="preserve">in </w:t>
      </w:r>
      <w:r w:rsidRPr="004B39D6">
        <w:rPr>
          <w:rFonts w:ascii="Book Antiqua" w:hAnsi="Book Antiqua" w:cs="Arial"/>
          <w:sz w:val="24"/>
          <w:szCs w:val="24"/>
          <w:lang w:val="en-US"/>
        </w:rPr>
        <w:t xml:space="preserve">each patient, we found that pools 3 and 4 seemed especially antigenic for the </w:t>
      </w:r>
      <w:r w:rsidR="00080A74" w:rsidRPr="004B39D6">
        <w:rPr>
          <w:rFonts w:ascii="Book Antiqua" w:hAnsi="Book Antiqua" w:cs="Arial"/>
          <w:sz w:val="24"/>
          <w:szCs w:val="24"/>
          <w:lang w:val="en-US"/>
        </w:rPr>
        <w:t>DP</w:t>
      </w:r>
      <w:r w:rsidRPr="004B39D6">
        <w:rPr>
          <w:rFonts w:ascii="Book Antiqua" w:hAnsi="Book Antiqua" w:cs="Arial"/>
          <w:sz w:val="24"/>
          <w:szCs w:val="24"/>
          <w:lang w:val="en-US"/>
        </w:rPr>
        <w:t xml:space="preserve"> cells</w:t>
      </w:r>
      <w:r w:rsidR="00287FE4" w:rsidRPr="004B39D6">
        <w:rPr>
          <w:rFonts w:ascii="Book Antiqua" w:hAnsi="Book Antiqua" w:cs="Arial"/>
          <w:sz w:val="24"/>
          <w:szCs w:val="24"/>
          <w:lang w:val="en-US"/>
        </w:rPr>
        <w:t>,</w:t>
      </w:r>
      <w:r w:rsidRPr="004B39D6">
        <w:rPr>
          <w:rFonts w:ascii="Book Antiqua" w:hAnsi="Book Antiqua" w:cs="Arial"/>
          <w:sz w:val="24"/>
          <w:szCs w:val="24"/>
          <w:lang w:val="en-US"/>
        </w:rPr>
        <w:t xml:space="preserve"> whereas pool 4 did not stimulate any of the single CD4</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or CD8</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T cells of any patient </w:t>
      </w:r>
      <w:r w:rsidR="00B003E0" w:rsidRPr="004B39D6">
        <w:rPr>
          <w:rFonts w:ascii="Book Antiqua" w:hAnsi="Book Antiqua" w:cs="Arial"/>
          <w:sz w:val="24"/>
          <w:szCs w:val="24"/>
          <w:lang w:val="en-US"/>
        </w:rPr>
        <w:t>in which</w:t>
      </w:r>
      <w:r w:rsidRPr="004B39D6">
        <w:rPr>
          <w:rFonts w:ascii="Book Antiqua" w:hAnsi="Book Antiqua" w:cs="Arial"/>
          <w:sz w:val="24"/>
          <w:szCs w:val="24"/>
          <w:lang w:val="en-US"/>
        </w:rPr>
        <w:t xml:space="preserve"> other pools seem to hav</w:t>
      </w:r>
      <w:r w:rsidR="004B5028" w:rsidRPr="004B39D6">
        <w:rPr>
          <w:rFonts w:ascii="Book Antiqua" w:hAnsi="Book Antiqua" w:cs="Arial"/>
          <w:sz w:val="24"/>
          <w:szCs w:val="24"/>
          <w:lang w:val="en-US"/>
        </w:rPr>
        <w:t xml:space="preserve">e a more relevant role (Figure </w:t>
      </w:r>
      <w:r w:rsidR="0021275B" w:rsidRPr="004B39D6">
        <w:rPr>
          <w:rFonts w:ascii="Book Antiqua" w:hAnsi="Book Antiqua" w:cs="Arial"/>
          <w:sz w:val="24"/>
          <w:szCs w:val="24"/>
          <w:lang w:val="en-US"/>
        </w:rPr>
        <w:t>2</w:t>
      </w:r>
      <w:r w:rsidRPr="004B39D6">
        <w:rPr>
          <w:rFonts w:ascii="Book Antiqua" w:hAnsi="Book Antiqua" w:cs="Arial"/>
          <w:sz w:val="24"/>
          <w:szCs w:val="24"/>
          <w:lang w:val="en-US"/>
        </w:rPr>
        <w:t xml:space="preserve">). A representative plot of flow </w:t>
      </w:r>
      <w:proofErr w:type="spellStart"/>
      <w:r w:rsidRPr="004B39D6">
        <w:rPr>
          <w:rFonts w:ascii="Book Antiqua" w:hAnsi="Book Antiqua" w:cs="Arial"/>
          <w:sz w:val="24"/>
          <w:szCs w:val="24"/>
          <w:lang w:val="en-US"/>
        </w:rPr>
        <w:t>cytometry</w:t>
      </w:r>
      <w:proofErr w:type="spellEnd"/>
      <w:r w:rsidRPr="004B39D6">
        <w:rPr>
          <w:rFonts w:ascii="Book Antiqua" w:hAnsi="Book Antiqua" w:cs="Arial"/>
          <w:sz w:val="24"/>
          <w:szCs w:val="24"/>
          <w:lang w:val="en-US"/>
        </w:rPr>
        <w:t xml:space="preserve"> </w:t>
      </w:r>
      <w:r w:rsidR="00B003E0" w:rsidRPr="004B39D6">
        <w:rPr>
          <w:rFonts w:ascii="Book Antiqua" w:hAnsi="Book Antiqua" w:cs="Arial"/>
          <w:sz w:val="24"/>
          <w:szCs w:val="24"/>
          <w:lang w:val="en-US"/>
        </w:rPr>
        <w:t xml:space="preserve">data </w:t>
      </w:r>
      <w:r w:rsidRPr="004B39D6">
        <w:rPr>
          <w:rFonts w:ascii="Book Antiqua" w:hAnsi="Book Antiqua" w:cs="Arial"/>
          <w:sz w:val="24"/>
          <w:szCs w:val="24"/>
          <w:lang w:val="en-US"/>
        </w:rPr>
        <w:t xml:space="preserve">with cells </w:t>
      </w:r>
      <w:r w:rsidR="00B003E0" w:rsidRPr="004B39D6">
        <w:rPr>
          <w:rFonts w:ascii="Book Antiqua" w:hAnsi="Book Antiqua" w:cs="Arial"/>
          <w:sz w:val="24"/>
          <w:szCs w:val="24"/>
          <w:lang w:val="en-US"/>
        </w:rPr>
        <w:t>gated on CD4</w:t>
      </w:r>
      <w:r w:rsidR="00754043" w:rsidRPr="004B39D6">
        <w:rPr>
          <w:rFonts w:ascii="Book Antiqua" w:hAnsi="Book Antiqua" w:cs="Arial"/>
          <w:sz w:val="24"/>
          <w:szCs w:val="24"/>
          <w:vertAlign w:val="superscript"/>
          <w:lang w:val="en-US"/>
        </w:rPr>
        <w:t>+</w:t>
      </w:r>
      <w:r w:rsidR="00B003E0" w:rsidRPr="004B39D6">
        <w:rPr>
          <w:rFonts w:ascii="Book Antiqua" w:hAnsi="Book Antiqua" w:cs="Arial"/>
          <w:sz w:val="24"/>
          <w:szCs w:val="24"/>
          <w:lang w:val="en-US"/>
        </w:rPr>
        <w:t xml:space="preserve"> first and then CD8</w:t>
      </w:r>
      <w:r w:rsidR="00287FE4" w:rsidRPr="004B39D6">
        <w:rPr>
          <w:rFonts w:ascii="Book Antiqua" w:hAnsi="Book Antiqua" w:cs="Arial"/>
          <w:sz w:val="24"/>
          <w:szCs w:val="24"/>
          <w:lang w:val="en-US"/>
        </w:rPr>
        <w:t>,</w:t>
      </w:r>
      <w:r w:rsidR="00B003E0" w:rsidRPr="004B39D6">
        <w:rPr>
          <w:rFonts w:ascii="Book Antiqua" w:hAnsi="Book Antiqua" w:cs="Arial"/>
          <w:sz w:val="24"/>
          <w:szCs w:val="24"/>
          <w:lang w:val="en-US"/>
        </w:rPr>
        <w:t xml:space="preserve"> selecting those cells with a low expression of CD8</w:t>
      </w:r>
      <w:r w:rsidR="00287FE4" w:rsidRPr="004B39D6">
        <w:rPr>
          <w:rFonts w:ascii="Book Antiqua" w:hAnsi="Book Antiqua" w:cs="Arial"/>
          <w:sz w:val="24"/>
          <w:szCs w:val="24"/>
          <w:lang w:val="en-US"/>
        </w:rPr>
        <w:t>,</w:t>
      </w:r>
      <w:r w:rsidR="00EF590B" w:rsidRPr="004B39D6">
        <w:rPr>
          <w:rFonts w:ascii="Book Antiqua" w:hAnsi="Book Antiqua" w:cs="Arial"/>
          <w:sz w:val="24"/>
          <w:szCs w:val="24"/>
          <w:lang w:val="en-US"/>
        </w:rPr>
        <w:t xml:space="preserve"> is shown in Figure 3</w:t>
      </w:r>
      <w:r w:rsidR="00B003E0" w:rsidRPr="004B39D6">
        <w:rPr>
          <w:rFonts w:ascii="Book Antiqua" w:hAnsi="Book Antiqua" w:cs="Arial"/>
          <w:sz w:val="24"/>
          <w:szCs w:val="24"/>
          <w:lang w:val="en-US"/>
        </w:rPr>
        <w:t>.</w:t>
      </w:r>
      <w:r w:rsidR="00EF590B" w:rsidRPr="004B39D6">
        <w:rPr>
          <w:rFonts w:ascii="Book Antiqua" w:hAnsi="Book Antiqua" w:cs="Arial"/>
          <w:sz w:val="24"/>
          <w:szCs w:val="24"/>
          <w:lang w:val="en-US"/>
        </w:rPr>
        <w:t xml:space="preserve"> We have selected 3 patients with different degrees of activation</w:t>
      </w:r>
      <w:r w:rsidR="006F5BD8" w:rsidRPr="004B39D6">
        <w:rPr>
          <w:rFonts w:ascii="Book Antiqua" w:hAnsi="Book Antiqua" w:cs="Arial"/>
          <w:sz w:val="24"/>
          <w:szCs w:val="24"/>
          <w:lang w:val="en-US"/>
        </w:rPr>
        <w:t xml:space="preserve"> after stimulation with </w:t>
      </w:r>
      <w:r w:rsidR="00EF590B" w:rsidRPr="004B39D6">
        <w:rPr>
          <w:rFonts w:ascii="Book Antiqua" w:hAnsi="Book Antiqua" w:cs="Arial"/>
          <w:sz w:val="24"/>
          <w:szCs w:val="24"/>
          <w:lang w:val="en-US"/>
        </w:rPr>
        <w:t xml:space="preserve">the </w:t>
      </w:r>
      <w:r w:rsidR="006F5BD8" w:rsidRPr="004B39D6">
        <w:rPr>
          <w:rFonts w:ascii="Book Antiqua" w:hAnsi="Book Antiqua" w:cs="Arial"/>
          <w:sz w:val="24"/>
          <w:szCs w:val="24"/>
          <w:lang w:val="en-US"/>
        </w:rPr>
        <w:t>pools</w:t>
      </w:r>
      <w:r w:rsidR="00754043" w:rsidRPr="004B39D6">
        <w:rPr>
          <w:rFonts w:ascii="Book Antiqua" w:hAnsi="Book Antiqua" w:cs="Arial"/>
          <w:sz w:val="24"/>
          <w:szCs w:val="24"/>
          <w:lang w:val="en-US"/>
        </w:rPr>
        <w:t xml:space="preserve"> of peptides</w:t>
      </w:r>
      <w:r w:rsidR="006F5BD8" w:rsidRPr="004B39D6">
        <w:rPr>
          <w:rFonts w:ascii="Book Antiqua" w:hAnsi="Book Antiqua" w:cs="Arial"/>
          <w:sz w:val="24"/>
          <w:szCs w:val="24"/>
          <w:lang w:val="en-US"/>
        </w:rPr>
        <w:t>; the ne</w:t>
      </w:r>
      <w:r w:rsidR="00EF590B" w:rsidRPr="004B39D6">
        <w:rPr>
          <w:rFonts w:ascii="Book Antiqua" w:hAnsi="Book Antiqua" w:cs="Arial"/>
          <w:sz w:val="24"/>
          <w:szCs w:val="24"/>
          <w:lang w:val="en-US"/>
        </w:rPr>
        <w:t>gative control (without peptide</w:t>
      </w:r>
      <w:r w:rsidR="006F5BD8" w:rsidRPr="004B39D6">
        <w:rPr>
          <w:rFonts w:ascii="Book Antiqua" w:hAnsi="Book Antiqua" w:cs="Arial"/>
          <w:sz w:val="24"/>
          <w:szCs w:val="24"/>
          <w:lang w:val="en-US"/>
        </w:rPr>
        <w:t xml:space="preserve">) is also shown </w:t>
      </w:r>
      <w:r w:rsidR="0005212E" w:rsidRPr="004B39D6">
        <w:rPr>
          <w:rFonts w:ascii="Book Antiqua" w:hAnsi="Book Antiqua" w:cs="Arial"/>
          <w:sz w:val="24"/>
          <w:szCs w:val="24"/>
          <w:lang w:val="en-US"/>
        </w:rPr>
        <w:t xml:space="preserve">and was subtracted to obtain the final values </w:t>
      </w:r>
      <w:r w:rsidR="006F5BD8" w:rsidRPr="004B39D6">
        <w:rPr>
          <w:rFonts w:ascii="Book Antiqua" w:hAnsi="Book Antiqua" w:cs="Arial"/>
          <w:sz w:val="24"/>
          <w:szCs w:val="24"/>
          <w:lang w:val="en-US"/>
        </w:rPr>
        <w:t>(</w:t>
      </w:r>
      <w:r w:rsidR="004B5028" w:rsidRPr="004B39D6">
        <w:rPr>
          <w:rFonts w:ascii="Book Antiqua" w:hAnsi="Book Antiqua" w:cs="Arial"/>
          <w:sz w:val="24"/>
          <w:szCs w:val="24"/>
          <w:lang w:val="en-US"/>
        </w:rPr>
        <w:t xml:space="preserve">Figure </w:t>
      </w:r>
      <w:r w:rsidR="0021275B" w:rsidRPr="004B39D6">
        <w:rPr>
          <w:rFonts w:ascii="Book Antiqua" w:hAnsi="Book Antiqua" w:cs="Arial"/>
          <w:sz w:val="24"/>
          <w:szCs w:val="24"/>
          <w:lang w:val="en-US"/>
        </w:rPr>
        <w:t>3</w:t>
      </w:r>
      <w:r w:rsidR="006F5BD8" w:rsidRPr="004B39D6">
        <w:rPr>
          <w:rFonts w:ascii="Book Antiqua" w:hAnsi="Book Antiqua" w:cs="Arial"/>
          <w:sz w:val="24"/>
          <w:szCs w:val="24"/>
          <w:lang w:val="en-US"/>
        </w:rPr>
        <w:t>)</w:t>
      </w:r>
      <w:r w:rsidRPr="004B39D6">
        <w:rPr>
          <w:rFonts w:ascii="Book Antiqua" w:hAnsi="Book Antiqua" w:cs="Arial"/>
          <w:sz w:val="24"/>
          <w:szCs w:val="24"/>
          <w:lang w:val="en-US"/>
        </w:rPr>
        <w:t xml:space="preserve">. </w:t>
      </w:r>
    </w:p>
    <w:p w14:paraId="01D6BB5D" w14:textId="77777777" w:rsidR="00646445" w:rsidRPr="004B39D6" w:rsidRDefault="00646445" w:rsidP="0081528B">
      <w:pPr>
        <w:snapToGrid w:val="0"/>
        <w:spacing w:after="0" w:line="360" w:lineRule="auto"/>
        <w:ind w:firstLine="708"/>
        <w:jc w:val="both"/>
        <w:rPr>
          <w:rFonts w:ascii="Book Antiqua" w:hAnsi="Book Antiqua" w:cs="Arial"/>
          <w:sz w:val="24"/>
          <w:szCs w:val="24"/>
          <w:lang w:val="en-US"/>
        </w:rPr>
      </w:pPr>
    </w:p>
    <w:p w14:paraId="25DEA179" w14:textId="77777777" w:rsidR="003B780A" w:rsidRPr="004B39D6" w:rsidRDefault="003B780A" w:rsidP="0081528B">
      <w:pPr>
        <w:snapToGrid w:val="0"/>
        <w:spacing w:after="0" w:line="360" w:lineRule="auto"/>
        <w:jc w:val="both"/>
        <w:rPr>
          <w:rFonts w:ascii="Book Antiqua" w:hAnsi="Book Antiqua" w:cs="Arial"/>
          <w:b/>
          <w:i/>
          <w:sz w:val="24"/>
          <w:szCs w:val="24"/>
          <w:lang w:val="en-US"/>
        </w:rPr>
      </w:pPr>
      <w:r w:rsidRPr="004B39D6">
        <w:rPr>
          <w:rFonts w:ascii="Book Antiqua" w:hAnsi="Book Antiqua" w:cs="Arial"/>
          <w:b/>
          <w:i/>
          <w:sz w:val="24"/>
          <w:szCs w:val="24"/>
          <w:lang w:val="en-US"/>
        </w:rPr>
        <w:t>Indirect presentation pathway</w:t>
      </w:r>
    </w:p>
    <w:p w14:paraId="68E56BC2" w14:textId="6027143B" w:rsidR="00851977" w:rsidRPr="004B39D6" w:rsidRDefault="003B780A"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t xml:space="preserve">These results have to be interpreted in the context of an indirect </w:t>
      </w:r>
      <w:proofErr w:type="spellStart"/>
      <w:r w:rsidRPr="004B39D6">
        <w:rPr>
          <w:rFonts w:ascii="Book Antiqua" w:hAnsi="Book Antiqua" w:cs="Arial"/>
          <w:sz w:val="24"/>
          <w:szCs w:val="24"/>
          <w:lang w:val="en-US"/>
        </w:rPr>
        <w:t>allo</w:t>
      </w:r>
      <w:proofErr w:type="spellEnd"/>
      <w:r w:rsidR="00C117CC" w:rsidRPr="004B39D6">
        <w:rPr>
          <w:rFonts w:ascii="Book Antiqua" w:hAnsi="Book Antiqua" w:cs="Arial"/>
          <w:sz w:val="24"/>
          <w:szCs w:val="24"/>
          <w:lang w:val="en-US"/>
        </w:rPr>
        <w:t>-</w:t>
      </w:r>
      <w:r w:rsidRPr="004B39D6">
        <w:rPr>
          <w:rFonts w:ascii="Book Antiqua" w:hAnsi="Book Antiqua" w:cs="Arial"/>
          <w:sz w:val="24"/>
          <w:szCs w:val="24"/>
          <w:lang w:val="en-US"/>
        </w:rPr>
        <w:t>recognition pathway since the experiments were performed only in the presence of recipient cells</w:t>
      </w:r>
      <w:r w:rsidR="00E50D92" w:rsidRPr="004B39D6">
        <w:rPr>
          <w:rFonts w:ascii="Book Antiqua" w:hAnsi="Book Antiqua" w:cs="Arial"/>
          <w:sz w:val="24"/>
          <w:szCs w:val="24"/>
          <w:lang w:val="en-US"/>
        </w:rPr>
        <w:t xml:space="preserve">. </w:t>
      </w:r>
      <w:r w:rsidR="00802842" w:rsidRPr="004B39D6">
        <w:rPr>
          <w:rFonts w:ascii="Book Antiqua" w:hAnsi="Book Antiqua" w:cs="Arial"/>
          <w:sz w:val="24"/>
          <w:szCs w:val="24"/>
          <w:lang w:val="en-US"/>
        </w:rPr>
        <w:t>The r</w:t>
      </w:r>
      <w:r w:rsidR="00873EA2" w:rsidRPr="004B39D6">
        <w:rPr>
          <w:rFonts w:ascii="Book Antiqua" w:hAnsi="Book Antiqua" w:cs="Arial"/>
          <w:sz w:val="24"/>
          <w:szCs w:val="24"/>
          <w:lang w:val="en-US"/>
        </w:rPr>
        <w:t>ecipients’ HLA ge</w:t>
      </w:r>
      <w:r w:rsidR="0005212E" w:rsidRPr="004B39D6">
        <w:rPr>
          <w:rFonts w:ascii="Book Antiqua" w:hAnsi="Book Antiqua" w:cs="Arial"/>
          <w:sz w:val="24"/>
          <w:szCs w:val="24"/>
          <w:lang w:val="en-US"/>
        </w:rPr>
        <w:t>notypes are described in Table 4</w:t>
      </w:r>
      <w:r w:rsidR="00873EA2" w:rsidRPr="004B39D6">
        <w:rPr>
          <w:rFonts w:ascii="Book Antiqua" w:hAnsi="Book Antiqua" w:cs="Arial"/>
          <w:sz w:val="24"/>
          <w:szCs w:val="24"/>
          <w:lang w:val="en-US"/>
        </w:rPr>
        <w:t xml:space="preserve">, </w:t>
      </w:r>
      <w:r w:rsidR="00CE7FF0" w:rsidRPr="004B39D6">
        <w:rPr>
          <w:rFonts w:ascii="Book Antiqua" w:hAnsi="Book Antiqua" w:cs="Arial"/>
          <w:sz w:val="24"/>
          <w:szCs w:val="24"/>
          <w:lang w:val="en-US"/>
        </w:rPr>
        <w:t>highlighting</w:t>
      </w:r>
      <w:r w:rsidR="00873EA2" w:rsidRPr="004B39D6">
        <w:rPr>
          <w:rFonts w:ascii="Book Antiqua" w:hAnsi="Book Antiqua" w:cs="Arial"/>
          <w:sz w:val="24"/>
          <w:szCs w:val="24"/>
          <w:lang w:val="en-US"/>
        </w:rPr>
        <w:t xml:space="preserve"> in bold </w:t>
      </w:r>
      <w:r w:rsidR="00CE7FF0" w:rsidRPr="004B39D6">
        <w:rPr>
          <w:rFonts w:ascii="Book Antiqua" w:hAnsi="Book Antiqua" w:cs="Arial"/>
          <w:sz w:val="24"/>
          <w:szCs w:val="24"/>
          <w:lang w:val="en-US"/>
        </w:rPr>
        <w:t>HLA class I and II alleles with the best percentile rank</w:t>
      </w:r>
      <w:r w:rsidR="00FE5E21" w:rsidRPr="004B39D6">
        <w:rPr>
          <w:rFonts w:ascii="Book Antiqua" w:hAnsi="Book Antiqua" w:cs="Arial"/>
          <w:sz w:val="24"/>
          <w:szCs w:val="24"/>
          <w:lang w:val="en-US"/>
        </w:rPr>
        <w:t>s</w:t>
      </w:r>
      <w:r w:rsidR="00CE7FF0" w:rsidRPr="004B39D6">
        <w:rPr>
          <w:rFonts w:ascii="Book Antiqua" w:hAnsi="Book Antiqua" w:cs="Arial"/>
          <w:sz w:val="24"/>
          <w:szCs w:val="24"/>
          <w:lang w:val="en-US"/>
        </w:rPr>
        <w:t xml:space="preserve"> for presentation of GSTT1 peptides</w:t>
      </w:r>
      <w:r w:rsidR="006107A1" w:rsidRPr="004B39D6">
        <w:rPr>
          <w:rFonts w:ascii="Book Antiqua" w:hAnsi="Book Antiqua" w:cs="Arial"/>
          <w:sz w:val="24"/>
          <w:szCs w:val="24"/>
          <w:lang w:val="en-US"/>
        </w:rPr>
        <w:t>,</w:t>
      </w:r>
      <w:r w:rsidR="00CE7FF0" w:rsidRPr="004B39D6">
        <w:rPr>
          <w:rFonts w:ascii="Book Antiqua" w:hAnsi="Book Antiqua" w:cs="Arial"/>
          <w:sz w:val="24"/>
          <w:szCs w:val="24"/>
          <w:lang w:val="en-US"/>
        </w:rPr>
        <w:t xml:space="preserve"> as concluded from the</w:t>
      </w:r>
      <w:r w:rsidR="00CE7FF0" w:rsidRPr="004B39D6">
        <w:rPr>
          <w:rFonts w:ascii="Book Antiqua" w:hAnsi="Book Antiqua" w:cs="Arial"/>
          <w:i/>
          <w:sz w:val="24"/>
          <w:szCs w:val="24"/>
          <w:lang w:val="en-US"/>
        </w:rPr>
        <w:t xml:space="preserve"> in </w:t>
      </w:r>
      <w:proofErr w:type="spellStart"/>
      <w:r w:rsidR="00CE7FF0" w:rsidRPr="004B39D6">
        <w:rPr>
          <w:rFonts w:ascii="Book Antiqua" w:hAnsi="Book Antiqua" w:cs="Arial"/>
          <w:i/>
          <w:sz w:val="24"/>
          <w:szCs w:val="24"/>
          <w:lang w:val="en-US"/>
        </w:rPr>
        <w:t>silico</w:t>
      </w:r>
      <w:proofErr w:type="spellEnd"/>
      <w:r w:rsidR="00CE7FF0" w:rsidRPr="004B39D6">
        <w:rPr>
          <w:rFonts w:ascii="Book Antiqua" w:hAnsi="Book Antiqua" w:cs="Arial"/>
          <w:i/>
          <w:sz w:val="24"/>
          <w:szCs w:val="24"/>
          <w:lang w:val="en-US"/>
        </w:rPr>
        <w:t xml:space="preserve"> </w:t>
      </w:r>
      <w:r w:rsidR="00CE7FF0" w:rsidRPr="004B39D6">
        <w:rPr>
          <w:rFonts w:ascii="Book Antiqua" w:hAnsi="Book Antiqua" w:cs="Arial"/>
          <w:sz w:val="24"/>
          <w:szCs w:val="24"/>
          <w:lang w:val="en-US"/>
        </w:rPr>
        <w:t>analysis</w:t>
      </w:r>
      <w:r w:rsidR="00873EA2" w:rsidRPr="004B39D6">
        <w:rPr>
          <w:rFonts w:ascii="Book Antiqua" w:hAnsi="Book Antiqua" w:cs="Arial"/>
          <w:sz w:val="24"/>
          <w:szCs w:val="24"/>
          <w:lang w:val="en-US"/>
        </w:rPr>
        <w:t>.</w:t>
      </w:r>
      <w:r w:rsidR="00ED5FC2" w:rsidRPr="004B39D6">
        <w:rPr>
          <w:rFonts w:ascii="Book Antiqua" w:hAnsi="Book Antiqua" w:cs="Arial"/>
          <w:sz w:val="24"/>
          <w:szCs w:val="24"/>
          <w:lang w:val="en-US"/>
        </w:rPr>
        <w:t xml:space="preserve"> </w:t>
      </w:r>
      <w:r w:rsidR="00873EA2" w:rsidRPr="004B39D6">
        <w:rPr>
          <w:rFonts w:ascii="Book Antiqua" w:hAnsi="Book Antiqua" w:cs="Arial"/>
          <w:sz w:val="24"/>
          <w:szCs w:val="24"/>
          <w:lang w:val="en-US"/>
        </w:rPr>
        <w:t>We found</w:t>
      </w:r>
      <w:r w:rsidR="00F104FA" w:rsidRPr="004B39D6">
        <w:rPr>
          <w:rFonts w:ascii="Book Antiqua" w:hAnsi="Book Antiqua" w:cs="Arial"/>
          <w:sz w:val="24"/>
          <w:szCs w:val="24"/>
          <w:lang w:val="en-US"/>
        </w:rPr>
        <w:t xml:space="preserve"> a good correlation</w:t>
      </w:r>
      <w:r w:rsidR="00CE7FF0" w:rsidRPr="004B39D6">
        <w:rPr>
          <w:rFonts w:ascii="Book Antiqua" w:hAnsi="Book Antiqua" w:cs="Arial"/>
          <w:sz w:val="24"/>
          <w:szCs w:val="24"/>
          <w:lang w:val="en-US"/>
        </w:rPr>
        <w:t xml:space="preserve"> with part of the</w:t>
      </w:r>
      <w:r w:rsidR="00646445" w:rsidRPr="004B39D6">
        <w:rPr>
          <w:rFonts w:ascii="Book Antiqua" w:hAnsi="Book Antiqua" w:cs="Arial"/>
          <w:sz w:val="24"/>
          <w:szCs w:val="24"/>
          <w:lang w:val="en-US"/>
        </w:rPr>
        <w:t xml:space="preserve"> experimental results</w:t>
      </w:r>
      <w:r w:rsidR="00F104FA" w:rsidRPr="004B39D6">
        <w:rPr>
          <w:rFonts w:ascii="Book Antiqua" w:hAnsi="Book Antiqua" w:cs="Arial"/>
          <w:sz w:val="24"/>
          <w:szCs w:val="24"/>
          <w:lang w:val="en-US"/>
        </w:rPr>
        <w:t xml:space="preserve"> </w:t>
      </w:r>
      <w:r w:rsidR="00646445" w:rsidRPr="004B39D6">
        <w:rPr>
          <w:rFonts w:ascii="Book Antiqua" w:hAnsi="Book Antiqua" w:cs="Arial"/>
          <w:sz w:val="24"/>
          <w:szCs w:val="24"/>
          <w:lang w:val="en-US"/>
        </w:rPr>
        <w:t xml:space="preserve">of T cell activation measured in terms of IL-4 and/or </w:t>
      </w:r>
      <w:proofErr w:type="spellStart"/>
      <w:r w:rsidR="00646445" w:rsidRPr="004B39D6">
        <w:rPr>
          <w:rFonts w:ascii="Book Antiqua" w:hAnsi="Book Antiqua" w:cs="Arial"/>
          <w:sz w:val="24"/>
          <w:szCs w:val="24"/>
          <w:lang w:val="en-US"/>
        </w:rPr>
        <w:t>IFNγ</w:t>
      </w:r>
      <w:proofErr w:type="spellEnd"/>
      <w:r w:rsidR="00646445" w:rsidRPr="004B39D6">
        <w:rPr>
          <w:rFonts w:ascii="Book Antiqua" w:hAnsi="Book Antiqua" w:cs="Arial"/>
          <w:sz w:val="24"/>
          <w:szCs w:val="24"/>
          <w:lang w:val="en-US"/>
        </w:rPr>
        <w:t xml:space="preserve"> production by CD8</w:t>
      </w:r>
      <w:r w:rsidR="00646445" w:rsidRPr="004B39D6">
        <w:rPr>
          <w:rFonts w:ascii="Book Antiqua" w:hAnsi="Book Antiqua" w:cs="Arial"/>
          <w:sz w:val="24"/>
          <w:szCs w:val="24"/>
          <w:vertAlign w:val="superscript"/>
          <w:lang w:val="en-US"/>
        </w:rPr>
        <w:t>+</w:t>
      </w:r>
      <w:r w:rsidR="00646445" w:rsidRPr="004B39D6">
        <w:rPr>
          <w:rFonts w:ascii="Book Antiqua" w:hAnsi="Book Antiqua" w:cs="Arial"/>
          <w:sz w:val="24"/>
          <w:szCs w:val="24"/>
          <w:lang w:val="en-US"/>
        </w:rPr>
        <w:t>, CD4</w:t>
      </w:r>
      <w:r w:rsidR="00646445" w:rsidRPr="004B39D6">
        <w:rPr>
          <w:rFonts w:ascii="Book Antiqua" w:hAnsi="Book Antiqua" w:cs="Arial"/>
          <w:sz w:val="24"/>
          <w:szCs w:val="24"/>
          <w:vertAlign w:val="superscript"/>
          <w:lang w:val="en-US"/>
        </w:rPr>
        <w:t>+</w:t>
      </w:r>
      <w:r w:rsidR="00646445" w:rsidRPr="004B39D6">
        <w:rPr>
          <w:rFonts w:ascii="Book Antiqua" w:hAnsi="Book Antiqua" w:cs="Arial"/>
          <w:sz w:val="24"/>
          <w:szCs w:val="24"/>
          <w:lang w:val="en-US"/>
        </w:rPr>
        <w:t xml:space="preserve"> and CD4</w:t>
      </w:r>
      <w:r w:rsidR="00646445" w:rsidRPr="004B39D6">
        <w:rPr>
          <w:rFonts w:ascii="Book Antiqua" w:hAnsi="Book Antiqua" w:cs="Arial"/>
          <w:sz w:val="24"/>
          <w:szCs w:val="24"/>
          <w:vertAlign w:val="superscript"/>
          <w:lang w:val="en-US"/>
        </w:rPr>
        <w:t>+</w:t>
      </w:r>
      <w:r w:rsidR="00646445" w:rsidRPr="004B39D6">
        <w:rPr>
          <w:rFonts w:ascii="Book Antiqua" w:hAnsi="Book Antiqua" w:cs="Arial"/>
          <w:sz w:val="24"/>
          <w:szCs w:val="24"/>
          <w:lang w:val="en-US"/>
        </w:rPr>
        <w:t>CD8</w:t>
      </w:r>
      <w:r w:rsidR="00646445" w:rsidRPr="004B39D6">
        <w:rPr>
          <w:rFonts w:ascii="Book Antiqua" w:hAnsi="Book Antiqua" w:cs="Arial"/>
          <w:sz w:val="24"/>
          <w:szCs w:val="24"/>
          <w:vertAlign w:val="superscript"/>
          <w:lang w:val="en-US"/>
        </w:rPr>
        <w:t>low</w:t>
      </w:r>
      <w:r w:rsidR="00646445" w:rsidRPr="004B39D6">
        <w:rPr>
          <w:rFonts w:ascii="Book Antiqua" w:hAnsi="Book Antiqua" w:cs="Arial"/>
          <w:sz w:val="24"/>
          <w:szCs w:val="24"/>
          <w:lang w:val="en-US"/>
        </w:rPr>
        <w:t xml:space="preserve"> T cells upon exposure to GSTT1 peptides</w:t>
      </w:r>
      <w:r w:rsidR="00873EA2" w:rsidRPr="004B39D6">
        <w:rPr>
          <w:rFonts w:ascii="Book Antiqua" w:hAnsi="Book Antiqua" w:cs="Arial"/>
          <w:sz w:val="24"/>
          <w:szCs w:val="24"/>
          <w:lang w:val="en-US"/>
        </w:rPr>
        <w:t>.</w:t>
      </w:r>
      <w:r w:rsidR="00646445" w:rsidRPr="004B39D6">
        <w:rPr>
          <w:rFonts w:ascii="Book Antiqua" w:hAnsi="Book Antiqua" w:cs="Arial"/>
          <w:sz w:val="24"/>
          <w:szCs w:val="24"/>
          <w:lang w:val="en-US"/>
        </w:rPr>
        <w:t xml:space="preserve"> However, </w:t>
      </w:r>
      <w:r w:rsidR="00CE7FF0" w:rsidRPr="004B39D6">
        <w:rPr>
          <w:rFonts w:ascii="Book Antiqua" w:hAnsi="Book Antiqua" w:cs="Arial"/>
          <w:sz w:val="24"/>
          <w:szCs w:val="24"/>
          <w:lang w:val="en-US"/>
        </w:rPr>
        <w:t>the fact that HLA genotyping was performed by low resolution methods constitutes a</w:t>
      </w:r>
      <w:r w:rsidR="00646445" w:rsidRPr="004B39D6">
        <w:rPr>
          <w:rFonts w:ascii="Book Antiqua" w:hAnsi="Book Antiqua" w:cs="Arial"/>
          <w:sz w:val="24"/>
          <w:szCs w:val="24"/>
          <w:lang w:val="en-US"/>
        </w:rPr>
        <w:t xml:space="preserve"> </w:t>
      </w:r>
      <w:r w:rsidR="0005212E" w:rsidRPr="004B39D6">
        <w:rPr>
          <w:rFonts w:ascii="Book Antiqua" w:hAnsi="Book Antiqua" w:cs="Arial"/>
          <w:sz w:val="24"/>
          <w:szCs w:val="24"/>
          <w:lang w:val="en-US"/>
        </w:rPr>
        <w:t>limitation of the analysis</w:t>
      </w:r>
      <w:r w:rsidR="00CE7FF0" w:rsidRPr="004B39D6">
        <w:rPr>
          <w:rFonts w:ascii="Book Antiqua" w:hAnsi="Book Antiqua" w:cs="Arial"/>
          <w:sz w:val="24"/>
          <w:szCs w:val="24"/>
          <w:lang w:val="en-US"/>
        </w:rPr>
        <w:t xml:space="preserve">. </w:t>
      </w:r>
      <w:r w:rsidR="00851977" w:rsidRPr="004B39D6">
        <w:rPr>
          <w:rFonts w:ascii="Book Antiqua" w:hAnsi="Book Antiqua" w:cs="Arial"/>
          <w:sz w:val="24"/>
          <w:szCs w:val="24"/>
          <w:lang w:val="en-US"/>
        </w:rPr>
        <w:t xml:space="preserve">When we </w:t>
      </w:r>
      <w:r w:rsidR="00286BDE" w:rsidRPr="004B39D6">
        <w:rPr>
          <w:rFonts w:ascii="Book Antiqua" w:hAnsi="Book Antiqua" w:cs="Arial"/>
          <w:sz w:val="24"/>
          <w:szCs w:val="24"/>
          <w:lang w:val="en-US"/>
        </w:rPr>
        <w:t>placed</w:t>
      </w:r>
      <w:r w:rsidR="00851977" w:rsidRPr="004B39D6">
        <w:rPr>
          <w:rFonts w:ascii="Book Antiqua" w:hAnsi="Book Antiqua" w:cs="Arial"/>
          <w:sz w:val="24"/>
          <w:szCs w:val="24"/>
          <w:lang w:val="en-US"/>
        </w:rPr>
        <w:t xml:space="preserve"> the </w:t>
      </w:r>
      <w:r w:rsidR="00851977" w:rsidRPr="004B39D6">
        <w:rPr>
          <w:rFonts w:ascii="Book Antiqua" w:hAnsi="Book Antiqua" w:cs="Arial"/>
          <w:i/>
          <w:sz w:val="24"/>
          <w:szCs w:val="24"/>
          <w:lang w:val="en-US"/>
        </w:rPr>
        <w:t xml:space="preserve">in </w:t>
      </w:r>
      <w:proofErr w:type="spellStart"/>
      <w:r w:rsidR="00851977" w:rsidRPr="004B39D6">
        <w:rPr>
          <w:rFonts w:ascii="Book Antiqua" w:hAnsi="Book Antiqua" w:cs="Arial"/>
          <w:i/>
          <w:sz w:val="24"/>
          <w:szCs w:val="24"/>
          <w:lang w:val="en-US"/>
        </w:rPr>
        <w:t>silico</w:t>
      </w:r>
      <w:proofErr w:type="spellEnd"/>
      <w:r w:rsidR="00851977" w:rsidRPr="004B39D6">
        <w:rPr>
          <w:rFonts w:ascii="Book Antiqua" w:hAnsi="Book Antiqua" w:cs="Arial"/>
          <w:sz w:val="24"/>
          <w:szCs w:val="24"/>
          <w:lang w:val="en-US"/>
        </w:rPr>
        <w:t xml:space="preserve">-proposed peptides along the GSTT1 amino acid sequence, we were able to define very clearly a highly antigenic </w:t>
      </w:r>
      <w:r w:rsidR="00286BDE" w:rsidRPr="004B39D6">
        <w:rPr>
          <w:rFonts w:ascii="Book Antiqua" w:hAnsi="Book Antiqua" w:cs="Arial"/>
          <w:sz w:val="24"/>
          <w:szCs w:val="24"/>
          <w:lang w:val="en-US"/>
        </w:rPr>
        <w:t xml:space="preserve">zone </w:t>
      </w:r>
      <w:r w:rsidR="00851977" w:rsidRPr="004B39D6">
        <w:rPr>
          <w:rFonts w:ascii="Book Antiqua" w:hAnsi="Book Antiqua" w:cs="Arial"/>
          <w:sz w:val="24"/>
          <w:szCs w:val="24"/>
          <w:lang w:val="en-US"/>
        </w:rPr>
        <w:t>of the protein</w:t>
      </w:r>
      <w:r w:rsidR="00286BDE" w:rsidRPr="004B39D6">
        <w:rPr>
          <w:rFonts w:ascii="Book Antiqua" w:hAnsi="Book Antiqua" w:cs="Arial"/>
          <w:sz w:val="24"/>
          <w:szCs w:val="24"/>
          <w:lang w:val="en-US"/>
        </w:rPr>
        <w:t xml:space="preserve"> that basically share</w:t>
      </w:r>
      <w:r w:rsidR="007911B2" w:rsidRPr="004B39D6">
        <w:rPr>
          <w:rFonts w:ascii="Book Antiqua" w:hAnsi="Book Antiqua" w:cs="Arial"/>
          <w:sz w:val="24"/>
          <w:szCs w:val="24"/>
          <w:lang w:val="en-US"/>
        </w:rPr>
        <w:t>d</w:t>
      </w:r>
      <w:r w:rsidR="00286BDE" w:rsidRPr="004B39D6">
        <w:rPr>
          <w:rFonts w:ascii="Book Antiqua" w:hAnsi="Book Antiqua" w:cs="Arial"/>
          <w:sz w:val="24"/>
          <w:szCs w:val="24"/>
          <w:lang w:val="en-US"/>
        </w:rPr>
        <w:t xml:space="preserve"> amino acids from position</w:t>
      </w:r>
      <w:r w:rsidR="00452659" w:rsidRPr="004B39D6">
        <w:rPr>
          <w:rFonts w:ascii="Book Antiqua" w:hAnsi="Book Antiqua" w:cs="Arial"/>
          <w:sz w:val="24"/>
          <w:szCs w:val="24"/>
          <w:lang w:val="en-US"/>
        </w:rPr>
        <w:t>s</w:t>
      </w:r>
      <w:r w:rsidR="00286BDE" w:rsidRPr="004B39D6">
        <w:rPr>
          <w:rFonts w:ascii="Book Antiqua" w:hAnsi="Book Antiqua" w:cs="Arial"/>
          <w:sz w:val="24"/>
          <w:szCs w:val="24"/>
          <w:lang w:val="en-US"/>
        </w:rPr>
        <w:t xml:space="preserve"> 60 to 80 (</w:t>
      </w:r>
      <w:r w:rsidR="009E1B5B" w:rsidRPr="004B39D6">
        <w:rPr>
          <w:rFonts w:ascii="Book Antiqua" w:hAnsi="Book Antiqua" w:cs="Arial"/>
          <w:sz w:val="24"/>
          <w:szCs w:val="24"/>
          <w:lang w:val="en-US"/>
        </w:rPr>
        <w:t>Table 5</w:t>
      </w:r>
      <w:r w:rsidR="00286BDE" w:rsidRPr="004B39D6">
        <w:rPr>
          <w:rFonts w:ascii="Book Antiqua" w:hAnsi="Book Antiqua" w:cs="Arial"/>
          <w:sz w:val="24"/>
          <w:szCs w:val="24"/>
          <w:lang w:val="en-US"/>
        </w:rPr>
        <w:t>). Interestingly, the selected peptides are long, not only for HLA class II</w:t>
      </w:r>
      <w:r w:rsidR="006107A1" w:rsidRPr="004B39D6">
        <w:rPr>
          <w:rFonts w:ascii="Book Antiqua" w:hAnsi="Book Antiqua" w:cs="Arial"/>
          <w:sz w:val="24"/>
          <w:szCs w:val="24"/>
          <w:lang w:val="en-US"/>
        </w:rPr>
        <w:t>,</w:t>
      </w:r>
      <w:r w:rsidR="00286BDE" w:rsidRPr="004B39D6">
        <w:rPr>
          <w:rFonts w:ascii="Book Antiqua" w:hAnsi="Book Antiqua" w:cs="Arial"/>
          <w:sz w:val="24"/>
          <w:szCs w:val="24"/>
          <w:lang w:val="en-US"/>
        </w:rPr>
        <w:t xml:space="preserve"> </w:t>
      </w:r>
      <w:r w:rsidR="002155E9" w:rsidRPr="004B39D6">
        <w:rPr>
          <w:rFonts w:ascii="Book Antiqua" w:hAnsi="Book Antiqua" w:cs="Arial"/>
          <w:sz w:val="24"/>
          <w:szCs w:val="24"/>
          <w:lang w:val="en-US"/>
        </w:rPr>
        <w:t>as expected</w:t>
      </w:r>
      <w:r w:rsidR="006107A1" w:rsidRPr="004B39D6">
        <w:rPr>
          <w:rFonts w:ascii="Book Antiqua" w:hAnsi="Book Antiqua" w:cs="Arial"/>
          <w:sz w:val="24"/>
          <w:szCs w:val="24"/>
          <w:lang w:val="en-US"/>
        </w:rPr>
        <w:t>,</w:t>
      </w:r>
      <w:r w:rsidR="002155E9" w:rsidRPr="004B39D6">
        <w:rPr>
          <w:rFonts w:ascii="Book Antiqua" w:hAnsi="Book Antiqua" w:cs="Arial"/>
          <w:sz w:val="24"/>
          <w:szCs w:val="24"/>
          <w:lang w:val="en-US"/>
        </w:rPr>
        <w:t xml:space="preserve"> </w:t>
      </w:r>
      <w:r w:rsidR="00286BDE" w:rsidRPr="004B39D6">
        <w:rPr>
          <w:rFonts w:ascii="Book Antiqua" w:hAnsi="Book Antiqua" w:cs="Arial"/>
          <w:sz w:val="24"/>
          <w:szCs w:val="24"/>
          <w:lang w:val="en-US"/>
        </w:rPr>
        <w:t>but also for HLA class I alleles.</w:t>
      </w:r>
    </w:p>
    <w:p w14:paraId="4463E949" w14:textId="77777777" w:rsidR="003B780A" w:rsidRPr="004B39D6" w:rsidRDefault="003B780A" w:rsidP="0081528B">
      <w:pPr>
        <w:snapToGrid w:val="0"/>
        <w:spacing w:after="0" w:line="360" w:lineRule="auto"/>
        <w:jc w:val="both"/>
        <w:rPr>
          <w:rFonts w:ascii="Book Antiqua" w:hAnsi="Book Antiqua" w:cs="Arial"/>
          <w:sz w:val="24"/>
          <w:szCs w:val="24"/>
          <w:lang w:val="en-US"/>
        </w:rPr>
      </w:pPr>
    </w:p>
    <w:p w14:paraId="47F9805E" w14:textId="77777777" w:rsidR="003B780A" w:rsidRPr="004B39D6" w:rsidRDefault="003B780A" w:rsidP="0081528B">
      <w:pPr>
        <w:snapToGrid w:val="0"/>
        <w:spacing w:after="0" w:line="360" w:lineRule="auto"/>
        <w:jc w:val="both"/>
        <w:rPr>
          <w:rFonts w:ascii="Book Antiqua" w:hAnsi="Book Antiqua" w:cs="Arial"/>
          <w:b/>
          <w:sz w:val="24"/>
          <w:szCs w:val="24"/>
          <w:lang w:val="en-US"/>
        </w:rPr>
      </w:pPr>
      <w:r w:rsidRPr="004B39D6">
        <w:rPr>
          <w:rFonts w:ascii="Book Antiqua" w:hAnsi="Book Antiqua" w:cs="Arial"/>
          <w:b/>
          <w:sz w:val="24"/>
          <w:szCs w:val="24"/>
          <w:lang w:val="en-US"/>
        </w:rPr>
        <w:t>DISCUSSION</w:t>
      </w:r>
    </w:p>
    <w:p w14:paraId="49BE70BD" w14:textId="3C52CF91" w:rsidR="003B780A" w:rsidRPr="004B39D6" w:rsidRDefault="003B780A"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lastRenderedPageBreak/>
        <w:t xml:space="preserve">In this </w:t>
      </w:r>
      <w:r w:rsidR="007256AF" w:rsidRPr="004B39D6">
        <w:rPr>
          <w:rFonts w:ascii="Book Antiqua" w:hAnsi="Book Antiqua" w:cs="Arial"/>
          <w:sz w:val="24"/>
          <w:szCs w:val="24"/>
          <w:lang w:val="en-US"/>
        </w:rPr>
        <w:t>study,</w:t>
      </w:r>
      <w:r w:rsidRPr="004B39D6">
        <w:rPr>
          <w:rFonts w:ascii="Book Antiqua" w:hAnsi="Book Antiqua" w:cs="Arial"/>
          <w:sz w:val="24"/>
          <w:szCs w:val="24"/>
          <w:lang w:val="en-US"/>
        </w:rPr>
        <w:t xml:space="preserve"> we have demonstrated the existence of memory T cells specific for the GSTT1 antigen in patients with </w:t>
      </w:r>
      <w:r w:rsidR="00234964" w:rsidRPr="004B39D6">
        <w:rPr>
          <w:rFonts w:ascii="Book Antiqua" w:hAnsi="Book Antiqua" w:cs="Arial"/>
          <w:sz w:val="24"/>
          <w:szCs w:val="24"/>
          <w:lang w:val="en-US"/>
        </w:rPr>
        <w:t xml:space="preserve">PC-rich </w:t>
      </w:r>
      <w:r w:rsidR="00A72D9E" w:rsidRPr="004B39D6">
        <w:rPr>
          <w:rFonts w:ascii="Book Antiqua" w:hAnsi="Book Antiqua" w:cs="Arial"/>
          <w:sz w:val="24"/>
          <w:szCs w:val="24"/>
          <w:lang w:val="en-US"/>
        </w:rPr>
        <w:t>rejection after GSTT1-</w:t>
      </w:r>
      <w:r w:rsidRPr="004B39D6">
        <w:rPr>
          <w:rFonts w:ascii="Book Antiqua" w:hAnsi="Book Antiqua" w:cs="Arial"/>
          <w:sz w:val="24"/>
          <w:szCs w:val="24"/>
          <w:lang w:val="en-US"/>
        </w:rPr>
        <w:t xml:space="preserve">mismatched liver transplants. </w:t>
      </w:r>
      <w:r w:rsidR="00646445" w:rsidRPr="004B39D6">
        <w:rPr>
          <w:rFonts w:ascii="Book Antiqua" w:hAnsi="Book Antiqua" w:cs="Arial"/>
          <w:sz w:val="24"/>
          <w:szCs w:val="24"/>
          <w:lang w:val="en-US"/>
        </w:rPr>
        <w:t>The results support our initial hypothesis in which both specific</w:t>
      </w:r>
      <w:r w:rsidR="0071496B" w:rsidRPr="004B39D6">
        <w:rPr>
          <w:rFonts w:ascii="Book Antiqua" w:hAnsi="Book Antiqua" w:cs="Arial"/>
          <w:sz w:val="24"/>
          <w:szCs w:val="24"/>
          <w:lang w:val="en-US"/>
        </w:rPr>
        <w:t xml:space="preserve"> B and T cells</w:t>
      </w:r>
      <w:r w:rsidR="00646445" w:rsidRPr="004B39D6">
        <w:rPr>
          <w:rFonts w:ascii="Book Antiqua" w:hAnsi="Book Antiqua" w:cs="Arial"/>
          <w:sz w:val="24"/>
          <w:szCs w:val="24"/>
          <w:lang w:val="en-US"/>
        </w:rPr>
        <w:t xml:space="preserve"> are required to </w:t>
      </w:r>
      <w:r w:rsidR="00B94551" w:rsidRPr="004B39D6">
        <w:rPr>
          <w:rFonts w:ascii="Book Antiqua" w:hAnsi="Book Antiqua" w:cs="Arial"/>
          <w:sz w:val="24"/>
          <w:szCs w:val="24"/>
          <w:lang w:val="en-US"/>
        </w:rPr>
        <w:t>function simultaneously</w:t>
      </w:r>
      <w:r w:rsidR="0071496B" w:rsidRPr="004B39D6">
        <w:rPr>
          <w:rFonts w:ascii="Book Antiqua" w:hAnsi="Book Antiqua" w:cs="Arial"/>
          <w:sz w:val="24"/>
          <w:szCs w:val="24"/>
          <w:lang w:val="en-US"/>
        </w:rPr>
        <w:t xml:space="preserve"> in the development</w:t>
      </w:r>
      <w:r w:rsidR="00646445" w:rsidRPr="004B39D6">
        <w:rPr>
          <w:rFonts w:ascii="Book Antiqua" w:hAnsi="Book Antiqua" w:cs="Arial"/>
          <w:sz w:val="24"/>
          <w:szCs w:val="24"/>
          <w:lang w:val="en-US"/>
        </w:rPr>
        <w:t xml:space="preserve"> </w:t>
      </w:r>
      <w:r w:rsidR="0071496B" w:rsidRPr="004B39D6">
        <w:rPr>
          <w:rFonts w:ascii="Book Antiqua" w:hAnsi="Book Antiqua" w:cs="Arial"/>
          <w:sz w:val="24"/>
          <w:szCs w:val="24"/>
          <w:lang w:val="en-US"/>
        </w:rPr>
        <w:t>of the immune response leading to</w:t>
      </w:r>
      <w:r w:rsidR="00234964" w:rsidRPr="004B39D6">
        <w:rPr>
          <w:rFonts w:ascii="Book Antiqua" w:hAnsi="Book Antiqua" w:cs="Arial"/>
          <w:sz w:val="24"/>
          <w:szCs w:val="24"/>
          <w:lang w:val="en-US"/>
        </w:rPr>
        <w:t xml:space="preserve"> PC-rich rejection</w:t>
      </w:r>
      <w:r w:rsidR="0071496B" w:rsidRPr="004B39D6">
        <w:rPr>
          <w:rFonts w:ascii="Book Antiqua" w:hAnsi="Book Antiqua" w:cs="Arial"/>
          <w:sz w:val="24"/>
          <w:szCs w:val="24"/>
          <w:lang w:val="en-US"/>
        </w:rPr>
        <w:t xml:space="preserve">. In fact, only patients </w:t>
      </w:r>
      <w:r w:rsidR="00B94551" w:rsidRPr="004B39D6">
        <w:rPr>
          <w:rFonts w:ascii="Book Antiqua" w:hAnsi="Book Antiqua" w:cs="Arial"/>
          <w:sz w:val="24"/>
          <w:szCs w:val="24"/>
          <w:lang w:val="en-US"/>
        </w:rPr>
        <w:t>diagnosed with the disease</w:t>
      </w:r>
      <w:r w:rsidR="0071496B" w:rsidRPr="004B39D6">
        <w:rPr>
          <w:rFonts w:ascii="Book Antiqua" w:hAnsi="Book Antiqua" w:cs="Arial"/>
          <w:sz w:val="24"/>
          <w:szCs w:val="24"/>
          <w:lang w:val="en-US"/>
        </w:rPr>
        <w:t xml:space="preserve"> showed a combined T and B cell response, whereas those patients with specific T cells but lacking the </w:t>
      </w:r>
      <w:proofErr w:type="spellStart"/>
      <w:r w:rsidR="0071496B" w:rsidRPr="004B39D6">
        <w:rPr>
          <w:rFonts w:ascii="Book Antiqua" w:hAnsi="Book Antiqua" w:cs="Arial"/>
          <w:sz w:val="24"/>
          <w:szCs w:val="24"/>
          <w:lang w:val="en-US"/>
        </w:rPr>
        <w:t>humoral</w:t>
      </w:r>
      <w:proofErr w:type="spellEnd"/>
      <w:r w:rsidR="0071496B" w:rsidRPr="004B39D6">
        <w:rPr>
          <w:rFonts w:ascii="Book Antiqua" w:hAnsi="Book Antiqua" w:cs="Arial"/>
          <w:sz w:val="24"/>
          <w:szCs w:val="24"/>
          <w:lang w:val="en-US"/>
        </w:rPr>
        <w:t xml:space="preserve"> response never experience</w:t>
      </w:r>
      <w:r w:rsidR="00234964" w:rsidRPr="004B39D6">
        <w:rPr>
          <w:rFonts w:ascii="Book Antiqua" w:hAnsi="Book Antiqua" w:cs="Arial"/>
          <w:sz w:val="24"/>
          <w:szCs w:val="24"/>
          <w:lang w:val="en-US"/>
        </w:rPr>
        <w:t>d</w:t>
      </w:r>
      <w:r w:rsidR="0071496B" w:rsidRPr="004B39D6">
        <w:rPr>
          <w:rFonts w:ascii="Book Antiqua" w:hAnsi="Book Antiqua" w:cs="Arial"/>
          <w:sz w:val="24"/>
          <w:szCs w:val="24"/>
          <w:lang w:val="en-US"/>
        </w:rPr>
        <w:t xml:space="preserve"> this</w:t>
      </w:r>
      <w:r w:rsidR="003408DB" w:rsidRPr="004B39D6">
        <w:rPr>
          <w:rFonts w:ascii="Book Antiqua" w:hAnsi="Book Antiqua" w:cs="Arial"/>
          <w:sz w:val="24"/>
          <w:szCs w:val="24"/>
          <w:lang w:val="en-US"/>
        </w:rPr>
        <w:t xml:space="preserve"> type </w:t>
      </w:r>
      <w:r w:rsidR="0071496B" w:rsidRPr="004B39D6">
        <w:rPr>
          <w:rFonts w:ascii="Book Antiqua" w:hAnsi="Book Antiqua" w:cs="Arial"/>
          <w:sz w:val="24"/>
          <w:szCs w:val="24"/>
          <w:lang w:val="en-US"/>
        </w:rPr>
        <w:t>of rejection.</w:t>
      </w:r>
    </w:p>
    <w:p w14:paraId="29F7CD4A" w14:textId="0C9D51A2" w:rsidR="003B780A" w:rsidRPr="004B39D6" w:rsidRDefault="00B94551" w:rsidP="0081528B">
      <w:pPr>
        <w:snapToGrid w:val="0"/>
        <w:spacing w:after="0" w:line="360" w:lineRule="auto"/>
        <w:ind w:firstLine="708"/>
        <w:jc w:val="both"/>
        <w:rPr>
          <w:rFonts w:ascii="Book Antiqua" w:hAnsi="Book Antiqua" w:cs="Arial"/>
          <w:sz w:val="24"/>
          <w:szCs w:val="24"/>
          <w:lang w:val="en-US"/>
        </w:rPr>
      </w:pPr>
      <w:r w:rsidRPr="004B39D6">
        <w:rPr>
          <w:rFonts w:ascii="Book Antiqua" w:hAnsi="Book Antiqua" w:cs="Arial"/>
          <w:sz w:val="24"/>
          <w:szCs w:val="24"/>
          <w:lang w:val="en-US"/>
        </w:rPr>
        <w:t xml:space="preserve">The fact that </w:t>
      </w:r>
      <w:r w:rsidR="003B780A" w:rsidRPr="004B39D6">
        <w:rPr>
          <w:rFonts w:ascii="Book Antiqua" w:hAnsi="Book Antiqua" w:cs="Arial"/>
          <w:sz w:val="24"/>
          <w:szCs w:val="24"/>
          <w:lang w:val="en-US"/>
        </w:rPr>
        <w:t xml:space="preserve">GSTT1 is a drug metabolizing enzyme </w:t>
      </w:r>
      <w:r w:rsidR="00234964" w:rsidRPr="004B39D6">
        <w:rPr>
          <w:rFonts w:ascii="Book Antiqua" w:hAnsi="Book Antiqua" w:cs="Arial"/>
          <w:sz w:val="24"/>
          <w:szCs w:val="24"/>
          <w:lang w:val="en-US"/>
        </w:rPr>
        <w:t>found</w:t>
      </w:r>
      <w:r w:rsidR="003B780A" w:rsidRPr="004B39D6">
        <w:rPr>
          <w:rFonts w:ascii="Book Antiqua" w:hAnsi="Book Antiqua" w:cs="Arial"/>
          <w:sz w:val="24"/>
          <w:szCs w:val="24"/>
          <w:lang w:val="en-US"/>
        </w:rPr>
        <w:t xml:space="preserve"> in the cytoplasm of hepatoc</w:t>
      </w:r>
      <w:r w:rsidRPr="004B39D6">
        <w:rPr>
          <w:rFonts w:ascii="Book Antiqua" w:hAnsi="Book Antiqua" w:cs="Arial"/>
          <w:sz w:val="24"/>
          <w:szCs w:val="24"/>
          <w:lang w:val="en-US"/>
        </w:rPr>
        <w:t xml:space="preserve">ytes and </w:t>
      </w:r>
      <w:proofErr w:type="spellStart"/>
      <w:r w:rsidRPr="004B39D6">
        <w:rPr>
          <w:rFonts w:ascii="Book Antiqua" w:hAnsi="Book Antiqua" w:cs="Arial"/>
          <w:sz w:val="24"/>
          <w:szCs w:val="24"/>
          <w:lang w:val="en-US"/>
        </w:rPr>
        <w:t>cholangiocytes</w:t>
      </w:r>
      <w:proofErr w:type="spellEnd"/>
      <w:r w:rsidRPr="004B39D6">
        <w:rPr>
          <w:rFonts w:ascii="Book Antiqua" w:hAnsi="Book Antiqua" w:cs="Arial"/>
          <w:sz w:val="24"/>
          <w:szCs w:val="24"/>
          <w:lang w:val="en-US"/>
        </w:rPr>
        <w:t xml:space="preserve"> makes </w:t>
      </w:r>
      <w:r w:rsidR="009E338C" w:rsidRPr="004B39D6">
        <w:rPr>
          <w:rFonts w:ascii="Book Antiqua" w:hAnsi="Book Antiqua" w:cs="Arial"/>
          <w:sz w:val="24"/>
          <w:szCs w:val="24"/>
          <w:lang w:val="en-US"/>
        </w:rPr>
        <w:t xml:space="preserve">it </w:t>
      </w:r>
      <w:r w:rsidRPr="004B39D6">
        <w:rPr>
          <w:rFonts w:ascii="Book Antiqua" w:hAnsi="Book Antiqua" w:cs="Arial"/>
          <w:sz w:val="24"/>
          <w:szCs w:val="24"/>
          <w:lang w:val="en-US"/>
        </w:rPr>
        <w:t xml:space="preserve">difficult to explain a pathogenic role of anti-GSTT1 antibodies. </w:t>
      </w:r>
      <w:r w:rsidR="00612E15" w:rsidRPr="004B39D6">
        <w:rPr>
          <w:rFonts w:ascii="Book Antiqua" w:hAnsi="Book Antiqua" w:cs="Arial"/>
          <w:sz w:val="24"/>
          <w:szCs w:val="24"/>
          <w:lang w:val="en-US"/>
        </w:rPr>
        <w:t>Although it</w:t>
      </w:r>
      <w:r w:rsidR="003B780A" w:rsidRPr="004B39D6">
        <w:rPr>
          <w:rFonts w:ascii="Book Antiqua" w:hAnsi="Book Antiqua" w:cs="Arial"/>
          <w:sz w:val="24"/>
          <w:szCs w:val="24"/>
          <w:lang w:val="en-US"/>
        </w:rPr>
        <w:t xml:space="preserve"> cannot be assumed that cytosolic antigens are never</w:t>
      </w:r>
      <w:r w:rsidR="00D4349C" w:rsidRPr="004B39D6">
        <w:rPr>
          <w:rFonts w:ascii="Book Antiqua" w:hAnsi="Book Antiqua" w:cs="Arial"/>
          <w:sz w:val="24"/>
          <w:szCs w:val="24"/>
          <w:lang w:val="en-US"/>
        </w:rPr>
        <w:t xml:space="preserve"> expressed on the cell </w:t>
      </w:r>
      <w:proofErr w:type="gramStart"/>
      <w:r w:rsidR="00D4349C" w:rsidRPr="004B39D6">
        <w:rPr>
          <w:rFonts w:ascii="Book Antiqua" w:hAnsi="Book Antiqua" w:cs="Arial"/>
          <w:sz w:val="24"/>
          <w:szCs w:val="24"/>
          <w:lang w:val="en-US"/>
        </w:rPr>
        <w:t>surface</w:t>
      </w:r>
      <w:r w:rsidR="00D4349C" w:rsidRPr="004B39D6">
        <w:rPr>
          <w:rFonts w:ascii="Book Antiqua" w:hAnsi="Book Antiqua" w:cs="Arial"/>
          <w:sz w:val="24"/>
          <w:szCs w:val="24"/>
          <w:vertAlign w:val="superscript"/>
          <w:lang w:val="en-US"/>
        </w:rPr>
        <w:t>[</w:t>
      </w:r>
      <w:proofErr w:type="gramEnd"/>
      <w:r w:rsidR="00551E75" w:rsidRPr="004B39D6">
        <w:rPr>
          <w:rFonts w:ascii="Book Antiqua" w:hAnsi="Book Antiqua" w:cs="Arial"/>
          <w:sz w:val="24"/>
          <w:szCs w:val="24"/>
          <w:vertAlign w:val="superscript"/>
          <w:lang w:val="en-US"/>
        </w:rPr>
        <w:t>12</w:t>
      </w:r>
      <w:r w:rsidR="00D4349C" w:rsidRPr="004B39D6">
        <w:rPr>
          <w:rFonts w:ascii="Book Antiqua" w:hAnsi="Book Antiqua" w:cs="Arial"/>
          <w:sz w:val="24"/>
          <w:szCs w:val="24"/>
          <w:vertAlign w:val="superscript"/>
          <w:lang w:val="en-US"/>
        </w:rPr>
        <w:t>]</w:t>
      </w:r>
      <w:r w:rsidR="007121D9" w:rsidRPr="004B39D6">
        <w:rPr>
          <w:rFonts w:ascii="Book Antiqua" w:hAnsi="Book Antiqua" w:cs="Arial"/>
          <w:sz w:val="24"/>
          <w:szCs w:val="24"/>
          <w:lang w:val="en-US"/>
        </w:rPr>
        <w:t xml:space="preserve">, </w:t>
      </w:r>
      <w:r w:rsidR="009E338C" w:rsidRPr="004B39D6">
        <w:rPr>
          <w:rFonts w:ascii="Book Antiqua" w:hAnsi="Book Antiqua" w:cs="Arial"/>
          <w:sz w:val="24"/>
          <w:szCs w:val="24"/>
          <w:lang w:val="en-US"/>
        </w:rPr>
        <w:t xml:space="preserve">the </w:t>
      </w:r>
      <w:r w:rsidR="003B780A" w:rsidRPr="004B39D6">
        <w:rPr>
          <w:rFonts w:ascii="Book Antiqua" w:hAnsi="Book Antiqua" w:cs="Arial"/>
          <w:sz w:val="24"/>
          <w:szCs w:val="24"/>
          <w:lang w:val="en-US"/>
        </w:rPr>
        <w:t xml:space="preserve">presence </w:t>
      </w:r>
      <w:r w:rsidR="009E338C" w:rsidRPr="004B39D6">
        <w:rPr>
          <w:rFonts w:ascii="Book Antiqua" w:hAnsi="Book Antiqua" w:cs="Arial"/>
          <w:sz w:val="24"/>
          <w:szCs w:val="24"/>
          <w:lang w:val="en-US"/>
        </w:rPr>
        <w:t xml:space="preserve">of antibodies </w:t>
      </w:r>
      <w:r w:rsidR="003B780A" w:rsidRPr="004B39D6">
        <w:rPr>
          <w:rFonts w:ascii="Book Antiqua" w:hAnsi="Book Antiqua" w:cs="Arial"/>
          <w:sz w:val="24"/>
          <w:szCs w:val="24"/>
          <w:lang w:val="en-US"/>
        </w:rPr>
        <w:t xml:space="preserve">in </w:t>
      </w:r>
      <w:r w:rsidR="00694C6A" w:rsidRPr="004B39D6">
        <w:rPr>
          <w:rFonts w:ascii="Book Antiqua" w:hAnsi="Book Antiqua" w:cs="Arial"/>
          <w:sz w:val="24"/>
          <w:szCs w:val="24"/>
          <w:lang w:val="en-US"/>
        </w:rPr>
        <w:t>all</w:t>
      </w:r>
      <w:r w:rsidR="007121D9" w:rsidRPr="004B39D6">
        <w:rPr>
          <w:rFonts w:ascii="Book Antiqua" w:hAnsi="Book Antiqua" w:cs="Arial"/>
          <w:sz w:val="24"/>
          <w:szCs w:val="24"/>
          <w:lang w:val="en-US"/>
        </w:rPr>
        <w:t xml:space="preserve"> of</w:t>
      </w:r>
      <w:r w:rsidR="003B780A" w:rsidRPr="004B39D6">
        <w:rPr>
          <w:rFonts w:ascii="Book Antiqua" w:hAnsi="Book Antiqua" w:cs="Arial"/>
          <w:sz w:val="24"/>
          <w:szCs w:val="24"/>
          <w:lang w:val="en-US"/>
        </w:rPr>
        <w:t xml:space="preserve"> the patients </w:t>
      </w:r>
      <w:r w:rsidR="00234964" w:rsidRPr="004B39D6">
        <w:rPr>
          <w:rFonts w:ascii="Book Antiqua" w:hAnsi="Book Antiqua" w:cs="Arial"/>
          <w:sz w:val="24"/>
          <w:szCs w:val="24"/>
          <w:lang w:val="en-US"/>
        </w:rPr>
        <w:t>with a diagnosis</w:t>
      </w:r>
      <w:r w:rsidR="00305790" w:rsidRPr="004B39D6">
        <w:rPr>
          <w:rFonts w:ascii="Book Antiqua" w:hAnsi="Book Antiqua" w:cs="Arial"/>
          <w:sz w:val="24"/>
          <w:szCs w:val="24"/>
          <w:lang w:val="en-US"/>
        </w:rPr>
        <w:t xml:space="preserve"> of</w:t>
      </w:r>
      <w:r w:rsidR="003B780A" w:rsidRPr="004B39D6">
        <w:rPr>
          <w:rFonts w:ascii="Book Antiqua" w:hAnsi="Book Antiqua" w:cs="Arial"/>
          <w:sz w:val="24"/>
          <w:szCs w:val="24"/>
          <w:lang w:val="en-US"/>
        </w:rPr>
        <w:t xml:space="preserve"> </w:t>
      </w:r>
      <w:r w:rsidR="0071496B" w:rsidRPr="004B39D6">
        <w:rPr>
          <w:rFonts w:ascii="Book Antiqua" w:hAnsi="Book Antiqua" w:cs="Arial"/>
          <w:sz w:val="24"/>
          <w:szCs w:val="24"/>
          <w:lang w:val="en-US"/>
        </w:rPr>
        <w:t xml:space="preserve">PC-rich </w:t>
      </w:r>
      <w:r w:rsidR="00A72D9E" w:rsidRPr="004B39D6">
        <w:rPr>
          <w:rFonts w:ascii="Book Antiqua" w:hAnsi="Book Antiqua" w:cs="Arial"/>
          <w:sz w:val="24"/>
          <w:szCs w:val="24"/>
          <w:lang w:val="en-US"/>
        </w:rPr>
        <w:t xml:space="preserve">rejection </w:t>
      </w:r>
      <w:r w:rsidR="003B780A" w:rsidRPr="004B39D6">
        <w:rPr>
          <w:rFonts w:ascii="Book Antiqua" w:hAnsi="Book Antiqua" w:cs="Arial"/>
          <w:sz w:val="24"/>
          <w:szCs w:val="24"/>
          <w:lang w:val="en-US"/>
        </w:rPr>
        <w:t xml:space="preserve">is evidence of specific B cells capable of presentation of GSTT1 to specific T cells. B cells are </w:t>
      </w:r>
      <w:r w:rsidR="009E338C" w:rsidRPr="004B39D6">
        <w:rPr>
          <w:rFonts w:ascii="Book Antiqua" w:hAnsi="Book Antiqua" w:cs="Arial"/>
          <w:sz w:val="24"/>
          <w:szCs w:val="24"/>
          <w:lang w:val="en-US"/>
        </w:rPr>
        <w:t xml:space="preserve">known to be </w:t>
      </w:r>
      <w:r w:rsidR="003B780A" w:rsidRPr="004B39D6">
        <w:rPr>
          <w:rFonts w:ascii="Book Antiqua" w:hAnsi="Book Antiqua" w:cs="Arial"/>
          <w:sz w:val="24"/>
          <w:szCs w:val="24"/>
          <w:lang w:val="en-US"/>
        </w:rPr>
        <w:t xml:space="preserve">critical for </w:t>
      </w:r>
      <w:proofErr w:type="spellStart"/>
      <w:r w:rsidR="003B780A" w:rsidRPr="004B39D6">
        <w:rPr>
          <w:rFonts w:ascii="Book Antiqua" w:hAnsi="Book Antiqua" w:cs="Arial"/>
          <w:sz w:val="24"/>
          <w:szCs w:val="24"/>
          <w:lang w:val="en-US"/>
        </w:rPr>
        <w:t>alloreactive</w:t>
      </w:r>
      <w:proofErr w:type="spellEnd"/>
      <w:r w:rsidR="003B780A" w:rsidRPr="004B39D6">
        <w:rPr>
          <w:rFonts w:ascii="Book Antiqua" w:hAnsi="Book Antiqua" w:cs="Arial"/>
          <w:sz w:val="24"/>
          <w:szCs w:val="24"/>
          <w:lang w:val="en-US"/>
        </w:rPr>
        <w:t xml:space="preserve"> T cells to dif</w:t>
      </w:r>
      <w:r w:rsidR="00D4349C" w:rsidRPr="004B39D6">
        <w:rPr>
          <w:rFonts w:ascii="Book Antiqua" w:hAnsi="Book Antiqua" w:cs="Arial"/>
          <w:sz w:val="24"/>
          <w:szCs w:val="24"/>
          <w:lang w:val="en-US"/>
        </w:rPr>
        <w:t xml:space="preserve">ferentiate into memory T </w:t>
      </w:r>
      <w:proofErr w:type="gramStart"/>
      <w:r w:rsidR="00D4349C" w:rsidRPr="004B39D6">
        <w:rPr>
          <w:rFonts w:ascii="Book Antiqua" w:hAnsi="Book Antiqua" w:cs="Arial"/>
          <w:sz w:val="24"/>
          <w:szCs w:val="24"/>
          <w:lang w:val="en-US"/>
        </w:rPr>
        <w:t>cells</w:t>
      </w:r>
      <w:r w:rsidR="00D4349C" w:rsidRPr="004B39D6">
        <w:rPr>
          <w:rFonts w:ascii="Book Antiqua" w:hAnsi="Book Antiqua" w:cs="Arial"/>
          <w:sz w:val="24"/>
          <w:szCs w:val="24"/>
          <w:vertAlign w:val="superscript"/>
          <w:lang w:val="en-US"/>
        </w:rPr>
        <w:t>[</w:t>
      </w:r>
      <w:proofErr w:type="gramEnd"/>
      <w:r w:rsidR="00551E75" w:rsidRPr="004B39D6">
        <w:rPr>
          <w:rFonts w:ascii="Book Antiqua" w:hAnsi="Book Antiqua" w:cs="Arial"/>
          <w:sz w:val="24"/>
          <w:szCs w:val="24"/>
          <w:vertAlign w:val="superscript"/>
          <w:lang w:val="en-US"/>
        </w:rPr>
        <w:t>13</w:t>
      </w:r>
      <w:r w:rsidR="0081528B" w:rsidRPr="004B39D6">
        <w:rPr>
          <w:rFonts w:ascii="Book Antiqua" w:hAnsi="Book Antiqua" w:cs="Arial"/>
          <w:sz w:val="24"/>
          <w:szCs w:val="24"/>
          <w:vertAlign w:val="superscript"/>
          <w:lang w:val="en-US" w:eastAsia="zh-CN"/>
        </w:rPr>
        <w:t>,</w:t>
      </w:r>
      <w:r w:rsidR="00551E75" w:rsidRPr="004B39D6">
        <w:rPr>
          <w:rFonts w:ascii="Book Antiqua" w:hAnsi="Book Antiqua" w:cs="Arial"/>
          <w:sz w:val="24"/>
          <w:szCs w:val="24"/>
          <w:vertAlign w:val="superscript"/>
          <w:lang w:val="en-US"/>
        </w:rPr>
        <w:t>14</w:t>
      </w:r>
      <w:r w:rsidR="00D4349C" w:rsidRPr="004B39D6">
        <w:rPr>
          <w:rFonts w:ascii="Book Antiqua" w:hAnsi="Book Antiqua" w:cs="Arial"/>
          <w:sz w:val="24"/>
          <w:szCs w:val="24"/>
          <w:vertAlign w:val="superscript"/>
          <w:lang w:val="en-US"/>
        </w:rPr>
        <w:t>]</w:t>
      </w:r>
      <w:r w:rsidR="003B780A" w:rsidRPr="004B39D6">
        <w:rPr>
          <w:rFonts w:ascii="Book Antiqua" w:hAnsi="Book Antiqua" w:cs="Arial"/>
          <w:sz w:val="24"/>
          <w:szCs w:val="24"/>
          <w:lang w:val="en-US"/>
        </w:rPr>
        <w:t xml:space="preserve">. In fact, a very interesting report by </w:t>
      </w:r>
      <w:proofErr w:type="spellStart"/>
      <w:r w:rsidR="003B780A" w:rsidRPr="004B39D6">
        <w:rPr>
          <w:rFonts w:ascii="Book Antiqua" w:hAnsi="Book Antiqua" w:cs="Arial"/>
          <w:sz w:val="24"/>
          <w:szCs w:val="24"/>
          <w:lang w:val="en-US"/>
        </w:rPr>
        <w:t>Zeng</w:t>
      </w:r>
      <w:proofErr w:type="spellEnd"/>
      <w:r w:rsidR="003B780A" w:rsidRPr="004B39D6">
        <w:rPr>
          <w:rFonts w:ascii="Book Antiqua" w:hAnsi="Book Antiqua" w:cs="Arial"/>
          <w:sz w:val="24"/>
          <w:szCs w:val="24"/>
          <w:lang w:val="en-US"/>
        </w:rPr>
        <w:t xml:space="preserve"> et al. demonstrate</w:t>
      </w:r>
      <w:r w:rsidR="003408DB" w:rsidRPr="004B39D6">
        <w:rPr>
          <w:rFonts w:ascii="Book Antiqua" w:hAnsi="Book Antiqua" w:cs="Arial"/>
          <w:sz w:val="24"/>
          <w:szCs w:val="24"/>
          <w:lang w:val="en-US"/>
        </w:rPr>
        <w:t>d i</w:t>
      </w:r>
      <w:r w:rsidR="003B780A" w:rsidRPr="004B39D6">
        <w:rPr>
          <w:rFonts w:ascii="Book Antiqua" w:hAnsi="Book Antiqua" w:cs="Arial"/>
          <w:sz w:val="24"/>
          <w:szCs w:val="24"/>
          <w:lang w:val="en-US"/>
        </w:rPr>
        <w:t xml:space="preserve">n an animal model of chronic allograft </w:t>
      </w:r>
      <w:proofErr w:type="spellStart"/>
      <w:r w:rsidR="003B780A" w:rsidRPr="004B39D6">
        <w:rPr>
          <w:rFonts w:ascii="Book Antiqua" w:hAnsi="Book Antiqua" w:cs="Arial"/>
          <w:sz w:val="24"/>
          <w:szCs w:val="24"/>
          <w:lang w:val="en-US"/>
        </w:rPr>
        <w:t>vasculopathy</w:t>
      </w:r>
      <w:proofErr w:type="spellEnd"/>
      <w:r w:rsidR="003B780A" w:rsidRPr="004B39D6">
        <w:rPr>
          <w:rFonts w:ascii="Book Antiqua" w:hAnsi="Book Antiqua" w:cs="Arial"/>
          <w:sz w:val="24"/>
          <w:szCs w:val="24"/>
          <w:lang w:val="en-US"/>
        </w:rPr>
        <w:t xml:space="preserve"> (CAV) that mice deficient in both B cells and antibodies were protected from CAV, while mice that were deficient for antibodies but not for B cells developed CAV. The conclusion was that B cells contributed to CAV</w:t>
      </w:r>
      <w:r w:rsidR="00D4349C" w:rsidRPr="004B39D6">
        <w:rPr>
          <w:rFonts w:ascii="Book Antiqua" w:hAnsi="Book Antiqua" w:cs="Arial"/>
          <w:sz w:val="24"/>
          <w:szCs w:val="24"/>
          <w:lang w:val="en-US"/>
        </w:rPr>
        <w:t xml:space="preserve"> by enhancing T-cell </w:t>
      </w:r>
      <w:proofErr w:type="gramStart"/>
      <w:r w:rsidR="00D4349C" w:rsidRPr="004B39D6">
        <w:rPr>
          <w:rFonts w:ascii="Book Antiqua" w:hAnsi="Book Antiqua" w:cs="Arial"/>
          <w:sz w:val="24"/>
          <w:szCs w:val="24"/>
          <w:lang w:val="en-US"/>
        </w:rPr>
        <w:t>responses</w:t>
      </w:r>
      <w:r w:rsidR="00D4349C" w:rsidRPr="004B39D6">
        <w:rPr>
          <w:rFonts w:ascii="Book Antiqua" w:hAnsi="Book Antiqua" w:cs="Arial"/>
          <w:sz w:val="24"/>
          <w:szCs w:val="24"/>
          <w:vertAlign w:val="superscript"/>
          <w:lang w:val="en-US"/>
        </w:rPr>
        <w:t>[</w:t>
      </w:r>
      <w:proofErr w:type="gramEnd"/>
      <w:r w:rsidR="00551E75" w:rsidRPr="004B39D6">
        <w:rPr>
          <w:rFonts w:ascii="Book Antiqua" w:hAnsi="Book Antiqua" w:cs="Arial"/>
          <w:sz w:val="24"/>
          <w:szCs w:val="24"/>
          <w:vertAlign w:val="superscript"/>
          <w:lang w:val="en-US"/>
        </w:rPr>
        <w:t>15</w:t>
      </w:r>
      <w:r w:rsidR="00D4349C" w:rsidRPr="004B39D6">
        <w:rPr>
          <w:rFonts w:ascii="Book Antiqua" w:hAnsi="Book Antiqua" w:cs="Arial"/>
          <w:sz w:val="24"/>
          <w:szCs w:val="24"/>
          <w:vertAlign w:val="superscript"/>
          <w:lang w:val="en-US"/>
        </w:rPr>
        <w:t>]</w:t>
      </w:r>
      <w:r w:rsidR="003B780A" w:rsidRPr="004B39D6">
        <w:rPr>
          <w:rFonts w:ascii="Book Antiqua" w:hAnsi="Book Antiqua" w:cs="Arial"/>
          <w:sz w:val="24"/>
          <w:szCs w:val="24"/>
          <w:lang w:val="en-US"/>
        </w:rPr>
        <w:t xml:space="preserve">. Very recently, </w:t>
      </w:r>
      <w:proofErr w:type="spellStart"/>
      <w:r w:rsidR="003B780A" w:rsidRPr="004B39D6">
        <w:rPr>
          <w:rFonts w:ascii="Book Antiqua" w:hAnsi="Book Antiqua" w:cs="Arial"/>
          <w:sz w:val="24"/>
          <w:szCs w:val="24"/>
          <w:lang w:val="en-US"/>
        </w:rPr>
        <w:t>Shiu</w:t>
      </w:r>
      <w:proofErr w:type="spellEnd"/>
      <w:r w:rsidR="003B780A" w:rsidRPr="004B39D6">
        <w:rPr>
          <w:rFonts w:ascii="Book Antiqua" w:hAnsi="Book Antiqua" w:cs="Arial"/>
          <w:sz w:val="24"/>
          <w:szCs w:val="24"/>
          <w:lang w:val="en-US"/>
        </w:rPr>
        <w:t xml:space="preserve"> et al</w:t>
      </w:r>
      <w:r w:rsidR="00612E15" w:rsidRPr="004B39D6">
        <w:rPr>
          <w:rFonts w:ascii="Book Antiqua" w:hAnsi="Book Antiqua" w:cs="Arial"/>
          <w:sz w:val="24"/>
          <w:szCs w:val="24"/>
          <w:lang w:val="en-US"/>
        </w:rPr>
        <w:t>.</w:t>
      </w:r>
      <w:r w:rsidR="003B780A" w:rsidRPr="004B39D6">
        <w:rPr>
          <w:rFonts w:ascii="Book Antiqua" w:hAnsi="Book Antiqua" w:cs="Arial"/>
          <w:sz w:val="24"/>
          <w:szCs w:val="24"/>
          <w:lang w:val="en-US"/>
        </w:rPr>
        <w:t xml:space="preserve"> demonstrated that B cells are involved in supporting T-cell responses in patients with antibody-mediated rejection in a B-cell-dependent indirect T-cell </w:t>
      </w:r>
      <w:proofErr w:type="spellStart"/>
      <w:proofErr w:type="gramStart"/>
      <w:r w:rsidR="003B780A" w:rsidRPr="004B39D6">
        <w:rPr>
          <w:rFonts w:ascii="Book Antiqua" w:hAnsi="Book Antiqua" w:cs="Arial"/>
          <w:sz w:val="24"/>
          <w:szCs w:val="24"/>
          <w:lang w:val="en-US"/>
        </w:rPr>
        <w:t>alloreactivity</w:t>
      </w:r>
      <w:proofErr w:type="spellEnd"/>
      <w:r w:rsidR="00D4349C" w:rsidRPr="004B39D6">
        <w:rPr>
          <w:rFonts w:ascii="Book Antiqua" w:hAnsi="Book Antiqua" w:cs="Arial"/>
          <w:sz w:val="24"/>
          <w:szCs w:val="24"/>
          <w:vertAlign w:val="superscript"/>
          <w:lang w:val="en-US"/>
        </w:rPr>
        <w:t>[</w:t>
      </w:r>
      <w:proofErr w:type="gramEnd"/>
      <w:r w:rsidR="00551E75" w:rsidRPr="004B39D6">
        <w:rPr>
          <w:rFonts w:ascii="Book Antiqua" w:hAnsi="Book Antiqua" w:cs="Arial"/>
          <w:sz w:val="24"/>
          <w:szCs w:val="24"/>
          <w:vertAlign w:val="superscript"/>
          <w:lang w:val="en-US"/>
        </w:rPr>
        <w:t>16</w:t>
      </w:r>
      <w:r w:rsidR="00D4349C" w:rsidRPr="004B39D6">
        <w:rPr>
          <w:rFonts w:ascii="Book Antiqua" w:hAnsi="Book Antiqua" w:cs="Arial"/>
          <w:sz w:val="24"/>
          <w:szCs w:val="24"/>
          <w:vertAlign w:val="superscript"/>
          <w:lang w:val="en-US"/>
        </w:rPr>
        <w:t>]</w:t>
      </w:r>
      <w:r w:rsidR="003B780A" w:rsidRPr="004B39D6">
        <w:rPr>
          <w:rFonts w:ascii="Book Antiqua" w:hAnsi="Book Antiqua" w:cs="Arial"/>
          <w:sz w:val="24"/>
          <w:szCs w:val="24"/>
          <w:lang w:val="en-US"/>
        </w:rPr>
        <w:t>.</w:t>
      </w:r>
    </w:p>
    <w:p w14:paraId="228B666D" w14:textId="118CF0AC" w:rsidR="003B780A" w:rsidRPr="004B39D6" w:rsidRDefault="003B780A" w:rsidP="0081528B">
      <w:pPr>
        <w:snapToGrid w:val="0"/>
        <w:spacing w:after="0" w:line="360" w:lineRule="auto"/>
        <w:ind w:firstLine="708"/>
        <w:jc w:val="both"/>
        <w:rPr>
          <w:rFonts w:ascii="Book Antiqua" w:hAnsi="Book Antiqua" w:cs="Arial"/>
          <w:sz w:val="24"/>
          <w:szCs w:val="24"/>
          <w:lang w:val="en-US"/>
        </w:rPr>
      </w:pPr>
      <w:r w:rsidRPr="004B39D6">
        <w:rPr>
          <w:rFonts w:ascii="Book Antiqua" w:hAnsi="Book Antiqua" w:cs="Arial"/>
          <w:sz w:val="24"/>
          <w:szCs w:val="24"/>
          <w:lang w:val="en-US"/>
        </w:rPr>
        <w:t>CD4</w:t>
      </w:r>
      <w:r w:rsidR="00694C6A"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cells seem to have a predominant role in the context of GSTT1 mismatch in the patients described in this study. Mouse models have provided evidence </w:t>
      </w:r>
      <w:r w:rsidR="00612E15" w:rsidRPr="004B39D6">
        <w:rPr>
          <w:rFonts w:ascii="Book Antiqua" w:hAnsi="Book Antiqua" w:cs="Arial"/>
          <w:sz w:val="24"/>
          <w:szCs w:val="24"/>
          <w:lang w:val="en-US"/>
        </w:rPr>
        <w:t xml:space="preserve">of </w:t>
      </w:r>
      <w:r w:rsidRPr="004B39D6">
        <w:rPr>
          <w:rFonts w:ascii="Book Antiqua" w:hAnsi="Book Antiqua" w:cs="Arial"/>
          <w:sz w:val="24"/>
          <w:szCs w:val="24"/>
          <w:lang w:val="en-US"/>
        </w:rPr>
        <w:t>the role of CD4</w:t>
      </w:r>
      <w:r w:rsidRPr="004B39D6">
        <w:rPr>
          <w:rFonts w:ascii="Book Antiqua" w:hAnsi="Book Antiqua" w:cs="Arial"/>
          <w:sz w:val="24"/>
          <w:szCs w:val="24"/>
          <w:vertAlign w:val="superscript"/>
          <w:lang w:val="en-US"/>
        </w:rPr>
        <w:t>+</w:t>
      </w:r>
      <w:r w:rsidR="00305790" w:rsidRPr="004B39D6">
        <w:rPr>
          <w:rFonts w:ascii="Book Antiqua" w:hAnsi="Book Antiqua" w:cs="Arial"/>
          <w:sz w:val="24"/>
          <w:szCs w:val="24"/>
          <w:lang w:val="en-US"/>
        </w:rPr>
        <w:t xml:space="preserve"> T cells acting as </w:t>
      </w:r>
      <w:r w:rsidRPr="004B39D6">
        <w:rPr>
          <w:rFonts w:ascii="Book Antiqua" w:hAnsi="Book Antiqua" w:cs="Arial"/>
          <w:sz w:val="24"/>
          <w:szCs w:val="24"/>
          <w:lang w:val="en-US"/>
        </w:rPr>
        <w:t xml:space="preserve">effectors that directly mediate injury in </w:t>
      </w:r>
      <w:r w:rsidR="007256AF" w:rsidRPr="004B39D6">
        <w:rPr>
          <w:rFonts w:ascii="Book Antiqua" w:hAnsi="Book Antiqua" w:cs="Arial"/>
          <w:sz w:val="24"/>
          <w:szCs w:val="24"/>
          <w:lang w:val="en-US"/>
        </w:rPr>
        <w:t>renal allografts</w:t>
      </w:r>
      <w:r w:rsidR="00612E15" w:rsidRPr="004B39D6">
        <w:rPr>
          <w:rFonts w:ascii="Book Antiqua" w:hAnsi="Book Antiqua" w:cs="Arial"/>
          <w:sz w:val="24"/>
          <w:szCs w:val="24"/>
          <w:lang w:val="en-US"/>
        </w:rPr>
        <w:t>,</w:t>
      </w:r>
      <w:r w:rsidRPr="004B39D6">
        <w:rPr>
          <w:rFonts w:ascii="Book Antiqua" w:hAnsi="Book Antiqua" w:cs="Arial"/>
          <w:sz w:val="24"/>
          <w:szCs w:val="24"/>
          <w:lang w:val="en-US"/>
        </w:rPr>
        <w:t xml:space="preserve"> while CD8</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T cells had very little influence in promoting gr</w:t>
      </w:r>
      <w:r w:rsidR="00D4349C" w:rsidRPr="004B39D6">
        <w:rPr>
          <w:rFonts w:ascii="Book Antiqua" w:hAnsi="Book Antiqua" w:cs="Arial"/>
          <w:sz w:val="24"/>
          <w:szCs w:val="24"/>
          <w:lang w:val="en-US"/>
        </w:rPr>
        <w:t xml:space="preserve">aft </w:t>
      </w:r>
      <w:proofErr w:type="gramStart"/>
      <w:r w:rsidR="00D4349C" w:rsidRPr="004B39D6">
        <w:rPr>
          <w:rFonts w:ascii="Book Antiqua" w:hAnsi="Book Antiqua" w:cs="Arial"/>
          <w:sz w:val="24"/>
          <w:szCs w:val="24"/>
          <w:lang w:val="en-US"/>
        </w:rPr>
        <w:t>dysfunction</w:t>
      </w:r>
      <w:r w:rsidR="00D4349C" w:rsidRPr="004B39D6">
        <w:rPr>
          <w:rFonts w:ascii="Book Antiqua" w:hAnsi="Book Antiqua" w:cs="Arial"/>
          <w:sz w:val="24"/>
          <w:szCs w:val="24"/>
          <w:vertAlign w:val="superscript"/>
          <w:lang w:val="en-US"/>
        </w:rPr>
        <w:t>[</w:t>
      </w:r>
      <w:proofErr w:type="gramEnd"/>
      <w:r w:rsidR="00551E75" w:rsidRPr="004B39D6">
        <w:rPr>
          <w:rFonts w:ascii="Book Antiqua" w:hAnsi="Book Antiqua" w:cs="Arial"/>
          <w:sz w:val="24"/>
          <w:szCs w:val="24"/>
          <w:vertAlign w:val="superscript"/>
          <w:lang w:val="en-US"/>
        </w:rPr>
        <w:t>17</w:t>
      </w:r>
      <w:r w:rsidR="00D4349C"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Similarly, CD4</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cells were sufficient to mediate rapid rejection of a cardiac allograft through the indirect path</w:t>
      </w:r>
      <w:r w:rsidR="00D4349C" w:rsidRPr="004B39D6">
        <w:rPr>
          <w:rFonts w:ascii="Book Antiqua" w:hAnsi="Book Antiqua" w:cs="Arial"/>
          <w:sz w:val="24"/>
          <w:szCs w:val="24"/>
          <w:lang w:val="en-US"/>
        </w:rPr>
        <w:t xml:space="preserve">way of alloantigen </w:t>
      </w:r>
      <w:proofErr w:type="gramStart"/>
      <w:r w:rsidR="00D4349C" w:rsidRPr="004B39D6">
        <w:rPr>
          <w:rFonts w:ascii="Book Antiqua" w:hAnsi="Book Antiqua" w:cs="Arial"/>
          <w:sz w:val="24"/>
          <w:szCs w:val="24"/>
          <w:lang w:val="en-US"/>
        </w:rPr>
        <w:t>recognition</w:t>
      </w:r>
      <w:r w:rsidR="00D4349C" w:rsidRPr="004B39D6">
        <w:rPr>
          <w:rFonts w:ascii="Book Antiqua" w:hAnsi="Book Antiqua" w:cs="Arial"/>
          <w:sz w:val="24"/>
          <w:szCs w:val="24"/>
          <w:vertAlign w:val="superscript"/>
          <w:lang w:val="en-US"/>
        </w:rPr>
        <w:t>[</w:t>
      </w:r>
      <w:proofErr w:type="gramEnd"/>
      <w:r w:rsidR="00551E75" w:rsidRPr="004B39D6">
        <w:rPr>
          <w:rFonts w:ascii="Book Antiqua" w:hAnsi="Book Antiqua" w:cs="Arial"/>
          <w:sz w:val="24"/>
          <w:szCs w:val="24"/>
          <w:vertAlign w:val="superscript"/>
          <w:lang w:val="en-US"/>
        </w:rPr>
        <w:t>18</w:t>
      </w:r>
      <w:r w:rsidR="00BA64CB" w:rsidRPr="004B39D6">
        <w:rPr>
          <w:rFonts w:ascii="Book Antiqua" w:hAnsi="Book Antiqua" w:cs="Arial"/>
          <w:sz w:val="24"/>
          <w:szCs w:val="24"/>
          <w:vertAlign w:val="superscript"/>
          <w:lang w:val="en-US"/>
        </w:rPr>
        <w:t>]</w:t>
      </w:r>
      <w:r w:rsidR="00BA64CB" w:rsidRPr="004B39D6">
        <w:rPr>
          <w:rFonts w:ascii="Book Antiqua" w:hAnsi="Book Antiqua" w:cs="Arial"/>
          <w:sz w:val="24"/>
          <w:szCs w:val="24"/>
          <w:lang w:val="en-US"/>
        </w:rPr>
        <w:t xml:space="preserve">. </w:t>
      </w:r>
      <w:r w:rsidRPr="004B39D6">
        <w:rPr>
          <w:rFonts w:ascii="Book Antiqua" w:hAnsi="Book Antiqua" w:cs="Arial"/>
          <w:sz w:val="24"/>
          <w:szCs w:val="24"/>
          <w:lang w:val="en-US"/>
        </w:rPr>
        <w:t>Hence, CD4</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specific T cells are key elements </w:t>
      </w:r>
      <w:r w:rsidR="00612E15" w:rsidRPr="004B39D6">
        <w:rPr>
          <w:rFonts w:ascii="Book Antiqua" w:hAnsi="Book Antiqua" w:cs="Arial"/>
          <w:sz w:val="24"/>
          <w:szCs w:val="24"/>
          <w:lang w:val="en-US"/>
        </w:rPr>
        <w:t xml:space="preserve">for the </w:t>
      </w:r>
      <w:r w:rsidRPr="004B39D6">
        <w:rPr>
          <w:rFonts w:ascii="Book Antiqua" w:hAnsi="Book Antiqua" w:cs="Arial"/>
          <w:sz w:val="24"/>
          <w:szCs w:val="24"/>
          <w:lang w:val="en-US"/>
        </w:rPr>
        <w:t>progression of allograft immunity</w:t>
      </w:r>
      <w:r w:rsidR="00612E15" w:rsidRPr="004B39D6">
        <w:rPr>
          <w:rFonts w:ascii="Book Antiqua" w:hAnsi="Book Antiqua" w:cs="Arial"/>
          <w:sz w:val="24"/>
          <w:szCs w:val="24"/>
          <w:lang w:val="en-US"/>
        </w:rPr>
        <w:t>,</w:t>
      </w:r>
      <w:r w:rsidRPr="004B39D6">
        <w:rPr>
          <w:rFonts w:ascii="Book Antiqua" w:hAnsi="Book Antiqua" w:cs="Arial"/>
          <w:sz w:val="24"/>
          <w:szCs w:val="24"/>
          <w:lang w:val="en-US"/>
        </w:rPr>
        <w:t xml:space="preserve"> especially within the CD4</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T cell indirect response. In </w:t>
      </w:r>
      <w:r w:rsidR="00612E15" w:rsidRPr="004B39D6">
        <w:rPr>
          <w:rFonts w:ascii="Book Antiqua" w:hAnsi="Book Antiqua" w:cs="Arial"/>
          <w:sz w:val="24"/>
          <w:szCs w:val="24"/>
          <w:lang w:val="en-US"/>
        </w:rPr>
        <w:t xml:space="preserve">the </w:t>
      </w:r>
      <w:r w:rsidRPr="004B39D6">
        <w:rPr>
          <w:rFonts w:ascii="Book Antiqua" w:hAnsi="Book Antiqua" w:cs="Arial"/>
          <w:sz w:val="24"/>
          <w:szCs w:val="24"/>
          <w:lang w:val="en-US"/>
        </w:rPr>
        <w:t>liver of mice with clinical manifestations of hepatitis, MHC class II-expressing hepatocytes are able to act as APCs and activ</w:t>
      </w:r>
      <w:r w:rsidR="00D4349C" w:rsidRPr="004B39D6">
        <w:rPr>
          <w:rFonts w:ascii="Book Antiqua" w:hAnsi="Book Antiqua" w:cs="Arial"/>
          <w:sz w:val="24"/>
          <w:szCs w:val="24"/>
          <w:lang w:val="en-US"/>
        </w:rPr>
        <w:t>ate specific CD4</w:t>
      </w:r>
      <w:r w:rsidR="0071496B" w:rsidRPr="004B39D6">
        <w:rPr>
          <w:rFonts w:ascii="Book Antiqua" w:hAnsi="Book Antiqua" w:cs="Arial"/>
          <w:sz w:val="24"/>
          <w:szCs w:val="24"/>
          <w:vertAlign w:val="superscript"/>
          <w:lang w:val="en-US"/>
        </w:rPr>
        <w:t>+</w:t>
      </w:r>
      <w:r w:rsidR="00D4349C" w:rsidRPr="004B39D6">
        <w:rPr>
          <w:rFonts w:ascii="Book Antiqua" w:hAnsi="Book Antiqua" w:cs="Arial"/>
          <w:sz w:val="24"/>
          <w:szCs w:val="24"/>
          <w:lang w:val="en-US"/>
        </w:rPr>
        <w:t xml:space="preserve"> T </w:t>
      </w:r>
      <w:proofErr w:type="gramStart"/>
      <w:r w:rsidR="00D4349C" w:rsidRPr="004B39D6">
        <w:rPr>
          <w:rFonts w:ascii="Book Antiqua" w:hAnsi="Book Antiqua" w:cs="Arial"/>
          <w:sz w:val="24"/>
          <w:szCs w:val="24"/>
          <w:lang w:val="en-US"/>
        </w:rPr>
        <w:t>lymphocytes</w:t>
      </w:r>
      <w:r w:rsidR="00D4349C" w:rsidRPr="004B39D6">
        <w:rPr>
          <w:rFonts w:ascii="Book Antiqua" w:hAnsi="Book Antiqua" w:cs="Arial"/>
          <w:sz w:val="24"/>
          <w:szCs w:val="24"/>
          <w:vertAlign w:val="superscript"/>
          <w:lang w:val="en-US"/>
        </w:rPr>
        <w:t>[</w:t>
      </w:r>
      <w:proofErr w:type="gramEnd"/>
      <w:r w:rsidR="00BA64CB" w:rsidRPr="004B39D6">
        <w:rPr>
          <w:rFonts w:ascii="Book Antiqua" w:hAnsi="Book Antiqua" w:cs="Arial"/>
          <w:sz w:val="24"/>
          <w:szCs w:val="24"/>
          <w:vertAlign w:val="superscript"/>
          <w:lang w:val="en-US"/>
        </w:rPr>
        <w:t>19</w:t>
      </w:r>
      <w:r w:rsidR="00D4349C"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w:t>
      </w:r>
    </w:p>
    <w:p w14:paraId="58E53591" w14:textId="66F9BB0B" w:rsidR="00051596" w:rsidRPr="004B39D6" w:rsidRDefault="003B780A" w:rsidP="0081528B">
      <w:pPr>
        <w:snapToGrid w:val="0"/>
        <w:spacing w:after="0" w:line="360" w:lineRule="auto"/>
        <w:ind w:firstLine="709"/>
        <w:jc w:val="both"/>
        <w:rPr>
          <w:rFonts w:ascii="Book Antiqua" w:hAnsi="Book Antiqua" w:cs="Arial"/>
          <w:sz w:val="24"/>
          <w:szCs w:val="24"/>
          <w:lang w:val="en-US"/>
        </w:rPr>
      </w:pPr>
      <w:r w:rsidRPr="004B39D6">
        <w:rPr>
          <w:rFonts w:ascii="Book Antiqua" w:hAnsi="Book Antiqua" w:cs="Arial"/>
          <w:sz w:val="24"/>
          <w:szCs w:val="24"/>
          <w:lang w:val="en-US"/>
        </w:rPr>
        <w:lastRenderedPageBreak/>
        <w:t>The p</w:t>
      </w:r>
      <w:r w:rsidR="00167EC9" w:rsidRPr="004B39D6">
        <w:rPr>
          <w:rFonts w:ascii="Book Antiqua" w:hAnsi="Book Antiqua" w:cs="Arial"/>
          <w:sz w:val="24"/>
          <w:szCs w:val="24"/>
          <w:lang w:val="en-US"/>
        </w:rPr>
        <w:t>athogenic</w:t>
      </w:r>
      <w:r w:rsidRPr="004B39D6">
        <w:rPr>
          <w:rFonts w:ascii="Book Antiqua" w:hAnsi="Book Antiqua" w:cs="Arial"/>
          <w:sz w:val="24"/>
          <w:szCs w:val="24"/>
          <w:lang w:val="en-US"/>
        </w:rPr>
        <w:t xml:space="preserve"> role of GSTT1-specific CD8</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T cells in </w:t>
      </w:r>
      <w:r w:rsidR="0071496B" w:rsidRPr="004B39D6">
        <w:rPr>
          <w:rFonts w:ascii="Book Antiqua" w:hAnsi="Book Antiqua" w:cs="Arial"/>
          <w:sz w:val="24"/>
          <w:szCs w:val="24"/>
          <w:lang w:val="en-US"/>
        </w:rPr>
        <w:t xml:space="preserve">PC-rich </w:t>
      </w:r>
      <w:r w:rsidR="00694C6A" w:rsidRPr="004B39D6">
        <w:rPr>
          <w:rFonts w:ascii="Book Antiqua" w:hAnsi="Book Antiqua" w:cs="Arial"/>
          <w:sz w:val="24"/>
          <w:szCs w:val="24"/>
          <w:lang w:val="en-US"/>
        </w:rPr>
        <w:t xml:space="preserve">rejection </w:t>
      </w:r>
      <w:r w:rsidRPr="004B39D6">
        <w:rPr>
          <w:rFonts w:ascii="Book Antiqua" w:hAnsi="Book Antiqua" w:cs="Arial"/>
          <w:sz w:val="24"/>
          <w:szCs w:val="24"/>
          <w:lang w:val="en-US"/>
        </w:rPr>
        <w:t xml:space="preserve">has </w:t>
      </w:r>
      <w:r w:rsidR="00694C6A" w:rsidRPr="004B39D6">
        <w:rPr>
          <w:rFonts w:ascii="Book Antiqua" w:hAnsi="Book Antiqua" w:cs="Arial"/>
          <w:sz w:val="24"/>
          <w:szCs w:val="24"/>
          <w:lang w:val="en-US"/>
        </w:rPr>
        <w:t xml:space="preserve">not </w:t>
      </w:r>
      <w:r w:rsidRPr="004B39D6">
        <w:rPr>
          <w:rFonts w:ascii="Book Antiqua" w:hAnsi="Book Antiqua" w:cs="Arial"/>
          <w:sz w:val="24"/>
          <w:szCs w:val="24"/>
          <w:lang w:val="en-US"/>
        </w:rPr>
        <w:t xml:space="preserve">been explored. The results obtained in this study reveal the existence of </w:t>
      </w:r>
      <w:r w:rsidR="00305790" w:rsidRPr="004B39D6">
        <w:rPr>
          <w:rFonts w:ascii="Book Antiqua" w:hAnsi="Book Antiqua" w:cs="Arial"/>
          <w:sz w:val="24"/>
          <w:szCs w:val="24"/>
          <w:lang w:val="en-US"/>
        </w:rPr>
        <w:t>reactive CD8</w:t>
      </w:r>
      <w:r w:rsidR="00305790"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cells in the group of patients with </w:t>
      </w:r>
      <w:r w:rsidR="0066136F" w:rsidRPr="004B39D6">
        <w:rPr>
          <w:rFonts w:ascii="Book Antiqua" w:hAnsi="Book Antiqua" w:cs="Arial"/>
          <w:sz w:val="24"/>
          <w:szCs w:val="24"/>
          <w:lang w:val="en-US"/>
        </w:rPr>
        <w:t xml:space="preserve">PC-rich </w:t>
      </w:r>
      <w:r w:rsidR="00694C6A" w:rsidRPr="004B39D6">
        <w:rPr>
          <w:rFonts w:ascii="Book Antiqua" w:hAnsi="Book Antiqua" w:cs="Arial"/>
          <w:sz w:val="24"/>
          <w:szCs w:val="24"/>
          <w:lang w:val="en-US"/>
        </w:rPr>
        <w:t>rejection</w:t>
      </w:r>
      <w:r w:rsidR="00612E15" w:rsidRPr="004B39D6">
        <w:rPr>
          <w:rFonts w:ascii="Book Antiqua" w:hAnsi="Book Antiqua" w:cs="Arial"/>
          <w:sz w:val="24"/>
          <w:szCs w:val="24"/>
          <w:lang w:val="en-US"/>
        </w:rPr>
        <w:t>,</w:t>
      </w:r>
      <w:r w:rsidR="00253DFE" w:rsidRPr="004B39D6">
        <w:rPr>
          <w:rFonts w:ascii="Book Antiqua" w:hAnsi="Book Antiqua" w:cs="Arial"/>
          <w:sz w:val="24"/>
          <w:szCs w:val="24"/>
          <w:lang w:val="en-US"/>
        </w:rPr>
        <w:t xml:space="preserve"> </w:t>
      </w:r>
      <w:r w:rsidR="0066136F" w:rsidRPr="004B39D6">
        <w:rPr>
          <w:rFonts w:ascii="Book Antiqua" w:hAnsi="Book Antiqua" w:cs="Arial"/>
          <w:sz w:val="24"/>
          <w:szCs w:val="24"/>
          <w:lang w:val="en-US"/>
        </w:rPr>
        <w:t xml:space="preserve">with </w:t>
      </w:r>
      <w:r w:rsidRPr="004B39D6">
        <w:rPr>
          <w:rFonts w:ascii="Book Antiqua" w:hAnsi="Book Antiqua" w:cs="Arial"/>
          <w:sz w:val="24"/>
          <w:szCs w:val="24"/>
          <w:lang w:val="en-US"/>
        </w:rPr>
        <w:t xml:space="preserve">percentages of </w:t>
      </w:r>
      <w:r w:rsidR="00694C6A" w:rsidRPr="004B39D6">
        <w:rPr>
          <w:rFonts w:ascii="Book Antiqua" w:hAnsi="Book Antiqua" w:cs="Arial"/>
          <w:sz w:val="24"/>
          <w:szCs w:val="24"/>
          <w:lang w:val="en-US"/>
        </w:rPr>
        <w:t xml:space="preserve">activation </w:t>
      </w:r>
      <w:r w:rsidR="0066136F" w:rsidRPr="004B39D6">
        <w:rPr>
          <w:rFonts w:ascii="Book Antiqua" w:hAnsi="Book Antiqua" w:cs="Arial"/>
          <w:sz w:val="24"/>
          <w:szCs w:val="24"/>
          <w:lang w:val="en-US"/>
        </w:rPr>
        <w:t xml:space="preserve">that </w:t>
      </w:r>
      <w:r w:rsidR="00612E15" w:rsidRPr="004B39D6">
        <w:rPr>
          <w:rFonts w:ascii="Book Antiqua" w:hAnsi="Book Antiqua" w:cs="Arial"/>
          <w:sz w:val="24"/>
          <w:szCs w:val="24"/>
          <w:lang w:val="en-US"/>
        </w:rPr>
        <w:t xml:space="preserve">range </w:t>
      </w:r>
      <w:r w:rsidR="0066136F" w:rsidRPr="004B39D6">
        <w:rPr>
          <w:rFonts w:ascii="Book Antiqua" w:hAnsi="Book Antiqua" w:cs="Arial"/>
          <w:sz w:val="24"/>
          <w:szCs w:val="24"/>
          <w:lang w:val="en-US"/>
        </w:rPr>
        <w:t xml:space="preserve">from 1.1 to 8.46 %, </w:t>
      </w:r>
      <w:r w:rsidR="00612E15" w:rsidRPr="004B39D6">
        <w:rPr>
          <w:rFonts w:ascii="Book Antiqua" w:hAnsi="Book Antiqua" w:cs="Arial"/>
          <w:sz w:val="24"/>
          <w:szCs w:val="24"/>
          <w:lang w:val="en-US"/>
        </w:rPr>
        <w:t xml:space="preserve">which is </w:t>
      </w:r>
      <w:r w:rsidR="0066136F" w:rsidRPr="004B39D6">
        <w:rPr>
          <w:rFonts w:ascii="Book Antiqua" w:hAnsi="Book Antiqua" w:cs="Arial"/>
          <w:sz w:val="24"/>
          <w:szCs w:val="24"/>
          <w:lang w:val="en-US"/>
        </w:rPr>
        <w:t>not as l</w:t>
      </w:r>
      <w:r w:rsidR="007D3F89" w:rsidRPr="004B39D6">
        <w:rPr>
          <w:rFonts w:ascii="Book Antiqua" w:hAnsi="Book Antiqua" w:cs="Arial"/>
          <w:sz w:val="24"/>
          <w:szCs w:val="24"/>
          <w:lang w:val="en-US"/>
        </w:rPr>
        <w:t>ow</w:t>
      </w:r>
      <w:r w:rsidR="008E4AF1" w:rsidRPr="004B39D6">
        <w:rPr>
          <w:rFonts w:ascii="Book Antiqua" w:hAnsi="Book Antiqua" w:cs="Arial"/>
          <w:sz w:val="24"/>
          <w:szCs w:val="24"/>
          <w:lang w:val="en-US"/>
        </w:rPr>
        <w:t xml:space="preserve"> as expected in immunosuppressed patients</w:t>
      </w:r>
      <w:r w:rsidR="00253DFE" w:rsidRPr="004B39D6">
        <w:rPr>
          <w:rFonts w:ascii="Book Antiqua" w:hAnsi="Book Antiqua" w:cs="Arial"/>
          <w:sz w:val="24"/>
          <w:szCs w:val="24"/>
          <w:lang w:val="en-US"/>
        </w:rPr>
        <w:t xml:space="preserve">. </w:t>
      </w:r>
      <w:r w:rsidR="008E4AF1" w:rsidRPr="004B39D6">
        <w:rPr>
          <w:rFonts w:ascii="Book Antiqua" w:hAnsi="Book Antiqua" w:cs="Arial"/>
          <w:sz w:val="24"/>
          <w:szCs w:val="24"/>
          <w:lang w:val="en-US"/>
        </w:rPr>
        <w:t xml:space="preserve">A substantial difference between the percentages of </w:t>
      </w:r>
      <w:proofErr w:type="spellStart"/>
      <w:r w:rsidR="008E4AF1" w:rsidRPr="004B39D6">
        <w:rPr>
          <w:rFonts w:ascii="Book Antiqua" w:hAnsi="Book Antiqua" w:cs="Arial"/>
          <w:sz w:val="24"/>
          <w:szCs w:val="24"/>
          <w:lang w:val="en-US"/>
        </w:rPr>
        <w:t>IFNγ</w:t>
      </w:r>
      <w:proofErr w:type="spellEnd"/>
      <w:r w:rsidR="008E4AF1" w:rsidRPr="004B39D6">
        <w:rPr>
          <w:rFonts w:ascii="Book Antiqua" w:hAnsi="Book Antiqua" w:cs="Arial"/>
          <w:sz w:val="24"/>
          <w:szCs w:val="24"/>
          <w:lang w:val="en-US"/>
        </w:rPr>
        <w:t>-producing CD8</w:t>
      </w:r>
      <w:r w:rsidR="008E4AF1" w:rsidRPr="004B39D6">
        <w:rPr>
          <w:rFonts w:ascii="Book Antiqua" w:hAnsi="Book Antiqua" w:cs="Arial"/>
          <w:sz w:val="24"/>
          <w:szCs w:val="24"/>
          <w:vertAlign w:val="superscript"/>
          <w:lang w:val="en-US"/>
        </w:rPr>
        <w:t>+</w:t>
      </w:r>
      <w:r w:rsidR="008E4AF1" w:rsidRPr="004B39D6">
        <w:rPr>
          <w:rFonts w:ascii="Book Antiqua" w:hAnsi="Book Antiqua" w:cs="Arial"/>
          <w:sz w:val="24"/>
          <w:szCs w:val="24"/>
          <w:lang w:val="en-US"/>
        </w:rPr>
        <w:t xml:space="preserve"> T cells at diagnosis and during treatment with prednisolone has been demonstrated </w:t>
      </w:r>
      <w:r w:rsidR="007B3420" w:rsidRPr="004B39D6">
        <w:rPr>
          <w:rFonts w:ascii="Book Antiqua" w:hAnsi="Book Antiqua" w:cs="Arial"/>
          <w:sz w:val="24"/>
          <w:szCs w:val="24"/>
          <w:lang w:val="en-US"/>
        </w:rPr>
        <w:t xml:space="preserve">in patients with type 2 autoimmune </w:t>
      </w:r>
      <w:proofErr w:type="gramStart"/>
      <w:r w:rsidR="007B3420" w:rsidRPr="004B39D6">
        <w:rPr>
          <w:rFonts w:ascii="Book Antiqua" w:hAnsi="Book Antiqua" w:cs="Arial"/>
          <w:sz w:val="24"/>
          <w:szCs w:val="24"/>
          <w:lang w:val="en-US"/>
        </w:rPr>
        <w:t>hepatitis</w:t>
      </w:r>
      <w:r w:rsidR="00D4349C" w:rsidRPr="004B39D6">
        <w:rPr>
          <w:rFonts w:ascii="Book Antiqua" w:hAnsi="Book Antiqua" w:cs="Arial"/>
          <w:sz w:val="24"/>
          <w:szCs w:val="24"/>
          <w:vertAlign w:val="superscript"/>
          <w:lang w:val="en-US"/>
        </w:rPr>
        <w:t>[</w:t>
      </w:r>
      <w:proofErr w:type="gramEnd"/>
      <w:r w:rsidR="00C44817" w:rsidRPr="004B39D6">
        <w:rPr>
          <w:rFonts w:ascii="Book Antiqua" w:hAnsi="Book Antiqua" w:cs="Arial"/>
          <w:sz w:val="24"/>
          <w:szCs w:val="24"/>
          <w:vertAlign w:val="superscript"/>
          <w:lang w:val="en-US"/>
        </w:rPr>
        <w:t>2</w:t>
      </w:r>
      <w:r w:rsidR="008E4AF1" w:rsidRPr="004B39D6">
        <w:rPr>
          <w:rFonts w:ascii="Book Antiqua" w:hAnsi="Book Antiqua" w:cs="Arial"/>
          <w:sz w:val="24"/>
          <w:szCs w:val="24"/>
          <w:vertAlign w:val="superscript"/>
          <w:lang w:val="en-US"/>
        </w:rPr>
        <w:t>0</w:t>
      </w:r>
      <w:r w:rsidR="00D4349C" w:rsidRPr="004B39D6">
        <w:rPr>
          <w:rFonts w:ascii="Book Antiqua" w:hAnsi="Book Antiqua" w:cs="Arial"/>
          <w:sz w:val="24"/>
          <w:szCs w:val="24"/>
          <w:vertAlign w:val="superscript"/>
          <w:lang w:val="en-US"/>
        </w:rPr>
        <w:t>]</w:t>
      </w:r>
      <w:r w:rsidR="00694C6A" w:rsidRPr="004B39D6">
        <w:rPr>
          <w:rFonts w:ascii="Book Antiqua" w:hAnsi="Book Antiqua" w:cs="Arial"/>
          <w:sz w:val="24"/>
          <w:szCs w:val="24"/>
          <w:lang w:val="en-US"/>
        </w:rPr>
        <w:t xml:space="preserve">. </w:t>
      </w:r>
      <w:r w:rsidRPr="004B39D6">
        <w:rPr>
          <w:rFonts w:ascii="Book Antiqua" w:hAnsi="Book Antiqua" w:cs="Arial"/>
          <w:sz w:val="24"/>
          <w:szCs w:val="24"/>
          <w:lang w:val="en-US"/>
        </w:rPr>
        <w:t xml:space="preserve">We should keep in mind that the patients with </w:t>
      </w:r>
      <w:r w:rsidR="0071496B" w:rsidRPr="004B39D6">
        <w:rPr>
          <w:rFonts w:ascii="Book Antiqua" w:hAnsi="Book Antiqua" w:cs="Arial"/>
          <w:sz w:val="24"/>
          <w:szCs w:val="24"/>
          <w:lang w:val="en-US"/>
        </w:rPr>
        <w:t xml:space="preserve">PC-rich </w:t>
      </w:r>
      <w:r w:rsidR="007D3F89" w:rsidRPr="004B39D6">
        <w:rPr>
          <w:rFonts w:ascii="Book Antiqua" w:hAnsi="Book Antiqua" w:cs="Arial"/>
          <w:sz w:val="24"/>
          <w:szCs w:val="24"/>
          <w:lang w:val="en-US"/>
        </w:rPr>
        <w:t>rejection</w:t>
      </w:r>
      <w:r w:rsidRPr="004B39D6">
        <w:rPr>
          <w:rFonts w:ascii="Book Antiqua" w:hAnsi="Book Antiqua" w:cs="Arial"/>
          <w:sz w:val="24"/>
          <w:szCs w:val="24"/>
          <w:lang w:val="en-US"/>
        </w:rPr>
        <w:t xml:space="preserve"> </w:t>
      </w:r>
      <w:r w:rsidR="008E4AF1" w:rsidRPr="004B39D6">
        <w:rPr>
          <w:rFonts w:ascii="Book Antiqua" w:hAnsi="Book Antiqua" w:cs="Arial"/>
          <w:sz w:val="24"/>
          <w:szCs w:val="24"/>
          <w:lang w:val="en-US"/>
        </w:rPr>
        <w:t xml:space="preserve">described in this study </w:t>
      </w:r>
      <w:r w:rsidRPr="004B39D6">
        <w:rPr>
          <w:rFonts w:ascii="Book Antiqua" w:hAnsi="Book Antiqua" w:cs="Arial"/>
          <w:sz w:val="24"/>
          <w:szCs w:val="24"/>
          <w:lang w:val="en-US"/>
        </w:rPr>
        <w:t xml:space="preserve">are under successful treatment with </w:t>
      </w:r>
      <w:r w:rsidR="00253DFE" w:rsidRPr="004B39D6">
        <w:rPr>
          <w:rFonts w:ascii="Book Antiqua" w:hAnsi="Book Antiqua" w:cs="Arial"/>
          <w:sz w:val="24"/>
          <w:szCs w:val="24"/>
          <w:lang w:val="en-US"/>
        </w:rPr>
        <w:t>prednisone that has t</w:t>
      </w:r>
      <w:r w:rsidR="008E4AF1" w:rsidRPr="004B39D6">
        <w:rPr>
          <w:rFonts w:ascii="Book Antiqua" w:hAnsi="Book Antiqua" w:cs="Arial"/>
          <w:sz w:val="24"/>
          <w:szCs w:val="24"/>
          <w:lang w:val="en-US"/>
        </w:rPr>
        <w:t>o be maintained throughout life</w:t>
      </w:r>
      <w:r w:rsidR="00253DFE" w:rsidRPr="004B39D6">
        <w:rPr>
          <w:rFonts w:ascii="Book Antiqua" w:hAnsi="Book Antiqua" w:cs="Arial"/>
          <w:sz w:val="24"/>
          <w:szCs w:val="24"/>
          <w:lang w:val="en-US"/>
        </w:rPr>
        <w:t xml:space="preserve">. </w:t>
      </w:r>
      <w:r w:rsidRPr="004B39D6">
        <w:rPr>
          <w:rFonts w:ascii="Book Antiqua" w:hAnsi="Book Antiqua" w:cs="Arial"/>
          <w:sz w:val="24"/>
          <w:szCs w:val="24"/>
          <w:lang w:val="en-US"/>
        </w:rPr>
        <w:t xml:space="preserve">It would be very interesting to know the level of stimulation </w:t>
      </w:r>
      <w:r w:rsidR="007D3F89" w:rsidRPr="004B39D6">
        <w:rPr>
          <w:rFonts w:ascii="Book Antiqua" w:hAnsi="Book Antiqua" w:cs="Arial"/>
          <w:sz w:val="24"/>
          <w:szCs w:val="24"/>
          <w:lang w:val="en-US"/>
        </w:rPr>
        <w:t>of</w:t>
      </w:r>
      <w:r w:rsidRPr="004B39D6">
        <w:rPr>
          <w:rFonts w:ascii="Book Antiqua" w:hAnsi="Book Antiqua" w:cs="Arial"/>
          <w:sz w:val="24"/>
          <w:szCs w:val="24"/>
          <w:lang w:val="en-US"/>
        </w:rPr>
        <w:t xml:space="preserve"> cells obtained at diagnosis, befo</w:t>
      </w:r>
      <w:r w:rsidR="003175BD" w:rsidRPr="004B39D6">
        <w:rPr>
          <w:rFonts w:ascii="Book Antiqua" w:hAnsi="Book Antiqua" w:cs="Arial"/>
          <w:sz w:val="24"/>
          <w:szCs w:val="24"/>
          <w:lang w:val="en-US"/>
        </w:rPr>
        <w:t>re initiation of the treatment</w:t>
      </w:r>
      <w:r w:rsidR="00612E15" w:rsidRPr="004B39D6">
        <w:rPr>
          <w:rFonts w:ascii="Book Antiqua" w:hAnsi="Book Antiqua" w:cs="Arial"/>
          <w:sz w:val="24"/>
          <w:szCs w:val="24"/>
          <w:lang w:val="en-US"/>
        </w:rPr>
        <w:t>,</w:t>
      </w:r>
      <w:r w:rsidR="003175BD" w:rsidRPr="004B39D6">
        <w:rPr>
          <w:rFonts w:ascii="Book Antiqua" w:hAnsi="Book Antiqua" w:cs="Arial"/>
          <w:sz w:val="24"/>
          <w:szCs w:val="24"/>
          <w:lang w:val="en-US"/>
        </w:rPr>
        <w:t xml:space="preserve"> since c</w:t>
      </w:r>
      <w:r w:rsidRPr="004B39D6">
        <w:rPr>
          <w:rFonts w:ascii="Book Antiqua" w:hAnsi="Book Antiqua" w:cs="Arial"/>
          <w:sz w:val="24"/>
          <w:szCs w:val="24"/>
          <w:lang w:val="en-US"/>
        </w:rPr>
        <w:t xml:space="preserve">ells from immunosuppressed patients exhibit much lower levels of activation than </w:t>
      </w:r>
      <w:proofErr w:type="spellStart"/>
      <w:r w:rsidRPr="004B39D6">
        <w:rPr>
          <w:rFonts w:ascii="Book Antiqua" w:hAnsi="Book Antiqua" w:cs="Arial"/>
          <w:sz w:val="24"/>
          <w:szCs w:val="24"/>
          <w:lang w:val="en-US"/>
        </w:rPr>
        <w:t>immunocompetent</w:t>
      </w:r>
      <w:proofErr w:type="spellEnd"/>
      <w:r w:rsidRPr="004B39D6">
        <w:rPr>
          <w:rFonts w:ascii="Book Antiqua" w:hAnsi="Book Antiqua" w:cs="Arial"/>
          <w:sz w:val="24"/>
          <w:szCs w:val="24"/>
          <w:lang w:val="en-US"/>
        </w:rPr>
        <w:t xml:space="preserve"> cells. For that reason</w:t>
      </w:r>
      <w:r w:rsidR="003175BD" w:rsidRPr="004B39D6">
        <w:rPr>
          <w:rFonts w:ascii="Book Antiqua" w:hAnsi="Book Antiqua" w:cs="Arial"/>
          <w:sz w:val="24"/>
          <w:szCs w:val="24"/>
          <w:lang w:val="en-US"/>
        </w:rPr>
        <w:t>,</w:t>
      </w:r>
      <w:r w:rsidRPr="004B39D6">
        <w:rPr>
          <w:rFonts w:ascii="Book Antiqua" w:hAnsi="Book Antiqua" w:cs="Arial"/>
          <w:sz w:val="24"/>
          <w:szCs w:val="24"/>
          <w:lang w:val="en-US"/>
        </w:rPr>
        <w:t xml:space="preserve"> it is even more remarkable </w:t>
      </w:r>
      <w:r w:rsidR="00612E15" w:rsidRPr="004B39D6">
        <w:rPr>
          <w:rFonts w:ascii="Book Antiqua" w:hAnsi="Book Antiqua" w:cs="Arial"/>
          <w:sz w:val="24"/>
          <w:szCs w:val="24"/>
          <w:lang w:val="en-US"/>
        </w:rPr>
        <w:t>that</w:t>
      </w:r>
      <w:r w:rsidRPr="004B39D6">
        <w:rPr>
          <w:rFonts w:ascii="Book Antiqua" w:hAnsi="Book Antiqua" w:cs="Arial"/>
          <w:sz w:val="24"/>
          <w:szCs w:val="24"/>
          <w:lang w:val="en-US"/>
        </w:rPr>
        <w:t xml:space="preserve"> certain types of</w:t>
      </w:r>
      <w:r w:rsidR="00051596" w:rsidRPr="004B39D6">
        <w:rPr>
          <w:rFonts w:ascii="Book Antiqua" w:hAnsi="Book Antiqua" w:cs="Arial"/>
          <w:sz w:val="24"/>
          <w:szCs w:val="24"/>
          <w:lang w:val="en-US"/>
        </w:rPr>
        <w:t xml:space="preserve"> T</w:t>
      </w:r>
      <w:r w:rsidRPr="004B39D6">
        <w:rPr>
          <w:rFonts w:ascii="Book Antiqua" w:hAnsi="Book Antiqua" w:cs="Arial"/>
          <w:sz w:val="24"/>
          <w:szCs w:val="24"/>
          <w:lang w:val="en-US"/>
        </w:rPr>
        <w:t xml:space="preserve"> lymphocytes from the patients with </w:t>
      </w:r>
      <w:r w:rsidR="00051596" w:rsidRPr="004B39D6">
        <w:rPr>
          <w:rFonts w:ascii="Book Antiqua" w:hAnsi="Book Antiqua" w:cs="Arial"/>
          <w:sz w:val="24"/>
          <w:szCs w:val="24"/>
          <w:lang w:val="en-US"/>
        </w:rPr>
        <w:t xml:space="preserve">PC-rich </w:t>
      </w:r>
      <w:r w:rsidR="003175BD" w:rsidRPr="004B39D6">
        <w:rPr>
          <w:rFonts w:ascii="Book Antiqua" w:hAnsi="Book Antiqua" w:cs="Arial"/>
          <w:sz w:val="24"/>
          <w:szCs w:val="24"/>
          <w:lang w:val="en-US"/>
        </w:rPr>
        <w:t xml:space="preserve">rejection </w:t>
      </w:r>
      <w:r w:rsidR="00253DFE" w:rsidRPr="004B39D6">
        <w:rPr>
          <w:rFonts w:ascii="Book Antiqua" w:hAnsi="Book Antiqua" w:cs="Arial"/>
          <w:sz w:val="24"/>
          <w:szCs w:val="24"/>
          <w:lang w:val="en-US"/>
        </w:rPr>
        <w:t>show</w:t>
      </w:r>
      <w:r w:rsidRPr="004B39D6">
        <w:rPr>
          <w:rFonts w:ascii="Book Antiqua" w:hAnsi="Book Antiqua" w:cs="Arial"/>
          <w:sz w:val="24"/>
          <w:szCs w:val="24"/>
          <w:lang w:val="en-US"/>
        </w:rPr>
        <w:t xml:space="preserve">ed </w:t>
      </w:r>
      <w:r w:rsidR="00051596" w:rsidRPr="004B39D6">
        <w:rPr>
          <w:rFonts w:ascii="Book Antiqua" w:hAnsi="Book Antiqua" w:cs="Arial"/>
          <w:sz w:val="24"/>
          <w:szCs w:val="24"/>
          <w:lang w:val="en-US"/>
        </w:rPr>
        <w:t xml:space="preserve">high </w:t>
      </w:r>
      <w:r w:rsidRPr="004B39D6">
        <w:rPr>
          <w:rFonts w:ascii="Book Antiqua" w:hAnsi="Book Antiqua" w:cs="Arial"/>
          <w:sz w:val="24"/>
          <w:szCs w:val="24"/>
          <w:lang w:val="en-US"/>
        </w:rPr>
        <w:t>percentages of activation</w:t>
      </w:r>
      <w:r w:rsidR="00051596" w:rsidRPr="004B39D6">
        <w:rPr>
          <w:rFonts w:ascii="Book Antiqua" w:hAnsi="Book Antiqua" w:cs="Arial"/>
          <w:sz w:val="24"/>
          <w:szCs w:val="24"/>
          <w:lang w:val="en-US"/>
        </w:rPr>
        <w:t>.</w:t>
      </w:r>
    </w:p>
    <w:p w14:paraId="6C44F0F0" w14:textId="0798845C" w:rsidR="003B780A" w:rsidRPr="004B39D6" w:rsidRDefault="003175BD" w:rsidP="0081528B">
      <w:pPr>
        <w:snapToGrid w:val="0"/>
        <w:spacing w:after="0" w:line="360" w:lineRule="auto"/>
        <w:ind w:firstLine="709"/>
        <w:jc w:val="both"/>
        <w:rPr>
          <w:rFonts w:ascii="Book Antiqua" w:hAnsi="Book Antiqua" w:cs="Arial"/>
          <w:sz w:val="24"/>
          <w:szCs w:val="24"/>
          <w:lang w:val="en-US"/>
        </w:rPr>
      </w:pPr>
      <w:r w:rsidRPr="004B39D6">
        <w:rPr>
          <w:rFonts w:ascii="Book Antiqua" w:hAnsi="Book Antiqua" w:cs="Arial"/>
          <w:sz w:val="24"/>
          <w:szCs w:val="24"/>
          <w:lang w:val="en-US"/>
        </w:rPr>
        <w:t>The results of this study leave many questions</w:t>
      </w:r>
      <w:r w:rsidR="003B780A" w:rsidRPr="004B39D6">
        <w:rPr>
          <w:rFonts w:ascii="Book Antiqua" w:hAnsi="Book Antiqua" w:cs="Arial"/>
          <w:sz w:val="24"/>
          <w:szCs w:val="24"/>
          <w:lang w:val="en-US"/>
        </w:rPr>
        <w:t xml:space="preserve"> about the function of GSTT1-specific CD4</w:t>
      </w:r>
      <w:r w:rsidR="003B780A" w:rsidRPr="004B39D6">
        <w:rPr>
          <w:rFonts w:ascii="Book Antiqua" w:hAnsi="Book Antiqua" w:cs="Arial"/>
          <w:sz w:val="24"/>
          <w:szCs w:val="24"/>
          <w:vertAlign w:val="superscript"/>
          <w:lang w:val="en-US"/>
        </w:rPr>
        <w:t>+</w:t>
      </w:r>
      <w:r w:rsidR="003B780A" w:rsidRPr="004B39D6">
        <w:rPr>
          <w:rFonts w:ascii="Book Antiqua" w:hAnsi="Book Antiqua" w:cs="Arial"/>
          <w:sz w:val="24"/>
          <w:szCs w:val="24"/>
          <w:lang w:val="en-US"/>
        </w:rPr>
        <w:t>CD8</w:t>
      </w:r>
      <w:r w:rsidR="003B780A" w:rsidRPr="004B39D6">
        <w:rPr>
          <w:rFonts w:ascii="Book Antiqua" w:hAnsi="Book Antiqua" w:cs="Arial"/>
          <w:sz w:val="24"/>
          <w:szCs w:val="24"/>
          <w:vertAlign w:val="superscript"/>
          <w:lang w:val="en-US"/>
        </w:rPr>
        <w:t>low</w:t>
      </w:r>
      <w:r w:rsidR="003B780A" w:rsidRPr="004B39D6">
        <w:rPr>
          <w:rFonts w:ascii="Book Antiqua" w:hAnsi="Book Antiqua" w:cs="Arial"/>
          <w:sz w:val="24"/>
          <w:szCs w:val="24"/>
          <w:lang w:val="en-US"/>
        </w:rPr>
        <w:t xml:space="preserve"> T cells in the context of transplantation. Subgroups of CD4</w:t>
      </w:r>
      <w:r w:rsidR="00813411" w:rsidRPr="004B39D6">
        <w:rPr>
          <w:rFonts w:ascii="Book Antiqua" w:hAnsi="Book Antiqua" w:cs="Arial"/>
          <w:sz w:val="24"/>
          <w:szCs w:val="24"/>
          <w:vertAlign w:val="superscript"/>
          <w:lang w:val="en-US"/>
        </w:rPr>
        <w:t>hi</w:t>
      </w:r>
      <w:r w:rsidR="003B780A" w:rsidRPr="004B39D6">
        <w:rPr>
          <w:rFonts w:ascii="Book Antiqua" w:hAnsi="Book Antiqua" w:cs="Arial"/>
          <w:sz w:val="24"/>
          <w:szCs w:val="24"/>
          <w:lang w:val="en-US"/>
        </w:rPr>
        <w:t>CD8</w:t>
      </w:r>
      <w:r w:rsidR="003B780A" w:rsidRPr="004B39D6">
        <w:rPr>
          <w:rFonts w:ascii="Book Antiqua" w:hAnsi="Book Antiqua" w:cs="Arial"/>
          <w:sz w:val="24"/>
          <w:szCs w:val="24"/>
          <w:vertAlign w:val="superscript"/>
          <w:lang w:val="en-US"/>
        </w:rPr>
        <w:t>low</w:t>
      </w:r>
      <w:r w:rsidR="003B780A" w:rsidRPr="004B39D6">
        <w:rPr>
          <w:rFonts w:ascii="Book Antiqua" w:hAnsi="Book Antiqua" w:cs="Arial"/>
          <w:sz w:val="24"/>
          <w:szCs w:val="24"/>
          <w:lang w:val="en-US"/>
        </w:rPr>
        <w:t xml:space="preserve"> T cells have been described in chronic viral infections, with antigen sp</w:t>
      </w:r>
      <w:r w:rsidR="00D4349C" w:rsidRPr="004B39D6">
        <w:rPr>
          <w:rFonts w:ascii="Book Antiqua" w:hAnsi="Book Antiqua" w:cs="Arial"/>
          <w:sz w:val="24"/>
          <w:szCs w:val="24"/>
          <w:lang w:val="en-US"/>
        </w:rPr>
        <w:t xml:space="preserve">ecificity and memory </w:t>
      </w:r>
      <w:proofErr w:type="gramStart"/>
      <w:r w:rsidR="00D4349C" w:rsidRPr="004B39D6">
        <w:rPr>
          <w:rFonts w:ascii="Book Antiqua" w:hAnsi="Book Antiqua" w:cs="Arial"/>
          <w:sz w:val="24"/>
          <w:szCs w:val="24"/>
          <w:lang w:val="en-US"/>
        </w:rPr>
        <w:t>phenotype</w:t>
      </w:r>
      <w:r w:rsidR="00BA64CB" w:rsidRPr="004B39D6">
        <w:rPr>
          <w:rFonts w:ascii="Book Antiqua" w:hAnsi="Book Antiqua" w:cs="Arial"/>
          <w:sz w:val="24"/>
          <w:szCs w:val="24"/>
          <w:vertAlign w:val="superscript"/>
          <w:lang w:val="en-US"/>
        </w:rPr>
        <w:t>[</w:t>
      </w:r>
      <w:proofErr w:type="gramEnd"/>
      <w:r w:rsidR="00BA64CB" w:rsidRPr="004B39D6">
        <w:rPr>
          <w:rFonts w:ascii="Book Antiqua" w:hAnsi="Book Antiqua" w:cs="Arial"/>
          <w:sz w:val="24"/>
          <w:szCs w:val="24"/>
          <w:vertAlign w:val="superscript"/>
          <w:lang w:val="en-US"/>
        </w:rPr>
        <w:t>21</w:t>
      </w:r>
      <w:r w:rsidR="0081528B" w:rsidRPr="004B39D6">
        <w:rPr>
          <w:rFonts w:ascii="Book Antiqua" w:hAnsi="Book Antiqua" w:cs="Arial"/>
          <w:sz w:val="24"/>
          <w:szCs w:val="24"/>
          <w:vertAlign w:val="superscript"/>
          <w:lang w:val="en-US" w:eastAsia="zh-CN"/>
        </w:rPr>
        <w:t>,</w:t>
      </w:r>
      <w:r w:rsidR="00C44817" w:rsidRPr="004B39D6">
        <w:rPr>
          <w:rFonts w:ascii="Book Antiqua" w:hAnsi="Book Antiqua" w:cs="Arial"/>
          <w:sz w:val="24"/>
          <w:szCs w:val="24"/>
          <w:vertAlign w:val="superscript"/>
          <w:lang w:val="en-US"/>
        </w:rPr>
        <w:t>2</w:t>
      </w:r>
      <w:r w:rsidR="00BA64CB" w:rsidRPr="004B39D6">
        <w:rPr>
          <w:rFonts w:ascii="Book Antiqua" w:hAnsi="Book Antiqua" w:cs="Arial"/>
          <w:sz w:val="24"/>
          <w:szCs w:val="24"/>
          <w:vertAlign w:val="superscript"/>
          <w:lang w:val="en-US"/>
        </w:rPr>
        <w:t>2</w:t>
      </w:r>
      <w:r w:rsidR="00D4349C" w:rsidRPr="004B39D6">
        <w:rPr>
          <w:rFonts w:ascii="Book Antiqua" w:hAnsi="Book Antiqua" w:cs="Arial"/>
          <w:sz w:val="24"/>
          <w:szCs w:val="24"/>
          <w:vertAlign w:val="superscript"/>
          <w:lang w:val="en-US"/>
        </w:rPr>
        <w:t>]</w:t>
      </w:r>
      <w:r w:rsidR="00612E15" w:rsidRPr="004B39D6">
        <w:rPr>
          <w:rFonts w:ascii="Book Antiqua" w:hAnsi="Book Antiqua" w:cs="Arial"/>
          <w:sz w:val="24"/>
          <w:szCs w:val="24"/>
          <w:lang w:val="en-US"/>
        </w:rPr>
        <w:t xml:space="preserve">, </w:t>
      </w:r>
      <w:r w:rsidR="003B780A" w:rsidRPr="004B39D6">
        <w:rPr>
          <w:rFonts w:ascii="Book Antiqua" w:hAnsi="Book Antiqua" w:cs="Arial"/>
          <w:sz w:val="24"/>
          <w:szCs w:val="24"/>
          <w:lang w:val="en-US"/>
        </w:rPr>
        <w:t xml:space="preserve">or in </w:t>
      </w:r>
      <w:r w:rsidR="00612E15" w:rsidRPr="004B39D6">
        <w:rPr>
          <w:rFonts w:ascii="Book Antiqua" w:hAnsi="Book Antiqua" w:cs="Arial"/>
          <w:sz w:val="24"/>
          <w:szCs w:val="24"/>
          <w:lang w:val="en-US"/>
        </w:rPr>
        <w:t xml:space="preserve">parasitic </w:t>
      </w:r>
      <w:r w:rsidR="003B780A" w:rsidRPr="004B39D6">
        <w:rPr>
          <w:rFonts w:ascii="Book Antiqua" w:hAnsi="Book Antiqua" w:cs="Arial"/>
          <w:sz w:val="24"/>
          <w:szCs w:val="24"/>
          <w:lang w:val="en-US"/>
        </w:rPr>
        <w:t>infections where the frequency of CD4</w:t>
      </w:r>
      <w:r w:rsidR="003B780A" w:rsidRPr="004B39D6">
        <w:rPr>
          <w:rFonts w:ascii="Book Antiqua" w:hAnsi="Book Antiqua" w:cs="Arial"/>
          <w:sz w:val="24"/>
          <w:szCs w:val="24"/>
          <w:vertAlign w:val="superscript"/>
          <w:lang w:val="en-US"/>
        </w:rPr>
        <w:t>+</w:t>
      </w:r>
      <w:r w:rsidR="003B780A" w:rsidRPr="004B39D6">
        <w:rPr>
          <w:rFonts w:ascii="Book Antiqua" w:hAnsi="Book Antiqua" w:cs="Arial"/>
          <w:sz w:val="24"/>
          <w:szCs w:val="24"/>
          <w:lang w:val="en-US"/>
        </w:rPr>
        <w:t>CD8</w:t>
      </w:r>
      <w:r w:rsidR="003B780A" w:rsidRPr="004B39D6">
        <w:rPr>
          <w:rFonts w:ascii="Book Antiqua" w:hAnsi="Book Antiqua" w:cs="Arial"/>
          <w:sz w:val="24"/>
          <w:szCs w:val="24"/>
          <w:vertAlign w:val="superscript"/>
          <w:lang w:val="en-US"/>
        </w:rPr>
        <w:t xml:space="preserve">low </w:t>
      </w:r>
      <w:r w:rsidR="003B780A" w:rsidRPr="004B39D6">
        <w:rPr>
          <w:rFonts w:ascii="Book Antiqua" w:hAnsi="Book Antiqua" w:cs="Arial"/>
          <w:sz w:val="24"/>
          <w:szCs w:val="24"/>
          <w:lang w:val="en-US"/>
        </w:rPr>
        <w:t xml:space="preserve">T cells was higher in </w:t>
      </w:r>
      <w:proofErr w:type="spellStart"/>
      <w:r w:rsidR="003B780A" w:rsidRPr="004B39D6">
        <w:rPr>
          <w:rFonts w:ascii="Book Antiqua" w:hAnsi="Book Antiqua" w:cs="Arial"/>
          <w:sz w:val="24"/>
          <w:szCs w:val="24"/>
          <w:lang w:val="en-US"/>
        </w:rPr>
        <w:t>Chagasic</w:t>
      </w:r>
      <w:proofErr w:type="spellEnd"/>
      <w:r w:rsidR="003B780A" w:rsidRPr="004B39D6">
        <w:rPr>
          <w:rFonts w:ascii="Book Antiqua" w:hAnsi="Book Antiqua" w:cs="Arial"/>
          <w:sz w:val="24"/>
          <w:szCs w:val="24"/>
          <w:lang w:val="en-US"/>
        </w:rPr>
        <w:t xml:space="preserve"> p</w:t>
      </w:r>
      <w:r w:rsidR="00D4349C" w:rsidRPr="004B39D6">
        <w:rPr>
          <w:rFonts w:ascii="Book Antiqua" w:hAnsi="Book Antiqua" w:cs="Arial"/>
          <w:sz w:val="24"/>
          <w:szCs w:val="24"/>
          <w:lang w:val="en-US"/>
        </w:rPr>
        <w:t>atients than in healthy donors</w:t>
      </w:r>
      <w:r w:rsidR="00D4349C" w:rsidRPr="004B39D6">
        <w:rPr>
          <w:rFonts w:ascii="Book Antiqua" w:hAnsi="Book Antiqua" w:cs="Arial"/>
          <w:sz w:val="24"/>
          <w:szCs w:val="24"/>
          <w:vertAlign w:val="superscript"/>
          <w:lang w:val="en-US"/>
        </w:rPr>
        <w:t>[</w:t>
      </w:r>
      <w:r w:rsidR="00C44817" w:rsidRPr="004B39D6">
        <w:rPr>
          <w:rFonts w:ascii="Book Antiqua" w:hAnsi="Book Antiqua" w:cs="Arial"/>
          <w:sz w:val="24"/>
          <w:szCs w:val="24"/>
          <w:vertAlign w:val="superscript"/>
          <w:lang w:val="en-US"/>
        </w:rPr>
        <w:t>2</w:t>
      </w:r>
      <w:r w:rsidR="00BA64CB" w:rsidRPr="004B39D6">
        <w:rPr>
          <w:rFonts w:ascii="Book Antiqua" w:hAnsi="Book Antiqua" w:cs="Arial"/>
          <w:sz w:val="24"/>
          <w:szCs w:val="24"/>
          <w:vertAlign w:val="superscript"/>
          <w:lang w:val="en-US"/>
        </w:rPr>
        <w:t>3</w:t>
      </w:r>
      <w:r w:rsidR="00D4349C" w:rsidRPr="004B39D6">
        <w:rPr>
          <w:rFonts w:ascii="Book Antiqua" w:hAnsi="Book Antiqua" w:cs="Arial"/>
          <w:sz w:val="24"/>
          <w:szCs w:val="24"/>
          <w:vertAlign w:val="superscript"/>
          <w:lang w:val="en-US"/>
        </w:rPr>
        <w:t>]</w:t>
      </w:r>
      <w:r w:rsidR="003B780A" w:rsidRPr="004B39D6">
        <w:rPr>
          <w:rFonts w:ascii="Book Antiqua" w:hAnsi="Book Antiqua" w:cs="Arial"/>
          <w:sz w:val="24"/>
          <w:szCs w:val="24"/>
          <w:lang w:val="en-US"/>
        </w:rPr>
        <w:t>. In a study performed with human cells from CMV-seropositive patients, the CD4</w:t>
      </w:r>
      <w:r w:rsidR="003B780A" w:rsidRPr="004B39D6">
        <w:rPr>
          <w:rFonts w:ascii="Book Antiqua" w:hAnsi="Book Antiqua" w:cs="Arial"/>
          <w:sz w:val="24"/>
          <w:szCs w:val="24"/>
          <w:vertAlign w:val="superscript"/>
          <w:lang w:val="en-US"/>
        </w:rPr>
        <w:t>+</w:t>
      </w:r>
      <w:r w:rsidR="003B780A" w:rsidRPr="004B39D6">
        <w:rPr>
          <w:rFonts w:ascii="Book Antiqua" w:hAnsi="Book Antiqua" w:cs="Arial"/>
          <w:sz w:val="24"/>
          <w:szCs w:val="24"/>
          <w:lang w:val="en-US"/>
        </w:rPr>
        <w:t>CD8</w:t>
      </w:r>
      <w:r w:rsidR="00972B62" w:rsidRPr="004B39D6">
        <w:rPr>
          <w:rFonts w:ascii="Book Antiqua" w:hAnsi="Book Antiqua" w:cs="Arial"/>
          <w:sz w:val="24"/>
          <w:szCs w:val="24"/>
          <w:vertAlign w:val="superscript"/>
          <w:lang w:val="en-US"/>
        </w:rPr>
        <w:t>low</w:t>
      </w:r>
      <w:r w:rsidR="003B780A" w:rsidRPr="004B39D6">
        <w:rPr>
          <w:rFonts w:ascii="Book Antiqua" w:hAnsi="Book Antiqua" w:cs="Arial"/>
          <w:sz w:val="24"/>
          <w:szCs w:val="24"/>
          <w:lang w:val="en-US"/>
        </w:rPr>
        <w:t xml:space="preserve"> population contained</w:t>
      </w:r>
      <w:r w:rsidR="00941321" w:rsidRPr="004B39D6">
        <w:rPr>
          <w:rFonts w:ascii="Book Antiqua" w:hAnsi="Book Antiqua" w:cs="Arial"/>
          <w:sz w:val="24"/>
          <w:szCs w:val="24"/>
          <w:lang w:val="en-US"/>
        </w:rPr>
        <w:t xml:space="preserve"> a</w:t>
      </w:r>
      <w:r w:rsidR="003B780A" w:rsidRPr="004B39D6">
        <w:rPr>
          <w:rFonts w:ascii="Book Antiqua" w:hAnsi="Book Antiqua" w:cs="Arial"/>
          <w:sz w:val="24"/>
          <w:szCs w:val="24"/>
          <w:lang w:val="en-US"/>
        </w:rPr>
        <w:t xml:space="preserve"> two- to eight</w:t>
      </w:r>
      <w:r w:rsidR="00941321" w:rsidRPr="004B39D6">
        <w:rPr>
          <w:rFonts w:ascii="Book Antiqua" w:hAnsi="Book Antiqua" w:cs="Arial"/>
          <w:sz w:val="24"/>
          <w:szCs w:val="24"/>
          <w:lang w:val="en-US"/>
        </w:rPr>
        <w:t>-</w:t>
      </w:r>
      <w:r w:rsidR="003B780A" w:rsidRPr="004B39D6">
        <w:rPr>
          <w:rFonts w:ascii="Book Antiqua" w:hAnsi="Book Antiqua" w:cs="Arial"/>
          <w:sz w:val="24"/>
          <w:szCs w:val="24"/>
          <w:lang w:val="en-US"/>
        </w:rPr>
        <w:t xml:space="preserve">fold higher frequency of antigen-specific </w:t>
      </w:r>
      <w:proofErr w:type="spellStart"/>
      <w:r w:rsidR="003B780A" w:rsidRPr="004B39D6">
        <w:rPr>
          <w:rFonts w:ascii="Book Antiqua" w:hAnsi="Book Antiqua" w:cs="Arial"/>
          <w:sz w:val="24"/>
          <w:szCs w:val="24"/>
          <w:lang w:val="en-US"/>
        </w:rPr>
        <w:t>IFNγ</w:t>
      </w:r>
      <w:proofErr w:type="spellEnd"/>
      <w:r w:rsidR="003B780A" w:rsidRPr="004B39D6">
        <w:rPr>
          <w:rFonts w:ascii="Book Antiqua" w:hAnsi="Book Antiqua" w:cs="Arial"/>
          <w:sz w:val="24"/>
          <w:szCs w:val="24"/>
          <w:vertAlign w:val="superscript"/>
          <w:lang w:val="en-US"/>
        </w:rPr>
        <w:t>+</w:t>
      </w:r>
      <w:r w:rsidR="003B780A" w:rsidRPr="004B39D6">
        <w:rPr>
          <w:rFonts w:ascii="Book Antiqua" w:hAnsi="Book Antiqua" w:cs="Arial"/>
          <w:sz w:val="24"/>
          <w:szCs w:val="24"/>
          <w:lang w:val="en-US"/>
        </w:rPr>
        <w:t xml:space="preserve"> cells than the CD4</w:t>
      </w:r>
      <w:r w:rsidR="003B780A" w:rsidRPr="004B39D6">
        <w:rPr>
          <w:rFonts w:ascii="Book Antiqua" w:hAnsi="Book Antiqua" w:cs="Arial"/>
          <w:sz w:val="24"/>
          <w:szCs w:val="24"/>
          <w:vertAlign w:val="superscript"/>
          <w:lang w:val="en-US"/>
        </w:rPr>
        <w:t>+</w:t>
      </w:r>
      <w:r w:rsidR="003B780A" w:rsidRPr="004B39D6">
        <w:rPr>
          <w:rFonts w:ascii="Book Antiqua" w:hAnsi="Book Antiqua" w:cs="Arial"/>
          <w:sz w:val="24"/>
          <w:szCs w:val="24"/>
          <w:lang w:val="en-US"/>
        </w:rPr>
        <w:t>CD8</w:t>
      </w:r>
      <w:r w:rsidR="003B780A" w:rsidRPr="004B39D6">
        <w:rPr>
          <w:rFonts w:ascii="Book Antiqua" w:hAnsi="Book Antiqua" w:cs="Arial"/>
          <w:sz w:val="24"/>
          <w:szCs w:val="24"/>
          <w:vertAlign w:val="superscript"/>
          <w:lang w:val="en-US"/>
        </w:rPr>
        <w:t>-</w:t>
      </w:r>
      <w:r w:rsidR="00D4349C" w:rsidRPr="004B39D6">
        <w:rPr>
          <w:rFonts w:ascii="Book Antiqua" w:hAnsi="Book Antiqua" w:cs="Arial"/>
          <w:sz w:val="24"/>
          <w:szCs w:val="24"/>
          <w:lang w:val="en-US"/>
        </w:rPr>
        <w:t xml:space="preserve"> </w:t>
      </w:r>
      <w:proofErr w:type="gramStart"/>
      <w:r w:rsidR="00D4349C" w:rsidRPr="004B39D6">
        <w:rPr>
          <w:rFonts w:ascii="Book Antiqua" w:hAnsi="Book Antiqua" w:cs="Arial"/>
          <w:sz w:val="24"/>
          <w:szCs w:val="24"/>
          <w:lang w:val="en-US"/>
        </w:rPr>
        <w:t>population</w:t>
      </w:r>
      <w:r w:rsidR="00D4349C" w:rsidRPr="004B39D6">
        <w:rPr>
          <w:rFonts w:ascii="Book Antiqua" w:hAnsi="Book Antiqua" w:cs="Arial"/>
          <w:sz w:val="24"/>
          <w:szCs w:val="24"/>
          <w:vertAlign w:val="superscript"/>
          <w:lang w:val="en-US"/>
        </w:rPr>
        <w:t>[</w:t>
      </w:r>
      <w:proofErr w:type="gramEnd"/>
      <w:r w:rsidR="00C44817" w:rsidRPr="004B39D6">
        <w:rPr>
          <w:rFonts w:ascii="Book Antiqua" w:hAnsi="Book Antiqua" w:cs="Arial"/>
          <w:sz w:val="24"/>
          <w:szCs w:val="24"/>
          <w:vertAlign w:val="superscript"/>
          <w:lang w:val="en-US"/>
        </w:rPr>
        <w:t>2</w:t>
      </w:r>
      <w:r w:rsidR="00BA64CB" w:rsidRPr="004B39D6">
        <w:rPr>
          <w:rFonts w:ascii="Book Antiqua" w:hAnsi="Book Antiqua" w:cs="Arial"/>
          <w:sz w:val="24"/>
          <w:szCs w:val="24"/>
          <w:vertAlign w:val="superscript"/>
          <w:lang w:val="en-US"/>
        </w:rPr>
        <w:t>4</w:t>
      </w:r>
      <w:r w:rsidR="00D4349C" w:rsidRPr="004B39D6">
        <w:rPr>
          <w:rFonts w:ascii="Book Antiqua" w:hAnsi="Book Antiqua" w:cs="Arial"/>
          <w:sz w:val="24"/>
          <w:szCs w:val="24"/>
          <w:vertAlign w:val="superscript"/>
          <w:lang w:val="en-US"/>
        </w:rPr>
        <w:t>]</w:t>
      </w:r>
      <w:r w:rsidR="003B780A" w:rsidRPr="004B39D6">
        <w:rPr>
          <w:rFonts w:ascii="Book Antiqua" w:hAnsi="Book Antiqua" w:cs="Arial"/>
          <w:sz w:val="24"/>
          <w:szCs w:val="24"/>
          <w:lang w:val="en-US"/>
        </w:rPr>
        <w:t>. It seems that this type of cell appear</w:t>
      </w:r>
      <w:r w:rsidR="00941321" w:rsidRPr="004B39D6">
        <w:rPr>
          <w:rFonts w:ascii="Book Antiqua" w:hAnsi="Book Antiqua" w:cs="Arial"/>
          <w:sz w:val="24"/>
          <w:szCs w:val="24"/>
          <w:lang w:val="en-US"/>
        </w:rPr>
        <w:t>s</w:t>
      </w:r>
      <w:r w:rsidR="003B780A" w:rsidRPr="004B39D6">
        <w:rPr>
          <w:rFonts w:ascii="Book Antiqua" w:hAnsi="Book Antiqua" w:cs="Arial"/>
          <w:sz w:val="24"/>
          <w:szCs w:val="24"/>
          <w:lang w:val="en-US"/>
        </w:rPr>
        <w:t xml:space="preserve"> in chronic processes, mainly in viral infections</w:t>
      </w:r>
      <w:r w:rsidR="00941321" w:rsidRPr="004B39D6">
        <w:rPr>
          <w:rFonts w:ascii="Book Antiqua" w:hAnsi="Book Antiqua" w:cs="Arial"/>
          <w:sz w:val="24"/>
          <w:szCs w:val="24"/>
          <w:lang w:val="en-US"/>
        </w:rPr>
        <w:t>,</w:t>
      </w:r>
      <w:r w:rsidR="003B780A" w:rsidRPr="004B39D6">
        <w:rPr>
          <w:rFonts w:ascii="Book Antiqua" w:hAnsi="Book Antiqua" w:cs="Arial"/>
          <w:sz w:val="24"/>
          <w:szCs w:val="24"/>
          <w:lang w:val="en-US"/>
        </w:rPr>
        <w:t xml:space="preserve"> but this scenario could also be extended to the transplant setting where sustained expression of a foreign </w:t>
      </w:r>
      <w:r w:rsidR="00813411" w:rsidRPr="004B39D6">
        <w:rPr>
          <w:rFonts w:ascii="Book Antiqua" w:hAnsi="Book Antiqua" w:cs="Arial"/>
          <w:sz w:val="24"/>
          <w:szCs w:val="24"/>
          <w:lang w:val="en-US"/>
        </w:rPr>
        <w:t>antigen</w:t>
      </w:r>
      <w:r w:rsidR="00941321" w:rsidRPr="004B39D6">
        <w:rPr>
          <w:rFonts w:ascii="Book Antiqua" w:hAnsi="Book Antiqua" w:cs="Arial"/>
          <w:sz w:val="24"/>
          <w:szCs w:val="24"/>
          <w:lang w:val="en-US"/>
        </w:rPr>
        <w:t>,</w:t>
      </w:r>
      <w:r w:rsidR="003B780A" w:rsidRPr="004B39D6">
        <w:rPr>
          <w:rFonts w:ascii="Book Antiqua" w:hAnsi="Book Antiqua" w:cs="Arial"/>
          <w:sz w:val="24"/>
          <w:szCs w:val="24"/>
          <w:lang w:val="en-US"/>
        </w:rPr>
        <w:t xml:space="preserve"> such as GSTT1</w:t>
      </w:r>
      <w:r w:rsidR="00941321" w:rsidRPr="004B39D6">
        <w:rPr>
          <w:rFonts w:ascii="Book Antiqua" w:hAnsi="Book Antiqua" w:cs="Arial"/>
          <w:sz w:val="24"/>
          <w:szCs w:val="24"/>
          <w:lang w:val="en-US"/>
        </w:rPr>
        <w:t>,</w:t>
      </w:r>
      <w:r w:rsidR="003B780A" w:rsidRPr="004B39D6">
        <w:rPr>
          <w:rFonts w:ascii="Book Antiqua" w:hAnsi="Book Antiqua" w:cs="Arial"/>
          <w:sz w:val="24"/>
          <w:szCs w:val="24"/>
          <w:lang w:val="en-US"/>
        </w:rPr>
        <w:t xml:space="preserve"> might lead to chronic rejection.</w:t>
      </w:r>
    </w:p>
    <w:p w14:paraId="2BDC0B4B" w14:textId="695C6C02" w:rsidR="003B780A" w:rsidRPr="004B39D6" w:rsidRDefault="00C4763F" w:rsidP="0081528B">
      <w:pPr>
        <w:snapToGrid w:val="0"/>
        <w:spacing w:after="0" w:line="360" w:lineRule="auto"/>
        <w:ind w:firstLine="708"/>
        <w:jc w:val="both"/>
        <w:rPr>
          <w:rFonts w:ascii="Book Antiqua" w:hAnsi="Book Antiqua" w:cs="Arial"/>
          <w:sz w:val="24"/>
          <w:szCs w:val="24"/>
          <w:lang w:val="en-US"/>
        </w:rPr>
      </w:pPr>
      <w:r w:rsidRPr="004B39D6">
        <w:rPr>
          <w:rFonts w:ascii="Book Antiqua" w:hAnsi="Book Antiqua" w:cs="Arial"/>
          <w:sz w:val="24"/>
          <w:szCs w:val="24"/>
          <w:lang w:val="en-US"/>
        </w:rPr>
        <w:t>The terminologies</w:t>
      </w:r>
      <w:r w:rsidR="003B780A" w:rsidRPr="004B39D6">
        <w:rPr>
          <w:rFonts w:ascii="Book Antiqua" w:hAnsi="Book Antiqua" w:cs="Arial"/>
          <w:sz w:val="24"/>
          <w:szCs w:val="24"/>
          <w:lang w:val="en-US"/>
        </w:rPr>
        <w:t xml:space="preserve"> used to describe post-transplant clinical situations with overlapp</w:t>
      </w:r>
      <w:r w:rsidR="00941321" w:rsidRPr="004B39D6">
        <w:rPr>
          <w:rFonts w:ascii="Book Antiqua" w:hAnsi="Book Antiqua" w:cs="Arial"/>
          <w:sz w:val="24"/>
          <w:szCs w:val="24"/>
          <w:lang w:val="en-US"/>
        </w:rPr>
        <w:t>ing</w:t>
      </w:r>
      <w:r w:rsidR="003B780A" w:rsidRPr="004B39D6">
        <w:rPr>
          <w:rFonts w:ascii="Book Antiqua" w:hAnsi="Book Antiqua" w:cs="Arial"/>
          <w:sz w:val="24"/>
          <w:szCs w:val="24"/>
          <w:lang w:val="en-US"/>
        </w:rPr>
        <w:t xml:space="preserve"> manifestations might be confusing. </w:t>
      </w:r>
      <w:r w:rsidR="00941321" w:rsidRPr="004B39D6">
        <w:rPr>
          <w:rFonts w:ascii="Book Antiqua" w:hAnsi="Book Antiqua" w:cs="Arial"/>
          <w:sz w:val="24"/>
          <w:szCs w:val="24"/>
          <w:lang w:val="en-US"/>
        </w:rPr>
        <w:t>L</w:t>
      </w:r>
      <w:r w:rsidRPr="004B39D6">
        <w:rPr>
          <w:rFonts w:ascii="Book Antiqua" w:hAnsi="Book Antiqua" w:cs="Arial"/>
          <w:sz w:val="24"/>
          <w:szCs w:val="24"/>
          <w:lang w:val="en-US"/>
        </w:rPr>
        <w:t xml:space="preserve">ate rejection, </w:t>
      </w:r>
      <w:r w:rsidRPr="004B39D6">
        <w:rPr>
          <w:rFonts w:ascii="Book Antiqua" w:hAnsi="Book Antiqua" w:cs="Arial"/>
          <w:i/>
          <w:sz w:val="24"/>
          <w:szCs w:val="24"/>
          <w:lang w:val="en-US"/>
        </w:rPr>
        <w:t>de novo</w:t>
      </w:r>
      <w:r w:rsidRPr="004B39D6">
        <w:rPr>
          <w:rFonts w:ascii="Book Antiqua" w:hAnsi="Book Antiqua" w:cs="Arial"/>
          <w:sz w:val="24"/>
          <w:szCs w:val="24"/>
          <w:lang w:val="en-US"/>
        </w:rPr>
        <w:t xml:space="preserve"> autoimmune/</w:t>
      </w:r>
      <w:proofErr w:type="spellStart"/>
      <w:r w:rsidRPr="004B39D6">
        <w:rPr>
          <w:rFonts w:ascii="Book Antiqua" w:hAnsi="Book Antiqua" w:cs="Arial"/>
          <w:sz w:val="24"/>
          <w:szCs w:val="24"/>
          <w:lang w:val="en-US"/>
        </w:rPr>
        <w:t>alloimmune</w:t>
      </w:r>
      <w:proofErr w:type="spellEnd"/>
      <w:r w:rsidRPr="004B39D6">
        <w:rPr>
          <w:rFonts w:ascii="Book Antiqua" w:hAnsi="Book Antiqua" w:cs="Arial"/>
          <w:sz w:val="24"/>
          <w:szCs w:val="24"/>
          <w:lang w:val="en-US"/>
        </w:rPr>
        <w:t xml:space="preserve"> hepatitis or idiopathic post-transplant hepatitis may all be </w:t>
      </w:r>
      <w:r w:rsidR="00D4349C" w:rsidRPr="004B39D6">
        <w:rPr>
          <w:rFonts w:ascii="Book Antiqua" w:hAnsi="Book Antiqua" w:cs="Arial"/>
          <w:sz w:val="24"/>
          <w:szCs w:val="24"/>
          <w:lang w:val="en-US"/>
        </w:rPr>
        <w:t xml:space="preserve">part of immune-mediated </w:t>
      </w:r>
      <w:proofErr w:type="gramStart"/>
      <w:r w:rsidR="00D4349C" w:rsidRPr="004B39D6">
        <w:rPr>
          <w:rFonts w:ascii="Book Antiqua" w:hAnsi="Book Antiqua" w:cs="Arial"/>
          <w:sz w:val="24"/>
          <w:szCs w:val="24"/>
          <w:lang w:val="en-US"/>
        </w:rPr>
        <w:t>injury</w:t>
      </w:r>
      <w:r w:rsidR="00D4349C" w:rsidRPr="004B39D6">
        <w:rPr>
          <w:rFonts w:ascii="Book Antiqua" w:hAnsi="Book Antiqua" w:cs="Arial"/>
          <w:sz w:val="24"/>
          <w:szCs w:val="24"/>
          <w:vertAlign w:val="superscript"/>
          <w:lang w:val="en-US"/>
        </w:rPr>
        <w:t>[</w:t>
      </w:r>
      <w:proofErr w:type="gramEnd"/>
      <w:r w:rsidR="00C44817" w:rsidRPr="004B39D6">
        <w:rPr>
          <w:rFonts w:ascii="Book Antiqua" w:hAnsi="Book Antiqua" w:cs="Arial"/>
          <w:sz w:val="24"/>
          <w:szCs w:val="24"/>
          <w:vertAlign w:val="superscript"/>
          <w:lang w:val="en-US"/>
        </w:rPr>
        <w:t>2</w:t>
      </w:r>
      <w:r w:rsidR="00BA64CB" w:rsidRPr="004B39D6">
        <w:rPr>
          <w:rFonts w:ascii="Book Antiqua" w:hAnsi="Book Antiqua" w:cs="Arial"/>
          <w:sz w:val="24"/>
          <w:szCs w:val="24"/>
          <w:vertAlign w:val="superscript"/>
          <w:lang w:val="en-US"/>
        </w:rPr>
        <w:t>5</w:t>
      </w:r>
      <w:r w:rsidR="00D4349C"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w:t>
      </w:r>
      <w:r w:rsidR="003B780A" w:rsidRPr="004B39D6">
        <w:rPr>
          <w:rFonts w:ascii="Book Antiqua" w:hAnsi="Book Antiqua" w:cs="Arial"/>
          <w:sz w:val="24"/>
          <w:szCs w:val="24"/>
          <w:lang w:val="en-US"/>
        </w:rPr>
        <w:t xml:space="preserve">The underlying pathology of </w:t>
      </w:r>
      <w:r w:rsidR="00815D96" w:rsidRPr="004B39D6">
        <w:rPr>
          <w:rFonts w:ascii="Book Antiqua" w:hAnsi="Book Antiqua" w:cs="Arial"/>
          <w:sz w:val="24"/>
          <w:szCs w:val="24"/>
          <w:lang w:val="en-US"/>
        </w:rPr>
        <w:t xml:space="preserve">the formerly called </w:t>
      </w:r>
      <w:r w:rsidR="003B780A" w:rsidRPr="004B39D6">
        <w:rPr>
          <w:rFonts w:ascii="Book Antiqua" w:hAnsi="Book Antiqua" w:cs="Arial"/>
          <w:i/>
          <w:sz w:val="24"/>
          <w:szCs w:val="24"/>
          <w:lang w:val="en-US"/>
        </w:rPr>
        <w:t>de novo</w:t>
      </w:r>
      <w:r w:rsidR="003B780A" w:rsidRPr="004B39D6">
        <w:rPr>
          <w:rFonts w:ascii="Book Antiqua" w:hAnsi="Book Antiqua" w:cs="Arial"/>
          <w:sz w:val="24"/>
          <w:szCs w:val="24"/>
          <w:lang w:val="en-US"/>
        </w:rPr>
        <w:t xml:space="preserve"> </w:t>
      </w:r>
      <w:r w:rsidR="00815D96" w:rsidRPr="004B39D6">
        <w:rPr>
          <w:rFonts w:ascii="Book Antiqua" w:hAnsi="Book Antiqua" w:cs="Arial"/>
          <w:sz w:val="24"/>
          <w:szCs w:val="24"/>
          <w:lang w:val="en-US"/>
        </w:rPr>
        <w:t>autoimmune hepatitis</w:t>
      </w:r>
      <w:r w:rsidR="00051596" w:rsidRPr="004B39D6">
        <w:rPr>
          <w:rFonts w:ascii="Book Antiqua" w:hAnsi="Book Antiqua" w:cs="Arial"/>
          <w:sz w:val="24"/>
          <w:szCs w:val="24"/>
          <w:lang w:val="en-US"/>
        </w:rPr>
        <w:t xml:space="preserve"> was</w:t>
      </w:r>
      <w:r w:rsidR="003B780A" w:rsidRPr="004B39D6">
        <w:rPr>
          <w:rFonts w:ascii="Book Antiqua" w:hAnsi="Book Antiqua" w:cs="Arial"/>
          <w:sz w:val="24"/>
          <w:szCs w:val="24"/>
          <w:lang w:val="en-US"/>
        </w:rPr>
        <w:t xml:space="preserve"> poorly understood</w:t>
      </w:r>
      <w:r w:rsidR="00941321" w:rsidRPr="004B39D6">
        <w:rPr>
          <w:rFonts w:ascii="Book Antiqua" w:hAnsi="Book Antiqua" w:cs="Arial"/>
          <w:sz w:val="24"/>
          <w:szCs w:val="24"/>
          <w:lang w:val="en-US"/>
        </w:rPr>
        <w:t>,</w:t>
      </w:r>
      <w:r w:rsidR="003B780A" w:rsidRPr="004B39D6">
        <w:rPr>
          <w:rFonts w:ascii="Book Antiqua" w:hAnsi="Book Antiqua" w:cs="Arial"/>
          <w:sz w:val="24"/>
          <w:szCs w:val="24"/>
          <w:lang w:val="en-US"/>
        </w:rPr>
        <w:t xml:space="preserve"> and diagnoses </w:t>
      </w:r>
      <w:r w:rsidR="00051596" w:rsidRPr="004B39D6">
        <w:rPr>
          <w:rFonts w:ascii="Book Antiqua" w:hAnsi="Book Antiqua" w:cs="Arial"/>
          <w:sz w:val="24"/>
          <w:szCs w:val="24"/>
          <w:lang w:val="en-US"/>
        </w:rPr>
        <w:t>we</w:t>
      </w:r>
      <w:r w:rsidR="003B780A" w:rsidRPr="004B39D6">
        <w:rPr>
          <w:rFonts w:ascii="Book Antiqua" w:hAnsi="Book Antiqua" w:cs="Arial"/>
          <w:sz w:val="24"/>
          <w:szCs w:val="24"/>
          <w:lang w:val="en-US"/>
        </w:rPr>
        <w:t>re based mainly on histologic</w:t>
      </w:r>
      <w:r w:rsidR="00051596" w:rsidRPr="004B39D6">
        <w:rPr>
          <w:rFonts w:ascii="Book Antiqua" w:hAnsi="Book Antiqua" w:cs="Arial"/>
          <w:sz w:val="24"/>
          <w:szCs w:val="24"/>
          <w:lang w:val="en-US"/>
        </w:rPr>
        <w:t>al findings such as the presence of</w:t>
      </w:r>
      <w:r w:rsidR="003B780A" w:rsidRPr="004B39D6">
        <w:rPr>
          <w:rFonts w:ascii="Book Antiqua" w:hAnsi="Book Antiqua" w:cs="Arial"/>
          <w:sz w:val="24"/>
          <w:szCs w:val="24"/>
          <w:lang w:val="en-US"/>
        </w:rPr>
        <w:t xml:space="preserve"> plasma cell rich </w:t>
      </w:r>
      <w:r w:rsidR="00753E53" w:rsidRPr="004B39D6">
        <w:rPr>
          <w:rFonts w:ascii="Book Antiqua" w:hAnsi="Book Antiqua" w:cs="Arial"/>
          <w:sz w:val="24"/>
          <w:szCs w:val="24"/>
          <w:lang w:val="en-US"/>
        </w:rPr>
        <w:lastRenderedPageBreak/>
        <w:t>infiltrate</w:t>
      </w:r>
      <w:r w:rsidR="00051596" w:rsidRPr="004B39D6">
        <w:rPr>
          <w:rFonts w:ascii="Book Antiqua" w:hAnsi="Book Antiqua" w:cs="Arial"/>
          <w:sz w:val="24"/>
          <w:szCs w:val="24"/>
          <w:lang w:val="en-US"/>
        </w:rPr>
        <w:t>s</w:t>
      </w:r>
      <w:r w:rsidR="003B780A" w:rsidRPr="004B39D6">
        <w:rPr>
          <w:rFonts w:ascii="Book Antiqua" w:hAnsi="Book Antiqua" w:cs="Arial"/>
          <w:sz w:val="24"/>
          <w:szCs w:val="24"/>
          <w:lang w:val="en-US"/>
        </w:rPr>
        <w:t xml:space="preserve"> or </w:t>
      </w:r>
      <w:r w:rsidR="00E63746" w:rsidRPr="004B39D6">
        <w:rPr>
          <w:rFonts w:ascii="Book Antiqua" w:hAnsi="Book Antiqua" w:cs="Arial"/>
          <w:sz w:val="24"/>
          <w:szCs w:val="24"/>
          <w:lang w:val="en-US"/>
        </w:rPr>
        <w:t xml:space="preserve">hepatocyte </w:t>
      </w:r>
      <w:r w:rsidR="003B780A" w:rsidRPr="004B39D6">
        <w:rPr>
          <w:rFonts w:ascii="Book Antiqua" w:hAnsi="Book Antiqua" w:cs="Arial"/>
          <w:sz w:val="24"/>
          <w:szCs w:val="24"/>
          <w:lang w:val="en-US"/>
        </w:rPr>
        <w:t>rosette form</w:t>
      </w:r>
      <w:r w:rsidR="00E63746" w:rsidRPr="004B39D6">
        <w:rPr>
          <w:rFonts w:ascii="Book Antiqua" w:hAnsi="Book Antiqua" w:cs="Arial"/>
          <w:sz w:val="24"/>
          <w:szCs w:val="24"/>
          <w:lang w:val="en-US"/>
        </w:rPr>
        <w:t>ation</w:t>
      </w:r>
      <w:r w:rsidR="00FA14F4" w:rsidRPr="004B39D6">
        <w:rPr>
          <w:rFonts w:ascii="Book Antiqua" w:hAnsi="Book Antiqua" w:cs="Arial"/>
          <w:sz w:val="24"/>
          <w:szCs w:val="24"/>
          <w:lang w:val="en-US"/>
        </w:rPr>
        <w:t>;</w:t>
      </w:r>
      <w:r w:rsidR="00E63746" w:rsidRPr="004B39D6">
        <w:rPr>
          <w:rFonts w:ascii="Book Antiqua" w:hAnsi="Book Antiqua" w:cs="Arial"/>
          <w:sz w:val="24"/>
          <w:szCs w:val="24"/>
          <w:lang w:val="en-US"/>
        </w:rPr>
        <w:t xml:space="preserve"> </w:t>
      </w:r>
      <w:r w:rsidR="00FA14F4" w:rsidRPr="004B39D6">
        <w:rPr>
          <w:rFonts w:ascii="Book Antiqua" w:hAnsi="Book Antiqua" w:cs="Arial"/>
          <w:sz w:val="24"/>
          <w:szCs w:val="24"/>
          <w:lang w:val="en-US"/>
        </w:rPr>
        <w:t>however,</w:t>
      </w:r>
      <w:r w:rsidR="003408DB" w:rsidRPr="004B39D6">
        <w:rPr>
          <w:rFonts w:ascii="Book Antiqua" w:hAnsi="Book Antiqua" w:cs="Arial"/>
          <w:sz w:val="24"/>
          <w:szCs w:val="24"/>
          <w:lang w:val="en-US"/>
        </w:rPr>
        <w:t xml:space="preserve"> because</w:t>
      </w:r>
      <w:r w:rsidR="003B780A" w:rsidRPr="004B39D6">
        <w:rPr>
          <w:rFonts w:ascii="Book Antiqua" w:hAnsi="Book Antiqua" w:cs="Arial"/>
          <w:sz w:val="24"/>
          <w:szCs w:val="24"/>
          <w:lang w:val="en-US"/>
        </w:rPr>
        <w:t xml:space="preserve"> rosettes are poorly reproducible, some groups do not cons</w:t>
      </w:r>
      <w:r w:rsidR="00D4349C" w:rsidRPr="004B39D6">
        <w:rPr>
          <w:rFonts w:ascii="Book Antiqua" w:hAnsi="Book Antiqua" w:cs="Arial"/>
          <w:sz w:val="24"/>
          <w:szCs w:val="24"/>
          <w:lang w:val="en-US"/>
        </w:rPr>
        <w:t xml:space="preserve">ider </w:t>
      </w:r>
      <w:r w:rsidR="00941321" w:rsidRPr="004B39D6">
        <w:rPr>
          <w:rFonts w:ascii="Book Antiqua" w:hAnsi="Book Antiqua" w:cs="Arial"/>
          <w:sz w:val="24"/>
          <w:szCs w:val="24"/>
          <w:lang w:val="en-US"/>
        </w:rPr>
        <w:t xml:space="preserve">them </w:t>
      </w:r>
      <w:r w:rsidR="00D4349C" w:rsidRPr="004B39D6">
        <w:rPr>
          <w:rFonts w:ascii="Book Antiqua" w:hAnsi="Book Antiqua" w:cs="Arial"/>
          <w:sz w:val="24"/>
          <w:szCs w:val="24"/>
          <w:lang w:val="en-US"/>
        </w:rPr>
        <w:t xml:space="preserve">a diagnostic </w:t>
      </w:r>
      <w:proofErr w:type="gramStart"/>
      <w:r w:rsidR="00D4349C" w:rsidRPr="004B39D6">
        <w:rPr>
          <w:rFonts w:ascii="Book Antiqua" w:hAnsi="Book Antiqua" w:cs="Arial"/>
          <w:sz w:val="24"/>
          <w:szCs w:val="24"/>
          <w:lang w:val="en-US"/>
        </w:rPr>
        <w:t>feature</w:t>
      </w:r>
      <w:r w:rsidR="00D4349C" w:rsidRPr="004B39D6">
        <w:rPr>
          <w:rFonts w:ascii="Book Antiqua" w:hAnsi="Book Antiqua" w:cs="Arial"/>
          <w:sz w:val="24"/>
          <w:szCs w:val="24"/>
          <w:vertAlign w:val="superscript"/>
          <w:lang w:val="en-US"/>
        </w:rPr>
        <w:t>[</w:t>
      </w:r>
      <w:proofErr w:type="gramEnd"/>
      <w:r w:rsidR="00C44817" w:rsidRPr="004B39D6">
        <w:rPr>
          <w:rFonts w:ascii="Book Antiqua" w:hAnsi="Book Antiqua" w:cs="Arial"/>
          <w:sz w:val="24"/>
          <w:szCs w:val="24"/>
          <w:vertAlign w:val="superscript"/>
          <w:lang w:val="en-US"/>
        </w:rPr>
        <w:t>2</w:t>
      </w:r>
      <w:r w:rsidR="00BA64CB" w:rsidRPr="004B39D6">
        <w:rPr>
          <w:rFonts w:ascii="Book Antiqua" w:hAnsi="Book Antiqua" w:cs="Arial"/>
          <w:sz w:val="24"/>
          <w:szCs w:val="24"/>
          <w:vertAlign w:val="superscript"/>
          <w:lang w:val="en-US"/>
        </w:rPr>
        <w:t>6</w:t>
      </w:r>
      <w:r w:rsidR="00D4349C" w:rsidRPr="004B39D6">
        <w:rPr>
          <w:rFonts w:ascii="Book Antiqua" w:hAnsi="Book Antiqua" w:cs="Arial"/>
          <w:sz w:val="24"/>
          <w:szCs w:val="24"/>
          <w:vertAlign w:val="superscript"/>
          <w:lang w:val="en-US"/>
        </w:rPr>
        <w:t>]</w:t>
      </w:r>
      <w:r w:rsidR="003B780A" w:rsidRPr="004B39D6">
        <w:rPr>
          <w:rFonts w:ascii="Book Antiqua" w:hAnsi="Book Antiqua" w:cs="Arial"/>
          <w:sz w:val="24"/>
          <w:szCs w:val="24"/>
          <w:lang w:val="en-US"/>
        </w:rPr>
        <w:t xml:space="preserve">. </w:t>
      </w:r>
    </w:p>
    <w:p w14:paraId="6E892770" w14:textId="51435F0F" w:rsidR="00E37A6C" w:rsidRPr="004B39D6" w:rsidRDefault="003B780A" w:rsidP="00E37A6C">
      <w:pPr>
        <w:snapToGrid w:val="0"/>
        <w:spacing w:after="0" w:line="360" w:lineRule="auto"/>
        <w:ind w:firstLine="708"/>
        <w:jc w:val="both"/>
        <w:rPr>
          <w:rFonts w:ascii="Book Antiqua" w:hAnsi="Book Antiqua" w:cs="Arial"/>
          <w:sz w:val="24"/>
          <w:szCs w:val="24"/>
          <w:lang w:val="en-US" w:eastAsia="zh-CN"/>
        </w:rPr>
      </w:pPr>
      <w:r w:rsidRPr="004B39D6">
        <w:rPr>
          <w:rFonts w:ascii="Book Antiqua" w:hAnsi="Book Antiqua" w:cs="Arial"/>
          <w:sz w:val="24"/>
          <w:szCs w:val="24"/>
          <w:lang w:val="en-US"/>
        </w:rPr>
        <w:t xml:space="preserve">Although we did not have enough samples to check for memory markers, based on the short time of stimulation </w:t>
      </w:r>
      <w:r w:rsidR="002C0304" w:rsidRPr="002C0304">
        <w:rPr>
          <w:rFonts w:ascii="Book Antiqua" w:hAnsi="Book Antiqua" w:cs="Arial"/>
          <w:i/>
          <w:sz w:val="24"/>
          <w:szCs w:val="24"/>
          <w:lang w:val="en-US"/>
        </w:rPr>
        <w:t>in vitro</w:t>
      </w:r>
      <w:r w:rsidRPr="004B39D6">
        <w:rPr>
          <w:rFonts w:ascii="Book Antiqua" w:hAnsi="Book Antiqua" w:cs="Arial"/>
          <w:sz w:val="24"/>
          <w:szCs w:val="24"/>
          <w:lang w:val="en-US"/>
        </w:rPr>
        <w:t xml:space="preserve"> (4</w:t>
      </w:r>
      <w:r w:rsidR="003408DB" w:rsidRPr="004B39D6">
        <w:rPr>
          <w:rFonts w:ascii="Book Antiqua" w:hAnsi="Book Antiqua" w:cs="Arial"/>
          <w:sz w:val="24"/>
          <w:szCs w:val="24"/>
          <w:lang w:val="en-US"/>
        </w:rPr>
        <w:t>8 h</w:t>
      </w:r>
      <w:r w:rsidRPr="004B39D6">
        <w:rPr>
          <w:rFonts w:ascii="Book Antiqua" w:hAnsi="Book Antiqua" w:cs="Arial"/>
          <w:sz w:val="24"/>
          <w:szCs w:val="24"/>
          <w:lang w:val="en-US"/>
        </w:rPr>
        <w:t>)</w:t>
      </w:r>
      <w:r w:rsidR="00FA14F4" w:rsidRPr="004B39D6">
        <w:rPr>
          <w:rFonts w:ascii="Book Antiqua" w:hAnsi="Book Antiqua" w:cs="Arial"/>
          <w:sz w:val="24"/>
          <w:szCs w:val="24"/>
          <w:lang w:val="en-US"/>
        </w:rPr>
        <w:t>,</w:t>
      </w:r>
      <w:r w:rsidRPr="004B39D6">
        <w:rPr>
          <w:rFonts w:ascii="Book Antiqua" w:hAnsi="Book Antiqua" w:cs="Arial"/>
          <w:sz w:val="24"/>
          <w:szCs w:val="24"/>
          <w:lang w:val="en-US"/>
        </w:rPr>
        <w:t xml:space="preserve"> we can say that GSTT1-specific lymphocytes are memory cells. It is still too soon to propose a model</w:t>
      </w:r>
      <w:r w:rsidR="007B01D2" w:rsidRPr="004B39D6">
        <w:rPr>
          <w:rFonts w:ascii="Book Antiqua" w:hAnsi="Book Antiqua" w:cs="Arial"/>
          <w:sz w:val="24"/>
          <w:szCs w:val="24"/>
          <w:lang w:val="en-US"/>
        </w:rPr>
        <w:t>,</w:t>
      </w:r>
      <w:r w:rsidRPr="004B39D6">
        <w:rPr>
          <w:rFonts w:ascii="Book Antiqua" w:hAnsi="Book Antiqua" w:cs="Arial"/>
          <w:sz w:val="24"/>
          <w:szCs w:val="24"/>
          <w:lang w:val="en-US"/>
        </w:rPr>
        <w:t xml:space="preserve"> as we have not yet tested what would be the response when recipients</w:t>
      </w:r>
      <w:r w:rsidR="00FA14F4" w:rsidRPr="004B39D6">
        <w:rPr>
          <w:rFonts w:ascii="Book Antiqua" w:hAnsi="Book Antiqua" w:cs="Arial"/>
          <w:sz w:val="24"/>
          <w:szCs w:val="24"/>
          <w:lang w:val="en-US"/>
        </w:rPr>
        <w:t>’</w:t>
      </w:r>
      <w:r w:rsidRPr="004B39D6">
        <w:rPr>
          <w:rFonts w:ascii="Book Antiqua" w:hAnsi="Book Antiqua" w:cs="Arial"/>
          <w:sz w:val="24"/>
          <w:szCs w:val="24"/>
          <w:lang w:val="en-US"/>
        </w:rPr>
        <w:t xml:space="preserve"> cells </w:t>
      </w:r>
      <w:r w:rsidR="00FA14F4" w:rsidRPr="004B39D6">
        <w:rPr>
          <w:rFonts w:ascii="Book Antiqua" w:hAnsi="Book Antiqua" w:cs="Arial"/>
          <w:sz w:val="24"/>
          <w:szCs w:val="24"/>
          <w:lang w:val="en-US"/>
        </w:rPr>
        <w:t xml:space="preserve">are confronted </w:t>
      </w:r>
      <w:r w:rsidRPr="004B39D6">
        <w:rPr>
          <w:rFonts w:ascii="Book Antiqua" w:hAnsi="Book Antiqua" w:cs="Arial"/>
          <w:sz w:val="24"/>
          <w:szCs w:val="24"/>
          <w:lang w:val="en-US"/>
        </w:rPr>
        <w:t xml:space="preserve">with GSTT1 peptides presented via </w:t>
      </w:r>
      <w:r w:rsidR="00BA64CB" w:rsidRPr="004B39D6">
        <w:rPr>
          <w:rFonts w:ascii="Book Antiqua" w:hAnsi="Book Antiqua" w:cs="Arial"/>
          <w:sz w:val="24"/>
          <w:szCs w:val="24"/>
          <w:lang w:val="en-US"/>
        </w:rPr>
        <w:t xml:space="preserve">the </w:t>
      </w:r>
      <w:r w:rsidRPr="004B39D6">
        <w:rPr>
          <w:rFonts w:ascii="Book Antiqua" w:hAnsi="Book Antiqua" w:cs="Arial"/>
          <w:sz w:val="24"/>
          <w:szCs w:val="24"/>
          <w:lang w:val="en-US"/>
        </w:rPr>
        <w:t>direct pathway. Apparently</w:t>
      </w:r>
      <w:r w:rsidR="00E424E8" w:rsidRPr="004B39D6">
        <w:rPr>
          <w:rFonts w:ascii="Book Antiqua" w:hAnsi="Book Antiqua" w:cs="Arial"/>
          <w:sz w:val="24"/>
          <w:szCs w:val="24"/>
          <w:lang w:val="en-US"/>
        </w:rPr>
        <w:t>,</w:t>
      </w:r>
      <w:r w:rsidRPr="004B39D6">
        <w:rPr>
          <w:rFonts w:ascii="Book Antiqua" w:hAnsi="Book Antiqua" w:cs="Arial"/>
          <w:sz w:val="24"/>
          <w:szCs w:val="24"/>
          <w:lang w:val="en-US"/>
        </w:rPr>
        <w:t xml:space="preserve"> there is not a predominant HLA class I or II allele among the donors of the patients with </w:t>
      </w:r>
      <w:r w:rsidR="00051596" w:rsidRPr="004B39D6">
        <w:rPr>
          <w:rFonts w:ascii="Book Antiqua" w:hAnsi="Book Antiqua" w:cs="Arial"/>
          <w:sz w:val="24"/>
          <w:szCs w:val="24"/>
          <w:lang w:val="en-US"/>
        </w:rPr>
        <w:t>PC-</w:t>
      </w:r>
      <w:r w:rsidR="00E424E8" w:rsidRPr="004B39D6">
        <w:rPr>
          <w:rFonts w:ascii="Book Antiqua" w:hAnsi="Book Antiqua" w:cs="Arial"/>
          <w:sz w:val="24"/>
          <w:szCs w:val="24"/>
          <w:lang w:val="en-US"/>
        </w:rPr>
        <w:t>rich</w:t>
      </w:r>
      <w:r w:rsidR="00051596" w:rsidRPr="004B39D6">
        <w:rPr>
          <w:rFonts w:ascii="Book Antiqua" w:hAnsi="Book Antiqua" w:cs="Arial"/>
          <w:sz w:val="24"/>
          <w:szCs w:val="24"/>
          <w:lang w:val="en-US"/>
        </w:rPr>
        <w:t xml:space="preserve"> </w:t>
      </w:r>
      <w:r w:rsidR="00E424E8" w:rsidRPr="004B39D6">
        <w:rPr>
          <w:rFonts w:ascii="Book Antiqua" w:hAnsi="Book Antiqua" w:cs="Arial"/>
          <w:sz w:val="24"/>
          <w:szCs w:val="24"/>
          <w:lang w:val="en-US"/>
        </w:rPr>
        <w:t>rejection</w:t>
      </w:r>
      <w:r w:rsidR="0008711B" w:rsidRPr="004B39D6">
        <w:rPr>
          <w:rFonts w:ascii="Book Antiqua" w:hAnsi="Book Antiqua" w:cs="Arial"/>
          <w:sz w:val="24"/>
          <w:szCs w:val="24"/>
          <w:lang w:val="en-US"/>
        </w:rPr>
        <w:t xml:space="preserve"> that could explain why some patients develop rejection and others do not</w:t>
      </w:r>
      <w:r w:rsidRPr="004B39D6">
        <w:rPr>
          <w:rFonts w:ascii="Book Antiqua" w:hAnsi="Book Antiqua" w:cs="Arial"/>
          <w:sz w:val="24"/>
          <w:szCs w:val="24"/>
          <w:lang w:val="en-US"/>
        </w:rPr>
        <w:t>.</w:t>
      </w:r>
      <w:r w:rsidR="0008711B" w:rsidRPr="004B39D6">
        <w:rPr>
          <w:rFonts w:ascii="Book Antiqua" w:hAnsi="Book Antiqua" w:cs="Arial"/>
          <w:sz w:val="24"/>
          <w:szCs w:val="24"/>
          <w:lang w:val="en-US"/>
        </w:rPr>
        <w:t xml:space="preserve"> </w:t>
      </w:r>
      <w:r w:rsidR="003408DB" w:rsidRPr="004B39D6">
        <w:rPr>
          <w:rFonts w:ascii="Book Antiqua" w:hAnsi="Book Antiqua" w:cs="Arial"/>
          <w:sz w:val="24"/>
          <w:szCs w:val="24"/>
          <w:lang w:val="en-US"/>
        </w:rPr>
        <w:t xml:space="preserve">Given that </w:t>
      </w:r>
      <w:r w:rsidRPr="004B39D6">
        <w:rPr>
          <w:rFonts w:ascii="Book Antiqua" w:hAnsi="Book Antiqua" w:cs="Arial"/>
          <w:sz w:val="24"/>
          <w:szCs w:val="24"/>
          <w:lang w:val="en-US"/>
        </w:rPr>
        <w:t xml:space="preserve">donor cells </w:t>
      </w:r>
      <w:r w:rsidR="0008711B" w:rsidRPr="004B39D6">
        <w:rPr>
          <w:rFonts w:ascii="Book Antiqua" w:hAnsi="Book Antiqua" w:cs="Arial"/>
          <w:sz w:val="24"/>
          <w:szCs w:val="24"/>
          <w:lang w:val="en-US"/>
        </w:rPr>
        <w:t>are</w:t>
      </w:r>
      <w:r w:rsidRPr="004B39D6">
        <w:rPr>
          <w:rFonts w:ascii="Book Antiqua" w:hAnsi="Book Antiqua" w:cs="Arial"/>
          <w:sz w:val="24"/>
          <w:szCs w:val="24"/>
          <w:lang w:val="en-US"/>
        </w:rPr>
        <w:t xml:space="preserve"> not available, in future studies we will have to design strategies to dem</w:t>
      </w:r>
      <w:r w:rsidR="00E424E8" w:rsidRPr="004B39D6">
        <w:rPr>
          <w:rFonts w:ascii="Book Antiqua" w:hAnsi="Book Antiqua" w:cs="Arial"/>
          <w:sz w:val="24"/>
          <w:szCs w:val="24"/>
          <w:lang w:val="en-US"/>
        </w:rPr>
        <w:t xml:space="preserve">onstrate the existence of donor </w:t>
      </w:r>
      <w:r w:rsidRPr="004B39D6">
        <w:rPr>
          <w:rFonts w:ascii="Book Antiqua" w:hAnsi="Book Antiqua" w:cs="Arial"/>
          <w:sz w:val="24"/>
          <w:szCs w:val="24"/>
          <w:lang w:val="en-US"/>
        </w:rPr>
        <w:t xml:space="preserve">HLA-restricted GSTT1-specific T lymphocytes through the use of artificial molecules such as </w:t>
      </w:r>
      <w:proofErr w:type="spellStart"/>
      <w:r w:rsidRPr="004B39D6">
        <w:rPr>
          <w:rFonts w:ascii="Book Antiqua" w:hAnsi="Book Antiqua" w:cs="Arial"/>
          <w:sz w:val="24"/>
          <w:szCs w:val="24"/>
          <w:lang w:val="en-US"/>
        </w:rPr>
        <w:t>pentamers</w:t>
      </w:r>
      <w:proofErr w:type="spellEnd"/>
      <w:r w:rsidR="007B01D2" w:rsidRPr="004B39D6">
        <w:rPr>
          <w:rFonts w:ascii="Book Antiqua" w:hAnsi="Book Antiqua" w:cs="Arial"/>
          <w:sz w:val="24"/>
          <w:szCs w:val="24"/>
          <w:lang w:val="en-US"/>
        </w:rPr>
        <w:t>,</w:t>
      </w:r>
      <w:r w:rsidRPr="004B39D6">
        <w:rPr>
          <w:rFonts w:ascii="Book Antiqua" w:hAnsi="Book Antiqua" w:cs="Arial"/>
          <w:sz w:val="24"/>
          <w:szCs w:val="24"/>
          <w:lang w:val="en-US"/>
        </w:rPr>
        <w:t xml:space="preserve"> as well as cytotoxicity assays on “donor-like” target cells. </w:t>
      </w:r>
    </w:p>
    <w:p w14:paraId="353E2F45" w14:textId="77777777" w:rsidR="00E37A6C" w:rsidRPr="004B39D6" w:rsidRDefault="00E37A6C" w:rsidP="00E37A6C">
      <w:pPr>
        <w:snapToGrid w:val="0"/>
        <w:spacing w:after="0" w:line="360" w:lineRule="auto"/>
        <w:jc w:val="both"/>
        <w:rPr>
          <w:rFonts w:ascii="Book Antiqua" w:hAnsi="Book Antiqua" w:cs="Arial"/>
          <w:sz w:val="24"/>
          <w:szCs w:val="24"/>
          <w:lang w:val="en-US" w:eastAsia="zh-CN"/>
        </w:rPr>
      </w:pPr>
    </w:p>
    <w:p w14:paraId="1D3B3165" w14:textId="1EBAD998" w:rsidR="003B780A" w:rsidRPr="004B39D6" w:rsidRDefault="001D15EB" w:rsidP="00E37A6C">
      <w:pPr>
        <w:snapToGrid w:val="0"/>
        <w:spacing w:after="0" w:line="360" w:lineRule="auto"/>
        <w:jc w:val="both"/>
        <w:rPr>
          <w:rFonts w:ascii="Book Antiqua" w:hAnsi="Book Antiqua" w:cs="Arial"/>
          <w:b/>
          <w:sz w:val="24"/>
          <w:szCs w:val="24"/>
          <w:lang w:val="en-US" w:eastAsia="zh-CN"/>
        </w:rPr>
      </w:pPr>
      <w:r w:rsidRPr="004B39D6">
        <w:rPr>
          <w:rFonts w:ascii="Book Antiqua" w:hAnsi="Book Antiqua" w:cs="Arial"/>
          <w:b/>
          <w:sz w:val="24"/>
          <w:szCs w:val="24"/>
          <w:lang w:val="en-US" w:eastAsia="zh-CN"/>
        </w:rPr>
        <w:t>COMMENTS</w:t>
      </w:r>
    </w:p>
    <w:p w14:paraId="60CAABF9" w14:textId="77777777" w:rsidR="001D15EB" w:rsidRPr="004B39D6" w:rsidRDefault="001D15EB" w:rsidP="0081528B">
      <w:pPr>
        <w:snapToGrid w:val="0"/>
        <w:spacing w:after="0" w:line="360" w:lineRule="auto"/>
        <w:jc w:val="both"/>
        <w:rPr>
          <w:rFonts w:ascii="Book Antiqua" w:hAnsi="Book Antiqua" w:cs="Arial"/>
          <w:b/>
          <w:i/>
          <w:sz w:val="24"/>
          <w:szCs w:val="24"/>
          <w:lang w:val="en-US"/>
        </w:rPr>
      </w:pPr>
      <w:r w:rsidRPr="004B39D6">
        <w:rPr>
          <w:rFonts w:ascii="Book Antiqua" w:hAnsi="Book Antiqua" w:cs="Arial"/>
          <w:b/>
          <w:i/>
          <w:sz w:val="24"/>
          <w:szCs w:val="24"/>
          <w:lang w:val="en-US"/>
        </w:rPr>
        <w:t xml:space="preserve">Background </w:t>
      </w:r>
    </w:p>
    <w:p w14:paraId="17EBB0BA" w14:textId="3ACB0534" w:rsidR="00005611" w:rsidRPr="004B39D6" w:rsidRDefault="00005611"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t xml:space="preserve">Antibody-mediated rejection of the liver allografts has never been considered a main problem after liver transplantation until now. The Banff Working Group on Liver Allograft pathologies published </w:t>
      </w:r>
      <w:r w:rsidR="00902C8F" w:rsidRPr="004B39D6">
        <w:rPr>
          <w:rFonts w:ascii="Book Antiqua" w:hAnsi="Book Antiqua" w:cs="Arial"/>
          <w:sz w:val="24"/>
          <w:szCs w:val="24"/>
          <w:lang w:val="en-US"/>
        </w:rPr>
        <w:t xml:space="preserve">last year </w:t>
      </w:r>
      <w:r w:rsidRPr="004B39D6">
        <w:rPr>
          <w:rFonts w:ascii="Book Antiqua" w:hAnsi="Book Antiqua" w:cs="Arial"/>
          <w:sz w:val="24"/>
          <w:szCs w:val="24"/>
          <w:lang w:val="en-US"/>
        </w:rPr>
        <w:t>a new report</w:t>
      </w:r>
      <w:r w:rsidR="00B95EB3" w:rsidRPr="004B39D6">
        <w:rPr>
          <w:rFonts w:ascii="Book Antiqua" w:hAnsi="Book Antiqua" w:cs="Arial"/>
          <w:sz w:val="24"/>
          <w:szCs w:val="24"/>
          <w:lang w:val="en-US"/>
        </w:rPr>
        <w:t xml:space="preserve"> in which the role of HLA as well as </w:t>
      </w:r>
      <w:r w:rsidR="00E37A6C" w:rsidRPr="004B39D6">
        <w:rPr>
          <w:rFonts w:ascii="Book Antiqua" w:hAnsi="Book Antiqua" w:cs="Arial"/>
          <w:sz w:val="24"/>
          <w:szCs w:val="24"/>
          <w:lang w:val="en-US"/>
        </w:rPr>
        <w:t>glutathione S-</w:t>
      </w:r>
      <w:proofErr w:type="spellStart"/>
      <w:r w:rsidR="00E37A6C" w:rsidRPr="004B39D6">
        <w:rPr>
          <w:rFonts w:ascii="Book Antiqua" w:hAnsi="Book Antiqua" w:cs="Arial"/>
          <w:sz w:val="24"/>
          <w:szCs w:val="24"/>
          <w:lang w:val="en-US"/>
        </w:rPr>
        <w:t>transferase</w:t>
      </w:r>
      <w:proofErr w:type="spellEnd"/>
      <w:r w:rsidR="00E37A6C" w:rsidRPr="004B39D6">
        <w:rPr>
          <w:rFonts w:ascii="Book Antiqua" w:hAnsi="Book Antiqua" w:cs="Arial"/>
          <w:sz w:val="24"/>
          <w:szCs w:val="24"/>
          <w:lang w:val="en-US"/>
        </w:rPr>
        <w:t xml:space="preserve"> T1 (GSTT1)</w:t>
      </w:r>
      <w:r w:rsidR="00B95EB3" w:rsidRPr="004B39D6">
        <w:rPr>
          <w:rFonts w:ascii="Book Antiqua" w:hAnsi="Book Antiqua" w:cs="Arial"/>
          <w:sz w:val="24"/>
          <w:szCs w:val="24"/>
          <w:lang w:val="en-US"/>
        </w:rPr>
        <w:t xml:space="preserve"> donor specific antibodies is discussed. In this report, they have included</w:t>
      </w:r>
      <w:r w:rsidRPr="004B39D6">
        <w:rPr>
          <w:rFonts w:ascii="Book Antiqua" w:hAnsi="Book Antiqua" w:cs="Arial"/>
          <w:sz w:val="24"/>
          <w:szCs w:val="24"/>
          <w:lang w:val="en-US"/>
        </w:rPr>
        <w:t xml:space="preserve"> new </w:t>
      </w:r>
      <w:r w:rsidR="00B95EB3" w:rsidRPr="004B39D6">
        <w:rPr>
          <w:rFonts w:ascii="Book Antiqua" w:hAnsi="Book Antiqua" w:cs="Arial"/>
          <w:sz w:val="24"/>
          <w:szCs w:val="24"/>
          <w:lang w:val="en-US"/>
        </w:rPr>
        <w:t>criteria and have suggested</w:t>
      </w:r>
      <w:r w:rsidRPr="004B39D6">
        <w:rPr>
          <w:rFonts w:ascii="Book Antiqua" w:hAnsi="Book Antiqua" w:cs="Arial"/>
          <w:sz w:val="24"/>
          <w:szCs w:val="24"/>
          <w:lang w:val="en-US"/>
        </w:rPr>
        <w:t xml:space="preserve"> changes in the terminology of post-transplant complications.</w:t>
      </w:r>
      <w:r w:rsidR="00B95EB3" w:rsidRPr="004B39D6">
        <w:rPr>
          <w:rFonts w:ascii="Book Antiqua" w:hAnsi="Book Antiqua" w:cs="Arial"/>
          <w:sz w:val="24"/>
          <w:szCs w:val="24"/>
          <w:lang w:val="en-US"/>
        </w:rPr>
        <w:t xml:space="preserve"> The process termed de novo autoimmune hepatitis is now defined as plasma cell-rich rejection</w:t>
      </w:r>
      <w:r w:rsidR="00902C8F" w:rsidRPr="004B39D6">
        <w:rPr>
          <w:rFonts w:ascii="Book Antiqua" w:hAnsi="Book Antiqua" w:cs="Arial"/>
          <w:sz w:val="24"/>
          <w:szCs w:val="24"/>
          <w:lang w:val="en-US"/>
        </w:rPr>
        <w:t>.</w:t>
      </w:r>
      <w:r w:rsidR="00B95EB3" w:rsidRPr="004B39D6">
        <w:rPr>
          <w:rFonts w:ascii="Book Antiqua" w:hAnsi="Book Antiqua" w:cs="Arial"/>
          <w:sz w:val="24"/>
          <w:szCs w:val="24"/>
          <w:lang w:val="en-US"/>
        </w:rPr>
        <w:t xml:space="preserve"> </w:t>
      </w:r>
    </w:p>
    <w:p w14:paraId="2CF2FE2B" w14:textId="77777777" w:rsidR="00005611" w:rsidRPr="004B39D6" w:rsidRDefault="00005611" w:rsidP="0081528B">
      <w:pPr>
        <w:snapToGrid w:val="0"/>
        <w:spacing w:after="0" w:line="360" w:lineRule="auto"/>
        <w:jc w:val="both"/>
        <w:rPr>
          <w:rFonts w:ascii="Book Antiqua" w:hAnsi="Book Antiqua" w:cs="Arial"/>
          <w:b/>
          <w:i/>
          <w:sz w:val="24"/>
          <w:szCs w:val="24"/>
          <w:lang w:val="en-US"/>
        </w:rPr>
      </w:pPr>
    </w:p>
    <w:p w14:paraId="5A34553F" w14:textId="77777777" w:rsidR="001D15EB" w:rsidRPr="004B39D6" w:rsidRDefault="001D15EB" w:rsidP="0081528B">
      <w:pPr>
        <w:snapToGrid w:val="0"/>
        <w:spacing w:after="0" w:line="360" w:lineRule="auto"/>
        <w:jc w:val="both"/>
        <w:rPr>
          <w:rFonts w:ascii="Book Antiqua" w:hAnsi="Book Antiqua" w:cs="Arial"/>
          <w:b/>
          <w:i/>
          <w:sz w:val="24"/>
          <w:szCs w:val="24"/>
          <w:lang w:val="en-US"/>
        </w:rPr>
      </w:pPr>
      <w:r w:rsidRPr="004B39D6">
        <w:rPr>
          <w:rFonts w:ascii="Book Antiqua" w:hAnsi="Book Antiqua" w:cs="Arial"/>
          <w:b/>
          <w:i/>
          <w:sz w:val="24"/>
          <w:szCs w:val="24"/>
          <w:lang w:val="en-US"/>
        </w:rPr>
        <w:t xml:space="preserve">Research frontiers </w:t>
      </w:r>
    </w:p>
    <w:p w14:paraId="0B2D541A" w14:textId="12E66629" w:rsidR="00902C8F" w:rsidRPr="004B39D6" w:rsidRDefault="00B95EB3"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t xml:space="preserve">Our group has studied </w:t>
      </w:r>
      <w:r w:rsidR="00902C8F" w:rsidRPr="004B39D6">
        <w:rPr>
          <w:rFonts w:ascii="Book Antiqua" w:hAnsi="Book Antiqua" w:cs="Arial"/>
          <w:i/>
          <w:sz w:val="24"/>
          <w:szCs w:val="24"/>
          <w:lang w:val="en-US"/>
        </w:rPr>
        <w:t>de novo</w:t>
      </w:r>
      <w:r w:rsidR="00902C8F" w:rsidRPr="004B39D6">
        <w:rPr>
          <w:rFonts w:ascii="Book Antiqua" w:hAnsi="Book Antiqua" w:cs="Arial"/>
          <w:sz w:val="24"/>
          <w:szCs w:val="24"/>
          <w:lang w:val="en-US"/>
        </w:rPr>
        <w:t xml:space="preserve"> immune hepatitis </w:t>
      </w:r>
      <w:r w:rsidRPr="004B39D6">
        <w:rPr>
          <w:rFonts w:ascii="Book Antiqua" w:hAnsi="Book Antiqua" w:cs="Arial"/>
          <w:sz w:val="24"/>
          <w:szCs w:val="24"/>
          <w:lang w:val="en-US"/>
        </w:rPr>
        <w:t xml:space="preserve">for years. </w:t>
      </w:r>
      <w:r w:rsidR="00412682">
        <w:rPr>
          <w:rFonts w:ascii="Book Antiqua" w:hAnsi="Book Antiqua" w:cs="Arial"/>
          <w:sz w:val="24"/>
          <w:szCs w:val="24"/>
          <w:lang w:val="en-US" w:eastAsia="zh-CN"/>
        </w:rPr>
        <w:t>T</w:t>
      </w:r>
      <w:r w:rsidR="00412682">
        <w:rPr>
          <w:rFonts w:ascii="Book Antiqua" w:hAnsi="Book Antiqua" w:cs="Arial" w:hint="eastAsia"/>
          <w:sz w:val="24"/>
          <w:szCs w:val="24"/>
          <w:lang w:val="en-US" w:eastAsia="zh-CN"/>
        </w:rPr>
        <w:t>he authors</w:t>
      </w:r>
      <w:r w:rsidRPr="004B39D6">
        <w:rPr>
          <w:rFonts w:ascii="Book Antiqua" w:hAnsi="Book Antiqua" w:cs="Arial"/>
          <w:sz w:val="24"/>
          <w:szCs w:val="24"/>
          <w:lang w:val="en-US"/>
        </w:rPr>
        <w:t xml:space="preserve"> identified the target antigen as a donor protein expressed in the graft but absent from the donor</w:t>
      </w:r>
      <w:r w:rsidR="00902C8F" w:rsidRPr="004B39D6">
        <w:rPr>
          <w:rFonts w:ascii="Book Antiqua" w:hAnsi="Book Antiqua" w:cs="Arial"/>
          <w:sz w:val="24"/>
          <w:szCs w:val="24"/>
          <w:lang w:val="en-US"/>
        </w:rPr>
        <w:t xml:space="preserve">. A genetic mismatch between a GSTT1+ donor and a GSTT1- recipient constitutes a risk factor to produce GSTT1 antibodies and to develop </w:t>
      </w:r>
      <w:r w:rsidR="00E30F87" w:rsidRPr="004B39D6">
        <w:rPr>
          <w:rFonts w:ascii="Book Antiqua" w:hAnsi="Book Antiqua" w:cs="Arial"/>
          <w:sz w:val="24"/>
          <w:szCs w:val="24"/>
          <w:lang w:val="en-US"/>
        </w:rPr>
        <w:t>PC</w:t>
      </w:r>
      <w:r w:rsidR="00FB375F" w:rsidRPr="004B39D6">
        <w:rPr>
          <w:rFonts w:ascii="Book Antiqua" w:hAnsi="Book Antiqua" w:cs="Arial"/>
          <w:sz w:val="24"/>
          <w:szCs w:val="24"/>
          <w:lang w:val="en-US"/>
        </w:rPr>
        <w:t xml:space="preserve">-rich rejection (former </w:t>
      </w:r>
      <w:r w:rsidR="00902C8F" w:rsidRPr="004B39D6">
        <w:rPr>
          <w:rFonts w:ascii="Book Antiqua" w:hAnsi="Book Antiqua" w:cs="Arial"/>
          <w:i/>
          <w:sz w:val="24"/>
          <w:szCs w:val="24"/>
          <w:lang w:val="en-US"/>
        </w:rPr>
        <w:t>de novo</w:t>
      </w:r>
      <w:r w:rsidR="00902C8F" w:rsidRPr="004B39D6">
        <w:rPr>
          <w:rFonts w:ascii="Book Antiqua" w:hAnsi="Book Antiqua" w:cs="Arial"/>
          <w:sz w:val="24"/>
          <w:szCs w:val="24"/>
          <w:lang w:val="en-US"/>
        </w:rPr>
        <w:t xml:space="preserve"> immune hepatitis</w:t>
      </w:r>
      <w:r w:rsidR="00FB375F" w:rsidRPr="004B39D6">
        <w:rPr>
          <w:rFonts w:ascii="Book Antiqua" w:hAnsi="Book Antiqua" w:cs="Arial"/>
          <w:sz w:val="24"/>
          <w:szCs w:val="24"/>
          <w:lang w:val="en-US"/>
        </w:rPr>
        <w:t>)</w:t>
      </w:r>
      <w:r w:rsidR="00902C8F" w:rsidRPr="004B39D6">
        <w:rPr>
          <w:rFonts w:ascii="Book Antiqua" w:hAnsi="Book Antiqua" w:cs="Arial"/>
          <w:sz w:val="24"/>
          <w:szCs w:val="24"/>
          <w:lang w:val="en-US"/>
        </w:rPr>
        <w:t xml:space="preserve"> but the pathogenic mechanisms leading to this type of rejection are still unknown.   </w:t>
      </w:r>
    </w:p>
    <w:p w14:paraId="2D42E2A7" w14:textId="77777777" w:rsidR="00B95EB3" w:rsidRPr="004B39D6" w:rsidRDefault="00B95EB3" w:rsidP="0081528B">
      <w:pPr>
        <w:snapToGrid w:val="0"/>
        <w:spacing w:after="0" w:line="360" w:lineRule="auto"/>
        <w:jc w:val="both"/>
        <w:rPr>
          <w:rFonts w:ascii="Book Antiqua" w:hAnsi="Book Antiqua" w:cs="Arial"/>
          <w:b/>
          <w:i/>
          <w:sz w:val="24"/>
          <w:szCs w:val="24"/>
          <w:lang w:val="en-US"/>
        </w:rPr>
      </w:pPr>
    </w:p>
    <w:p w14:paraId="24B735B1" w14:textId="77777777" w:rsidR="001D15EB" w:rsidRPr="004B39D6" w:rsidRDefault="001D15EB" w:rsidP="0081528B">
      <w:pPr>
        <w:snapToGrid w:val="0"/>
        <w:spacing w:after="0" w:line="360" w:lineRule="auto"/>
        <w:jc w:val="both"/>
        <w:rPr>
          <w:rFonts w:ascii="Book Antiqua" w:hAnsi="Book Antiqua" w:cs="Arial"/>
          <w:b/>
          <w:i/>
          <w:sz w:val="24"/>
          <w:szCs w:val="24"/>
          <w:lang w:val="en-US"/>
        </w:rPr>
      </w:pPr>
      <w:r w:rsidRPr="004B39D6">
        <w:rPr>
          <w:rFonts w:ascii="Book Antiqua" w:hAnsi="Book Antiqua" w:cs="Arial"/>
          <w:b/>
          <w:i/>
          <w:sz w:val="24"/>
          <w:szCs w:val="24"/>
          <w:lang w:val="en-US"/>
        </w:rPr>
        <w:t xml:space="preserve">Innovations and breakthroughs </w:t>
      </w:r>
    </w:p>
    <w:p w14:paraId="0662DE97" w14:textId="4077C934" w:rsidR="00DA468E" w:rsidRPr="004B39D6" w:rsidRDefault="00DA468E"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t xml:space="preserve">The existence of </w:t>
      </w:r>
      <w:r w:rsidR="00902C8F" w:rsidRPr="004B39D6">
        <w:rPr>
          <w:rFonts w:ascii="Book Antiqua" w:hAnsi="Book Antiqua" w:cs="Arial"/>
          <w:sz w:val="24"/>
          <w:szCs w:val="24"/>
          <w:lang w:val="en-US"/>
        </w:rPr>
        <w:t xml:space="preserve">T lymphocytes specific for GSTT1 in patients with </w:t>
      </w:r>
      <w:r w:rsidR="00E30F87" w:rsidRPr="004B39D6">
        <w:rPr>
          <w:rFonts w:ascii="Book Antiqua" w:hAnsi="Book Antiqua" w:cs="Arial"/>
          <w:sz w:val="24"/>
          <w:szCs w:val="24"/>
          <w:lang w:val="en-US"/>
        </w:rPr>
        <w:t>PC</w:t>
      </w:r>
      <w:r w:rsidR="00902C8F" w:rsidRPr="004B39D6">
        <w:rPr>
          <w:rFonts w:ascii="Book Antiqua" w:hAnsi="Book Antiqua" w:cs="Arial"/>
          <w:sz w:val="24"/>
          <w:szCs w:val="24"/>
          <w:lang w:val="en-US"/>
        </w:rPr>
        <w:t xml:space="preserve">-rich rejection </w:t>
      </w:r>
      <w:r w:rsidRPr="004B39D6">
        <w:rPr>
          <w:rFonts w:ascii="Book Antiqua" w:hAnsi="Book Antiqua" w:cs="Arial"/>
          <w:sz w:val="24"/>
          <w:szCs w:val="24"/>
          <w:lang w:val="en-US"/>
        </w:rPr>
        <w:t xml:space="preserve">has never been explored. </w:t>
      </w:r>
      <w:r w:rsidR="00E30F87" w:rsidRPr="004B39D6">
        <w:rPr>
          <w:rFonts w:ascii="Book Antiqua" w:hAnsi="Book Antiqua" w:cs="Arial"/>
          <w:sz w:val="24"/>
          <w:szCs w:val="24"/>
          <w:lang w:val="en-US"/>
        </w:rPr>
        <w:t>The immune response</w:t>
      </w:r>
      <w:r w:rsidRPr="004B39D6">
        <w:rPr>
          <w:rFonts w:ascii="Book Antiqua" w:hAnsi="Book Antiqua" w:cs="Arial"/>
          <w:sz w:val="24"/>
          <w:szCs w:val="24"/>
          <w:lang w:val="en-US"/>
        </w:rPr>
        <w:t xml:space="preserve"> requires collaboration between </w:t>
      </w:r>
      <w:r w:rsidR="00FB375F" w:rsidRPr="004B39D6">
        <w:rPr>
          <w:rFonts w:ascii="Book Antiqua" w:hAnsi="Book Antiqua" w:cs="Arial"/>
          <w:sz w:val="24"/>
          <w:szCs w:val="24"/>
          <w:lang w:val="en-US"/>
        </w:rPr>
        <w:t xml:space="preserve">GSTT1-specific </w:t>
      </w:r>
      <w:r w:rsidR="00266E4D" w:rsidRPr="004B39D6">
        <w:rPr>
          <w:rFonts w:ascii="Book Antiqua" w:hAnsi="Book Antiqua" w:cs="Arial"/>
          <w:sz w:val="24"/>
          <w:szCs w:val="24"/>
          <w:lang w:val="en-US"/>
        </w:rPr>
        <w:t xml:space="preserve">B and T </w:t>
      </w:r>
      <w:r w:rsidRPr="004B39D6">
        <w:rPr>
          <w:rFonts w:ascii="Book Antiqua" w:hAnsi="Book Antiqua" w:cs="Arial"/>
          <w:sz w:val="24"/>
          <w:szCs w:val="24"/>
          <w:lang w:val="en-US"/>
        </w:rPr>
        <w:t>lymphocy</w:t>
      </w:r>
      <w:r w:rsidR="00E30F87" w:rsidRPr="004B39D6">
        <w:rPr>
          <w:rFonts w:ascii="Book Antiqua" w:hAnsi="Book Antiqua" w:cs="Arial"/>
          <w:sz w:val="24"/>
          <w:szCs w:val="24"/>
          <w:lang w:val="en-US"/>
        </w:rPr>
        <w:t>tes. The hypothesis contemplated</w:t>
      </w:r>
      <w:r w:rsidRPr="004B39D6">
        <w:rPr>
          <w:rFonts w:ascii="Book Antiqua" w:hAnsi="Book Antiqua" w:cs="Arial"/>
          <w:sz w:val="24"/>
          <w:szCs w:val="24"/>
          <w:lang w:val="en-US"/>
        </w:rPr>
        <w:t xml:space="preserve"> that the patients might have memory T cells </w:t>
      </w:r>
      <w:r w:rsidR="00FB375F" w:rsidRPr="004B39D6">
        <w:rPr>
          <w:rFonts w:ascii="Book Antiqua" w:hAnsi="Book Antiqua" w:cs="Arial"/>
          <w:sz w:val="24"/>
          <w:szCs w:val="24"/>
          <w:lang w:val="en-US"/>
        </w:rPr>
        <w:t xml:space="preserve">able to become activated after recall with </w:t>
      </w:r>
      <w:r w:rsidRPr="004B39D6">
        <w:rPr>
          <w:rFonts w:ascii="Book Antiqua" w:hAnsi="Book Antiqua" w:cs="Arial"/>
          <w:sz w:val="24"/>
          <w:szCs w:val="24"/>
          <w:lang w:val="en-US"/>
        </w:rPr>
        <w:t>the antigenic stimulus.</w:t>
      </w:r>
      <w:r w:rsidR="00FB375F" w:rsidRPr="004B39D6">
        <w:rPr>
          <w:rFonts w:ascii="Book Antiqua" w:hAnsi="Book Antiqua" w:cs="Arial"/>
          <w:sz w:val="24"/>
          <w:szCs w:val="24"/>
          <w:lang w:val="en-US"/>
        </w:rPr>
        <w:t xml:space="preserve"> </w:t>
      </w:r>
      <w:r w:rsidR="00266E4D" w:rsidRPr="004B39D6">
        <w:rPr>
          <w:rFonts w:ascii="Book Antiqua" w:hAnsi="Book Antiqua" w:cs="Arial"/>
          <w:sz w:val="24"/>
          <w:szCs w:val="24"/>
          <w:lang w:val="en-US"/>
        </w:rPr>
        <w:t>This is the first study in which</w:t>
      </w:r>
      <w:r w:rsidR="00E30F87" w:rsidRPr="004B39D6">
        <w:rPr>
          <w:rFonts w:ascii="Book Antiqua" w:hAnsi="Book Antiqua" w:cs="Arial"/>
          <w:sz w:val="24"/>
          <w:szCs w:val="24"/>
          <w:lang w:val="en-US"/>
        </w:rPr>
        <w:t xml:space="preserve"> GSTT1-</w:t>
      </w:r>
      <w:r w:rsidR="00266E4D" w:rsidRPr="004B39D6">
        <w:rPr>
          <w:rFonts w:ascii="Book Antiqua" w:hAnsi="Book Antiqua" w:cs="Arial"/>
          <w:sz w:val="24"/>
          <w:szCs w:val="24"/>
          <w:lang w:val="en-US"/>
        </w:rPr>
        <w:t xml:space="preserve">specific T cells have been found in patients with </w:t>
      </w:r>
      <w:r w:rsidR="00E30F87" w:rsidRPr="004B39D6">
        <w:rPr>
          <w:rFonts w:ascii="Book Antiqua" w:hAnsi="Book Antiqua" w:cs="Arial"/>
          <w:sz w:val="24"/>
          <w:szCs w:val="24"/>
          <w:lang w:val="en-US"/>
        </w:rPr>
        <w:t>PC</w:t>
      </w:r>
      <w:r w:rsidR="00266E4D" w:rsidRPr="004B39D6">
        <w:rPr>
          <w:rFonts w:ascii="Book Antiqua" w:hAnsi="Book Antiqua" w:cs="Arial"/>
          <w:sz w:val="24"/>
          <w:szCs w:val="24"/>
          <w:lang w:val="en-US"/>
        </w:rPr>
        <w:t>-rich rejection</w:t>
      </w:r>
      <w:r w:rsidR="00FF6F90" w:rsidRPr="004B39D6">
        <w:rPr>
          <w:rFonts w:ascii="Book Antiqua" w:hAnsi="Book Antiqua" w:cs="Arial"/>
          <w:sz w:val="24"/>
          <w:szCs w:val="24"/>
          <w:lang w:val="en-US"/>
        </w:rPr>
        <w:t xml:space="preserve"> in conjunction with anti-GSTT1 antibodies.</w:t>
      </w:r>
      <w:r w:rsidR="00266E4D" w:rsidRPr="004B39D6">
        <w:rPr>
          <w:rFonts w:ascii="Book Antiqua" w:hAnsi="Book Antiqua" w:cs="Arial"/>
          <w:sz w:val="24"/>
          <w:szCs w:val="24"/>
          <w:lang w:val="en-US"/>
        </w:rPr>
        <w:t xml:space="preserve">  </w:t>
      </w:r>
    </w:p>
    <w:p w14:paraId="3354E650" w14:textId="77777777" w:rsidR="00FB375F" w:rsidRPr="004B39D6" w:rsidRDefault="00FB375F" w:rsidP="0081528B">
      <w:pPr>
        <w:snapToGrid w:val="0"/>
        <w:spacing w:after="0" w:line="360" w:lineRule="auto"/>
        <w:jc w:val="both"/>
        <w:rPr>
          <w:rFonts w:ascii="Book Antiqua" w:hAnsi="Book Antiqua" w:cs="Arial"/>
          <w:sz w:val="24"/>
          <w:szCs w:val="24"/>
          <w:lang w:val="en-US"/>
        </w:rPr>
      </w:pPr>
    </w:p>
    <w:p w14:paraId="05698147" w14:textId="3292702F" w:rsidR="00902C8F" w:rsidRPr="004B39D6" w:rsidRDefault="001D15EB"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b/>
          <w:i/>
          <w:sz w:val="24"/>
          <w:szCs w:val="24"/>
          <w:lang w:val="en-US"/>
        </w:rPr>
        <w:t>Applications</w:t>
      </w:r>
      <w:r w:rsidR="00DA468E" w:rsidRPr="004B39D6">
        <w:rPr>
          <w:rFonts w:ascii="Book Antiqua" w:hAnsi="Book Antiqua" w:cs="Arial"/>
          <w:sz w:val="24"/>
          <w:szCs w:val="24"/>
          <w:lang w:val="en-US"/>
        </w:rPr>
        <w:t xml:space="preserve"> </w:t>
      </w:r>
    </w:p>
    <w:p w14:paraId="329A8322" w14:textId="7FC534F1" w:rsidR="00FB375F" w:rsidRPr="004B39D6" w:rsidRDefault="00FB375F"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t xml:space="preserve">Although ultimate diagnosis of </w:t>
      </w:r>
      <w:r w:rsidR="00E30F87" w:rsidRPr="004B39D6">
        <w:rPr>
          <w:rFonts w:ascii="Book Antiqua" w:hAnsi="Book Antiqua" w:cs="Arial"/>
          <w:sz w:val="24"/>
          <w:szCs w:val="24"/>
          <w:lang w:val="en-US"/>
        </w:rPr>
        <w:t>PC</w:t>
      </w:r>
      <w:r w:rsidRPr="004B39D6">
        <w:rPr>
          <w:rFonts w:ascii="Book Antiqua" w:hAnsi="Book Antiqua" w:cs="Arial"/>
          <w:sz w:val="24"/>
          <w:szCs w:val="24"/>
          <w:lang w:val="en-US"/>
        </w:rPr>
        <w:t xml:space="preserve">-rich rejection relies on histological examination, the fact that some </w:t>
      </w:r>
      <w:r w:rsidR="00FF6F90" w:rsidRPr="004B39D6">
        <w:rPr>
          <w:rFonts w:ascii="Book Antiqua" w:hAnsi="Book Antiqua" w:cs="Arial"/>
          <w:sz w:val="24"/>
          <w:szCs w:val="24"/>
          <w:lang w:val="en-US"/>
        </w:rPr>
        <w:t xml:space="preserve">histological </w:t>
      </w:r>
      <w:r w:rsidRPr="004B39D6">
        <w:rPr>
          <w:rFonts w:ascii="Book Antiqua" w:hAnsi="Book Antiqua" w:cs="Arial"/>
          <w:sz w:val="24"/>
          <w:szCs w:val="24"/>
          <w:lang w:val="en-US"/>
        </w:rPr>
        <w:t xml:space="preserve">features are common to different post-transplant </w:t>
      </w:r>
      <w:r w:rsidR="00FF6F90" w:rsidRPr="004B39D6">
        <w:rPr>
          <w:rFonts w:ascii="Book Antiqua" w:hAnsi="Book Antiqua" w:cs="Arial"/>
          <w:sz w:val="24"/>
          <w:szCs w:val="24"/>
          <w:lang w:val="en-US"/>
        </w:rPr>
        <w:t>outcomes</w:t>
      </w:r>
      <w:r w:rsidRPr="004B39D6">
        <w:rPr>
          <w:rFonts w:ascii="Book Antiqua" w:hAnsi="Book Antiqua" w:cs="Arial"/>
          <w:sz w:val="24"/>
          <w:szCs w:val="24"/>
          <w:lang w:val="en-US"/>
        </w:rPr>
        <w:t xml:space="preserve"> makes </w:t>
      </w:r>
      <w:r w:rsidR="00FF6F90" w:rsidRPr="004B39D6">
        <w:rPr>
          <w:rFonts w:ascii="Book Antiqua" w:hAnsi="Book Antiqua" w:cs="Arial"/>
          <w:sz w:val="24"/>
          <w:szCs w:val="24"/>
          <w:lang w:val="en-US"/>
        </w:rPr>
        <w:t>a reliable diagnosis a complicated task</w:t>
      </w:r>
      <w:r w:rsidRPr="004B39D6">
        <w:rPr>
          <w:rFonts w:ascii="Book Antiqua" w:hAnsi="Book Antiqua" w:cs="Arial"/>
          <w:sz w:val="24"/>
          <w:szCs w:val="24"/>
          <w:lang w:val="en-US"/>
        </w:rPr>
        <w:t xml:space="preserve">. Understanding the mechanisms leading to </w:t>
      </w:r>
      <w:r w:rsidR="00E30F87" w:rsidRPr="004B39D6">
        <w:rPr>
          <w:rFonts w:ascii="Book Antiqua" w:hAnsi="Book Antiqua" w:cs="Arial"/>
          <w:sz w:val="24"/>
          <w:szCs w:val="24"/>
          <w:lang w:val="en-US"/>
        </w:rPr>
        <w:t>PC</w:t>
      </w:r>
      <w:r w:rsidRPr="004B39D6">
        <w:rPr>
          <w:rFonts w:ascii="Book Antiqua" w:hAnsi="Book Antiqua" w:cs="Arial"/>
          <w:sz w:val="24"/>
          <w:szCs w:val="24"/>
          <w:lang w:val="en-US"/>
        </w:rPr>
        <w:t xml:space="preserve">-rich rejection </w:t>
      </w:r>
      <w:r w:rsidR="00266E4D" w:rsidRPr="004B39D6">
        <w:rPr>
          <w:rFonts w:ascii="Book Antiqua" w:hAnsi="Book Antiqua" w:cs="Arial"/>
          <w:sz w:val="24"/>
          <w:szCs w:val="24"/>
          <w:lang w:val="en-US"/>
        </w:rPr>
        <w:t>would contribute to a correct diagnosis and appropriate therapy.</w:t>
      </w:r>
      <w:r w:rsidR="00FF6F90" w:rsidRPr="004B39D6">
        <w:rPr>
          <w:rFonts w:ascii="Book Antiqua" w:hAnsi="Book Antiqua" w:cs="Arial"/>
          <w:sz w:val="24"/>
          <w:szCs w:val="24"/>
          <w:lang w:val="en-US"/>
        </w:rPr>
        <w:t xml:space="preserve"> </w:t>
      </w:r>
    </w:p>
    <w:p w14:paraId="36E69211" w14:textId="77777777" w:rsidR="00D2419C" w:rsidRPr="004B39D6" w:rsidRDefault="00D2419C" w:rsidP="0081528B">
      <w:pPr>
        <w:snapToGrid w:val="0"/>
        <w:spacing w:after="0" w:line="360" w:lineRule="auto"/>
        <w:jc w:val="both"/>
        <w:rPr>
          <w:rFonts w:ascii="Book Antiqua" w:hAnsi="Book Antiqua" w:cs="Arial"/>
          <w:b/>
          <w:i/>
          <w:sz w:val="24"/>
          <w:szCs w:val="24"/>
          <w:lang w:val="en-US"/>
        </w:rPr>
      </w:pPr>
    </w:p>
    <w:p w14:paraId="77CF9219" w14:textId="77777777" w:rsidR="00FF6F90" w:rsidRPr="004B39D6" w:rsidRDefault="001D15EB" w:rsidP="0081528B">
      <w:pPr>
        <w:snapToGrid w:val="0"/>
        <w:spacing w:after="0" w:line="360" w:lineRule="auto"/>
        <w:jc w:val="both"/>
        <w:rPr>
          <w:rFonts w:ascii="Book Antiqua" w:hAnsi="Book Antiqua" w:cs="Arial"/>
          <w:b/>
          <w:i/>
          <w:sz w:val="24"/>
          <w:szCs w:val="24"/>
          <w:lang w:val="en-US"/>
        </w:rPr>
      </w:pPr>
      <w:r w:rsidRPr="004B39D6">
        <w:rPr>
          <w:rFonts w:ascii="Book Antiqua" w:hAnsi="Book Antiqua" w:cs="Arial"/>
          <w:b/>
          <w:i/>
          <w:sz w:val="24"/>
          <w:szCs w:val="24"/>
          <w:lang w:val="en-US"/>
        </w:rPr>
        <w:t xml:space="preserve">Terminology </w:t>
      </w:r>
    </w:p>
    <w:p w14:paraId="19937951" w14:textId="77777777" w:rsidR="00E37A6C" w:rsidRPr="004B39D6" w:rsidRDefault="00FF6F90" w:rsidP="0081528B">
      <w:pPr>
        <w:snapToGrid w:val="0"/>
        <w:spacing w:after="0" w:line="360" w:lineRule="auto"/>
        <w:jc w:val="both"/>
        <w:rPr>
          <w:rFonts w:ascii="Book Antiqua" w:hAnsi="Book Antiqua" w:cs="Arial"/>
          <w:sz w:val="24"/>
          <w:szCs w:val="24"/>
          <w:lang w:val="en-US" w:eastAsia="zh-CN"/>
        </w:rPr>
      </w:pPr>
      <w:r w:rsidRPr="004B39D6">
        <w:rPr>
          <w:rFonts w:ascii="Book Antiqua" w:hAnsi="Book Antiqua" w:cs="Arial"/>
          <w:sz w:val="24"/>
          <w:szCs w:val="24"/>
          <w:lang w:val="en-US"/>
        </w:rPr>
        <w:t>Glutathione S-</w:t>
      </w:r>
      <w:proofErr w:type="spellStart"/>
      <w:r w:rsidRPr="004B39D6">
        <w:rPr>
          <w:rFonts w:ascii="Book Antiqua" w:hAnsi="Book Antiqua" w:cs="Arial"/>
          <w:sz w:val="24"/>
          <w:szCs w:val="24"/>
          <w:lang w:val="en-US"/>
        </w:rPr>
        <w:t>transferase</w:t>
      </w:r>
      <w:proofErr w:type="spellEnd"/>
      <w:r w:rsidRPr="004B39D6">
        <w:rPr>
          <w:rFonts w:ascii="Book Antiqua" w:hAnsi="Book Antiqua" w:cs="Arial"/>
          <w:sz w:val="24"/>
          <w:szCs w:val="24"/>
          <w:lang w:val="en-US"/>
        </w:rPr>
        <w:t xml:space="preserve"> T1 is a drug metabolizing enzyme highly expressed in liver and kidney.</w:t>
      </w:r>
      <w:r w:rsidR="00E30F87" w:rsidRPr="004B39D6">
        <w:rPr>
          <w:rFonts w:ascii="Book Antiqua" w:hAnsi="Book Antiqua" w:cs="Arial"/>
          <w:sz w:val="24"/>
          <w:szCs w:val="24"/>
          <w:lang w:val="en-US"/>
        </w:rPr>
        <w:t xml:space="preserve"> </w:t>
      </w:r>
    </w:p>
    <w:p w14:paraId="604BC0C0" w14:textId="77777777" w:rsidR="00E37A6C" w:rsidRPr="004B39D6" w:rsidRDefault="00E37A6C" w:rsidP="0081528B">
      <w:pPr>
        <w:snapToGrid w:val="0"/>
        <w:spacing w:after="0" w:line="360" w:lineRule="auto"/>
        <w:jc w:val="both"/>
        <w:rPr>
          <w:rFonts w:ascii="Book Antiqua" w:hAnsi="Book Antiqua" w:cs="Arial"/>
          <w:sz w:val="24"/>
          <w:szCs w:val="24"/>
          <w:lang w:val="en-US" w:eastAsia="zh-CN"/>
        </w:rPr>
      </w:pPr>
    </w:p>
    <w:p w14:paraId="71ED34CE" w14:textId="77777777" w:rsidR="00E37A6C" w:rsidRPr="004B39D6" w:rsidRDefault="00E37A6C" w:rsidP="0081528B">
      <w:pPr>
        <w:snapToGrid w:val="0"/>
        <w:spacing w:after="0" w:line="360" w:lineRule="auto"/>
        <w:jc w:val="both"/>
        <w:rPr>
          <w:rFonts w:ascii="Book Antiqua" w:hAnsi="Book Antiqua" w:cs="Arial"/>
          <w:b/>
          <w:i/>
          <w:sz w:val="24"/>
          <w:szCs w:val="24"/>
          <w:lang w:val="en-US" w:eastAsia="zh-CN"/>
        </w:rPr>
      </w:pPr>
      <w:r w:rsidRPr="004B39D6">
        <w:rPr>
          <w:rFonts w:ascii="Book Antiqua" w:hAnsi="Book Antiqua" w:cs="Arial"/>
          <w:b/>
          <w:i/>
          <w:sz w:val="24"/>
          <w:szCs w:val="24"/>
          <w:lang w:val="en-US" w:eastAsia="zh-CN"/>
        </w:rPr>
        <w:t>Peer-review</w:t>
      </w:r>
    </w:p>
    <w:p w14:paraId="39A07C51" w14:textId="1B88F58B" w:rsidR="001D15EB" w:rsidRPr="004B39D6" w:rsidRDefault="00E37A6C"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rPr>
        <w:t>This manuscript investigated the role of GSTT1 donor-specific T lymphocytes in plasma cell-rich rejection of liver allografts in patients, and found that T cells were able to become activated by GSTT1 peptides in patients who develop plasma cell-rich rejection after GSTT1-mismatch liver transplantation. The research design and detecting methods are reasonable, data analysis is correct, writing is fluent, written informed consent was obtained from all of the participants, and the study protocol was approved.</w:t>
      </w:r>
      <w:r w:rsidR="001D15EB" w:rsidRPr="004B39D6">
        <w:rPr>
          <w:rFonts w:ascii="Book Antiqua" w:hAnsi="Book Antiqua" w:cs="Arial"/>
          <w:sz w:val="24"/>
          <w:szCs w:val="24"/>
          <w:lang w:val="en-US"/>
        </w:rPr>
        <w:br w:type="page"/>
      </w:r>
    </w:p>
    <w:p w14:paraId="02E2A485" w14:textId="0EB46557" w:rsidR="003B780A" w:rsidRPr="004B39D6" w:rsidRDefault="003B780A" w:rsidP="00E37A6C">
      <w:pPr>
        <w:snapToGrid w:val="0"/>
        <w:spacing w:after="0" w:line="360" w:lineRule="auto"/>
        <w:jc w:val="both"/>
        <w:rPr>
          <w:rFonts w:ascii="Book Antiqua" w:hAnsi="Book Antiqua" w:cs="Arial"/>
          <w:b/>
          <w:sz w:val="24"/>
          <w:szCs w:val="24"/>
          <w:lang w:val="en-US"/>
        </w:rPr>
      </w:pPr>
      <w:r w:rsidRPr="004B39D6">
        <w:rPr>
          <w:rFonts w:ascii="Book Antiqua" w:hAnsi="Book Antiqua" w:cs="Arial"/>
          <w:b/>
          <w:sz w:val="24"/>
          <w:szCs w:val="24"/>
          <w:lang w:val="en-US"/>
        </w:rPr>
        <w:lastRenderedPageBreak/>
        <w:t>REFERENCES</w:t>
      </w:r>
    </w:p>
    <w:p w14:paraId="4DA406DA" w14:textId="31272F10"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bookmarkStart w:id="137" w:name="OLE_LINK869"/>
      <w:bookmarkStart w:id="138" w:name="OLE_LINK870"/>
      <w:r w:rsidRPr="004B39D6">
        <w:rPr>
          <w:rFonts w:ascii="Book Antiqua" w:eastAsia="微软雅黑" w:hAnsi="Book Antiqua"/>
          <w:b/>
          <w:bCs/>
          <w:color w:val="000000"/>
          <w:sz w:val="24"/>
          <w:szCs w:val="24"/>
        </w:rPr>
        <w:t>Aguilera I</w:t>
      </w:r>
      <w:r w:rsidRPr="004B39D6">
        <w:rPr>
          <w:rFonts w:ascii="Book Antiqua" w:eastAsia="微软雅黑" w:hAnsi="Book Antiqua"/>
          <w:color w:val="000000"/>
          <w:sz w:val="24"/>
          <w:szCs w:val="24"/>
        </w:rPr>
        <w:t>, Wichmann I, Sousa JM, Bernardos A, Franco E, García-Lozano JR, Núñez-Roldán A. Antibodies against glutathione S-transferase T1 (GSTT1) in patients with de novo immune hepatitis following liver transplantation. </w:t>
      </w:r>
      <w:r w:rsidRPr="004B39D6">
        <w:rPr>
          <w:rFonts w:ascii="Book Antiqua" w:eastAsia="微软雅黑" w:hAnsi="Book Antiqua"/>
          <w:i/>
          <w:iCs/>
          <w:color w:val="000000"/>
          <w:sz w:val="24"/>
          <w:szCs w:val="24"/>
        </w:rPr>
        <w:t>Clin Exp Immunol</w:t>
      </w:r>
      <w:r w:rsidRPr="004B39D6">
        <w:rPr>
          <w:rFonts w:ascii="Book Antiqua" w:eastAsia="微软雅黑" w:hAnsi="Book Antiqua"/>
          <w:color w:val="000000"/>
          <w:sz w:val="24"/>
          <w:szCs w:val="24"/>
        </w:rPr>
        <w:t> 2001; </w:t>
      </w:r>
      <w:r w:rsidRPr="004B39D6">
        <w:rPr>
          <w:rFonts w:ascii="Book Antiqua" w:eastAsia="微软雅黑" w:hAnsi="Book Antiqua"/>
          <w:b/>
          <w:bCs/>
          <w:color w:val="000000"/>
          <w:sz w:val="24"/>
          <w:szCs w:val="24"/>
        </w:rPr>
        <w:t>126</w:t>
      </w:r>
      <w:r w:rsidRPr="004B39D6">
        <w:rPr>
          <w:rFonts w:ascii="Book Antiqua" w:eastAsia="微软雅黑" w:hAnsi="Book Antiqua"/>
          <w:color w:val="000000"/>
          <w:sz w:val="24"/>
          <w:szCs w:val="24"/>
        </w:rPr>
        <w:t>: 535-539 [PMID: 11737073</w:t>
      </w:r>
      <w:r w:rsidRPr="004B39D6">
        <w:rPr>
          <w:rFonts w:ascii="Book Antiqua" w:eastAsia="微软雅黑" w:hAnsi="Book Antiqua"/>
          <w:color w:val="000000"/>
          <w:sz w:val="24"/>
          <w:szCs w:val="24"/>
          <w:lang w:eastAsia="zh-CN"/>
        </w:rPr>
        <w:t xml:space="preserve"> DOI:</w:t>
      </w:r>
      <w:r w:rsidRPr="004B39D6">
        <w:rPr>
          <w:rFonts w:ascii="Book Antiqua" w:hAnsi="Book Antiqua"/>
          <w:sz w:val="24"/>
          <w:szCs w:val="24"/>
        </w:rPr>
        <w:t xml:space="preserve"> </w:t>
      </w:r>
      <w:r w:rsidRPr="004B39D6">
        <w:rPr>
          <w:rFonts w:ascii="Book Antiqua" w:hAnsi="Book Antiqua" w:cs="Arial"/>
          <w:sz w:val="24"/>
          <w:szCs w:val="24"/>
        </w:rPr>
        <w:t>10.1046/j.1365-2249.2001.01682.x</w:t>
      </w:r>
      <w:r w:rsidRPr="004B39D6">
        <w:rPr>
          <w:rFonts w:ascii="Book Antiqua" w:eastAsia="微软雅黑" w:hAnsi="Book Antiqua"/>
          <w:color w:val="000000"/>
          <w:sz w:val="24"/>
          <w:szCs w:val="24"/>
        </w:rPr>
        <w:t>]</w:t>
      </w:r>
    </w:p>
    <w:p w14:paraId="28A7BBCE"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Aguilera I</w:t>
      </w:r>
      <w:r w:rsidRPr="004B39D6">
        <w:rPr>
          <w:rFonts w:ascii="Book Antiqua" w:eastAsia="微软雅黑" w:hAnsi="Book Antiqua"/>
          <w:color w:val="000000"/>
          <w:sz w:val="24"/>
          <w:szCs w:val="24"/>
        </w:rPr>
        <w:t>, Sousa JM, Gavilán F, Bernardos A, Wichmann I, Nuñez-Roldán A. Glutathione S-transferase T1 mismatch constitutes a risk factor for de novo immune hepatitis after liver transplantation. </w:t>
      </w:r>
      <w:r w:rsidRPr="004B39D6">
        <w:rPr>
          <w:rFonts w:ascii="Book Antiqua" w:eastAsia="微软雅黑" w:hAnsi="Book Antiqua"/>
          <w:i/>
          <w:iCs/>
          <w:color w:val="000000"/>
          <w:sz w:val="24"/>
          <w:szCs w:val="24"/>
        </w:rPr>
        <w:t>Liver Transpl</w:t>
      </w:r>
      <w:r w:rsidRPr="004B39D6">
        <w:rPr>
          <w:rFonts w:ascii="Book Antiqua" w:eastAsia="微软雅黑" w:hAnsi="Book Antiqua"/>
          <w:color w:val="000000"/>
          <w:sz w:val="24"/>
          <w:szCs w:val="24"/>
        </w:rPr>
        <w:t> 2004; </w:t>
      </w:r>
      <w:r w:rsidRPr="004B39D6">
        <w:rPr>
          <w:rFonts w:ascii="Book Antiqua" w:eastAsia="微软雅黑" w:hAnsi="Book Antiqua"/>
          <w:b/>
          <w:bCs/>
          <w:color w:val="000000"/>
          <w:sz w:val="24"/>
          <w:szCs w:val="24"/>
        </w:rPr>
        <w:t>10</w:t>
      </w:r>
      <w:r w:rsidRPr="004B39D6">
        <w:rPr>
          <w:rFonts w:ascii="Book Antiqua" w:eastAsia="微软雅黑" w:hAnsi="Book Antiqua"/>
          <w:color w:val="000000"/>
          <w:sz w:val="24"/>
          <w:szCs w:val="24"/>
        </w:rPr>
        <w:t>: 1166-1172 [PMID: 15350010 DOI: 10.1002/lt.20209]</w:t>
      </w:r>
    </w:p>
    <w:p w14:paraId="45DC9132"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Rodriguez-Mahou M</w:t>
      </w:r>
      <w:r w:rsidRPr="004B39D6">
        <w:rPr>
          <w:rFonts w:ascii="Book Antiqua" w:eastAsia="微软雅黑" w:hAnsi="Book Antiqua"/>
          <w:color w:val="000000"/>
          <w:sz w:val="24"/>
          <w:szCs w:val="24"/>
        </w:rPr>
        <w:t>, Salcedo M, Fernandez-Cruz E, Tiscar JL, Bañares R, Clemente G, Vicario JL, Alvarez E, Rodriguez-Sainz C. Antibodies against glutathione S-transferase T1 (GSTT1) in patients with GSTT1 null genotype as prognostic marker: long-term follow-up after liver transplantation. </w:t>
      </w:r>
      <w:r w:rsidRPr="004B39D6">
        <w:rPr>
          <w:rFonts w:ascii="Book Antiqua" w:eastAsia="微软雅黑" w:hAnsi="Book Antiqua"/>
          <w:i/>
          <w:iCs/>
          <w:color w:val="000000"/>
          <w:sz w:val="24"/>
          <w:szCs w:val="24"/>
        </w:rPr>
        <w:t>Transplantation</w:t>
      </w:r>
      <w:r w:rsidRPr="004B39D6">
        <w:rPr>
          <w:rFonts w:ascii="Book Antiqua" w:eastAsia="微软雅黑" w:hAnsi="Book Antiqua"/>
          <w:color w:val="000000"/>
          <w:sz w:val="24"/>
          <w:szCs w:val="24"/>
        </w:rPr>
        <w:t> 2007; </w:t>
      </w:r>
      <w:r w:rsidRPr="004B39D6">
        <w:rPr>
          <w:rFonts w:ascii="Book Antiqua" w:eastAsia="微软雅黑" w:hAnsi="Book Antiqua"/>
          <w:b/>
          <w:bCs/>
          <w:color w:val="000000"/>
          <w:sz w:val="24"/>
          <w:szCs w:val="24"/>
        </w:rPr>
        <w:t>83</w:t>
      </w:r>
      <w:r w:rsidRPr="004B39D6">
        <w:rPr>
          <w:rFonts w:ascii="Book Antiqua" w:eastAsia="微软雅黑" w:hAnsi="Book Antiqua"/>
          <w:color w:val="000000"/>
          <w:sz w:val="24"/>
          <w:szCs w:val="24"/>
        </w:rPr>
        <w:t>: 1126-1129 [PMID: 17452905 DOI: 10.1097/01.tp.0000259963.47350.da]</w:t>
      </w:r>
    </w:p>
    <w:p w14:paraId="39BB1051"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Demetris AJ</w:t>
      </w:r>
      <w:r w:rsidRPr="004B39D6">
        <w:rPr>
          <w:rFonts w:ascii="Book Antiqua" w:eastAsia="微软雅黑" w:hAnsi="Book Antiqua"/>
          <w:color w:val="000000"/>
          <w:sz w:val="24"/>
          <w:szCs w:val="24"/>
        </w:rPr>
        <w:t>, Bellamy C, Hübscher SG, O'Leary J, Randhawa PS, Feng S, Neil D, Colvin RB, McCaughan G, Fung JJ, Del Bello A, Reinholt FP, Haga H, Adeyi O, Czaja AJ, Schiano T, Fiel MI, Smith ML, Sebagh M, Tanigawa RY, Yilmaz F, Alexander G, Baiocchi L, Balasubramanian M, Batal I, Bhan AK, Bucuvalas J, Cerski CTS, Charlotte F, de Vera ME, ElMonayeri M, Fontes P, Furth EE, Gouw ASH, Hafezi-Bakhtiari S, Hart J, Honsova E, Ismail W, Itoh T, Jhala NC, Khettry U, Klintmalm GB, Knechtle S, Koshiba T, Kozlowski T, Lassman CR, Lerut J, Levitsky J, Licini L, Liotta R, Mazariegos G, Minervini MI, Misdraji J, Mohanakumar T, Mölne J, Nasser I, Neuberger J, O'Neil M, Pappo O, Petrovic L, Ruiz P, Sağol Ö, Sanchez Fueyo A, Sasatomi E, Shaked A, Shiller M, Shimizu T, Sis B, Sonzogni A, Stevenson HL, Thung SN, Tisone G, Tsamandas AC, Wernerson A, Wu T, Zeevi A, Zen Y. 2016 Comprehensive Update of the Banff Working Group on Liver Allograft Pathology: Introduction of Antibody-Mediated Rejection. </w:t>
      </w:r>
      <w:r w:rsidRPr="004B39D6">
        <w:rPr>
          <w:rFonts w:ascii="Book Antiqua" w:eastAsia="微软雅黑" w:hAnsi="Book Antiqua"/>
          <w:i/>
          <w:iCs/>
          <w:color w:val="000000"/>
          <w:sz w:val="24"/>
          <w:szCs w:val="24"/>
        </w:rPr>
        <w:t>Am J Transplant</w:t>
      </w:r>
      <w:r w:rsidRPr="004B39D6">
        <w:rPr>
          <w:rFonts w:ascii="Book Antiqua" w:eastAsia="微软雅黑" w:hAnsi="Book Antiqua"/>
          <w:color w:val="000000"/>
          <w:sz w:val="24"/>
          <w:szCs w:val="24"/>
        </w:rPr>
        <w:t> 2016; </w:t>
      </w:r>
      <w:r w:rsidRPr="004B39D6">
        <w:rPr>
          <w:rFonts w:ascii="Book Antiqua" w:eastAsia="微软雅黑" w:hAnsi="Book Antiqua"/>
          <w:b/>
          <w:bCs/>
          <w:color w:val="000000"/>
          <w:sz w:val="24"/>
          <w:szCs w:val="24"/>
        </w:rPr>
        <w:t>16</w:t>
      </w:r>
      <w:r w:rsidRPr="004B39D6">
        <w:rPr>
          <w:rFonts w:ascii="Book Antiqua" w:eastAsia="微软雅黑" w:hAnsi="Book Antiqua"/>
          <w:color w:val="000000"/>
          <w:sz w:val="24"/>
          <w:szCs w:val="24"/>
        </w:rPr>
        <w:t>: 2816-2835 [PMID: 27273869 DOI: 10.1111/ajt.13909]</w:t>
      </w:r>
    </w:p>
    <w:p w14:paraId="586DD581"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lastRenderedPageBreak/>
        <w:t>Aguilera I</w:t>
      </w:r>
      <w:r w:rsidRPr="004B39D6">
        <w:rPr>
          <w:rFonts w:ascii="Book Antiqua" w:eastAsia="微软雅黑" w:hAnsi="Book Antiqua"/>
          <w:color w:val="000000"/>
          <w:sz w:val="24"/>
          <w:szCs w:val="24"/>
        </w:rPr>
        <w:t>, Wichmann I, Gentil MA, Gonzalez-Escribano F, Nuñez-Roldan A. Alloimmune response against donor glutathione S-transferase T1 antigen in renal transplant recipients. </w:t>
      </w:r>
      <w:r w:rsidRPr="004B39D6">
        <w:rPr>
          <w:rFonts w:ascii="Book Antiqua" w:eastAsia="微软雅黑" w:hAnsi="Book Antiqua"/>
          <w:i/>
          <w:iCs/>
          <w:color w:val="000000"/>
          <w:sz w:val="24"/>
          <w:szCs w:val="24"/>
        </w:rPr>
        <w:t>Am J Kidney Dis</w:t>
      </w:r>
      <w:r w:rsidRPr="004B39D6">
        <w:rPr>
          <w:rFonts w:ascii="Book Antiqua" w:eastAsia="微软雅黑" w:hAnsi="Book Antiqua"/>
          <w:color w:val="000000"/>
          <w:sz w:val="24"/>
          <w:szCs w:val="24"/>
        </w:rPr>
        <w:t> 2005; </w:t>
      </w:r>
      <w:r w:rsidRPr="004B39D6">
        <w:rPr>
          <w:rFonts w:ascii="Book Antiqua" w:eastAsia="微软雅黑" w:hAnsi="Book Antiqua"/>
          <w:b/>
          <w:bCs/>
          <w:color w:val="000000"/>
          <w:sz w:val="24"/>
          <w:szCs w:val="24"/>
        </w:rPr>
        <w:t>46</w:t>
      </w:r>
      <w:r w:rsidRPr="004B39D6">
        <w:rPr>
          <w:rFonts w:ascii="Book Antiqua" w:eastAsia="微软雅黑" w:hAnsi="Book Antiqua"/>
          <w:color w:val="000000"/>
          <w:sz w:val="24"/>
          <w:szCs w:val="24"/>
        </w:rPr>
        <w:t>: 345-350 [PMID: 16112055 DOI: 10.1053/j.ajkd.2005.04.022]</w:t>
      </w:r>
    </w:p>
    <w:p w14:paraId="08A4AD27"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Wichmann I</w:t>
      </w:r>
      <w:r w:rsidRPr="004B39D6">
        <w:rPr>
          <w:rFonts w:ascii="Book Antiqua" w:eastAsia="微软雅黑" w:hAnsi="Book Antiqua"/>
          <w:color w:val="000000"/>
          <w:sz w:val="24"/>
          <w:szCs w:val="24"/>
        </w:rPr>
        <w:t>, Aguilera I, Sousa JM, Bernardos A, García Núñez EJ, Vigil E, Magariño R, Magariño I, Torres A, Núñez-Roldán A. Antibodies against glutathione S-transferase T1 in non-solid organ transplanted patients. </w:t>
      </w:r>
      <w:r w:rsidRPr="004B39D6">
        <w:rPr>
          <w:rFonts w:ascii="Book Antiqua" w:eastAsia="微软雅黑" w:hAnsi="Book Antiqua"/>
          <w:i/>
          <w:iCs/>
          <w:color w:val="000000"/>
          <w:sz w:val="24"/>
          <w:szCs w:val="24"/>
        </w:rPr>
        <w:t>Transfusion</w:t>
      </w:r>
      <w:r w:rsidRPr="004B39D6">
        <w:rPr>
          <w:rFonts w:ascii="Book Antiqua" w:eastAsia="微软雅黑" w:hAnsi="Book Antiqua"/>
          <w:color w:val="000000"/>
          <w:sz w:val="24"/>
          <w:szCs w:val="24"/>
        </w:rPr>
        <w:t> 2006; </w:t>
      </w:r>
      <w:r w:rsidRPr="004B39D6">
        <w:rPr>
          <w:rFonts w:ascii="Book Antiqua" w:eastAsia="微软雅黑" w:hAnsi="Book Antiqua"/>
          <w:b/>
          <w:bCs/>
          <w:color w:val="000000"/>
          <w:sz w:val="24"/>
          <w:szCs w:val="24"/>
        </w:rPr>
        <w:t>46</w:t>
      </w:r>
      <w:r w:rsidRPr="004B39D6">
        <w:rPr>
          <w:rFonts w:ascii="Book Antiqua" w:eastAsia="微软雅黑" w:hAnsi="Book Antiqua"/>
          <w:color w:val="000000"/>
          <w:sz w:val="24"/>
          <w:szCs w:val="24"/>
        </w:rPr>
        <w:t>: 1505-1509 [PMID: 16965576 DOI: 10.1111/j.1537-2995.2006.00938.x]</w:t>
      </w:r>
    </w:p>
    <w:p w14:paraId="30936B3D"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Aguilera I</w:t>
      </w:r>
      <w:r w:rsidRPr="004B39D6">
        <w:rPr>
          <w:rFonts w:ascii="Book Antiqua" w:eastAsia="微软雅黑" w:hAnsi="Book Antiqua"/>
          <w:color w:val="000000"/>
          <w:sz w:val="24"/>
          <w:szCs w:val="24"/>
        </w:rPr>
        <w:t>, Espigado I, Martinez-Bravo MJ, Tallon I, Urbano-Ispizua A, Nuñez-Roldan A. Glutathione S-transferase T1 is a potential new target for the hepatic component of graft vs host disease after HSCT. </w:t>
      </w:r>
      <w:r w:rsidRPr="004B39D6">
        <w:rPr>
          <w:rFonts w:ascii="Book Antiqua" w:eastAsia="微软雅黑" w:hAnsi="Book Antiqua"/>
          <w:i/>
          <w:iCs/>
          <w:color w:val="000000"/>
          <w:sz w:val="24"/>
          <w:szCs w:val="24"/>
        </w:rPr>
        <w:t>Bone Marrow Transplant</w:t>
      </w:r>
      <w:r w:rsidRPr="004B39D6">
        <w:rPr>
          <w:rFonts w:ascii="Book Antiqua" w:eastAsia="微软雅黑" w:hAnsi="Book Antiqua"/>
          <w:color w:val="000000"/>
          <w:sz w:val="24"/>
          <w:szCs w:val="24"/>
        </w:rPr>
        <w:t> 2010; </w:t>
      </w:r>
      <w:r w:rsidRPr="004B39D6">
        <w:rPr>
          <w:rFonts w:ascii="Book Antiqua" w:eastAsia="微软雅黑" w:hAnsi="Book Antiqua"/>
          <w:b/>
          <w:bCs/>
          <w:color w:val="000000"/>
          <w:sz w:val="24"/>
          <w:szCs w:val="24"/>
        </w:rPr>
        <w:t>45</w:t>
      </w:r>
      <w:r w:rsidRPr="004B39D6">
        <w:rPr>
          <w:rFonts w:ascii="Book Antiqua" w:eastAsia="微软雅黑" w:hAnsi="Book Antiqua"/>
          <w:color w:val="000000"/>
          <w:sz w:val="24"/>
          <w:szCs w:val="24"/>
        </w:rPr>
        <w:t>: 774-775 [PMID: 19684638 DOI: 10.1038/bmt.2009.206]</w:t>
      </w:r>
    </w:p>
    <w:p w14:paraId="2285D43C"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Bogdanos DP</w:t>
      </w:r>
      <w:r w:rsidRPr="004B39D6">
        <w:rPr>
          <w:rFonts w:ascii="Book Antiqua" w:eastAsia="微软雅黑" w:hAnsi="Book Antiqua"/>
          <w:color w:val="000000"/>
          <w:sz w:val="24"/>
          <w:szCs w:val="24"/>
        </w:rPr>
        <w:t>, Gao B, Gershwin ME. Liver immunology. </w:t>
      </w:r>
      <w:r w:rsidRPr="004B39D6">
        <w:rPr>
          <w:rFonts w:ascii="Book Antiqua" w:eastAsia="微软雅黑" w:hAnsi="Book Antiqua"/>
          <w:i/>
          <w:iCs/>
          <w:color w:val="000000"/>
          <w:sz w:val="24"/>
          <w:szCs w:val="24"/>
        </w:rPr>
        <w:t>Compr Physiol</w:t>
      </w:r>
      <w:r w:rsidRPr="004B39D6">
        <w:rPr>
          <w:rFonts w:ascii="Book Antiqua" w:eastAsia="微软雅黑" w:hAnsi="Book Antiqua"/>
          <w:color w:val="000000"/>
          <w:sz w:val="24"/>
          <w:szCs w:val="24"/>
        </w:rPr>
        <w:t> 2013; </w:t>
      </w:r>
      <w:r w:rsidRPr="004B39D6">
        <w:rPr>
          <w:rFonts w:ascii="Book Antiqua" w:eastAsia="微软雅黑" w:hAnsi="Book Antiqua"/>
          <w:b/>
          <w:bCs/>
          <w:color w:val="000000"/>
          <w:sz w:val="24"/>
          <w:szCs w:val="24"/>
        </w:rPr>
        <w:t>3</w:t>
      </w:r>
      <w:r w:rsidRPr="004B39D6">
        <w:rPr>
          <w:rFonts w:ascii="Book Antiqua" w:eastAsia="微软雅黑" w:hAnsi="Book Antiqua"/>
          <w:color w:val="000000"/>
          <w:sz w:val="24"/>
          <w:szCs w:val="24"/>
        </w:rPr>
        <w:t>: 567-598 [PMID: 23720323 DOI: 10.1002/cphy.c120011]</w:t>
      </w:r>
    </w:p>
    <w:p w14:paraId="032BC9CF" w14:textId="0211B2EB"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Bumgardner GL</w:t>
      </w:r>
      <w:r w:rsidRPr="004B39D6">
        <w:rPr>
          <w:rFonts w:ascii="Book Antiqua" w:eastAsia="微软雅黑" w:hAnsi="Book Antiqua"/>
          <w:color w:val="000000"/>
          <w:sz w:val="24"/>
          <w:szCs w:val="24"/>
        </w:rPr>
        <w:t>, Orosz CG. Unusual patterns of alloimmunity evoked by allogeneic liver parenchymal cells. </w:t>
      </w:r>
      <w:r w:rsidRPr="004B39D6">
        <w:rPr>
          <w:rFonts w:ascii="Book Antiqua" w:eastAsia="微软雅黑" w:hAnsi="Book Antiqua"/>
          <w:i/>
          <w:iCs/>
          <w:color w:val="000000"/>
          <w:sz w:val="24"/>
          <w:szCs w:val="24"/>
        </w:rPr>
        <w:t>Immunol Rev</w:t>
      </w:r>
      <w:r w:rsidRPr="004B39D6">
        <w:rPr>
          <w:rFonts w:ascii="Book Antiqua" w:eastAsia="微软雅黑" w:hAnsi="Book Antiqua"/>
          <w:color w:val="000000"/>
          <w:sz w:val="24"/>
          <w:szCs w:val="24"/>
        </w:rPr>
        <w:t> 2000; </w:t>
      </w:r>
      <w:r w:rsidRPr="004B39D6">
        <w:rPr>
          <w:rFonts w:ascii="Book Antiqua" w:eastAsia="微软雅黑" w:hAnsi="Book Antiqua"/>
          <w:b/>
          <w:bCs/>
          <w:color w:val="000000"/>
          <w:sz w:val="24"/>
          <w:szCs w:val="24"/>
        </w:rPr>
        <w:t>174</w:t>
      </w:r>
      <w:r w:rsidRPr="004B39D6">
        <w:rPr>
          <w:rFonts w:ascii="Book Antiqua" w:eastAsia="微软雅黑" w:hAnsi="Book Antiqua"/>
          <w:color w:val="000000"/>
          <w:sz w:val="24"/>
          <w:szCs w:val="24"/>
        </w:rPr>
        <w:t>: 260-279 [PMID: 10807522</w:t>
      </w:r>
      <w:r w:rsidRPr="004B39D6">
        <w:rPr>
          <w:rFonts w:ascii="Book Antiqua" w:eastAsia="微软雅黑" w:hAnsi="Book Antiqua"/>
          <w:color w:val="000000"/>
          <w:sz w:val="24"/>
          <w:szCs w:val="24"/>
          <w:lang w:eastAsia="zh-CN"/>
        </w:rPr>
        <w:t xml:space="preserve"> DOI:</w:t>
      </w:r>
      <w:r w:rsidRPr="004B39D6">
        <w:rPr>
          <w:rFonts w:ascii="Book Antiqua" w:hAnsi="Book Antiqua"/>
          <w:sz w:val="24"/>
          <w:szCs w:val="24"/>
        </w:rPr>
        <w:t xml:space="preserve"> </w:t>
      </w:r>
      <w:r w:rsidRPr="004B39D6">
        <w:rPr>
          <w:rFonts w:ascii="Book Antiqua" w:hAnsi="Book Antiqua" w:cs="Arial"/>
          <w:sz w:val="24"/>
          <w:szCs w:val="24"/>
        </w:rPr>
        <w:t>10.1034/j.1600-0528.2002.017409.x</w:t>
      </w:r>
      <w:r w:rsidRPr="004B39D6">
        <w:rPr>
          <w:rFonts w:ascii="Book Antiqua" w:eastAsia="微软雅黑" w:hAnsi="Book Antiqua"/>
          <w:color w:val="000000"/>
          <w:sz w:val="24"/>
          <w:szCs w:val="24"/>
        </w:rPr>
        <w:t>]</w:t>
      </w:r>
    </w:p>
    <w:p w14:paraId="41E9ACAB" w14:textId="1E98A91E"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Baker RJ</w:t>
      </w:r>
      <w:r w:rsidRPr="004B39D6">
        <w:rPr>
          <w:rFonts w:ascii="Book Antiqua" w:eastAsia="微软雅黑" w:hAnsi="Book Antiqua"/>
          <w:color w:val="000000"/>
          <w:sz w:val="24"/>
          <w:szCs w:val="24"/>
        </w:rPr>
        <w:t>, Hernandez-Fuentes MP, Brookes PA, Chaudhry AN, Cook HT, Lechler RI. Loss of direct and maintenance of indirect alloresponses in renal allograft recipients: implications for the pathogenesis of chronic allograft nephropathy. </w:t>
      </w:r>
      <w:r w:rsidRPr="004B39D6">
        <w:rPr>
          <w:rFonts w:ascii="Book Antiqua" w:eastAsia="微软雅黑" w:hAnsi="Book Antiqua"/>
          <w:i/>
          <w:iCs/>
          <w:color w:val="000000"/>
          <w:sz w:val="24"/>
          <w:szCs w:val="24"/>
        </w:rPr>
        <w:t>J Immunol</w:t>
      </w:r>
      <w:r w:rsidRPr="004B39D6">
        <w:rPr>
          <w:rFonts w:ascii="Book Antiqua" w:eastAsia="微软雅黑" w:hAnsi="Book Antiqua"/>
          <w:color w:val="000000"/>
          <w:sz w:val="24"/>
          <w:szCs w:val="24"/>
        </w:rPr>
        <w:t> 2001; </w:t>
      </w:r>
      <w:r w:rsidRPr="004B39D6">
        <w:rPr>
          <w:rFonts w:ascii="Book Antiqua" w:eastAsia="微软雅黑" w:hAnsi="Book Antiqua"/>
          <w:b/>
          <w:bCs/>
          <w:color w:val="000000"/>
          <w:sz w:val="24"/>
          <w:szCs w:val="24"/>
        </w:rPr>
        <w:t>167</w:t>
      </w:r>
      <w:r w:rsidRPr="004B39D6">
        <w:rPr>
          <w:rFonts w:ascii="Book Antiqua" w:eastAsia="微软雅黑" w:hAnsi="Book Antiqua"/>
          <w:color w:val="000000"/>
          <w:sz w:val="24"/>
          <w:szCs w:val="24"/>
        </w:rPr>
        <w:t>: 7199-7206 [PMID: 11739543</w:t>
      </w:r>
      <w:r w:rsidRPr="004B39D6">
        <w:rPr>
          <w:rFonts w:ascii="Book Antiqua" w:eastAsia="微软雅黑" w:hAnsi="Book Antiqua"/>
          <w:color w:val="000000"/>
          <w:sz w:val="24"/>
          <w:szCs w:val="24"/>
          <w:lang w:eastAsia="zh-CN"/>
        </w:rPr>
        <w:t xml:space="preserve"> DOI: </w:t>
      </w:r>
      <w:r w:rsidRPr="004B39D6">
        <w:rPr>
          <w:rFonts w:ascii="Book Antiqua" w:hAnsi="Book Antiqua" w:cs="Arial"/>
          <w:sz w:val="24"/>
          <w:szCs w:val="24"/>
        </w:rPr>
        <w:t>10.4049/jimmunol.167.12.7199</w:t>
      </w:r>
      <w:r w:rsidRPr="004B39D6">
        <w:rPr>
          <w:rFonts w:ascii="Book Antiqua" w:eastAsia="微软雅黑" w:hAnsi="Book Antiqua"/>
          <w:color w:val="000000"/>
          <w:sz w:val="24"/>
          <w:szCs w:val="24"/>
        </w:rPr>
        <w:t>]</w:t>
      </w:r>
    </w:p>
    <w:p w14:paraId="3C91E4E1"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Martínez-Bravo MJ</w:t>
      </w:r>
      <w:r w:rsidRPr="004B39D6">
        <w:rPr>
          <w:rFonts w:ascii="Book Antiqua" w:eastAsia="微软雅黑" w:hAnsi="Book Antiqua"/>
          <w:color w:val="000000"/>
          <w:sz w:val="24"/>
          <w:szCs w:val="24"/>
        </w:rPr>
        <w:t>, Calderón-Cabrera C, Márquez-Malaver FJ, Rodríguez N, Guijarro M, Espigado I, Núñez-Roldán A, Pérez-Simón JA, Aguilera I. Mismatch on glutathione S-transferase T1 increases the risk of graft-versus-host disease and mortality after allogeneic stem cell transplantation. </w:t>
      </w:r>
      <w:r w:rsidRPr="004B39D6">
        <w:rPr>
          <w:rFonts w:ascii="Book Antiqua" w:eastAsia="微软雅黑" w:hAnsi="Book Antiqua"/>
          <w:i/>
          <w:iCs/>
          <w:color w:val="000000"/>
          <w:sz w:val="24"/>
          <w:szCs w:val="24"/>
        </w:rPr>
        <w:t>Biol Blood Marrow Transplant</w:t>
      </w:r>
      <w:r w:rsidRPr="004B39D6">
        <w:rPr>
          <w:rFonts w:ascii="Book Antiqua" w:eastAsia="微软雅黑" w:hAnsi="Book Antiqua"/>
          <w:color w:val="000000"/>
          <w:sz w:val="24"/>
          <w:szCs w:val="24"/>
        </w:rPr>
        <w:t> 2014; </w:t>
      </w:r>
      <w:r w:rsidRPr="004B39D6">
        <w:rPr>
          <w:rFonts w:ascii="Book Antiqua" w:eastAsia="微软雅黑" w:hAnsi="Book Antiqua"/>
          <w:b/>
          <w:bCs/>
          <w:color w:val="000000"/>
          <w:sz w:val="24"/>
          <w:szCs w:val="24"/>
        </w:rPr>
        <w:t>20</w:t>
      </w:r>
      <w:r w:rsidRPr="004B39D6">
        <w:rPr>
          <w:rFonts w:ascii="Book Antiqua" w:eastAsia="微软雅黑" w:hAnsi="Book Antiqua"/>
          <w:color w:val="000000"/>
          <w:sz w:val="24"/>
          <w:szCs w:val="24"/>
        </w:rPr>
        <w:t>: 1356-1362 [PMID: 24844856 DOI: 10.1016/j.bbmt.2014.05.008]</w:t>
      </w:r>
    </w:p>
    <w:p w14:paraId="44066487" w14:textId="4D769B6B"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Rose ML</w:t>
      </w:r>
      <w:r w:rsidRPr="004B39D6">
        <w:rPr>
          <w:rFonts w:ascii="Book Antiqua" w:eastAsia="微软雅黑" w:hAnsi="Book Antiqua"/>
          <w:color w:val="000000"/>
          <w:sz w:val="24"/>
          <w:szCs w:val="24"/>
        </w:rPr>
        <w:t>. Activation of autoimmune B cells and chronic rejection. </w:t>
      </w:r>
      <w:r w:rsidRPr="004B39D6">
        <w:rPr>
          <w:rFonts w:ascii="Book Antiqua" w:eastAsia="微软雅黑" w:hAnsi="Book Antiqua"/>
          <w:i/>
          <w:iCs/>
          <w:color w:val="000000"/>
          <w:sz w:val="24"/>
          <w:szCs w:val="24"/>
        </w:rPr>
        <w:t>Transplantation</w:t>
      </w:r>
      <w:r w:rsidRPr="004B39D6">
        <w:rPr>
          <w:rFonts w:ascii="Book Antiqua" w:eastAsia="微软雅黑" w:hAnsi="Book Antiqua"/>
          <w:color w:val="000000"/>
          <w:sz w:val="24"/>
          <w:szCs w:val="24"/>
        </w:rPr>
        <w:t> 2005; </w:t>
      </w:r>
      <w:r w:rsidRPr="004B39D6">
        <w:rPr>
          <w:rFonts w:ascii="Book Antiqua" w:eastAsia="微软雅黑" w:hAnsi="Book Antiqua"/>
          <w:b/>
          <w:bCs/>
          <w:color w:val="000000"/>
          <w:sz w:val="24"/>
          <w:szCs w:val="24"/>
        </w:rPr>
        <w:t>79</w:t>
      </w:r>
      <w:r w:rsidRPr="004B39D6">
        <w:rPr>
          <w:rFonts w:ascii="Book Antiqua" w:eastAsia="微软雅黑" w:hAnsi="Book Antiqua"/>
          <w:color w:val="000000"/>
          <w:sz w:val="24"/>
          <w:szCs w:val="24"/>
        </w:rPr>
        <w:t>: S22-S24 [PMID: 15699740</w:t>
      </w:r>
      <w:r w:rsidRPr="004B39D6">
        <w:rPr>
          <w:rFonts w:ascii="Book Antiqua" w:eastAsia="微软雅黑" w:hAnsi="Book Antiqua"/>
          <w:color w:val="000000"/>
          <w:sz w:val="24"/>
          <w:szCs w:val="24"/>
          <w:lang w:eastAsia="zh-CN"/>
        </w:rPr>
        <w:t xml:space="preserve"> DOI: </w:t>
      </w:r>
      <w:r w:rsidRPr="004B39D6">
        <w:rPr>
          <w:rFonts w:ascii="Book Antiqua" w:hAnsi="Book Antiqua" w:cs="Arial"/>
          <w:sz w:val="24"/>
          <w:szCs w:val="24"/>
        </w:rPr>
        <w:t>10.1097/01.TP.0000153294.38939.5F</w:t>
      </w:r>
      <w:r w:rsidRPr="004B39D6">
        <w:rPr>
          <w:rFonts w:ascii="Book Antiqua" w:eastAsia="微软雅黑" w:hAnsi="Book Antiqua"/>
          <w:color w:val="000000"/>
          <w:sz w:val="24"/>
          <w:szCs w:val="24"/>
        </w:rPr>
        <w:t>]</w:t>
      </w:r>
    </w:p>
    <w:p w14:paraId="444B7240" w14:textId="50D33FA4"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lastRenderedPageBreak/>
        <w:t>Linton PJ</w:t>
      </w:r>
      <w:r w:rsidRPr="004B39D6">
        <w:rPr>
          <w:rFonts w:ascii="Book Antiqua" w:eastAsia="微软雅黑" w:hAnsi="Book Antiqua"/>
          <w:color w:val="000000"/>
          <w:sz w:val="24"/>
          <w:szCs w:val="24"/>
        </w:rPr>
        <w:t>, Harbertson J, Bradley LM. A critical role for B cells in the development of memory CD4 cells. </w:t>
      </w:r>
      <w:r w:rsidRPr="004B39D6">
        <w:rPr>
          <w:rFonts w:ascii="Book Antiqua" w:eastAsia="微软雅黑" w:hAnsi="Book Antiqua"/>
          <w:i/>
          <w:iCs/>
          <w:color w:val="000000"/>
          <w:sz w:val="24"/>
          <w:szCs w:val="24"/>
        </w:rPr>
        <w:t>J Immunol</w:t>
      </w:r>
      <w:r w:rsidRPr="004B39D6">
        <w:rPr>
          <w:rFonts w:ascii="Book Antiqua" w:eastAsia="微软雅黑" w:hAnsi="Book Antiqua"/>
          <w:color w:val="000000"/>
          <w:sz w:val="24"/>
          <w:szCs w:val="24"/>
        </w:rPr>
        <w:t> 2000; </w:t>
      </w:r>
      <w:r w:rsidRPr="004B39D6">
        <w:rPr>
          <w:rFonts w:ascii="Book Antiqua" w:eastAsia="微软雅黑" w:hAnsi="Book Antiqua"/>
          <w:b/>
          <w:bCs/>
          <w:color w:val="000000"/>
          <w:sz w:val="24"/>
          <w:szCs w:val="24"/>
        </w:rPr>
        <w:t>165</w:t>
      </w:r>
      <w:r w:rsidRPr="004B39D6">
        <w:rPr>
          <w:rFonts w:ascii="Book Antiqua" w:eastAsia="微软雅黑" w:hAnsi="Book Antiqua"/>
          <w:color w:val="000000"/>
          <w:sz w:val="24"/>
          <w:szCs w:val="24"/>
        </w:rPr>
        <w:t>: 5558-5565 [PMID: 11067910</w:t>
      </w:r>
      <w:r w:rsidRPr="004B39D6">
        <w:rPr>
          <w:rFonts w:ascii="Book Antiqua" w:eastAsia="微软雅黑" w:hAnsi="Book Antiqua"/>
          <w:color w:val="000000"/>
          <w:sz w:val="24"/>
          <w:szCs w:val="24"/>
          <w:lang w:eastAsia="zh-CN"/>
        </w:rPr>
        <w:t xml:space="preserve"> DOI: </w:t>
      </w:r>
      <w:r w:rsidR="00D011A9">
        <w:fldChar w:fldCharType="begin"/>
      </w:r>
      <w:r w:rsidR="00D011A9">
        <w:instrText xml:space="preserve"> HYPERLINK "https://doi.org/10.4049/jimmunol.165.10.5558" \t "_blank" </w:instrText>
      </w:r>
      <w:r w:rsidR="00D011A9">
        <w:fldChar w:fldCharType="separate"/>
      </w:r>
      <w:r w:rsidRPr="004B39D6">
        <w:rPr>
          <w:rFonts w:ascii="Book Antiqua" w:eastAsia="微软雅黑" w:hAnsi="Book Antiqua"/>
          <w:color w:val="000000"/>
          <w:sz w:val="24"/>
          <w:szCs w:val="24"/>
        </w:rPr>
        <w:t>10.4049/jimmunol.165.10.5558</w:t>
      </w:r>
      <w:r w:rsidR="00D011A9">
        <w:rPr>
          <w:rFonts w:ascii="Book Antiqua" w:eastAsia="微软雅黑" w:hAnsi="Book Antiqua"/>
          <w:color w:val="000000"/>
          <w:sz w:val="24"/>
          <w:szCs w:val="24"/>
        </w:rPr>
        <w:fldChar w:fldCharType="end"/>
      </w:r>
      <w:r w:rsidRPr="004B39D6">
        <w:rPr>
          <w:rFonts w:ascii="Book Antiqua" w:eastAsia="微软雅黑" w:hAnsi="Book Antiqua"/>
          <w:color w:val="000000"/>
          <w:sz w:val="24"/>
          <w:szCs w:val="24"/>
        </w:rPr>
        <w:t>]</w:t>
      </w:r>
    </w:p>
    <w:p w14:paraId="1D6AC79C"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Ng YH</w:t>
      </w:r>
      <w:r w:rsidRPr="004B39D6">
        <w:rPr>
          <w:rFonts w:ascii="Book Antiqua" w:eastAsia="微软雅黑" w:hAnsi="Book Antiqua"/>
          <w:color w:val="000000"/>
          <w:sz w:val="24"/>
          <w:szCs w:val="24"/>
        </w:rPr>
        <w:t>, Oberbarnscheidt MH, Chandramoorthy HC, Hoffman R, Chalasani G. B cells help alloreactive T cells differentiate into memory T cells. </w:t>
      </w:r>
      <w:r w:rsidRPr="004B39D6">
        <w:rPr>
          <w:rFonts w:ascii="Book Antiqua" w:eastAsia="微软雅黑" w:hAnsi="Book Antiqua"/>
          <w:i/>
          <w:iCs/>
          <w:color w:val="000000"/>
          <w:sz w:val="24"/>
          <w:szCs w:val="24"/>
        </w:rPr>
        <w:t>Am J Transplant</w:t>
      </w:r>
      <w:r w:rsidRPr="004B39D6">
        <w:rPr>
          <w:rFonts w:ascii="Book Antiqua" w:eastAsia="微软雅黑" w:hAnsi="Book Antiqua"/>
          <w:color w:val="000000"/>
          <w:sz w:val="24"/>
          <w:szCs w:val="24"/>
        </w:rPr>
        <w:t> 2010; </w:t>
      </w:r>
      <w:r w:rsidRPr="004B39D6">
        <w:rPr>
          <w:rFonts w:ascii="Book Antiqua" w:eastAsia="微软雅黑" w:hAnsi="Book Antiqua"/>
          <w:b/>
          <w:bCs/>
          <w:color w:val="000000"/>
          <w:sz w:val="24"/>
          <w:szCs w:val="24"/>
        </w:rPr>
        <w:t>10</w:t>
      </w:r>
      <w:r w:rsidRPr="004B39D6">
        <w:rPr>
          <w:rFonts w:ascii="Book Antiqua" w:eastAsia="微软雅黑" w:hAnsi="Book Antiqua"/>
          <w:color w:val="000000"/>
          <w:sz w:val="24"/>
          <w:szCs w:val="24"/>
        </w:rPr>
        <w:t>: 1970-1980 [PMID: 20883532 DOI: 10.1111/j.1600-6143.2010.03223.x]</w:t>
      </w:r>
    </w:p>
    <w:p w14:paraId="247874A7"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Zeng Q</w:t>
      </w:r>
      <w:r w:rsidRPr="004B39D6">
        <w:rPr>
          <w:rFonts w:ascii="Book Antiqua" w:eastAsia="微软雅黑" w:hAnsi="Book Antiqua"/>
          <w:color w:val="000000"/>
          <w:sz w:val="24"/>
          <w:szCs w:val="24"/>
        </w:rPr>
        <w:t>, Ng YH, Singh T, Jiang K, Sheriff KA, Ippolito R, Zahalka S, Li Q, Randhawa P, Hoffman RA, Ramaswami B, Lund FE, Chalasani G. B cells mediate chronic allograft rejection independently of antibody production. </w:t>
      </w:r>
      <w:r w:rsidRPr="004B39D6">
        <w:rPr>
          <w:rFonts w:ascii="Book Antiqua" w:eastAsia="微软雅黑" w:hAnsi="Book Antiqua"/>
          <w:i/>
          <w:iCs/>
          <w:color w:val="000000"/>
          <w:sz w:val="24"/>
          <w:szCs w:val="24"/>
        </w:rPr>
        <w:t>J Clin Invest</w:t>
      </w:r>
      <w:r w:rsidRPr="004B39D6">
        <w:rPr>
          <w:rFonts w:ascii="Book Antiqua" w:eastAsia="微软雅黑" w:hAnsi="Book Antiqua"/>
          <w:color w:val="000000"/>
          <w:sz w:val="24"/>
          <w:szCs w:val="24"/>
        </w:rPr>
        <w:t> 2014; </w:t>
      </w:r>
      <w:r w:rsidRPr="004B39D6">
        <w:rPr>
          <w:rFonts w:ascii="Book Antiqua" w:eastAsia="微软雅黑" w:hAnsi="Book Antiqua"/>
          <w:b/>
          <w:bCs/>
          <w:color w:val="000000"/>
          <w:sz w:val="24"/>
          <w:szCs w:val="24"/>
        </w:rPr>
        <w:t>124</w:t>
      </w:r>
      <w:r w:rsidRPr="004B39D6">
        <w:rPr>
          <w:rFonts w:ascii="Book Antiqua" w:eastAsia="微软雅黑" w:hAnsi="Book Antiqua"/>
          <w:color w:val="000000"/>
          <w:sz w:val="24"/>
          <w:szCs w:val="24"/>
        </w:rPr>
        <w:t>: 1052-1056 [PMID: 24509079 DOI: 10.1172/JCI70084]</w:t>
      </w:r>
    </w:p>
    <w:p w14:paraId="3C20015C"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Shiu KY</w:t>
      </w:r>
      <w:r w:rsidRPr="004B39D6">
        <w:rPr>
          <w:rFonts w:ascii="Book Antiqua" w:eastAsia="微软雅黑" w:hAnsi="Book Antiqua"/>
          <w:color w:val="000000"/>
          <w:sz w:val="24"/>
          <w:szCs w:val="24"/>
        </w:rPr>
        <w:t>, McLaughlin L, Rebollo-Mesa I, Zhao J, Semik V, Cook HT, Roufosse C, Brookes P, Bowers RW, Galliford J, Taube D, Lechler RI, Hernandez-Fuentes MP, Dorling A. B-lymphocytes support and regulate indirect T-cell alloreactivity in individual patients with chronic antibody-mediated rejection. </w:t>
      </w:r>
      <w:r w:rsidRPr="004B39D6">
        <w:rPr>
          <w:rFonts w:ascii="Book Antiqua" w:eastAsia="微软雅黑" w:hAnsi="Book Antiqua"/>
          <w:i/>
          <w:iCs/>
          <w:color w:val="000000"/>
          <w:sz w:val="24"/>
          <w:szCs w:val="24"/>
        </w:rPr>
        <w:t>Kidney Int</w:t>
      </w:r>
      <w:r w:rsidRPr="004B39D6">
        <w:rPr>
          <w:rFonts w:ascii="Book Antiqua" w:eastAsia="微软雅黑" w:hAnsi="Book Antiqua"/>
          <w:color w:val="000000"/>
          <w:sz w:val="24"/>
          <w:szCs w:val="24"/>
        </w:rPr>
        <w:t> 2015; </w:t>
      </w:r>
      <w:r w:rsidRPr="004B39D6">
        <w:rPr>
          <w:rFonts w:ascii="Book Antiqua" w:eastAsia="微软雅黑" w:hAnsi="Book Antiqua"/>
          <w:b/>
          <w:bCs/>
          <w:color w:val="000000"/>
          <w:sz w:val="24"/>
          <w:szCs w:val="24"/>
        </w:rPr>
        <w:t>88</w:t>
      </w:r>
      <w:r w:rsidRPr="004B39D6">
        <w:rPr>
          <w:rFonts w:ascii="Book Antiqua" w:eastAsia="微软雅黑" w:hAnsi="Book Antiqua"/>
          <w:color w:val="000000"/>
          <w:sz w:val="24"/>
          <w:szCs w:val="24"/>
        </w:rPr>
        <w:t>: 560-568 [PMID: 25830760 DOI: 10.1038/ki.2015.100]</w:t>
      </w:r>
    </w:p>
    <w:p w14:paraId="32E10655"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Gaughan A</w:t>
      </w:r>
      <w:r w:rsidRPr="004B39D6">
        <w:rPr>
          <w:rFonts w:ascii="Book Antiqua" w:eastAsia="微软雅黑" w:hAnsi="Book Antiqua"/>
          <w:color w:val="000000"/>
          <w:sz w:val="24"/>
          <w:szCs w:val="24"/>
        </w:rPr>
        <w:t>, Wang J, Pelletier RP, Nadasdy T, Brodsky S, Roy S, Lodder M, Bobek D, Mofatt-Bruce S, Fairchild RL, Henry ML, Hadley GA. Key role for CD4 T cells during mixed antibody-mediated rejection of renal allografts. </w:t>
      </w:r>
      <w:r w:rsidRPr="004B39D6">
        <w:rPr>
          <w:rFonts w:ascii="Book Antiqua" w:eastAsia="微软雅黑" w:hAnsi="Book Antiqua"/>
          <w:i/>
          <w:iCs/>
          <w:color w:val="000000"/>
          <w:sz w:val="24"/>
          <w:szCs w:val="24"/>
        </w:rPr>
        <w:t>Am J Transplant</w:t>
      </w:r>
      <w:r w:rsidRPr="004B39D6">
        <w:rPr>
          <w:rFonts w:ascii="Book Antiqua" w:eastAsia="微软雅黑" w:hAnsi="Book Antiqua"/>
          <w:color w:val="000000"/>
          <w:sz w:val="24"/>
          <w:szCs w:val="24"/>
        </w:rPr>
        <w:t> 2014; </w:t>
      </w:r>
      <w:r w:rsidRPr="004B39D6">
        <w:rPr>
          <w:rFonts w:ascii="Book Antiqua" w:eastAsia="微软雅黑" w:hAnsi="Book Antiqua"/>
          <w:b/>
          <w:bCs/>
          <w:color w:val="000000"/>
          <w:sz w:val="24"/>
          <w:szCs w:val="24"/>
        </w:rPr>
        <w:t>14</w:t>
      </w:r>
      <w:r w:rsidRPr="004B39D6">
        <w:rPr>
          <w:rFonts w:ascii="Book Antiqua" w:eastAsia="微软雅黑" w:hAnsi="Book Antiqua"/>
          <w:color w:val="000000"/>
          <w:sz w:val="24"/>
          <w:szCs w:val="24"/>
        </w:rPr>
        <w:t>: 284-294 [PMID: 24410909 DOI: 10.1111/ajt.12596]</w:t>
      </w:r>
    </w:p>
    <w:p w14:paraId="7DBCB188"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Honjo K</w:t>
      </w:r>
      <w:r w:rsidRPr="004B39D6">
        <w:rPr>
          <w:rFonts w:ascii="Book Antiqua" w:eastAsia="微软雅黑" w:hAnsi="Book Antiqua"/>
          <w:color w:val="000000"/>
          <w:sz w:val="24"/>
          <w:szCs w:val="24"/>
        </w:rPr>
        <w:t>, Xu Xy, Bucy RP. CD4+ T-cell receptor transgenic T cells alone can reject vascularized heart transplants through the indirect pathway of alloantigen recognition. </w:t>
      </w:r>
      <w:r w:rsidRPr="004B39D6">
        <w:rPr>
          <w:rFonts w:ascii="Book Antiqua" w:eastAsia="微软雅黑" w:hAnsi="Book Antiqua"/>
          <w:i/>
          <w:iCs/>
          <w:color w:val="000000"/>
          <w:sz w:val="24"/>
          <w:szCs w:val="24"/>
        </w:rPr>
        <w:t>Transplantation</w:t>
      </w:r>
      <w:r w:rsidRPr="004B39D6">
        <w:rPr>
          <w:rFonts w:ascii="Book Antiqua" w:eastAsia="微软雅黑" w:hAnsi="Book Antiqua"/>
          <w:color w:val="000000"/>
          <w:sz w:val="24"/>
          <w:szCs w:val="24"/>
        </w:rPr>
        <w:t> 2004; </w:t>
      </w:r>
      <w:r w:rsidRPr="004B39D6">
        <w:rPr>
          <w:rFonts w:ascii="Book Antiqua" w:eastAsia="微软雅黑" w:hAnsi="Book Antiqua"/>
          <w:b/>
          <w:bCs/>
          <w:color w:val="000000"/>
          <w:sz w:val="24"/>
          <w:szCs w:val="24"/>
        </w:rPr>
        <w:t>77</w:t>
      </w:r>
      <w:r w:rsidRPr="004B39D6">
        <w:rPr>
          <w:rFonts w:ascii="Book Antiqua" w:eastAsia="微软雅黑" w:hAnsi="Book Antiqua"/>
          <w:color w:val="000000"/>
          <w:sz w:val="24"/>
          <w:szCs w:val="24"/>
        </w:rPr>
        <w:t>: 452-455 [PMID: 14966425 DOI: 10.1097/01.TP.0000112937.12491.42]</w:t>
      </w:r>
    </w:p>
    <w:p w14:paraId="4AF3B99F"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Herkel J</w:t>
      </w:r>
      <w:r w:rsidRPr="004B39D6">
        <w:rPr>
          <w:rFonts w:ascii="Book Antiqua" w:eastAsia="微软雅黑" w:hAnsi="Book Antiqua"/>
          <w:color w:val="000000"/>
          <w:sz w:val="24"/>
          <w:szCs w:val="24"/>
        </w:rPr>
        <w:t>, Jagemann B, Wiegard C, Lazaro JF, Lueth S, Kanzler S, Blessing M, Schmitt E, Lohse AW. MHC class II-expressing hepatocytes function as antigen-presenting cells and activate specific CD4 T lymphocyutes. </w:t>
      </w:r>
      <w:r w:rsidRPr="004B39D6">
        <w:rPr>
          <w:rFonts w:ascii="Book Antiqua" w:eastAsia="微软雅黑" w:hAnsi="Book Antiqua"/>
          <w:i/>
          <w:iCs/>
          <w:color w:val="000000"/>
          <w:sz w:val="24"/>
          <w:szCs w:val="24"/>
        </w:rPr>
        <w:t>Hepatology</w:t>
      </w:r>
      <w:r w:rsidRPr="004B39D6">
        <w:rPr>
          <w:rFonts w:ascii="Book Antiqua" w:eastAsia="微软雅黑" w:hAnsi="Book Antiqua"/>
          <w:color w:val="000000"/>
          <w:sz w:val="24"/>
          <w:szCs w:val="24"/>
        </w:rPr>
        <w:t> 2003; </w:t>
      </w:r>
      <w:r w:rsidRPr="004B39D6">
        <w:rPr>
          <w:rFonts w:ascii="Book Antiqua" w:eastAsia="微软雅黑" w:hAnsi="Book Antiqua"/>
          <w:b/>
          <w:bCs/>
          <w:color w:val="000000"/>
          <w:sz w:val="24"/>
          <w:szCs w:val="24"/>
        </w:rPr>
        <w:t>37</w:t>
      </w:r>
      <w:r w:rsidRPr="004B39D6">
        <w:rPr>
          <w:rFonts w:ascii="Book Antiqua" w:eastAsia="微软雅黑" w:hAnsi="Book Antiqua"/>
          <w:color w:val="000000"/>
          <w:sz w:val="24"/>
          <w:szCs w:val="24"/>
        </w:rPr>
        <w:t>: 1079-1085 [PMID: 12717388 DOI: 10.1053/jhep.2003.50191]</w:t>
      </w:r>
    </w:p>
    <w:p w14:paraId="0324F556"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Longhi MS</w:t>
      </w:r>
      <w:r w:rsidRPr="004B39D6">
        <w:rPr>
          <w:rFonts w:ascii="Book Antiqua" w:eastAsia="微软雅黑" w:hAnsi="Book Antiqua"/>
          <w:color w:val="000000"/>
          <w:sz w:val="24"/>
          <w:szCs w:val="24"/>
        </w:rPr>
        <w:t xml:space="preserve">, Hussain MJ, Bogdanos DP, Quaglia A, Mieli-Vergani G, Ma Y, Vergani D. Cytochrome P450IID6-specific CD8 T cell immune responses </w:t>
      </w:r>
      <w:r w:rsidRPr="004B39D6">
        <w:rPr>
          <w:rFonts w:ascii="Book Antiqua" w:eastAsia="微软雅黑" w:hAnsi="Book Antiqua"/>
          <w:color w:val="000000"/>
          <w:sz w:val="24"/>
          <w:szCs w:val="24"/>
        </w:rPr>
        <w:lastRenderedPageBreak/>
        <w:t>mirror disease activity in autoimmune hepatitis type 2. </w:t>
      </w:r>
      <w:r w:rsidRPr="004B39D6">
        <w:rPr>
          <w:rFonts w:ascii="Book Antiqua" w:eastAsia="微软雅黑" w:hAnsi="Book Antiqua"/>
          <w:i/>
          <w:iCs/>
          <w:color w:val="000000"/>
          <w:sz w:val="24"/>
          <w:szCs w:val="24"/>
        </w:rPr>
        <w:t>Hepatology</w:t>
      </w:r>
      <w:r w:rsidRPr="004B39D6">
        <w:rPr>
          <w:rFonts w:ascii="Book Antiqua" w:eastAsia="微软雅黑" w:hAnsi="Book Antiqua"/>
          <w:color w:val="000000"/>
          <w:sz w:val="24"/>
          <w:szCs w:val="24"/>
        </w:rPr>
        <w:t> 2007; </w:t>
      </w:r>
      <w:r w:rsidRPr="004B39D6">
        <w:rPr>
          <w:rFonts w:ascii="Book Antiqua" w:eastAsia="微软雅黑" w:hAnsi="Book Antiqua"/>
          <w:b/>
          <w:bCs/>
          <w:color w:val="000000"/>
          <w:sz w:val="24"/>
          <w:szCs w:val="24"/>
        </w:rPr>
        <w:t>46</w:t>
      </w:r>
      <w:r w:rsidRPr="004B39D6">
        <w:rPr>
          <w:rFonts w:ascii="Book Antiqua" w:eastAsia="微软雅黑" w:hAnsi="Book Antiqua"/>
          <w:color w:val="000000"/>
          <w:sz w:val="24"/>
          <w:szCs w:val="24"/>
        </w:rPr>
        <w:t>: 472-484 [PMID: 17559153 DOI: 10.1002/hep.21658]</w:t>
      </w:r>
    </w:p>
    <w:p w14:paraId="3BE49F49"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Nascimbeni M</w:t>
      </w:r>
      <w:r w:rsidRPr="004B39D6">
        <w:rPr>
          <w:rFonts w:ascii="Book Antiqua" w:eastAsia="微软雅黑" w:hAnsi="Book Antiqua"/>
          <w:color w:val="000000"/>
          <w:sz w:val="24"/>
          <w:szCs w:val="24"/>
        </w:rPr>
        <w:t>, Shin EC, Chiriboga L, Kleiner DE, Rehermann B. Peripheral CD4(+)CD8(+) T cells are differentiated effector memory cells with antiviral functions. </w:t>
      </w:r>
      <w:r w:rsidRPr="004B39D6">
        <w:rPr>
          <w:rFonts w:ascii="Book Antiqua" w:eastAsia="微软雅黑" w:hAnsi="Book Antiqua"/>
          <w:i/>
          <w:iCs/>
          <w:color w:val="000000"/>
          <w:sz w:val="24"/>
          <w:szCs w:val="24"/>
        </w:rPr>
        <w:t>Blood</w:t>
      </w:r>
      <w:r w:rsidRPr="004B39D6">
        <w:rPr>
          <w:rFonts w:ascii="Book Antiqua" w:eastAsia="微软雅黑" w:hAnsi="Book Antiqua"/>
          <w:color w:val="000000"/>
          <w:sz w:val="24"/>
          <w:szCs w:val="24"/>
        </w:rPr>
        <w:t> 2004; </w:t>
      </w:r>
      <w:r w:rsidRPr="004B39D6">
        <w:rPr>
          <w:rFonts w:ascii="Book Antiqua" w:eastAsia="微软雅黑" w:hAnsi="Book Antiqua"/>
          <w:b/>
          <w:bCs/>
          <w:color w:val="000000"/>
          <w:sz w:val="24"/>
          <w:szCs w:val="24"/>
        </w:rPr>
        <w:t>104</w:t>
      </w:r>
      <w:r w:rsidRPr="004B39D6">
        <w:rPr>
          <w:rFonts w:ascii="Book Antiqua" w:eastAsia="微软雅黑" w:hAnsi="Book Antiqua"/>
          <w:color w:val="000000"/>
          <w:sz w:val="24"/>
          <w:szCs w:val="24"/>
        </w:rPr>
        <w:t>: 478-486 [PMID: 15044252 DOI: 10.1182/blood-2003-12-4395]</w:t>
      </w:r>
    </w:p>
    <w:p w14:paraId="4CBF9275"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Nascimbeni M</w:t>
      </w:r>
      <w:r w:rsidRPr="004B39D6">
        <w:rPr>
          <w:rFonts w:ascii="Book Antiqua" w:eastAsia="微软雅黑" w:hAnsi="Book Antiqua"/>
          <w:color w:val="000000"/>
          <w:sz w:val="24"/>
          <w:szCs w:val="24"/>
        </w:rPr>
        <w:t>, Pol S, Saunier B. Distinct CD4+ CD8+ double-positive T cells in the blood and liver of patients during chronic hepatitis B and C. </w:t>
      </w:r>
      <w:r w:rsidRPr="004B39D6">
        <w:rPr>
          <w:rFonts w:ascii="Book Antiqua" w:eastAsia="微软雅黑" w:hAnsi="Book Antiqua"/>
          <w:i/>
          <w:iCs/>
          <w:color w:val="000000"/>
          <w:sz w:val="24"/>
          <w:szCs w:val="24"/>
        </w:rPr>
        <w:t>PLoS One</w:t>
      </w:r>
      <w:r w:rsidRPr="004B39D6">
        <w:rPr>
          <w:rFonts w:ascii="Book Antiqua" w:eastAsia="微软雅黑" w:hAnsi="Book Antiqua"/>
          <w:color w:val="000000"/>
          <w:sz w:val="24"/>
          <w:szCs w:val="24"/>
        </w:rPr>
        <w:t> 2011; </w:t>
      </w:r>
      <w:r w:rsidRPr="004B39D6">
        <w:rPr>
          <w:rFonts w:ascii="Book Antiqua" w:eastAsia="微软雅黑" w:hAnsi="Book Antiqua"/>
          <w:b/>
          <w:bCs/>
          <w:color w:val="000000"/>
          <w:sz w:val="24"/>
          <w:szCs w:val="24"/>
        </w:rPr>
        <w:t>6</w:t>
      </w:r>
      <w:r w:rsidRPr="004B39D6">
        <w:rPr>
          <w:rFonts w:ascii="Book Antiqua" w:eastAsia="微软雅黑" w:hAnsi="Book Antiqua"/>
          <w:color w:val="000000"/>
          <w:sz w:val="24"/>
          <w:szCs w:val="24"/>
        </w:rPr>
        <w:t>: e20145 [PMID: 21647449 DOI: 10.1371/journal.pone.0020145]</w:t>
      </w:r>
    </w:p>
    <w:p w14:paraId="6C62624D"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Giraldo NA</w:t>
      </w:r>
      <w:r w:rsidRPr="004B39D6">
        <w:rPr>
          <w:rFonts w:ascii="Book Antiqua" w:eastAsia="微软雅黑" w:hAnsi="Book Antiqua"/>
          <w:color w:val="000000"/>
          <w:sz w:val="24"/>
          <w:szCs w:val="24"/>
        </w:rPr>
        <w:t>, Bolaños NI, Cuellar A, Guzman F, Uribe AM, Bedoya A, Olaya N, Cucunubá ZM, Roa N, Rosas F, Velasco V, Puerta CJ, González JM. Increased CD4+/CD8+ double-positive T cells in chronic Chagasic patients. </w:t>
      </w:r>
      <w:r w:rsidRPr="004B39D6">
        <w:rPr>
          <w:rFonts w:ascii="Book Antiqua" w:eastAsia="微软雅黑" w:hAnsi="Book Antiqua"/>
          <w:i/>
          <w:iCs/>
          <w:color w:val="000000"/>
          <w:sz w:val="24"/>
          <w:szCs w:val="24"/>
        </w:rPr>
        <w:t>PLoS Negl Trop Dis</w:t>
      </w:r>
      <w:r w:rsidRPr="004B39D6">
        <w:rPr>
          <w:rFonts w:ascii="Book Antiqua" w:eastAsia="微软雅黑" w:hAnsi="Book Antiqua"/>
          <w:color w:val="000000"/>
          <w:sz w:val="24"/>
          <w:szCs w:val="24"/>
        </w:rPr>
        <w:t> 2011; </w:t>
      </w:r>
      <w:r w:rsidRPr="004B39D6">
        <w:rPr>
          <w:rFonts w:ascii="Book Antiqua" w:eastAsia="微软雅黑" w:hAnsi="Book Antiqua"/>
          <w:b/>
          <w:bCs/>
          <w:color w:val="000000"/>
          <w:sz w:val="24"/>
          <w:szCs w:val="24"/>
        </w:rPr>
        <w:t>5</w:t>
      </w:r>
      <w:r w:rsidRPr="004B39D6">
        <w:rPr>
          <w:rFonts w:ascii="Book Antiqua" w:eastAsia="微软雅黑" w:hAnsi="Book Antiqua"/>
          <w:color w:val="000000"/>
          <w:sz w:val="24"/>
          <w:szCs w:val="24"/>
        </w:rPr>
        <w:t>: e1294 [PMID: 21886854 DOI: 10.1371/journal.pntd.0001294]</w:t>
      </w:r>
    </w:p>
    <w:p w14:paraId="15620EF9"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Suni MA</w:t>
      </w:r>
      <w:r w:rsidRPr="004B39D6">
        <w:rPr>
          <w:rFonts w:ascii="Book Antiqua" w:eastAsia="微软雅黑" w:hAnsi="Book Antiqua"/>
          <w:color w:val="000000"/>
          <w:sz w:val="24"/>
          <w:szCs w:val="24"/>
        </w:rPr>
        <w:t>, Ghanekar SA, Houck DW, Maecker HT, Wormsley SB, Picker LJ, Moss RB, Maino VC. CD4(+)CD8(dim) T lymphocytes exhibit enhanced cytokine expression, proliferation and cytotoxic activity in response to HCMV and HIV-1 antigens. </w:t>
      </w:r>
      <w:r w:rsidRPr="004B39D6">
        <w:rPr>
          <w:rFonts w:ascii="Book Antiqua" w:eastAsia="微软雅黑" w:hAnsi="Book Antiqua"/>
          <w:i/>
          <w:iCs/>
          <w:color w:val="000000"/>
          <w:sz w:val="24"/>
          <w:szCs w:val="24"/>
        </w:rPr>
        <w:t>Eur J Immunol</w:t>
      </w:r>
      <w:r w:rsidRPr="004B39D6">
        <w:rPr>
          <w:rFonts w:ascii="Book Antiqua" w:eastAsia="微软雅黑" w:hAnsi="Book Antiqua"/>
          <w:color w:val="000000"/>
          <w:sz w:val="24"/>
          <w:szCs w:val="24"/>
        </w:rPr>
        <w:t> 2001; </w:t>
      </w:r>
      <w:r w:rsidRPr="004B39D6">
        <w:rPr>
          <w:rFonts w:ascii="Book Antiqua" w:eastAsia="微软雅黑" w:hAnsi="Book Antiqua"/>
          <w:b/>
          <w:bCs/>
          <w:color w:val="000000"/>
          <w:sz w:val="24"/>
          <w:szCs w:val="24"/>
        </w:rPr>
        <w:t>31</w:t>
      </w:r>
      <w:r w:rsidRPr="004B39D6">
        <w:rPr>
          <w:rFonts w:ascii="Book Antiqua" w:eastAsia="微软雅黑" w:hAnsi="Book Antiqua"/>
          <w:color w:val="000000"/>
          <w:sz w:val="24"/>
          <w:szCs w:val="24"/>
        </w:rPr>
        <w:t>: 2512-2520 [PMID: 11500836 DOI: 10.1002/1521-4141(200108)31: 8&lt; 2512: : AID-IMMU2512&gt; 3.0.CO; 2-M]</w:t>
      </w:r>
    </w:p>
    <w:p w14:paraId="6DE5289E"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Hübscher SG</w:t>
      </w:r>
      <w:r w:rsidRPr="004B39D6">
        <w:rPr>
          <w:rFonts w:ascii="Book Antiqua" w:eastAsia="微软雅黑" w:hAnsi="Book Antiqua"/>
          <w:color w:val="000000"/>
          <w:sz w:val="24"/>
          <w:szCs w:val="24"/>
        </w:rPr>
        <w:t>. What is the long-term outcome of the liver allograft? </w:t>
      </w:r>
      <w:r w:rsidRPr="004B39D6">
        <w:rPr>
          <w:rFonts w:ascii="Book Antiqua" w:eastAsia="微软雅黑" w:hAnsi="Book Antiqua"/>
          <w:i/>
          <w:iCs/>
          <w:color w:val="000000"/>
          <w:sz w:val="24"/>
          <w:szCs w:val="24"/>
        </w:rPr>
        <w:t>J Hepatol</w:t>
      </w:r>
      <w:r w:rsidRPr="004B39D6">
        <w:rPr>
          <w:rFonts w:ascii="Book Antiqua" w:eastAsia="微软雅黑" w:hAnsi="Book Antiqua"/>
          <w:color w:val="000000"/>
          <w:sz w:val="24"/>
          <w:szCs w:val="24"/>
        </w:rPr>
        <w:t> 2011; </w:t>
      </w:r>
      <w:r w:rsidRPr="004B39D6">
        <w:rPr>
          <w:rFonts w:ascii="Book Antiqua" w:eastAsia="微软雅黑" w:hAnsi="Book Antiqua"/>
          <w:b/>
          <w:bCs/>
          <w:color w:val="000000"/>
          <w:sz w:val="24"/>
          <w:szCs w:val="24"/>
        </w:rPr>
        <w:t>55</w:t>
      </w:r>
      <w:r w:rsidRPr="004B39D6">
        <w:rPr>
          <w:rFonts w:ascii="Book Antiqua" w:eastAsia="微软雅黑" w:hAnsi="Book Antiqua"/>
          <w:color w:val="000000"/>
          <w:sz w:val="24"/>
          <w:szCs w:val="24"/>
        </w:rPr>
        <w:t>: 702-717 [PMID: 21426919 DOI: 10.1016/j.jhep.2011.03.005]</w:t>
      </w:r>
    </w:p>
    <w:p w14:paraId="0B541E27" w14:textId="77777777" w:rsidR="004B39D6" w:rsidRPr="004B39D6" w:rsidRDefault="004B39D6" w:rsidP="004B39D6">
      <w:pPr>
        <w:pStyle w:val="ListParagraph"/>
        <w:numPr>
          <w:ilvl w:val="0"/>
          <w:numId w:val="4"/>
        </w:numPr>
        <w:spacing w:after="0" w:line="360" w:lineRule="auto"/>
        <w:ind w:left="426"/>
        <w:jc w:val="both"/>
        <w:rPr>
          <w:rFonts w:ascii="Book Antiqua" w:eastAsia="微软雅黑" w:hAnsi="Book Antiqua"/>
          <w:color w:val="000000"/>
          <w:sz w:val="24"/>
          <w:szCs w:val="24"/>
        </w:rPr>
      </w:pPr>
      <w:r w:rsidRPr="004B39D6">
        <w:rPr>
          <w:rFonts w:ascii="Book Antiqua" w:eastAsia="微软雅黑" w:hAnsi="Book Antiqua"/>
          <w:b/>
          <w:bCs/>
          <w:color w:val="000000"/>
          <w:sz w:val="24"/>
          <w:szCs w:val="24"/>
        </w:rPr>
        <w:t>Sebagh M</w:t>
      </w:r>
      <w:r w:rsidRPr="004B39D6">
        <w:rPr>
          <w:rFonts w:ascii="Book Antiqua" w:eastAsia="微软雅黑" w:hAnsi="Book Antiqua"/>
          <w:color w:val="000000"/>
          <w:sz w:val="24"/>
          <w:szCs w:val="24"/>
        </w:rPr>
        <w:t>, Castillo-Rama M, Azoulay D, Coilly A, Delvart V, Allard MA, Dos Santos A, Johanet C, Roque-Afonso AM, Saliba F, Duclos-Vallée JC, Samuel D, Demetris AJ. Histologic findings predictive of a diagnosis of de novo autoimmune hepatitis after liver transplantation in adults. </w:t>
      </w:r>
      <w:r w:rsidRPr="004B39D6">
        <w:rPr>
          <w:rFonts w:ascii="Book Antiqua" w:eastAsia="微软雅黑" w:hAnsi="Book Antiqua"/>
          <w:i/>
          <w:iCs/>
          <w:color w:val="000000"/>
          <w:sz w:val="24"/>
          <w:szCs w:val="24"/>
        </w:rPr>
        <w:t>Transplantation</w:t>
      </w:r>
      <w:r w:rsidRPr="004B39D6">
        <w:rPr>
          <w:rFonts w:ascii="Book Antiqua" w:eastAsia="微软雅黑" w:hAnsi="Book Antiqua"/>
          <w:color w:val="000000"/>
          <w:sz w:val="24"/>
          <w:szCs w:val="24"/>
        </w:rPr>
        <w:t> 2013; </w:t>
      </w:r>
      <w:r w:rsidRPr="004B39D6">
        <w:rPr>
          <w:rFonts w:ascii="Book Antiqua" w:eastAsia="微软雅黑" w:hAnsi="Book Antiqua"/>
          <w:b/>
          <w:bCs/>
          <w:color w:val="000000"/>
          <w:sz w:val="24"/>
          <w:szCs w:val="24"/>
        </w:rPr>
        <w:t>96</w:t>
      </w:r>
      <w:r w:rsidRPr="004B39D6">
        <w:rPr>
          <w:rFonts w:ascii="Book Antiqua" w:eastAsia="微软雅黑" w:hAnsi="Book Antiqua"/>
          <w:color w:val="000000"/>
          <w:sz w:val="24"/>
          <w:szCs w:val="24"/>
        </w:rPr>
        <w:t>: 670-678 [PMID: 23982338 DOI: 10.1097/TP.0b013e31829eda7f]</w:t>
      </w:r>
    </w:p>
    <w:bookmarkEnd w:id="137"/>
    <w:bookmarkEnd w:id="138"/>
    <w:p w14:paraId="5E28E650" w14:textId="77777777" w:rsidR="003B780A" w:rsidRPr="004B39D6" w:rsidRDefault="003B780A" w:rsidP="004B39D6">
      <w:pPr>
        <w:snapToGrid w:val="0"/>
        <w:spacing w:after="0" w:line="360" w:lineRule="auto"/>
        <w:jc w:val="both"/>
        <w:rPr>
          <w:rFonts w:ascii="Book Antiqua" w:hAnsi="Book Antiqua"/>
          <w:sz w:val="24"/>
          <w:szCs w:val="24"/>
          <w:lang w:eastAsia="zh-CN"/>
        </w:rPr>
      </w:pPr>
    </w:p>
    <w:p w14:paraId="564AF975" w14:textId="2F3D8699" w:rsidR="004B39D6" w:rsidRPr="004B39D6" w:rsidRDefault="004B39D6" w:rsidP="004B39D6">
      <w:pPr>
        <w:adjustRightInd w:val="0"/>
        <w:snapToGrid w:val="0"/>
        <w:spacing w:after="0" w:line="360" w:lineRule="auto"/>
        <w:jc w:val="right"/>
        <w:rPr>
          <w:rFonts w:ascii="Book Antiqua" w:hAnsi="Book Antiqua"/>
          <w:b/>
          <w:color w:val="000000"/>
          <w:sz w:val="24"/>
          <w:szCs w:val="24"/>
        </w:rPr>
      </w:pPr>
      <w:bookmarkStart w:id="139" w:name="OLE_LINK399"/>
      <w:bookmarkStart w:id="140" w:name="OLE_LINK400"/>
      <w:bookmarkStart w:id="141" w:name="OLE_LINK307"/>
      <w:bookmarkStart w:id="142" w:name="OLE_LINK308"/>
      <w:bookmarkStart w:id="143" w:name="OLE_LINK319"/>
      <w:bookmarkStart w:id="144" w:name="OLE_LINK338"/>
      <w:bookmarkStart w:id="145" w:name="OLE_LINK384"/>
      <w:bookmarkStart w:id="146" w:name="OLE_LINK370"/>
      <w:bookmarkStart w:id="147" w:name="OLE_LINK393"/>
      <w:bookmarkStart w:id="148" w:name="OLE_LINK429"/>
      <w:bookmarkStart w:id="149" w:name="OLE_LINK430"/>
      <w:bookmarkStart w:id="150" w:name="OLE_LINK444"/>
      <w:bookmarkStart w:id="151" w:name="OLE_LINK447"/>
      <w:bookmarkStart w:id="152" w:name="OLE_LINK479"/>
      <w:bookmarkStart w:id="153" w:name="OLE_LINK480"/>
      <w:bookmarkStart w:id="154" w:name="OLE_LINK502"/>
      <w:bookmarkStart w:id="155" w:name="OLE_LINK538"/>
      <w:bookmarkStart w:id="156" w:name="OLE_LINK554"/>
      <w:bookmarkStart w:id="157" w:name="OLE_LINK567"/>
      <w:bookmarkStart w:id="158" w:name="OLE_LINK595"/>
      <w:bookmarkStart w:id="159" w:name="OLE_LINK605"/>
      <w:bookmarkStart w:id="160" w:name="OLE_LINK623"/>
      <w:bookmarkStart w:id="161" w:name="OLE_LINK675"/>
      <w:bookmarkStart w:id="162" w:name="OLE_LINK690"/>
      <w:bookmarkStart w:id="163" w:name="OLE_LINK696"/>
      <w:bookmarkStart w:id="164" w:name="OLE_LINK746"/>
      <w:bookmarkStart w:id="165" w:name="OLE_LINK754"/>
      <w:bookmarkStart w:id="166" w:name="OLE_LINK759"/>
      <w:bookmarkStart w:id="167" w:name="OLE_LINK764"/>
      <w:bookmarkStart w:id="168" w:name="OLE_LINK804"/>
      <w:bookmarkStart w:id="169" w:name="OLE_LINK797"/>
      <w:bookmarkStart w:id="170" w:name="OLE_LINK816"/>
      <w:bookmarkStart w:id="171" w:name="OLE_LINK811"/>
      <w:bookmarkStart w:id="172" w:name="OLE_LINK812"/>
      <w:bookmarkStart w:id="173" w:name="OLE_LINK801"/>
      <w:bookmarkStart w:id="174" w:name="OLE_LINK868"/>
      <w:bookmarkStart w:id="175" w:name="OLE_LINK850"/>
      <w:bookmarkStart w:id="176" w:name="OLE_LINK855"/>
      <w:bookmarkStart w:id="177" w:name="OLE_LINK858"/>
      <w:r w:rsidRPr="004B39D6">
        <w:rPr>
          <w:rFonts w:ascii="Book Antiqua" w:hAnsi="Book Antiqua"/>
          <w:b/>
          <w:color w:val="000000"/>
          <w:sz w:val="24"/>
          <w:szCs w:val="24"/>
        </w:rPr>
        <w:t>P-Reviewer:</w:t>
      </w:r>
      <w:r w:rsidRPr="004B39D6">
        <w:rPr>
          <w:rFonts w:ascii="Book Antiqua" w:hAnsi="Book Antiqua"/>
          <w:color w:val="000000"/>
          <w:sz w:val="24"/>
          <w:szCs w:val="24"/>
        </w:rPr>
        <w:t xml:space="preserve"> He</w:t>
      </w:r>
      <w:r>
        <w:rPr>
          <w:rFonts w:ascii="Book Antiqua" w:hAnsi="Book Antiqua" w:hint="eastAsia"/>
          <w:color w:val="000000"/>
          <w:sz w:val="24"/>
          <w:szCs w:val="24"/>
          <w:lang w:eastAsia="zh-CN"/>
        </w:rPr>
        <w:t xml:space="preserve"> ST </w:t>
      </w:r>
      <w:r w:rsidRPr="004B39D6">
        <w:rPr>
          <w:rFonts w:ascii="Book Antiqua" w:hAnsi="Book Antiqua"/>
          <w:b/>
          <w:color w:val="000000"/>
          <w:sz w:val="24"/>
          <w:szCs w:val="24"/>
        </w:rPr>
        <w:t xml:space="preserve">S-Editor: </w:t>
      </w:r>
      <w:r w:rsidRPr="004B39D6">
        <w:rPr>
          <w:rFonts w:ascii="Book Antiqua" w:hAnsi="Book Antiqua"/>
          <w:color w:val="000000"/>
          <w:sz w:val="24"/>
          <w:szCs w:val="24"/>
        </w:rPr>
        <w:t xml:space="preserve">Kong JX </w:t>
      </w:r>
      <w:r w:rsidRPr="004B39D6">
        <w:rPr>
          <w:rFonts w:ascii="Book Antiqua" w:hAnsi="Book Antiqua"/>
          <w:b/>
          <w:color w:val="000000"/>
          <w:sz w:val="24"/>
          <w:szCs w:val="24"/>
        </w:rPr>
        <w:t>L-Editor: E-Editor:</w:t>
      </w:r>
    </w:p>
    <w:p w14:paraId="1550D326" w14:textId="77777777" w:rsidR="004B39D6" w:rsidRPr="004B39D6" w:rsidRDefault="004B39D6" w:rsidP="004B39D6">
      <w:pPr>
        <w:shd w:val="clear" w:color="auto" w:fill="FFFFFF"/>
        <w:snapToGrid w:val="0"/>
        <w:spacing w:after="0" w:line="360" w:lineRule="auto"/>
        <w:rPr>
          <w:rFonts w:ascii="Book Antiqua" w:hAnsi="Book Antiqua" w:cs="Helvetica"/>
          <w:b/>
          <w:sz w:val="24"/>
          <w:szCs w:val="24"/>
        </w:rPr>
      </w:pPr>
      <w:bookmarkStart w:id="178" w:name="OLE_LINK880"/>
      <w:bookmarkStart w:id="179" w:name="OLE_LINK881"/>
      <w:bookmarkStart w:id="180" w:name="OLE_LINK813"/>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58C123E2" w14:textId="77777777" w:rsidR="004B39D6" w:rsidRPr="004B39D6" w:rsidRDefault="004B39D6" w:rsidP="004B39D6">
      <w:pPr>
        <w:shd w:val="clear" w:color="auto" w:fill="FFFFFF"/>
        <w:snapToGrid w:val="0"/>
        <w:spacing w:after="0" w:line="360" w:lineRule="auto"/>
        <w:rPr>
          <w:rFonts w:ascii="Book Antiqua" w:hAnsi="Book Antiqua" w:cs="Helvetica"/>
          <w:b/>
          <w:sz w:val="24"/>
          <w:szCs w:val="24"/>
        </w:rPr>
      </w:pPr>
      <w:r w:rsidRPr="004B39D6">
        <w:rPr>
          <w:rFonts w:ascii="Book Antiqua" w:hAnsi="Book Antiqua" w:cs="Helvetica"/>
          <w:b/>
          <w:sz w:val="24"/>
          <w:szCs w:val="24"/>
        </w:rPr>
        <w:t xml:space="preserve">Specialty type: </w:t>
      </w:r>
      <w:r w:rsidRPr="004B39D6">
        <w:rPr>
          <w:rFonts w:ascii="Book Antiqua" w:hAnsi="Book Antiqua" w:cs="Helvetica"/>
          <w:sz w:val="24"/>
          <w:szCs w:val="24"/>
        </w:rPr>
        <w:t>Gastroenterology and hepatology</w:t>
      </w:r>
    </w:p>
    <w:p w14:paraId="048A6F18" w14:textId="192AF0CE" w:rsidR="004B39D6" w:rsidRPr="004B39D6" w:rsidRDefault="004B39D6" w:rsidP="004B39D6">
      <w:pPr>
        <w:shd w:val="clear" w:color="auto" w:fill="FFFFFF"/>
        <w:snapToGrid w:val="0"/>
        <w:spacing w:after="0" w:line="360" w:lineRule="auto"/>
        <w:rPr>
          <w:rFonts w:ascii="Book Antiqua" w:hAnsi="Book Antiqua" w:cs="Helvetica"/>
          <w:b/>
          <w:sz w:val="24"/>
          <w:szCs w:val="24"/>
        </w:rPr>
      </w:pPr>
      <w:r w:rsidRPr="004B39D6">
        <w:rPr>
          <w:rFonts w:ascii="Book Antiqua" w:hAnsi="Book Antiqua" w:cs="Helvetica"/>
          <w:b/>
          <w:sz w:val="24"/>
          <w:szCs w:val="24"/>
        </w:rPr>
        <w:t xml:space="preserve">Country of origin: </w:t>
      </w:r>
      <w:r w:rsidRPr="004B39D6">
        <w:rPr>
          <w:rFonts w:ascii="Book Antiqua" w:hAnsi="Book Antiqua"/>
          <w:sz w:val="24"/>
          <w:szCs w:val="24"/>
        </w:rPr>
        <w:t>Spain</w:t>
      </w:r>
    </w:p>
    <w:p w14:paraId="4DD4A4F7" w14:textId="77777777" w:rsidR="004B39D6" w:rsidRPr="004B39D6" w:rsidRDefault="004B39D6" w:rsidP="004B39D6">
      <w:pPr>
        <w:shd w:val="clear" w:color="auto" w:fill="FFFFFF"/>
        <w:snapToGrid w:val="0"/>
        <w:spacing w:after="0" w:line="360" w:lineRule="auto"/>
        <w:rPr>
          <w:rFonts w:ascii="Book Antiqua" w:hAnsi="Book Antiqua" w:cs="Helvetica"/>
          <w:b/>
          <w:sz w:val="24"/>
          <w:szCs w:val="24"/>
        </w:rPr>
      </w:pPr>
      <w:r w:rsidRPr="004B39D6">
        <w:rPr>
          <w:rFonts w:ascii="Book Antiqua" w:hAnsi="Book Antiqua" w:cs="Helvetica"/>
          <w:b/>
          <w:sz w:val="24"/>
          <w:szCs w:val="24"/>
        </w:rPr>
        <w:lastRenderedPageBreak/>
        <w:t>Peer-review report classification</w:t>
      </w:r>
    </w:p>
    <w:p w14:paraId="71C968E0" w14:textId="77777777" w:rsidR="004B39D6" w:rsidRPr="004B39D6" w:rsidRDefault="004B39D6" w:rsidP="004B39D6">
      <w:pPr>
        <w:shd w:val="clear" w:color="auto" w:fill="FFFFFF"/>
        <w:snapToGrid w:val="0"/>
        <w:spacing w:after="0" w:line="360" w:lineRule="auto"/>
        <w:rPr>
          <w:rFonts w:ascii="Book Antiqua" w:hAnsi="Book Antiqua" w:cs="Helvetica"/>
          <w:sz w:val="24"/>
          <w:szCs w:val="24"/>
        </w:rPr>
      </w:pPr>
      <w:r w:rsidRPr="004B39D6">
        <w:rPr>
          <w:rFonts w:ascii="Book Antiqua" w:hAnsi="Book Antiqua" w:cs="Helvetica"/>
          <w:sz w:val="24"/>
          <w:szCs w:val="24"/>
        </w:rPr>
        <w:t>Grade A (Excellent): 0</w:t>
      </w:r>
    </w:p>
    <w:p w14:paraId="56C94EB6" w14:textId="42C8CE95" w:rsidR="004B39D6" w:rsidRPr="004B39D6" w:rsidRDefault="004B39D6" w:rsidP="004B39D6">
      <w:pPr>
        <w:shd w:val="clear" w:color="auto" w:fill="FFFFFF"/>
        <w:snapToGrid w:val="0"/>
        <w:spacing w:after="0" w:line="360" w:lineRule="auto"/>
        <w:rPr>
          <w:rFonts w:ascii="Book Antiqua" w:hAnsi="Book Antiqua" w:cs="Helvetica"/>
          <w:sz w:val="24"/>
          <w:szCs w:val="24"/>
          <w:lang w:eastAsia="zh-CN"/>
        </w:rPr>
      </w:pPr>
      <w:r w:rsidRPr="004B39D6">
        <w:rPr>
          <w:rFonts w:ascii="Book Antiqua" w:hAnsi="Book Antiqua" w:cs="Helvetica"/>
          <w:sz w:val="24"/>
          <w:szCs w:val="24"/>
        </w:rPr>
        <w:t xml:space="preserve">Grade B (Very good): </w:t>
      </w:r>
      <w:r>
        <w:rPr>
          <w:rFonts w:ascii="Book Antiqua" w:hAnsi="Book Antiqua" w:cs="Helvetica" w:hint="eastAsia"/>
          <w:sz w:val="24"/>
          <w:szCs w:val="24"/>
          <w:lang w:eastAsia="zh-CN"/>
        </w:rPr>
        <w:t>B</w:t>
      </w:r>
    </w:p>
    <w:p w14:paraId="03DD8732" w14:textId="0E9E32D7" w:rsidR="004B39D6" w:rsidRPr="004B39D6" w:rsidRDefault="004B39D6" w:rsidP="004B39D6">
      <w:pPr>
        <w:shd w:val="clear" w:color="auto" w:fill="FFFFFF"/>
        <w:snapToGrid w:val="0"/>
        <w:spacing w:after="0" w:line="360" w:lineRule="auto"/>
        <w:rPr>
          <w:rFonts w:ascii="Book Antiqua" w:hAnsi="Book Antiqua" w:cs="Helvetica"/>
          <w:sz w:val="24"/>
          <w:szCs w:val="24"/>
          <w:lang w:eastAsia="zh-CN"/>
        </w:rPr>
      </w:pPr>
      <w:r w:rsidRPr="004B39D6">
        <w:rPr>
          <w:rFonts w:ascii="Book Antiqua" w:hAnsi="Book Antiqua" w:cs="Helvetica"/>
          <w:sz w:val="24"/>
          <w:szCs w:val="24"/>
        </w:rPr>
        <w:t xml:space="preserve">Grade C (Good): </w:t>
      </w:r>
      <w:r>
        <w:rPr>
          <w:rFonts w:ascii="Book Antiqua" w:hAnsi="Book Antiqua" w:cs="Helvetica" w:hint="eastAsia"/>
          <w:sz w:val="24"/>
          <w:szCs w:val="24"/>
          <w:lang w:eastAsia="zh-CN"/>
        </w:rPr>
        <w:t>0</w:t>
      </w:r>
    </w:p>
    <w:p w14:paraId="64982BEE" w14:textId="77777777" w:rsidR="004B39D6" w:rsidRPr="004B39D6" w:rsidRDefault="004B39D6" w:rsidP="004B39D6">
      <w:pPr>
        <w:shd w:val="clear" w:color="auto" w:fill="FFFFFF"/>
        <w:snapToGrid w:val="0"/>
        <w:spacing w:after="0" w:line="360" w:lineRule="auto"/>
        <w:rPr>
          <w:rFonts w:ascii="Book Antiqua" w:hAnsi="Book Antiqua" w:cs="Helvetica"/>
          <w:sz w:val="24"/>
          <w:szCs w:val="24"/>
        </w:rPr>
      </w:pPr>
      <w:r w:rsidRPr="004B39D6">
        <w:rPr>
          <w:rFonts w:ascii="Book Antiqua" w:hAnsi="Book Antiqua" w:cs="Helvetica"/>
          <w:sz w:val="24"/>
          <w:szCs w:val="24"/>
        </w:rPr>
        <w:t>Grade D (Fair): 0</w:t>
      </w:r>
    </w:p>
    <w:p w14:paraId="3CDA2E17" w14:textId="77777777" w:rsidR="004B39D6" w:rsidRPr="004B39D6" w:rsidRDefault="004B39D6" w:rsidP="004B39D6">
      <w:pPr>
        <w:shd w:val="clear" w:color="auto" w:fill="FFFFFF"/>
        <w:snapToGrid w:val="0"/>
        <w:spacing w:after="0" w:line="360" w:lineRule="auto"/>
        <w:rPr>
          <w:rFonts w:ascii="Book Antiqua" w:hAnsi="Book Antiqua" w:cs="Helvetica"/>
          <w:sz w:val="24"/>
          <w:szCs w:val="24"/>
        </w:rPr>
      </w:pPr>
      <w:r w:rsidRPr="004B39D6">
        <w:rPr>
          <w:rFonts w:ascii="Book Antiqua" w:hAnsi="Book Antiqua" w:cs="Helvetica"/>
          <w:sz w:val="24"/>
          <w:szCs w:val="24"/>
        </w:rPr>
        <w:t>Grade E (Poor): 0</w:t>
      </w:r>
      <w:bookmarkEnd w:id="178"/>
      <w:bookmarkEnd w:id="179"/>
      <w:bookmarkEnd w:id="180"/>
    </w:p>
    <w:bookmarkEnd w:id="171"/>
    <w:bookmarkEnd w:id="172"/>
    <w:bookmarkEnd w:id="173"/>
    <w:bookmarkEnd w:id="174"/>
    <w:bookmarkEnd w:id="175"/>
    <w:bookmarkEnd w:id="176"/>
    <w:bookmarkEnd w:id="177"/>
    <w:p w14:paraId="2970F012" w14:textId="77777777" w:rsidR="004B39D6" w:rsidRPr="004B39D6" w:rsidRDefault="004B39D6" w:rsidP="004B39D6">
      <w:pPr>
        <w:snapToGrid w:val="0"/>
        <w:spacing w:after="0" w:line="360" w:lineRule="auto"/>
        <w:jc w:val="both"/>
        <w:rPr>
          <w:rFonts w:ascii="Book Antiqua" w:hAnsi="Book Antiqua" w:cs="Arial"/>
          <w:sz w:val="24"/>
          <w:szCs w:val="24"/>
          <w:lang w:eastAsia="zh-CN"/>
        </w:rPr>
      </w:pPr>
    </w:p>
    <w:p w14:paraId="621870AA" w14:textId="77777777" w:rsidR="003B780A" w:rsidRPr="004B39D6" w:rsidRDefault="003B780A" w:rsidP="0081528B">
      <w:pPr>
        <w:pStyle w:val="ListParagraph"/>
        <w:snapToGrid w:val="0"/>
        <w:spacing w:after="0" w:line="360" w:lineRule="auto"/>
        <w:ind w:left="502"/>
        <w:contextualSpacing w:val="0"/>
        <w:jc w:val="both"/>
        <w:rPr>
          <w:rFonts w:ascii="Book Antiqua" w:hAnsi="Book Antiqua" w:cs="Arial"/>
          <w:sz w:val="24"/>
          <w:szCs w:val="24"/>
          <w:lang w:val="en-US"/>
        </w:rPr>
      </w:pPr>
    </w:p>
    <w:p w14:paraId="4A024214" w14:textId="37D70402" w:rsidR="003B780A" w:rsidRPr="004B39D6" w:rsidRDefault="003B780A"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br w:type="page"/>
      </w:r>
    </w:p>
    <w:p w14:paraId="6CC59B2A" w14:textId="2189264A" w:rsidR="00A61C44" w:rsidRPr="004B39D6" w:rsidRDefault="009824EA" w:rsidP="0081528B">
      <w:pPr>
        <w:snapToGrid w:val="0"/>
        <w:spacing w:after="0" w:line="360" w:lineRule="auto"/>
        <w:jc w:val="both"/>
        <w:rPr>
          <w:rFonts w:ascii="Book Antiqua" w:hAnsi="Book Antiqua" w:cs="Arial"/>
          <w:sz w:val="24"/>
          <w:szCs w:val="24"/>
          <w:lang w:val="en-US"/>
        </w:rPr>
      </w:pPr>
      <w:r w:rsidRPr="004B39D6">
        <w:rPr>
          <w:rFonts w:ascii="Book Antiqua" w:hAnsi="Book Antiqua"/>
          <w:noProof/>
          <w:sz w:val="24"/>
          <w:szCs w:val="24"/>
          <w:lang w:val="en-US" w:eastAsia="en-US"/>
        </w:rPr>
        <w:lastRenderedPageBreak/>
        <mc:AlternateContent>
          <mc:Choice Requires="wps">
            <w:drawing>
              <wp:anchor distT="0" distB="0" distL="114300" distR="114300" simplePos="0" relativeHeight="251663360" behindDoc="0" locked="0" layoutInCell="1" allowOverlap="1" wp14:anchorId="22DBF443" wp14:editId="6C971AA6">
                <wp:simplePos x="0" y="0"/>
                <wp:positionH relativeFrom="column">
                  <wp:posOffset>-311785</wp:posOffset>
                </wp:positionH>
                <wp:positionV relativeFrom="paragraph">
                  <wp:posOffset>56515</wp:posOffset>
                </wp:positionV>
                <wp:extent cx="317500" cy="368935"/>
                <wp:effectExtent l="0" t="0" r="0" b="0"/>
                <wp:wrapNone/>
                <wp:docPr id="4" name="6 CuadroTexto"/>
                <wp:cNvGraphicFramePr/>
                <a:graphic xmlns:a="http://schemas.openxmlformats.org/drawingml/2006/main">
                  <a:graphicData uri="http://schemas.microsoft.com/office/word/2010/wordprocessingShape">
                    <wps:wsp>
                      <wps:cNvSpPr txBox="1"/>
                      <wps:spPr>
                        <a:xfrm>
                          <a:off x="0" y="0"/>
                          <a:ext cx="317500" cy="368935"/>
                        </a:xfrm>
                        <a:prstGeom prst="rect">
                          <a:avLst/>
                        </a:prstGeom>
                        <a:noFill/>
                      </wps:spPr>
                      <wps:txbx>
                        <w:txbxContent>
                          <w:p w14:paraId="41F65692" w14:textId="77777777" w:rsidR="004B6347" w:rsidRDefault="004B6347" w:rsidP="009824EA">
                            <w:pPr>
                              <w:pStyle w:val="NormalWeb"/>
                              <w:spacing w:before="0" w:beforeAutospacing="0" w:after="0" w:afterAutospacing="0"/>
                            </w:pPr>
                            <w:r>
                              <w:rPr>
                                <w:rFonts w:asciiTheme="minorHAnsi" w:hAnsi="Calibri" w:cstheme="minorBidi"/>
                                <w:color w:val="000000" w:themeColor="text1"/>
                                <w:kern w:val="24"/>
                                <w:sz w:val="36"/>
                                <w:szCs w:val="36"/>
                              </w:rPr>
                              <w:t>A</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6 CuadroTexto" o:spid="_x0000_s1026" type="#_x0000_t202" style="position:absolute;left:0;text-align:left;margin-left:-24.55pt;margin-top:4.45pt;width:25pt;height:29.0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" filled="f" stroked="f">
                <v:textbox style="mso-fit-shape-to-text:t">
                  <w:txbxContent>
                    <w:p w14:paraId="41F65692" w14:textId="77777777" w:rsidR="004B6347" w:rsidRDefault="004B6347" w:rsidP="009824EA">
                      <w:pPr>
                        <w:pStyle w:val="af0"/>
                        <w:spacing w:before="0" w:beforeAutospacing="0" w:after="0" w:afterAutospacing="0"/>
                      </w:pPr>
                      <w:r>
                        <w:rPr>
                          <w:rFonts w:asciiTheme="minorHAnsi" w:hAnsi="Calibri" w:cstheme="minorBidi"/>
                          <w:color w:val="000000" w:themeColor="text1"/>
                          <w:kern w:val="24"/>
                          <w:sz w:val="36"/>
                          <w:szCs w:val="36"/>
                        </w:rPr>
                        <w:t>A</w:t>
                      </w:r>
                    </w:p>
                  </w:txbxContent>
                </v:textbox>
              </v:shape>
            </w:pict>
          </mc:Fallback>
        </mc:AlternateContent>
      </w:r>
      <w:r w:rsidRPr="004B39D6">
        <w:rPr>
          <w:rFonts w:ascii="Book Antiqua" w:hAnsi="Book Antiqua"/>
          <w:noProof/>
          <w:sz w:val="24"/>
          <w:szCs w:val="24"/>
          <w:lang w:val="en-US" w:eastAsia="en-US"/>
        </w:rPr>
        <mc:AlternateContent>
          <mc:Choice Requires="wps">
            <w:drawing>
              <wp:anchor distT="0" distB="0" distL="114300" distR="114300" simplePos="0" relativeHeight="251664384" behindDoc="0" locked="0" layoutInCell="1" allowOverlap="1" wp14:anchorId="2172D3AB" wp14:editId="302D8B8A">
                <wp:simplePos x="0" y="0"/>
                <wp:positionH relativeFrom="column">
                  <wp:posOffset>-309245</wp:posOffset>
                </wp:positionH>
                <wp:positionV relativeFrom="paragraph">
                  <wp:posOffset>2726055</wp:posOffset>
                </wp:positionV>
                <wp:extent cx="309245" cy="368935"/>
                <wp:effectExtent l="0" t="0" r="0" b="0"/>
                <wp:wrapNone/>
                <wp:docPr id="10" name="7 CuadroTexto"/>
                <wp:cNvGraphicFramePr/>
                <a:graphic xmlns:a="http://schemas.openxmlformats.org/drawingml/2006/main">
                  <a:graphicData uri="http://schemas.microsoft.com/office/word/2010/wordprocessingShape">
                    <wps:wsp>
                      <wps:cNvSpPr txBox="1"/>
                      <wps:spPr>
                        <a:xfrm>
                          <a:off x="0" y="0"/>
                          <a:ext cx="309245" cy="368935"/>
                        </a:xfrm>
                        <a:prstGeom prst="rect">
                          <a:avLst/>
                        </a:prstGeom>
                        <a:noFill/>
                      </wps:spPr>
                      <wps:txbx>
                        <w:txbxContent>
                          <w:p w14:paraId="70276338" w14:textId="77777777" w:rsidR="004B6347" w:rsidRDefault="004B6347" w:rsidP="009824EA">
                            <w:pPr>
                              <w:pStyle w:val="NormalWeb"/>
                              <w:spacing w:before="0" w:beforeAutospacing="0" w:after="0" w:afterAutospacing="0"/>
                            </w:pPr>
                            <w:r>
                              <w:rPr>
                                <w:rFonts w:asciiTheme="minorHAnsi" w:hAnsi="Calibri" w:cstheme="minorBidi"/>
                                <w:color w:val="000000" w:themeColor="text1"/>
                                <w:kern w:val="24"/>
                                <w:sz w:val="36"/>
                                <w:szCs w:val="36"/>
                              </w:rPr>
                              <w:t>B</w:t>
                            </w:r>
                          </w:p>
                        </w:txbxContent>
                      </wps:txbx>
                      <wps:bodyPr wrap="none" rtlCol="0">
                        <a:spAutoFit/>
                      </wps:bodyPr>
                    </wps:wsp>
                  </a:graphicData>
                </a:graphic>
              </wp:anchor>
            </w:drawing>
          </mc:Choice>
          <mc:Fallback>
            <w:pict>
              <v:shape id="7 CuadroTexto" o:spid="_x0000_s1027" type="#_x0000_t202" style="position:absolute;left:0;text-align:left;margin-left:-24.35pt;margin-top:214.65pt;width:24.35pt;height:29.0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" filled="f" stroked="f">
                <v:textbox style="mso-fit-shape-to-text:t">
                  <w:txbxContent>
                    <w:p w14:paraId="70276338" w14:textId="77777777" w:rsidR="004B6347" w:rsidRDefault="004B6347" w:rsidP="009824EA">
                      <w:pPr>
                        <w:pStyle w:val="af0"/>
                        <w:spacing w:before="0" w:beforeAutospacing="0" w:after="0" w:afterAutospacing="0"/>
                      </w:pPr>
                      <w:r>
                        <w:rPr>
                          <w:rFonts w:asciiTheme="minorHAnsi" w:hAnsi="Calibri" w:cstheme="minorBidi"/>
                          <w:color w:val="000000" w:themeColor="text1"/>
                          <w:kern w:val="24"/>
                          <w:sz w:val="36"/>
                          <w:szCs w:val="36"/>
                        </w:rPr>
                        <w:t>B</w:t>
                      </w:r>
                    </w:p>
                  </w:txbxContent>
                </v:textbox>
              </v:shape>
            </w:pict>
          </mc:Fallback>
        </mc:AlternateContent>
      </w:r>
      <w:r w:rsidRPr="004B39D6">
        <w:rPr>
          <w:rFonts w:ascii="Book Antiqua" w:hAnsi="Book Antiqua"/>
          <w:noProof/>
          <w:sz w:val="24"/>
          <w:szCs w:val="24"/>
          <w:lang w:val="en-US" w:eastAsia="en-US"/>
        </w:rPr>
        <mc:AlternateContent>
          <mc:Choice Requires="wps">
            <w:drawing>
              <wp:anchor distT="0" distB="0" distL="114300" distR="114300" simplePos="0" relativeHeight="251665408" behindDoc="0" locked="0" layoutInCell="1" allowOverlap="1" wp14:anchorId="1FBAC0F6" wp14:editId="258EA686">
                <wp:simplePos x="0" y="0"/>
                <wp:positionH relativeFrom="column">
                  <wp:posOffset>-300990</wp:posOffset>
                </wp:positionH>
                <wp:positionV relativeFrom="paragraph">
                  <wp:posOffset>4784090</wp:posOffset>
                </wp:positionV>
                <wp:extent cx="307975" cy="368935"/>
                <wp:effectExtent l="0" t="0" r="0" b="0"/>
                <wp:wrapNone/>
                <wp:docPr id="11" name="8 CuadroTexto"/>
                <wp:cNvGraphicFramePr/>
                <a:graphic xmlns:a="http://schemas.openxmlformats.org/drawingml/2006/main">
                  <a:graphicData uri="http://schemas.microsoft.com/office/word/2010/wordprocessingShape">
                    <wps:wsp>
                      <wps:cNvSpPr txBox="1"/>
                      <wps:spPr>
                        <a:xfrm>
                          <a:off x="0" y="0"/>
                          <a:ext cx="307975" cy="368935"/>
                        </a:xfrm>
                        <a:prstGeom prst="rect">
                          <a:avLst/>
                        </a:prstGeom>
                        <a:noFill/>
                      </wps:spPr>
                      <wps:txbx>
                        <w:txbxContent>
                          <w:p w14:paraId="1BD77D3C" w14:textId="77777777" w:rsidR="004B6347" w:rsidRDefault="004B6347" w:rsidP="009824EA">
                            <w:pPr>
                              <w:pStyle w:val="NormalWeb"/>
                              <w:spacing w:before="0" w:beforeAutospacing="0" w:after="0" w:afterAutospacing="0"/>
                            </w:pPr>
                            <w:r>
                              <w:rPr>
                                <w:rFonts w:asciiTheme="minorHAnsi" w:hAnsi="Calibri" w:cstheme="minorBidi"/>
                                <w:color w:val="000000" w:themeColor="text1"/>
                                <w:kern w:val="24"/>
                                <w:sz w:val="36"/>
                                <w:szCs w:val="36"/>
                              </w:rPr>
                              <w:t>C</w:t>
                            </w:r>
                          </w:p>
                        </w:txbxContent>
                      </wps:txbx>
                      <wps:bodyPr wrap="none" rtlCol="0">
                        <a:spAutoFit/>
                      </wps:bodyPr>
                    </wps:wsp>
                  </a:graphicData>
                </a:graphic>
              </wp:anchor>
            </w:drawing>
          </mc:Choice>
          <mc:Fallback>
            <w:pict>
              <v:shape id="8 CuadroTexto" o:spid="_x0000_s1028" type="#_x0000_t202" style="position:absolute;left:0;text-align:left;margin-left:-23.7pt;margin-top:376.7pt;width:24.25pt;height:29.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" filled="f" stroked="f">
                <v:textbox style="mso-fit-shape-to-text:t">
                  <w:txbxContent>
                    <w:p w14:paraId="1BD77D3C" w14:textId="77777777" w:rsidR="004B6347" w:rsidRDefault="004B6347" w:rsidP="009824EA">
                      <w:pPr>
                        <w:pStyle w:val="af0"/>
                        <w:spacing w:before="0" w:beforeAutospacing="0" w:after="0" w:afterAutospacing="0"/>
                      </w:pPr>
                      <w:r>
                        <w:rPr>
                          <w:rFonts w:asciiTheme="minorHAnsi" w:hAnsi="Calibri" w:cstheme="minorBidi"/>
                          <w:color w:val="000000" w:themeColor="text1"/>
                          <w:kern w:val="24"/>
                          <w:sz w:val="36"/>
                          <w:szCs w:val="36"/>
                        </w:rPr>
                        <w:t>C</w:t>
                      </w:r>
                    </w:p>
                  </w:txbxContent>
                </v:textbox>
              </v:shape>
            </w:pict>
          </mc:Fallback>
        </mc:AlternateContent>
      </w:r>
      <w:r w:rsidRPr="004B39D6">
        <w:rPr>
          <w:rFonts w:ascii="Book Antiqua" w:hAnsi="Book Antiqua"/>
          <w:noProof/>
          <w:sz w:val="24"/>
          <w:szCs w:val="24"/>
          <w:lang w:val="en-US" w:eastAsia="en-US"/>
        </w:rPr>
        <w:drawing>
          <wp:inline distT="0" distB="0" distL="0" distR="0" wp14:anchorId="638A2223" wp14:editId="20B795C9">
            <wp:extent cx="5178056" cy="2636874"/>
            <wp:effectExtent l="0" t="0" r="22860" b="1143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B39D6">
        <w:rPr>
          <w:rFonts w:ascii="Book Antiqua" w:hAnsi="Book Antiqua"/>
          <w:noProof/>
          <w:sz w:val="24"/>
          <w:szCs w:val="24"/>
          <w:lang w:val="en-US" w:eastAsia="en-US"/>
        </w:rPr>
        <w:drawing>
          <wp:inline distT="0" distB="0" distL="0" distR="0" wp14:anchorId="6D570F44" wp14:editId="53CE7670">
            <wp:extent cx="5178056" cy="2105247"/>
            <wp:effectExtent l="0" t="0" r="22860" b="952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4B39D6">
        <w:rPr>
          <w:rFonts w:ascii="Book Antiqua" w:hAnsi="Book Antiqua"/>
          <w:noProof/>
          <w:sz w:val="24"/>
          <w:szCs w:val="24"/>
          <w:lang w:val="en-US" w:eastAsia="en-US"/>
        </w:rPr>
        <w:drawing>
          <wp:inline distT="0" distB="0" distL="0" distR="0" wp14:anchorId="676276B4" wp14:editId="4E93D461">
            <wp:extent cx="5184575" cy="2411749"/>
            <wp:effectExtent l="0" t="0" r="16510" b="2667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CA6F7D" w14:textId="77777777" w:rsidR="00C378DA" w:rsidRDefault="00234964" w:rsidP="0081528B">
      <w:pPr>
        <w:snapToGrid w:val="0"/>
        <w:spacing w:after="0" w:line="360" w:lineRule="auto"/>
        <w:jc w:val="both"/>
        <w:rPr>
          <w:rFonts w:ascii="Book Antiqua" w:hAnsi="Book Antiqua" w:cs="Arial"/>
          <w:sz w:val="24"/>
          <w:szCs w:val="24"/>
          <w:lang w:val="en-US" w:eastAsia="zh-CN"/>
        </w:rPr>
      </w:pPr>
      <w:r w:rsidRPr="004B39D6">
        <w:rPr>
          <w:rFonts w:ascii="Book Antiqua" w:hAnsi="Book Antiqua" w:cs="Arial"/>
          <w:b/>
          <w:sz w:val="24"/>
          <w:szCs w:val="24"/>
          <w:lang w:val="en-US"/>
        </w:rPr>
        <w:t>Figure 1</w:t>
      </w:r>
      <w:r w:rsidR="003B780A" w:rsidRPr="004B39D6">
        <w:rPr>
          <w:rFonts w:ascii="Book Antiqua" w:hAnsi="Book Antiqua" w:cs="Arial"/>
          <w:b/>
          <w:sz w:val="24"/>
          <w:szCs w:val="24"/>
          <w:lang w:val="en-US"/>
        </w:rPr>
        <w:t xml:space="preserve"> Polyclonal response of T cells upon recall with peptides of the </w:t>
      </w:r>
      <w:r w:rsidR="007E2B27" w:rsidRPr="007E2B27">
        <w:rPr>
          <w:rFonts w:ascii="Book Antiqua" w:eastAsia="微软雅黑" w:hAnsi="Book Antiqua"/>
          <w:b/>
          <w:color w:val="000000"/>
          <w:sz w:val="24"/>
          <w:szCs w:val="24"/>
        </w:rPr>
        <w:t xml:space="preserve">glutathione S-transferase T1 </w:t>
      </w:r>
      <w:r w:rsidR="003B780A" w:rsidRPr="007E2B27">
        <w:rPr>
          <w:rFonts w:ascii="Book Antiqua" w:hAnsi="Book Antiqua" w:cs="Arial"/>
          <w:b/>
          <w:sz w:val="24"/>
          <w:szCs w:val="24"/>
          <w:lang w:val="en-US"/>
        </w:rPr>
        <w:t xml:space="preserve">protein. </w:t>
      </w:r>
      <w:r w:rsidR="00C649E5" w:rsidRPr="007E2B27">
        <w:rPr>
          <w:rFonts w:ascii="Book Antiqua" w:hAnsi="Book Antiqua" w:cs="Arial"/>
          <w:sz w:val="24"/>
          <w:szCs w:val="24"/>
          <w:lang w:val="en-US"/>
        </w:rPr>
        <w:t xml:space="preserve">Percentages of activation </w:t>
      </w:r>
      <w:r w:rsidR="00CF75C7" w:rsidRPr="007E2B27">
        <w:rPr>
          <w:rFonts w:ascii="Book Antiqua" w:hAnsi="Book Antiqua" w:cs="Arial"/>
          <w:sz w:val="24"/>
          <w:szCs w:val="24"/>
          <w:lang w:val="en-US"/>
        </w:rPr>
        <w:t>upon exposure to</w:t>
      </w:r>
      <w:r w:rsidR="00CF75C7" w:rsidRPr="004B39D6">
        <w:rPr>
          <w:rFonts w:ascii="Book Antiqua" w:hAnsi="Book Antiqua" w:cs="Arial"/>
          <w:sz w:val="24"/>
          <w:szCs w:val="24"/>
          <w:lang w:val="en-US"/>
        </w:rPr>
        <w:t xml:space="preserve"> the different pools are represented.</w:t>
      </w:r>
      <w:r w:rsidR="00C649E5" w:rsidRPr="004B39D6">
        <w:rPr>
          <w:rFonts w:ascii="Book Antiqua" w:hAnsi="Book Antiqua" w:cs="Arial"/>
          <w:sz w:val="24"/>
          <w:szCs w:val="24"/>
          <w:lang w:val="en-US"/>
        </w:rPr>
        <w:t xml:space="preserve"> </w:t>
      </w:r>
      <w:r w:rsidR="003B780A" w:rsidRPr="004B39D6">
        <w:rPr>
          <w:rFonts w:ascii="Book Antiqua" w:hAnsi="Book Antiqua" w:cs="Arial"/>
          <w:sz w:val="24"/>
          <w:szCs w:val="24"/>
          <w:lang w:val="en-US"/>
        </w:rPr>
        <w:t xml:space="preserve">Three cell types </w:t>
      </w:r>
      <w:r w:rsidR="00D30F10" w:rsidRPr="004B39D6">
        <w:rPr>
          <w:rFonts w:ascii="Book Antiqua" w:hAnsi="Book Antiqua" w:cs="Arial"/>
          <w:sz w:val="24"/>
          <w:szCs w:val="24"/>
          <w:lang w:val="en-US"/>
        </w:rPr>
        <w:t>showed</w:t>
      </w:r>
      <w:r w:rsidR="003B780A" w:rsidRPr="004B39D6">
        <w:rPr>
          <w:rFonts w:ascii="Book Antiqua" w:hAnsi="Book Antiqua" w:cs="Arial"/>
          <w:sz w:val="24"/>
          <w:szCs w:val="24"/>
          <w:lang w:val="en-US"/>
        </w:rPr>
        <w:t xml:space="preserve"> activation at different levels. </w:t>
      </w:r>
      <w:r w:rsidR="00CF75C7" w:rsidRPr="004B39D6">
        <w:rPr>
          <w:rFonts w:ascii="Book Antiqua" w:hAnsi="Book Antiqua" w:cs="Arial"/>
          <w:sz w:val="24"/>
          <w:szCs w:val="24"/>
          <w:lang w:val="en-US"/>
        </w:rPr>
        <w:t>A</w:t>
      </w:r>
      <w:r w:rsidR="007E2B27">
        <w:rPr>
          <w:rFonts w:ascii="Book Antiqua" w:hAnsi="Book Antiqua" w:cs="Arial" w:hint="eastAsia"/>
          <w:sz w:val="24"/>
          <w:szCs w:val="24"/>
          <w:lang w:val="en-US" w:eastAsia="zh-CN"/>
        </w:rPr>
        <w:t>:</w:t>
      </w:r>
      <w:r w:rsidR="00CF75C7" w:rsidRPr="004B39D6">
        <w:rPr>
          <w:rFonts w:ascii="Book Antiqua" w:hAnsi="Book Antiqua" w:cs="Arial"/>
          <w:sz w:val="24"/>
          <w:szCs w:val="24"/>
          <w:lang w:val="en-US"/>
        </w:rPr>
        <w:t xml:space="preserve"> Only CD8</w:t>
      </w:r>
      <w:r w:rsidR="00CF75C7" w:rsidRPr="004B39D6">
        <w:rPr>
          <w:rFonts w:ascii="Book Antiqua" w:hAnsi="Book Antiqua" w:cs="Arial"/>
          <w:sz w:val="24"/>
          <w:szCs w:val="24"/>
          <w:vertAlign w:val="superscript"/>
          <w:lang w:val="en-US"/>
        </w:rPr>
        <w:t>+</w:t>
      </w:r>
      <w:r w:rsidR="00CF75C7" w:rsidRPr="004B39D6">
        <w:rPr>
          <w:rFonts w:ascii="Book Antiqua" w:hAnsi="Book Antiqua" w:cs="Arial"/>
          <w:sz w:val="24"/>
          <w:szCs w:val="24"/>
          <w:lang w:val="en-US"/>
        </w:rPr>
        <w:t xml:space="preserve"> lymphocytes of patients included in group 1 showed activation. The numbers in the figure represent the highest value obtained for each pathway when activation was induced by different pools of peptides</w:t>
      </w:r>
      <w:r w:rsidR="007E2B27">
        <w:rPr>
          <w:rFonts w:ascii="Book Antiqua" w:hAnsi="Book Antiqua" w:cs="Arial" w:hint="eastAsia"/>
          <w:sz w:val="24"/>
          <w:szCs w:val="24"/>
          <w:lang w:val="en-US" w:eastAsia="zh-CN"/>
        </w:rPr>
        <w:t xml:space="preserve">; </w:t>
      </w:r>
      <w:r w:rsidR="00CF75C7" w:rsidRPr="004B39D6">
        <w:rPr>
          <w:rFonts w:ascii="Book Antiqua" w:hAnsi="Book Antiqua" w:cs="Arial"/>
          <w:sz w:val="24"/>
          <w:szCs w:val="24"/>
          <w:lang w:val="en-US"/>
        </w:rPr>
        <w:t>B</w:t>
      </w:r>
      <w:r w:rsidR="007E2B27">
        <w:rPr>
          <w:rFonts w:ascii="Book Antiqua" w:hAnsi="Book Antiqua" w:cs="Arial" w:hint="eastAsia"/>
          <w:sz w:val="24"/>
          <w:szCs w:val="24"/>
          <w:lang w:val="en-US" w:eastAsia="zh-CN"/>
        </w:rPr>
        <w:t xml:space="preserve">: </w:t>
      </w:r>
      <w:r w:rsidR="006B5F75" w:rsidRPr="004B39D6">
        <w:rPr>
          <w:rFonts w:ascii="Book Antiqua" w:hAnsi="Book Antiqua" w:cs="Arial"/>
          <w:sz w:val="24"/>
          <w:szCs w:val="24"/>
          <w:lang w:val="en-US"/>
        </w:rPr>
        <w:lastRenderedPageBreak/>
        <w:t xml:space="preserve">Activation of </w:t>
      </w:r>
      <w:r w:rsidR="003B780A" w:rsidRPr="004B39D6">
        <w:rPr>
          <w:rFonts w:ascii="Book Antiqua" w:hAnsi="Book Antiqua" w:cs="Arial"/>
          <w:sz w:val="24"/>
          <w:szCs w:val="24"/>
          <w:lang w:val="en-US"/>
        </w:rPr>
        <w:t>CD4</w:t>
      </w:r>
      <w:r w:rsidR="003B780A" w:rsidRPr="004B39D6">
        <w:rPr>
          <w:rFonts w:ascii="Book Antiqua" w:hAnsi="Book Antiqua" w:cs="Arial"/>
          <w:sz w:val="24"/>
          <w:szCs w:val="24"/>
          <w:vertAlign w:val="superscript"/>
          <w:lang w:val="en-US"/>
        </w:rPr>
        <w:t>+</w:t>
      </w:r>
      <w:r w:rsidR="003B780A" w:rsidRPr="004B39D6">
        <w:rPr>
          <w:rFonts w:ascii="Book Antiqua" w:hAnsi="Book Antiqua" w:cs="Arial"/>
          <w:sz w:val="24"/>
          <w:szCs w:val="24"/>
          <w:lang w:val="en-US"/>
        </w:rPr>
        <w:t xml:space="preserve"> lymphocytes</w:t>
      </w:r>
      <w:r w:rsidR="006B5F75" w:rsidRPr="004B39D6">
        <w:rPr>
          <w:rFonts w:ascii="Book Antiqua" w:hAnsi="Book Antiqua" w:cs="Arial"/>
          <w:sz w:val="24"/>
          <w:szCs w:val="24"/>
          <w:lang w:val="en-US"/>
        </w:rPr>
        <w:t xml:space="preserve"> was </w:t>
      </w:r>
      <w:r w:rsidR="004857B9" w:rsidRPr="004B39D6">
        <w:rPr>
          <w:rFonts w:ascii="Book Antiqua" w:hAnsi="Book Antiqua" w:cs="Arial"/>
          <w:sz w:val="24"/>
          <w:szCs w:val="24"/>
          <w:lang w:val="en-US"/>
        </w:rPr>
        <w:t xml:space="preserve">observed </w:t>
      </w:r>
      <w:r w:rsidR="006B5F75" w:rsidRPr="004B39D6">
        <w:rPr>
          <w:rFonts w:ascii="Book Antiqua" w:hAnsi="Book Antiqua" w:cs="Arial"/>
          <w:sz w:val="24"/>
          <w:szCs w:val="24"/>
          <w:lang w:val="en-US"/>
        </w:rPr>
        <w:t xml:space="preserve">in patients of </w:t>
      </w:r>
      <w:r w:rsidR="004857B9" w:rsidRPr="004B39D6">
        <w:rPr>
          <w:rFonts w:ascii="Book Antiqua" w:hAnsi="Book Antiqua" w:cs="Arial"/>
          <w:sz w:val="24"/>
          <w:szCs w:val="24"/>
          <w:lang w:val="en-US"/>
        </w:rPr>
        <w:t>groups 1 and 3</w:t>
      </w:r>
      <w:r w:rsidR="007E2B27">
        <w:rPr>
          <w:rFonts w:ascii="Book Antiqua" w:hAnsi="Book Antiqua" w:cs="Arial" w:hint="eastAsia"/>
          <w:sz w:val="24"/>
          <w:szCs w:val="24"/>
          <w:lang w:val="en-US" w:eastAsia="zh-CN"/>
        </w:rPr>
        <w:t>;</w:t>
      </w:r>
      <w:r w:rsidR="003B780A" w:rsidRPr="004B39D6">
        <w:rPr>
          <w:rFonts w:ascii="Book Antiqua" w:hAnsi="Book Antiqua" w:cs="Arial"/>
          <w:sz w:val="24"/>
          <w:szCs w:val="24"/>
          <w:lang w:val="en-US"/>
        </w:rPr>
        <w:t xml:space="preserve"> </w:t>
      </w:r>
      <w:r w:rsidR="006B5F75" w:rsidRPr="004B39D6">
        <w:rPr>
          <w:rFonts w:ascii="Book Antiqua" w:hAnsi="Book Antiqua" w:cs="Arial"/>
          <w:sz w:val="24"/>
          <w:szCs w:val="24"/>
          <w:lang w:val="en-US"/>
        </w:rPr>
        <w:t>C</w:t>
      </w:r>
      <w:r w:rsidR="007E2B27">
        <w:rPr>
          <w:rFonts w:ascii="Book Antiqua" w:hAnsi="Book Antiqua" w:cs="Arial" w:hint="eastAsia"/>
          <w:sz w:val="24"/>
          <w:szCs w:val="24"/>
          <w:lang w:val="en-US" w:eastAsia="zh-CN"/>
        </w:rPr>
        <w:t>:</w:t>
      </w:r>
      <w:r w:rsidR="006B5F75" w:rsidRPr="004B39D6">
        <w:rPr>
          <w:rFonts w:ascii="Book Antiqua" w:hAnsi="Book Antiqua" w:cs="Arial"/>
          <w:sz w:val="24"/>
          <w:szCs w:val="24"/>
          <w:lang w:val="en-US"/>
        </w:rPr>
        <w:t xml:space="preserve"> </w:t>
      </w:r>
      <w:r w:rsidR="003B780A" w:rsidRPr="004B39D6">
        <w:rPr>
          <w:rFonts w:ascii="Book Antiqua" w:hAnsi="Book Antiqua" w:cs="Arial"/>
          <w:sz w:val="24"/>
          <w:szCs w:val="24"/>
          <w:lang w:val="en-US"/>
        </w:rPr>
        <w:t>CD4</w:t>
      </w:r>
      <w:r w:rsidR="003B780A" w:rsidRPr="004B39D6">
        <w:rPr>
          <w:rFonts w:ascii="Book Antiqua" w:hAnsi="Book Antiqua" w:cs="Arial"/>
          <w:sz w:val="24"/>
          <w:szCs w:val="24"/>
          <w:vertAlign w:val="superscript"/>
          <w:lang w:val="en-US"/>
        </w:rPr>
        <w:t>+</w:t>
      </w:r>
      <w:r w:rsidR="003B780A" w:rsidRPr="004B39D6">
        <w:rPr>
          <w:rFonts w:ascii="Book Antiqua" w:hAnsi="Book Antiqua" w:cs="Arial"/>
          <w:sz w:val="24"/>
          <w:szCs w:val="24"/>
          <w:lang w:val="en-US"/>
        </w:rPr>
        <w:t>CD8</w:t>
      </w:r>
      <w:r w:rsidR="003B780A" w:rsidRPr="004B39D6">
        <w:rPr>
          <w:rFonts w:ascii="Book Antiqua" w:hAnsi="Book Antiqua" w:cs="Arial"/>
          <w:sz w:val="24"/>
          <w:szCs w:val="24"/>
          <w:vertAlign w:val="superscript"/>
          <w:lang w:val="en-US"/>
        </w:rPr>
        <w:t>low</w:t>
      </w:r>
      <w:r w:rsidR="003B780A" w:rsidRPr="004B39D6">
        <w:rPr>
          <w:rFonts w:ascii="Book Antiqua" w:hAnsi="Book Antiqua" w:cs="Arial"/>
          <w:sz w:val="24"/>
          <w:szCs w:val="24"/>
          <w:lang w:val="en-US"/>
        </w:rPr>
        <w:t xml:space="preserve"> cells</w:t>
      </w:r>
      <w:r w:rsidR="004857B9" w:rsidRPr="004B39D6">
        <w:rPr>
          <w:rFonts w:ascii="Book Antiqua" w:hAnsi="Book Antiqua" w:cs="Arial"/>
          <w:sz w:val="24"/>
          <w:szCs w:val="24"/>
          <w:lang w:val="en-US"/>
        </w:rPr>
        <w:t xml:space="preserve"> showed </w:t>
      </w:r>
      <w:r w:rsidR="003B780A" w:rsidRPr="004B39D6">
        <w:rPr>
          <w:rFonts w:ascii="Book Antiqua" w:hAnsi="Book Antiqua" w:cs="Arial"/>
          <w:sz w:val="24"/>
          <w:szCs w:val="24"/>
          <w:lang w:val="en-US"/>
        </w:rPr>
        <w:t xml:space="preserve">the highest </w:t>
      </w:r>
      <w:r w:rsidR="006B5F75" w:rsidRPr="004B39D6">
        <w:rPr>
          <w:rFonts w:ascii="Book Antiqua" w:hAnsi="Book Antiqua" w:cs="Arial"/>
          <w:sz w:val="24"/>
          <w:szCs w:val="24"/>
          <w:lang w:val="en-US"/>
        </w:rPr>
        <w:t>percentage of activation</w:t>
      </w:r>
      <w:r w:rsidR="003B780A" w:rsidRPr="004B39D6">
        <w:rPr>
          <w:rFonts w:ascii="Book Antiqua" w:hAnsi="Book Antiqua" w:cs="Arial"/>
          <w:sz w:val="24"/>
          <w:szCs w:val="24"/>
          <w:lang w:val="en-US"/>
        </w:rPr>
        <w:t xml:space="preserve">. Blank lines indicate that the analysis </w:t>
      </w:r>
      <w:r w:rsidR="00D30F10" w:rsidRPr="004B39D6">
        <w:rPr>
          <w:rFonts w:ascii="Book Antiqua" w:hAnsi="Book Antiqua" w:cs="Arial"/>
          <w:sz w:val="24"/>
          <w:szCs w:val="24"/>
          <w:lang w:val="en-US"/>
        </w:rPr>
        <w:t>could</w:t>
      </w:r>
      <w:r w:rsidR="003B780A" w:rsidRPr="004B39D6">
        <w:rPr>
          <w:rFonts w:ascii="Book Antiqua" w:hAnsi="Book Antiqua" w:cs="Arial"/>
          <w:sz w:val="24"/>
          <w:szCs w:val="24"/>
          <w:lang w:val="en-US"/>
        </w:rPr>
        <w:t xml:space="preserve"> not </w:t>
      </w:r>
      <w:r w:rsidR="00D30F10" w:rsidRPr="004B39D6">
        <w:rPr>
          <w:rFonts w:ascii="Book Antiqua" w:hAnsi="Book Antiqua" w:cs="Arial"/>
          <w:sz w:val="24"/>
          <w:szCs w:val="24"/>
          <w:lang w:val="en-US"/>
        </w:rPr>
        <w:t>be performed</w:t>
      </w:r>
      <w:r w:rsidR="003B780A" w:rsidRPr="004B39D6">
        <w:rPr>
          <w:rFonts w:ascii="Book Antiqua" w:hAnsi="Book Antiqua" w:cs="Arial"/>
          <w:sz w:val="24"/>
          <w:szCs w:val="24"/>
          <w:lang w:val="en-US"/>
        </w:rPr>
        <w:t xml:space="preserve"> in these patients</w:t>
      </w:r>
      <w:r w:rsidR="004857B9" w:rsidRPr="004B39D6">
        <w:rPr>
          <w:rFonts w:ascii="Book Antiqua" w:hAnsi="Book Antiqua" w:cs="Arial"/>
          <w:sz w:val="24"/>
          <w:szCs w:val="24"/>
          <w:lang w:val="en-US"/>
        </w:rPr>
        <w:t>.</w:t>
      </w:r>
    </w:p>
    <w:p w14:paraId="0C984D75" w14:textId="77777777" w:rsidR="00C378DA" w:rsidRDefault="00C378DA">
      <w:pPr>
        <w:spacing w:after="0" w:line="240" w:lineRule="auto"/>
        <w:rPr>
          <w:rFonts w:ascii="Book Antiqua" w:hAnsi="Book Antiqua" w:cs="Arial"/>
          <w:sz w:val="24"/>
          <w:szCs w:val="24"/>
          <w:lang w:val="en-US" w:eastAsia="zh-CN"/>
        </w:rPr>
      </w:pPr>
      <w:r>
        <w:rPr>
          <w:rFonts w:ascii="Book Antiqua" w:hAnsi="Book Antiqua" w:cs="Arial"/>
          <w:sz w:val="24"/>
          <w:szCs w:val="24"/>
          <w:lang w:val="en-US" w:eastAsia="zh-CN"/>
        </w:rPr>
        <w:br w:type="page"/>
      </w:r>
    </w:p>
    <w:p w14:paraId="2CB4A9E6" w14:textId="0E7E3D40" w:rsidR="0050021B" w:rsidRPr="004B39D6" w:rsidRDefault="00C378DA" w:rsidP="0081528B">
      <w:pPr>
        <w:snapToGrid w:val="0"/>
        <w:spacing w:after="0" w:line="360" w:lineRule="auto"/>
        <w:jc w:val="both"/>
        <w:rPr>
          <w:rFonts w:ascii="Book Antiqua" w:hAnsi="Book Antiqua" w:cs="Arial"/>
          <w:sz w:val="24"/>
          <w:szCs w:val="24"/>
          <w:lang w:val="en-US"/>
        </w:rPr>
      </w:pPr>
      <w:r w:rsidRPr="004B39D6">
        <w:rPr>
          <w:rFonts w:ascii="Book Antiqua" w:hAnsi="Book Antiqua"/>
          <w:noProof/>
          <w:sz w:val="24"/>
          <w:szCs w:val="24"/>
          <w:lang w:val="en-US" w:eastAsia="en-US"/>
        </w:rPr>
        <w:lastRenderedPageBreak/>
        <mc:AlternateContent>
          <mc:Choice Requires="wps">
            <w:drawing>
              <wp:anchor distT="0" distB="0" distL="114300" distR="114300" simplePos="0" relativeHeight="251661312" behindDoc="0" locked="0" layoutInCell="1" allowOverlap="1" wp14:anchorId="71E9816C" wp14:editId="575084A8">
                <wp:simplePos x="0" y="0"/>
                <wp:positionH relativeFrom="column">
                  <wp:posOffset>41275</wp:posOffset>
                </wp:positionH>
                <wp:positionV relativeFrom="paragraph">
                  <wp:posOffset>4270375</wp:posOffset>
                </wp:positionV>
                <wp:extent cx="307975" cy="368935"/>
                <wp:effectExtent l="0" t="0" r="0" b="0"/>
                <wp:wrapNone/>
                <wp:docPr id="9" name="8 CuadroTexto"/>
                <wp:cNvGraphicFramePr/>
                <a:graphic xmlns:a="http://schemas.openxmlformats.org/drawingml/2006/main">
                  <a:graphicData uri="http://schemas.microsoft.com/office/word/2010/wordprocessingShape">
                    <wps:wsp>
                      <wps:cNvSpPr txBox="1"/>
                      <wps:spPr>
                        <a:xfrm>
                          <a:off x="0" y="0"/>
                          <a:ext cx="307975" cy="368935"/>
                        </a:xfrm>
                        <a:prstGeom prst="rect">
                          <a:avLst/>
                        </a:prstGeom>
                        <a:noFill/>
                      </wps:spPr>
                      <wps:txbx>
                        <w:txbxContent>
                          <w:p w14:paraId="354ECC80" w14:textId="77777777" w:rsidR="004B6347" w:rsidRDefault="004B6347" w:rsidP="00574DCE">
                            <w:pPr>
                              <w:pStyle w:val="NormalWeb"/>
                              <w:spacing w:before="0" w:beforeAutospacing="0" w:after="0" w:afterAutospacing="0"/>
                            </w:pPr>
                            <w:r>
                              <w:rPr>
                                <w:rFonts w:asciiTheme="minorHAnsi" w:hAnsi="Calibri" w:cstheme="minorBidi"/>
                                <w:color w:val="000000" w:themeColor="text1"/>
                                <w:kern w:val="24"/>
                                <w:sz w:val="36"/>
                                <w:szCs w:val="36"/>
                              </w:rPr>
                              <w:t>C</w:t>
                            </w:r>
                          </w:p>
                        </w:txbxContent>
                      </wps:txbx>
                      <wps:bodyPr wrap="none" rtlCol="0">
                        <a:spAutoFit/>
                      </wps:bodyPr>
                    </wps:wsp>
                  </a:graphicData>
                </a:graphic>
              </wp:anchor>
            </w:drawing>
          </mc:Choice>
          <mc:Fallback>
            <w:pict>
              <v:shape id="_x0000_s1029" type="#_x0000_t202" style="position:absolute;left:0;text-align:left;margin-left:3.25pt;margin-top:336.25pt;width:24.25pt;height:29.0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" filled="f" stroked="f">
                <v:textbox style="mso-fit-shape-to-text:t">
                  <w:txbxContent>
                    <w:p w14:paraId="354ECC80" w14:textId="77777777" w:rsidR="004B6347" w:rsidRDefault="004B6347" w:rsidP="00574DCE">
                      <w:pPr>
                        <w:pStyle w:val="af0"/>
                        <w:spacing w:before="0" w:beforeAutospacing="0" w:after="0" w:afterAutospacing="0"/>
                      </w:pPr>
                      <w:r>
                        <w:rPr>
                          <w:rFonts w:asciiTheme="minorHAnsi" w:hAnsi="Calibri" w:cstheme="minorBidi"/>
                          <w:color w:val="000000" w:themeColor="text1"/>
                          <w:kern w:val="24"/>
                          <w:sz w:val="36"/>
                          <w:szCs w:val="36"/>
                        </w:rPr>
                        <w:t>C</w:t>
                      </w:r>
                    </w:p>
                  </w:txbxContent>
                </v:textbox>
              </v:shape>
            </w:pict>
          </mc:Fallback>
        </mc:AlternateContent>
      </w:r>
      <w:r w:rsidRPr="004B39D6">
        <w:rPr>
          <w:rFonts w:ascii="Book Antiqua" w:hAnsi="Book Antiqua"/>
          <w:noProof/>
          <w:sz w:val="24"/>
          <w:szCs w:val="24"/>
          <w:lang w:val="en-US" w:eastAsia="en-US"/>
        </w:rPr>
        <mc:AlternateContent>
          <mc:Choice Requires="wps">
            <w:drawing>
              <wp:anchor distT="0" distB="0" distL="114300" distR="114300" simplePos="0" relativeHeight="251669504" behindDoc="0" locked="0" layoutInCell="1" allowOverlap="1" wp14:anchorId="77A03503" wp14:editId="68E9856C">
                <wp:simplePos x="0" y="0"/>
                <wp:positionH relativeFrom="column">
                  <wp:posOffset>635</wp:posOffset>
                </wp:positionH>
                <wp:positionV relativeFrom="paragraph">
                  <wp:posOffset>2167890</wp:posOffset>
                </wp:positionV>
                <wp:extent cx="307975" cy="368935"/>
                <wp:effectExtent l="0" t="0" r="0" b="0"/>
                <wp:wrapNone/>
                <wp:docPr id="8" name="8 CuadroTexto"/>
                <wp:cNvGraphicFramePr/>
                <a:graphic xmlns:a="http://schemas.openxmlformats.org/drawingml/2006/main">
                  <a:graphicData uri="http://schemas.microsoft.com/office/word/2010/wordprocessingShape">
                    <wps:wsp>
                      <wps:cNvSpPr txBox="1"/>
                      <wps:spPr>
                        <a:xfrm>
                          <a:off x="0" y="0"/>
                          <a:ext cx="307975" cy="368935"/>
                        </a:xfrm>
                        <a:prstGeom prst="rect">
                          <a:avLst/>
                        </a:prstGeom>
                        <a:noFill/>
                      </wps:spPr>
                      <wps:txbx>
                        <w:txbxContent>
                          <w:p w14:paraId="67142624" w14:textId="616FCE5C" w:rsidR="004B6347" w:rsidRDefault="004B6347" w:rsidP="00C378DA">
                            <w:pPr>
                              <w:pStyle w:val="NormalWeb"/>
                              <w:spacing w:before="0" w:beforeAutospacing="0" w:after="0" w:afterAutospacing="0"/>
                              <w:rPr>
                                <w:lang w:eastAsia="zh-CN"/>
                              </w:rPr>
                            </w:pPr>
                            <w:r>
                              <w:rPr>
                                <w:rFonts w:asciiTheme="minorHAnsi" w:hAnsi="Calibri" w:cstheme="minorBidi" w:hint="eastAsia"/>
                                <w:color w:val="000000" w:themeColor="text1"/>
                                <w:kern w:val="24"/>
                                <w:sz w:val="36"/>
                                <w:szCs w:val="36"/>
                                <w:lang w:eastAsia="zh-CN"/>
                              </w:rPr>
                              <w:t>B</w:t>
                            </w:r>
                          </w:p>
                        </w:txbxContent>
                      </wps:txbx>
                      <wps:bodyPr wrap="none" rtlCol="0">
                        <a:spAutoFit/>
                      </wps:bodyPr>
                    </wps:wsp>
                  </a:graphicData>
                </a:graphic>
              </wp:anchor>
            </w:drawing>
          </mc:Choice>
          <mc:Fallback>
            <w:pict>
              <v:shape id="_x0000_s1030" type="#_x0000_t202" style="position:absolute;left:0;text-align:left;margin-left:.05pt;margin-top:170.7pt;width:24.25pt;height:29.0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" filled="f" stroked="f">
                <v:textbox style="mso-fit-shape-to-text:t">
                  <w:txbxContent>
                    <w:p w14:paraId="67142624" w14:textId="616FCE5C" w:rsidR="004B6347" w:rsidRDefault="004B6347" w:rsidP="00C378DA">
                      <w:pPr>
                        <w:pStyle w:val="af0"/>
                        <w:spacing w:before="0" w:beforeAutospacing="0" w:after="0" w:afterAutospacing="0"/>
                        <w:rPr>
                          <w:rFonts w:hint="eastAsia"/>
                          <w:lang w:eastAsia="zh-CN"/>
                        </w:rPr>
                      </w:pPr>
                      <w:r>
                        <w:rPr>
                          <w:rFonts w:asciiTheme="minorHAnsi" w:hAnsi="Calibri" w:cstheme="minorBidi" w:hint="eastAsia"/>
                          <w:color w:val="000000" w:themeColor="text1"/>
                          <w:kern w:val="24"/>
                          <w:sz w:val="36"/>
                          <w:szCs w:val="36"/>
                          <w:lang w:eastAsia="zh-CN"/>
                        </w:rPr>
                        <w:t>B</w:t>
                      </w:r>
                    </w:p>
                  </w:txbxContent>
                </v:textbox>
              </v:shape>
            </w:pict>
          </mc:Fallback>
        </mc:AlternateContent>
      </w:r>
      <w:r w:rsidRPr="004B39D6">
        <w:rPr>
          <w:rFonts w:ascii="Book Antiqua" w:hAnsi="Book Antiqua"/>
          <w:noProof/>
          <w:sz w:val="24"/>
          <w:szCs w:val="24"/>
          <w:lang w:val="en-US" w:eastAsia="en-US"/>
        </w:rPr>
        <mc:AlternateContent>
          <mc:Choice Requires="wps">
            <w:drawing>
              <wp:anchor distT="0" distB="0" distL="114300" distR="114300" simplePos="0" relativeHeight="251667456" behindDoc="0" locked="0" layoutInCell="1" allowOverlap="1" wp14:anchorId="61FA3FC3" wp14:editId="497D59C4">
                <wp:simplePos x="0" y="0"/>
                <wp:positionH relativeFrom="column">
                  <wp:posOffset>-4445</wp:posOffset>
                </wp:positionH>
                <wp:positionV relativeFrom="paragraph">
                  <wp:posOffset>-3391</wp:posOffset>
                </wp:positionV>
                <wp:extent cx="315595" cy="370205"/>
                <wp:effectExtent l="0" t="0" r="0" b="0"/>
                <wp:wrapNone/>
                <wp:docPr id="7" name="8 CuadroTexto"/>
                <wp:cNvGraphicFramePr/>
                <a:graphic xmlns:a="http://schemas.openxmlformats.org/drawingml/2006/main">
                  <a:graphicData uri="http://schemas.microsoft.com/office/word/2010/wordprocessingShape">
                    <wps:wsp>
                      <wps:cNvSpPr txBox="1"/>
                      <wps:spPr>
                        <a:xfrm>
                          <a:off x="0" y="0"/>
                          <a:ext cx="315595" cy="370205"/>
                        </a:xfrm>
                        <a:prstGeom prst="rect">
                          <a:avLst/>
                        </a:prstGeom>
                        <a:noFill/>
                      </wps:spPr>
                      <wps:txbx>
                        <w:txbxContent>
                          <w:p w14:paraId="35DA7C71" w14:textId="194EA05C" w:rsidR="004B6347" w:rsidRDefault="004B6347" w:rsidP="00C378DA">
                            <w:pPr>
                              <w:pStyle w:val="NormalWeb"/>
                              <w:spacing w:before="0" w:beforeAutospacing="0" w:after="0" w:afterAutospacing="0"/>
                              <w:rPr>
                                <w:lang w:eastAsia="zh-CN"/>
                              </w:rPr>
                            </w:pPr>
                            <w:r>
                              <w:rPr>
                                <w:rFonts w:asciiTheme="minorHAnsi" w:hAnsi="Calibri" w:cstheme="minorBidi" w:hint="eastAsia"/>
                                <w:color w:val="000000" w:themeColor="text1"/>
                                <w:kern w:val="24"/>
                                <w:sz w:val="36"/>
                                <w:szCs w:val="36"/>
                                <w:lang w:eastAsia="zh-CN"/>
                              </w:rPr>
                              <w:t>A</w:t>
                            </w:r>
                          </w:p>
                        </w:txbxContent>
                      </wps:txbx>
                      <wps:bodyPr wrap="none" rtlCol="0">
                        <a:spAutoFit/>
                      </wps:bodyPr>
                    </wps:wsp>
                  </a:graphicData>
                </a:graphic>
              </wp:anchor>
            </w:drawing>
          </mc:Choice>
          <mc:Fallback>
            <w:pict>
              <v:shape id="_x0000_s1031" type="#_x0000_t202" style="position:absolute;left:0;text-align:left;margin-left:-.35pt;margin-top:-.25pt;width:24.25pt;height:29.0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" filled="f" stroked="f">
                <v:textbox style="mso-fit-shape-to-text:t">
                  <w:txbxContent>
                    <w:p w14:paraId="35DA7C71" w14:textId="194EA05C" w:rsidR="004B6347" w:rsidRDefault="004B6347" w:rsidP="00C378DA">
                      <w:pPr>
                        <w:pStyle w:val="af0"/>
                        <w:spacing w:before="0" w:beforeAutospacing="0" w:after="0" w:afterAutospacing="0"/>
                        <w:rPr>
                          <w:rFonts w:hint="eastAsia"/>
                          <w:lang w:eastAsia="zh-CN"/>
                        </w:rPr>
                      </w:pPr>
                      <w:r>
                        <w:rPr>
                          <w:rFonts w:asciiTheme="minorHAnsi" w:hAnsi="Calibri" w:cstheme="minorBidi" w:hint="eastAsia"/>
                          <w:color w:val="000000" w:themeColor="text1"/>
                          <w:kern w:val="24"/>
                          <w:sz w:val="36"/>
                          <w:szCs w:val="36"/>
                          <w:lang w:eastAsia="zh-CN"/>
                        </w:rPr>
                        <w:t>A</w:t>
                      </w:r>
                    </w:p>
                  </w:txbxContent>
                </v:textbox>
              </v:shape>
            </w:pict>
          </mc:Fallback>
        </mc:AlternateContent>
      </w:r>
      <w:r w:rsidR="003B780A" w:rsidRPr="004B39D6">
        <w:rPr>
          <w:rFonts w:ascii="Book Antiqua" w:hAnsi="Book Antiqua" w:cs="Arial"/>
          <w:sz w:val="24"/>
          <w:szCs w:val="24"/>
          <w:lang w:val="en-US"/>
        </w:rPr>
        <w:t xml:space="preserve"> </w:t>
      </w:r>
      <w:r w:rsidR="00145E54" w:rsidRPr="004B39D6">
        <w:rPr>
          <w:rFonts w:ascii="Book Antiqua" w:hAnsi="Book Antiqua"/>
          <w:noProof/>
          <w:sz w:val="24"/>
          <w:szCs w:val="24"/>
          <w:lang w:val="en-US" w:eastAsia="en-US"/>
        </w:rPr>
        <w:drawing>
          <wp:inline distT="0" distB="0" distL="0" distR="0" wp14:anchorId="527DE5CC" wp14:editId="42E5A411">
            <wp:extent cx="4540102" cy="2041451"/>
            <wp:effectExtent l="0" t="0" r="13335" b="1651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45E54" w:rsidRPr="004B39D6">
        <w:rPr>
          <w:rFonts w:ascii="Book Antiqua" w:hAnsi="Book Antiqua"/>
          <w:noProof/>
          <w:sz w:val="24"/>
          <w:szCs w:val="24"/>
          <w:lang w:val="en-US" w:eastAsia="en-US"/>
        </w:rPr>
        <w:drawing>
          <wp:inline distT="0" distB="0" distL="0" distR="0" wp14:anchorId="1223B437" wp14:editId="1C006C89">
            <wp:extent cx="4540102" cy="2052084"/>
            <wp:effectExtent l="0" t="0" r="13335" b="2476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74DCE" w:rsidRPr="004B39D6">
        <w:rPr>
          <w:rFonts w:ascii="Book Antiqua" w:hAnsi="Book Antiqua"/>
          <w:noProof/>
          <w:sz w:val="24"/>
          <w:szCs w:val="24"/>
          <w:lang w:val="en-US" w:eastAsia="en-US"/>
        </w:rPr>
        <w:drawing>
          <wp:inline distT="0" distB="0" distL="0" distR="0" wp14:anchorId="55119BE7" wp14:editId="111A298B">
            <wp:extent cx="4667693" cy="2232837"/>
            <wp:effectExtent l="0" t="0" r="19050" b="152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DBB538" w14:textId="13882E87" w:rsidR="003B780A" w:rsidRPr="004B39D6" w:rsidRDefault="003B780A" w:rsidP="0081528B">
      <w:pPr>
        <w:snapToGrid w:val="0"/>
        <w:spacing w:after="0" w:line="360" w:lineRule="auto"/>
        <w:jc w:val="both"/>
        <w:rPr>
          <w:rFonts w:ascii="Book Antiqua" w:hAnsi="Book Antiqua"/>
          <w:sz w:val="24"/>
          <w:szCs w:val="24"/>
          <w:lang w:val="en-US"/>
        </w:rPr>
      </w:pPr>
      <w:r w:rsidRPr="004B39D6">
        <w:rPr>
          <w:rFonts w:ascii="Book Antiqua" w:hAnsi="Book Antiqua" w:cs="Arial"/>
          <w:b/>
          <w:sz w:val="24"/>
          <w:szCs w:val="24"/>
          <w:lang w:val="en-US"/>
        </w:rPr>
        <w:t>Fig</w:t>
      </w:r>
      <w:r w:rsidR="00234964" w:rsidRPr="004B39D6">
        <w:rPr>
          <w:rFonts w:ascii="Book Antiqua" w:hAnsi="Book Antiqua" w:cs="Arial"/>
          <w:b/>
          <w:sz w:val="24"/>
          <w:szCs w:val="24"/>
          <w:lang w:val="en-US"/>
        </w:rPr>
        <w:t>ure 2</w:t>
      </w:r>
      <w:r w:rsidR="00FE2DB6" w:rsidRPr="004B39D6">
        <w:rPr>
          <w:rFonts w:ascii="Book Antiqua" w:hAnsi="Book Antiqua" w:cs="Arial"/>
          <w:sz w:val="24"/>
          <w:szCs w:val="24"/>
          <w:lang w:val="en-US"/>
        </w:rPr>
        <w:t xml:space="preserve"> </w:t>
      </w:r>
      <w:r w:rsidR="00FE2DB6" w:rsidRPr="004B39D6">
        <w:rPr>
          <w:rFonts w:ascii="Book Antiqua" w:hAnsi="Book Antiqua" w:cs="Arial"/>
          <w:b/>
          <w:sz w:val="24"/>
          <w:szCs w:val="24"/>
          <w:lang w:val="en-US"/>
        </w:rPr>
        <w:t>Different areas of</w:t>
      </w:r>
      <w:r w:rsidR="00FE2DB6" w:rsidRPr="004B39D6">
        <w:rPr>
          <w:rFonts w:ascii="Book Antiqua" w:hAnsi="Book Antiqua" w:cs="Arial"/>
          <w:sz w:val="24"/>
          <w:szCs w:val="24"/>
          <w:lang w:val="en-US"/>
        </w:rPr>
        <w:t xml:space="preserve"> </w:t>
      </w:r>
      <w:r w:rsidR="00FE2DB6" w:rsidRPr="004B39D6">
        <w:rPr>
          <w:rFonts w:ascii="Book Antiqua" w:hAnsi="Book Antiqua" w:cs="Arial"/>
          <w:b/>
          <w:sz w:val="24"/>
          <w:szCs w:val="24"/>
          <w:lang w:val="en-US"/>
        </w:rPr>
        <w:t xml:space="preserve">the </w:t>
      </w:r>
      <w:r w:rsidR="00C378DA" w:rsidRPr="007E2B27">
        <w:rPr>
          <w:rFonts w:ascii="Book Antiqua" w:eastAsia="微软雅黑" w:hAnsi="Book Antiqua"/>
          <w:b/>
          <w:color w:val="000000"/>
          <w:sz w:val="24"/>
          <w:szCs w:val="24"/>
        </w:rPr>
        <w:t>glutathione S-transferase T1</w:t>
      </w:r>
      <w:r w:rsidR="00FE2DB6" w:rsidRPr="004B39D6">
        <w:rPr>
          <w:rFonts w:ascii="Book Antiqua" w:hAnsi="Book Antiqua" w:cs="Arial"/>
          <w:b/>
          <w:sz w:val="24"/>
          <w:szCs w:val="24"/>
          <w:lang w:val="en-US"/>
        </w:rPr>
        <w:t xml:space="preserve"> protein induce different degrees of activation in patients’ cells</w:t>
      </w:r>
      <w:r w:rsidRPr="004B39D6">
        <w:rPr>
          <w:rFonts w:ascii="Book Antiqua" w:hAnsi="Book Antiqua" w:cs="Arial"/>
          <w:sz w:val="24"/>
          <w:szCs w:val="24"/>
          <w:lang w:val="en-US"/>
        </w:rPr>
        <w:t xml:space="preserve">. </w:t>
      </w:r>
      <w:r w:rsidR="00C378DA">
        <w:rPr>
          <w:rFonts w:ascii="Book Antiqua" w:hAnsi="Book Antiqua" w:cs="Arial" w:hint="eastAsia"/>
          <w:sz w:val="24"/>
          <w:szCs w:val="24"/>
          <w:lang w:val="en-US" w:eastAsia="zh-CN"/>
        </w:rPr>
        <w:t>A:</w:t>
      </w:r>
      <w:r w:rsidRPr="004B39D6">
        <w:rPr>
          <w:rFonts w:ascii="Book Antiqua" w:hAnsi="Book Antiqua" w:cs="Arial"/>
          <w:sz w:val="24"/>
          <w:szCs w:val="24"/>
          <w:lang w:val="en-US"/>
        </w:rPr>
        <w:t xml:space="preserve"> </w:t>
      </w:r>
      <w:r w:rsidR="00C378DA" w:rsidRPr="004B39D6">
        <w:rPr>
          <w:rFonts w:ascii="Book Antiqua" w:hAnsi="Book Antiqua" w:cs="Arial"/>
          <w:sz w:val="24"/>
          <w:szCs w:val="24"/>
          <w:lang w:val="en-US"/>
        </w:rPr>
        <w:t>T</w:t>
      </w:r>
      <w:r w:rsidRPr="004B39D6">
        <w:rPr>
          <w:rFonts w:ascii="Book Antiqua" w:hAnsi="Book Antiqua" w:cs="Arial"/>
          <w:sz w:val="24"/>
          <w:szCs w:val="24"/>
          <w:lang w:val="en-US"/>
        </w:rPr>
        <w:t>he majority of CD4</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w:t>
      </w:r>
      <w:r w:rsidR="002E0CCF" w:rsidRPr="004B39D6">
        <w:rPr>
          <w:rFonts w:ascii="Book Antiqua" w:hAnsi="Book Antiqua" w:cs="Arial"/>
          <w:sz w:val="24"/>
          <w:szCs w:val="24"/>
          <w:lang w:val="en-US"/>
        </w:rPr>
        <w:t xml:space="preserve">T </w:t>
      </w:r>
      <w:r w:rsidRPr="004B39D6">
        <w:rPr>
          <w:rFonts w:ascii="Book Antiqua" w:hAnsi="Book Antiqua" w:cs="Arial"/>
          <w:sz w:val="24"/>
          <w:szCs w:val="24"/>
          <w:lang w:val="en-US"/>
        </w:rPr>
        <w:t xml:space="preserve">cells </w:t>
      </w:r>
      <w:r w:rsidR="002E0CCF" w:rsidRPr="004B39D6">
        <w:rPr>
          <w:rFonts w:ascii="Book Antiqua" w:hAnsi="Book Antiqua" w:cs="Arial"/>
          <w:sz w:val="24"/>
          <w:szCs w:val="24"/>
          <w:lang w:val="en-US"/>
        </w:rPr>
        <w:t xml:space="preserve">that </w:t>
      </w:r>
      <w:r w:rsidR="00F558AE" w:rsidRPr="004B39D6">
        <w:rPr>
          <w:rFonts w:ascii="Book Antiqua" w:hAnsi="Book Antiqua" w:cs="Arial"/>
          <w:sz w:val="24"/>
          <w:szCs w:val="24"/>
          <w:lang w:val="en-US"/>
        </w:rPr>
        <w:t>showed some degree of activation</w:t>
      </w:r>
      <w:r w:rsidR="002E0CCF" w:rsidRPr="004B39D6">
        <w:rPr>
          <w:rFonts w:ascii="Book Antiqua" w:hAnsi="Book Antiqua" w:cs="Arial"/>
          <w:sz w:val="24"/>
          <w:szCs w:val="24"/>
          <w:lang w:val="en-US"/>
        </w:rPr>
        <w:t xml:space="preserve"> </w:t>
      </w:r>
      <w:r w:rsidRPr="004B39D6">
        <w:rPr>
          <w:rFonts w:ascii="Book Antiqua" w:hAnsi="Book Antiqua" w:cs="Arial"/>
          <w:sz w:val="24"/>
          <w:szCs w:val="24"/>
          <w:lang w:val="en-US"/>
        </w:rPr>
        <w:t>recognize</w:t>
      </w:r>
      <w:r w:rsidR="002E0CCF" w:rsidRPr="004B39D6">
        <w:rPr>
          <w:rFonts w:ascii="Book Antiqua" w:hAnsi="Book Antiqua" w:cs="Arial"/>
          <w:sz w:val="24"/>
          <w:szCs w:val="24"/>
          <w:lang w:val="en-US"/>
        </w:rPr>
        <w:t xml:space="preserve">d peptides </w:t>
      </w:r>
      <w:r w:rsidR="00255FFE" w:rsidRPr="004B39D6">
        <w:rPr>
          <w:rFonts w:ascii="Book Antiqua" w:hAnsi="Book Antiqua" w:cs="Arial"/>
          <w:sz w:val="24"/>
          <w:szCs w:val="24"/>
          <w:lang w:val="en-US"/>
        </w:rPr>
        <w:t xml:space="preserve">in </w:t>
      </w:r>
      <w:r w:rsidRPr="004B39D6">
        <w:rPr>
          <w:rFonts w:ascii="Book Antiqua" w:hAnsi="Book Antiqua" w:cs="Arial"/>
          <w:sz w:val="24"/>
          <w:szCs w:val="24"/>
          <w:lang w:val="en-US"/>
        </w:rPr>
        <w:t>pools 5 (blue) and 3 (green) but never</w:t>
      </w:r>
      <w:r w:rsidR="002E0CCF" w:rsidRPr="004B39D6">
        <w:rPr>
          <w:rFonts w:ascii="Book Antiqua" w:hAnsi="Book Antiqua" w:cs="Arial"/>
          <w:sz w:val="24"/>
          <w:szCs w:val="24"/>
          <w:lang w:val="en-US"/>
        </w:rPr>
        <w:t xml:space="preserve"> </w:t>
      </w:r>
      <w:r w:rsidR="00255FFE" w:rsidRPr="004B39D6">
        <w:rPr>
          <w:rFonts w:ascii="Book Antiqua" w:hAnsi="Book Antiqua" w:cs="Arial"/>
          <w:sz w:val="24"/>
          <w:szCs w:val="24"/>
          <w:lang w:val="en-US"/>
        </w:rPr>
        <w:t xml:space="preserve">in </w:t>
      </w:r>
      <w:r w:rsidRPr="004B39D6">
        <w:rPr>
          <w:rFonts w:ascii="Book Antiqua" w:hAnsi="Book Antiqua" w:cs="Arial"/>
          <w:sz w:val="24"/>
          <w:szCs w:val="24"/>
          <w:lang w:val="en-US"/>
        </w:rPr>
        <w:t>pool 4 (purple)</w:t>
      </w:r>
      <w:r w:rsidR="00C378DA">
        <w:rPr>
          <w:rFonts w:ascii="Book Antiqua" w:hAnsi="Book Antiqua" w:cs="Arial" w:hint="eastAsia"/>
          <w:sz w:val="24"/>
          <w:szCs w:val="24"/>
          <w:lang w:val="en-US" w:eastAsia="zh-CN"/>
        </w:rPr>
        <w:t>;</w:t>
      </w:r>
      <w:r w:rsidRPr="004B39D6">
        <w:rPr>
          <w:rFonts w:ascii="Book Antiqua" w:hAnsi="Book Antiqua" w:cs="Arial"/>
          <w:sz w:val="24"/>
          <w:szCs w:val="24"/>
          <w:lang w:val="en-US"/>
        </w:rPr>
        <w:t xml:space="preserve"> </w:t>
      </w:r>
      <w:r w:rsidR="00C378DA">
        <w:rPr>
          <w:rFonts w:ascii="Book Antiqua" w:hAnsi="Book Antiqua" w:cs="Arial" w:hint="eastAsia"/>
          <w:sz w:val="24"/>
          <w:szCs w:val="24"/>
          <w:lang w:val="en-US" w:eastAsia="zh-CN"/>
        </w:rPr>
        <w:t xml:space="preserve">B: </w:t>
      </w:r>
      <w:r w:rsidRPr="004B39D6">
        <w:rPr>
          <w:rFonts w:ascii="Book Antiqua" w:hAnsi="Book Antiqua" w:cs="Arial"/>
          <w:sz w:val="24"/>
          <w:szCs w:val="24"/>
          <w:lang w:val="en-US"/>
        </w:rPr>
        <w:t xml:space="preserve"> CD4</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CD8</w:t>
      </w:r>
      <w:r w:rsidRPr="004B39D6">
        <w:rPr>
          <w:rFonts w:ascii="Book Antiqua" w:hAnsi="Book Antiqua" w:cs="Arial"/>
          <w:sz w:val="24"/>
          <w:szCs w:val="24"/>
          <w:vertAlign w:val="superscript"/>
          <w:lang w:val="en-US"/>
        </w:rPr>
        <w:t xml:space="preserve">low </w:t>
      </w:r>
      <w:r w:rsidR="002E0CCF" w:rsidRPr="004B39D6">
        <w:rPr>
          <w:rFonts w:ascii="Book Antiqua" w:hAnsi="Book Antiqua" w:cs="Arial"/>
          <w:sz w:val="24"/>
          <w:szCs w:val="24"/>
          <w:lang w:val="en-US"/>
        </w:rPr>
        <w:t>cells beca</w:t>
      </w:r>
      <w:r w:rsidRPr="004B39D6">
        <w:rPr>
          <w:rFonts w:ascii="Book Antiqua" w:hAnsi="Book Antiqua" w:cs="Arial"/>
          <w:sz w:val="24"/>
          <w:szCs w:val="24"/>
          <w:lang w:val="en-US"/>
        </w:rPr>
        <w:t xml:space="preserve">me stimulated almost homogeneously with </w:t>
      </w:r>
      <w:r w:rsidR="00FA14F4" w:rsidRPr="004B39D6">
        <w:rPr>
          <w:rFonts w:ascii="Book Antiqua" w:hAnsi="Book Antiqua" w:cs="Arial"/>
          <w:sz w:val="24"/>
          <w:szCs w:val="24"/>
          <w:lang w:val="en-US"/>
        </w:rPr>
        <w:t xml:space="preserve">in </w:t>
      </w:r>
      <w:r w:rsidRPr="004B39D6">
        <w:rPr>
          <w:rFonts w:ascii="Book Antiqua" w:hAnsi="Book Antiqua" w:cs="Arial"/>
          <w:sz w:val="24"/>
          <w:szCs w:val="24"/>
          <w:lang w:val="en-US"/>
        </w:rPr>
        <w:t>pools 3 (green) and 4 (purple)</w:t>
      </w:r>
      <w:r w:rsidR="00C378DA">
        <w:rPr>
          <w:rFonts w:ascii="Book Antiqua" w:hAnsi="Book Antiqua" w:cs="Arial" w:hint="eastAsia"/>
          <w:sz w:val="24"/>
          <w:szCs w:val="24"/>
          <w:lang w:val="en-US" w:eastAsia="zh-CN"/>
        </w:rPr>
        <w:t>;</w:t>
      </w:r>
      <w:r w:rsidRPr="004B39D6">
        <w:rPr>
          <w:rFonts w:ascii="Book Antiqua" w:hAnsi="Book Antiqua" w:cs="Arial"/>
          <w:sz w:val="24"/>
          <w:szCs w:val="24"/>
          <w:lang w:val="en-US"/>
        </w:rPr>
        <w:t xml:space="preserve"> </w:t>
      </w:r>
      <w:r w:rsidR="00C378DA">
        <w:rPr>
          <w:rFonts w:ascii="Book Antiqua" w:hAnsi="Book Antiqua" w:cs="Arial" w:hint="eastAsia"/>
          <w:sz w:val="24"/>
          <w:szCs w:val="24"/>
          <w:lang w:val="en-US" w:eastAsia="zh-CN"/>
        </w:rPr>
        <w:t>C:</w:t>
      </w:r>
      <w:r w:rsidRPr="004B39D6">
        <w:rPr>
          <w:rFonts w:ascii="Book Antiqua" w:hAnsi="Book Antiqua" w:cs="Arial"/>
          <w:sz w:val="24"/>
          <w:szCs w:val="24"/>
          <w:lang w:val="en-US"/>
        </w:rPr>
        <w:t xml:space="preserve"> CD8</w:t>
      </w:r>
      <w:r w:rsidRPr="004B39D6">
        <w:rPr>
          <w:rFonts w:ascii="Book Antiqua" w:hAnsi="Book Antiqua" w:cs="Arial"/>
          <w:sz w:val="24"/>
          <w:szCs w:val="24"/>
          <w:vertAlign w:val="superscript"/>
          <w:lang w:val="en-US"/>
        </w:rPr>
        <w:t>+</w:t>
      </w:r>
      <w:r w:rsidRPr="004B39D6">
        <w:rPr>
          <w:rFonts w:ascii="Book Antiqua" w:hAnsi="Book Antiqua" w:cs="Arial"/>
          <w:sz w:val="24"/>
          <w:szCs w:val="24"/>
          <w:lang w:val="en-US"/>
        </w:rPr>
        <w:t xml:space="preserve"> lymphocytes that showed activation recognized </w:t>
      </w:r>
      <w:r w:rsidR="002E0CCF" w:rsidRPr="004B39D6">
        <w:rPr>
          <w:rFonts w:ascii="Book Antiqua" w:hAnsi="Book Antiqua" w:cs="Arial"/>
          <w:sz w:val="24"/>
          <w:szCs w:val="24"/>
          <w:lang w:val="en-US"/>
        </w:rPr>
        <w:t xml:space="preserve">peptides </w:t>
      </w:r>
      <w:r w:rsidR="00255FFE" w:rsidRPr="004B39D6">
        <w:rPr>
          <w:rFonts w:ascii="Book Antiqua" w:hAnsi="Book Antiqua" w:cs="Arial"/>
          <w:sz w:val="24"/>
          <w:szCs w:val="24"/>
          <w:lang w:val="en-US"/>
        </w:rPr>
        <w:t xml:space="preserve">in </w:t>
      </w:r>
      <w:r w:rsidRPr="004B39D6">
        <w:rPr>
          <w:rFonts w:ascii="Book Antiqua" w:hAnsi="Book Antiqua" w:cs="Arial"/>
          <w:sz w:val="24"/>
          <w:szCs w:val="24"/>
          <w:lang w:val="en-US"/>
        </w:rPr>
        <w:t xml:space="preserve">different pools but </w:t>
      </w:r>
      <w:r w:rsidR="002E0CCF" w:rsidRPr="004B39D6">
        <w:rPr>
          <w:rFonts w:ascii="Book Antiqua" w:hAnsi="Book Antiqua" w:cs="Arial"/>
          <w:sz w:val="24"/>
          <w:szCs w:val="24"/>
          <w:lang w:val="en-US"/>
        </w:rPr>
        <w:t xml:space="preserve">never </w:t>
      </w:r>
      <w:r w:rsidR="00255FFE" w:rsidRPr="004B39D6">
        <w:rPr>
          <w:rFonts w:ascii="Book Antiqua" w:hAnsi="Book Antiqua" w:cs="Arial"/>
          <w:sz w:val="24"/>
          <w:szCs w:val="24"/>
          <w:lang w:val="en-US"/>
        </w:rPr>
        <w:t xml:space="preserve">in </w:t>
      </w:r>
      <w:r w:rsidRPr="004B39D6">
        <w:rPr>
          <w:rFonts w:ascii="Book Antiqua" w:hAnsi="Book Antiqua" w:cs="Arial"/>
          <w:sz w:val="24"/>
          <w:szCs w:val="24"/>
          <w:lang w:val="en-US"/>
        </w:rPr>
        <w:t>pool 4</w:t>
      </w:r>
      <w:r w:rsidR="002E0CCF" w:rsidRPr="004B39D6">
        <w:rPr>
          <w:rFonts w:ascii="Book Antiqua" w:hAnsi="Book Antiqua" w:cs="Arial"/>
          <w:sz w:val="24"/>
          <w:szCs w:val="24"/>
          <w:lang w:val="en-US"/>
        </w:rPr>
        <w:t xml:space="preserve"> (purple)</w:t>
      </w:r>
      <w:r w:rsidRPr="004B39D6">
        <w:rPr>
          <w:rFonts w:ascii="Book Antiqua" w:hAnsi="Book Antiqua" w:cs="Arial"/>
          <w:sz w:val="24"/>
          <w:szCs w:val="24"/>
          <w:lang w:val="en-US"/>
        </w:rPr>
        <w:t>.</w:t>
      </w:r>
      <w:r w:rsidR="002E0CCF" w:rsidRPr="004B39D6">
        <w:rPr>
          <w:rFonts w:ascii="Book Antiqua" w:hAnsi="Book Antiqua"/>
          <w:sz w:val="24"/>
          <w:szCs w:val="24"/>
          <w:lang w:val="en-US"/>
        </w:rPr>
        <w:t xml:space="preserve"> </w:t>
      </w:r>
    </w:p>
    <w:p w14:paraId="0C2B5F08" w14:textId="74BE97C9" w:rsidR="0050021B" w:rsidRPr="004B39D6" w:rsidRDefault="0050021B"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noProof/>
          <w:sz w:val="24"/>
          <w:szCs w:val="24"/>
          <w:lang w:val="en-US" w:eastAsia="en-US"/>
        </w:rPr>
        <w:lastRenderedPageBreak/>
        <w:drawing>
          <wp:inline distT="0" distB="0" distL="0" distR="0" wp14:anchorId="4ED1F8B9" wp14:editId="010ECC8E">
            <wp:extent cx="5581015" cy="5344160"/>
            <wp:effectExtent l="0" t="0" r="635" b="889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WJH.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81015" cy="5344160"/>
                    </a:xfrm>
                    <a:prstGeom prst="rect">
                      <a:avLst/>
                    </a:prstGeom>
                  </pic:spPr>
                </pic:pic>
              </a:graphicData>
            </a:graphic>
          </wp:inline>
        </w:drawing>
      </w:r>
    </w:p>
    <w:p w14:paraId="3AC40B2C" w14:textId="1714BB9B" w:rsidR="003B780A" w:rsidRPr="004B39D6" w:rsidRDefault="00234964"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b/>
          <w:sz w:val="24"/>
          <w:szCs w:val="24"/>
          <w:lang w:val="en-US"/>
        </w:rPr>
        <w:t>Figure 3</w:t>
      </w:r>
      <w:r w:rsidR="003B780A" w:rsidRPr="004B39D6">
        <w:rPr>
          <w:rFonts w:ascii="Book Antiqua" w:hAnsi="Book Antiqua" w:cs="Arial"/>
          <w:b/>
          <w:sz w:val="24"/>
          <w:szCs w:val="24"/>
          <w:lang w:val="en-US"/>
        </w:rPr>
        <w:t xml:space="preserve"> </w:t>
      </w:r>
      <w:r w:rsidR="003B780A" w:rsidRPr="004B39D6">
        <w:rPr>
          <w:rFonts w:ascii="Book Antiqua" w:hAnsi="Book Antiqua" w:cs="Arial"/>
          <w:b/>
          <w:color w:val="231F20"/>
          <w:sz w:val="24"/>
          <w:szCs w:val="24"/>
          <w:lang w:val="en-US"/>
        </w:rPr>
        <w:t xml:space="preserve">Representative plots </w:t>
      </w:r>
      <w:r w:rsidR="002E0CCF" w:rsidRPr="004B39D6">
        <w:rPr>
          <w:rFonts w:ascii="Book Antiqua" w:hAnsi="Book Antiqua" w:cs="Arial"/>
          <w:b/>
          <w:color w:val="231F20"/>
          <w:sz w:val="24"/>
          <w:szCs w:val="24"/>
          <w:lang w:val="en-US"/>
        </w:rPr>
        <w:t xml:space="preserve">showing </w:t>
      </w:r>
      <w:r w:rsidR="003B780A" w:rsidRPr="004B39D6">
        <w:rPr>
          <w:rFonts w:ascii="Book Antiqua" w:hAnsi="Book Antiqua" w:cs="Arial"/>
          <w:b/>
          <w:sz w:val="24"/>
          <w:szCs w:val="24"/>
          <w:lang w:val="en-US"/>
        </w:rPr>
        <w:t>CD4</w:t>
      </w:r>
      <w:r w:rsidR="003B780A" w:rsidRPr="004B39D6">
        <w:rPr>
          <w:rFonts w:ascii="Book Antiqua" w:hAnsi="Book Antiqua" w:cs="Arial"/>
          <w:b/>
          <w:sz w:val="24"/>
          <w:szCs w:val="24"/>
          <w:vertAlign w:val="superscript"/>
          <w:lang w:val="en-US"/>
        </w:rPr>
        <w:t>+</w:t>
      </w:r>
      <w:r w:rsidR="003B780A" w:rsidRPr="004B39D6">
        <w:rPr>
          <w:rFonts w:ascii="Book Antiqua" w:hAnsi="Book Antiqua" w:cs="Arial"/>
          <w:b/>
          <w:sz w:val="24"/>
          <w:szCs w:val="24"/>
          <w:lang w:val="en-US"/>
        </w:rPr>
        <w:t>CD8</w:t>
      </w:r>
      <w:r w:rsidR="003B780A" w:rsidRPr="004B39D6">
        <w:rPr>
          <w:rFonts w:ascii="Book Antiqua" w:hAnsi="Book Antiqua" w:cs="Arial"/>
          <w:b/>
          <w:sz w:val="24"/>
          <w:szCs w:val="24"/>
          <w:vertAlign w:val="superscript"/>
          <w:lang w:val="en-US"/>
        </w:rPr>
        <w:t>low</w:t>
      </w:r>
      <w:r w:rsidR="002E0CCF" w:rsidRPr="004B39D6">
        <w:rPr>
          <w:rFonts w:ascii="Book Antiqua" w:hAnsi="Book Antiqua" w:cs="Arial"/>
          <w:b/>
          <w:sz w:val="24"/>
          <w:szCs w:val="24"/>
          <w:vertAlign w:val="superscript"/>
          <w:lang w:val="en-US"/>
        </w:rPr>
        <w:t xml:space="preserve"> </w:t>
      </w:r>
      <w:r w:rsidR="002E0CCF" w:rsidRPr="004B39D6">
        <w:rPr>
          <w:rFonts w:ascii="Book Antiqua" w:hAnsi="Book Antiqua" w:cs="Arial"/>
          <w:b/>
          <w:sz w:val="24"/>
          <w:szCs w:val="24"/>
          <w:lang w:val="en-US"/>
        </w:rPr>
        <w:t>T lymphocyte</w:t>
      </w:r>
      <w:r w:rsidRPr="004B39D6">
        <w:rPr>
          <w:rFonts w:ascii="Book Antiqua" w:hAnsi="Book Antiqua" w:cs="Arial"/>
          <w:b/>
          <w:sz w:val="24"/>
          <w:szCs w:val="24"/>
          <w:lang w:val="en-US"/>
        </w:rPr>
        <w:t xml:space="preserve"> activation in terms of cytokine production</w:t>
      </w:r>
      <w:r w:rsidR="003B780A" w:rsidRPr="004B39D6">
        <w:rPr>
          <w:rFonts w:ascii="Book Antiqua" w:hAnsi="Book Antiqua" w:cs="Arial"/>
          <w:sz w:val="24"/>
          <w:szCs w:val="24"/>
          <w:lang w:val="en-US"/>
        </w:rPr>
        <w:t>.</w:t>
      </w:r>
      <w:r w:rsidR="003B780A" w:rsidRPr="004B39D6">
        <w:rPr>
          <w:rFonts w:ascii="Book Antiqua" w:hAnsi="Book Antiqua" w:cs="Arial"/>
          <w:sz w:val="24"/>
          <w:szCs w:val="24"/>
          <w:vertAlign w:val="superscript"/>
          <w:lang w:val="en-US"/>
        </w:rPr>
        <w:t xml:space="preserve"> </w:t>
      </w:r>
      <w:r w:rsidR="002E0CCF" w:rsidRPr="004B39D6">
        <w:rPr>
          <w:rFonts w:ascii="Book Antiqua" w:hAnsi="Book Antiqua" w:cs="Arial"/>
          <w:sz w:val="24"/>
          <w:szCs w:val="24"/>
          <w:lang w:val="en-US"/>
        </w:rPr>
        <w:t xml:space="preserve">Production </w:t>
      </w:r>
      <w:r w:rsidR="003B780A" w:rsidRPr="004B39D6">
        <w:rPr>
          <w:rFonts w:ascii="Book Antiqua" w:hAnsi="Book Antiqua" w:cs="Arial"/>
          <w:sz w:val="24"/>
          <w:szCs w:val="24"/>
          <w:lang w:val="en-US"/>
        </w:rPr>
        <w:t xml:space="preserve">of IL-4 and/or </w:t>
      </w:r>
      <w:proofErr w:type="spellStart"/>
      <w:r w:rsidR="003B780A" w:rsidRPr="004B39D6">
        <w:rPr>
          <w:rFonts w:ascii="Book Antiqua" w:hAnsi="Book Antiqua" w:cs="Arial"/>
          <w:sz w:val="24"/>
          <w:szCs w:val="24"/>
          <w:lang w:val="en-US"/>
        </w:rPr>
        <w:t>IFNγ</w:t>
      </w:r>
      <w:proofErr w:type="spellEnd"/>
      <w:r w:rsidR="003B780A" w:rsidRPr="004B39D6">
        <w:rPr>
          <w:rFonts w:ascii="Book Antiqua" w:hAnsi="Book Antiqua" w:cs="Arial"/>
          <w:sz w:val="24"/>
          <w:szCs w:val="24"/>
          <w:lang w:val="en-US"/>
        </w:rPr>
        <w:t xml:space="preserve"> was analyzed after exposure of the cells to the </w:t>
      </w:r>
      <w:r w:rsidR="004B6347" w:rsidRPr="00C378DA">
        <w:rPr>
          <w:rFonts w:ascii="Book Antiqua" w:hAnsi="Book Antiqua" w:cs="Arial" w:hint="eastAsia"/>
          <w:sz w:val="24"/>
          <w:szCs w:val="24"/>
        </w:rPr>
        <w:t>glutathione S-transferase T1</w:t>
      </w:r>
      <w:r w:rsidR="003B780A" w:rsidRPr="004B39D6">
        <w:rPr>
          <w:rFonts w:ascii="Book Antiqua" w:hAnsi="Book Antiqua" w:cs="Arial"/>
          <w:sz w:val="24"/>
          <w:szCs w:val="24"/>
          <w:lang w:val="en-US"/>
        </w:rPr>
        <w:t xml:space="preserve"> </w:t>
      </w:r>
      <w:r w:rsidRPr="004B39D6">
        <w:rPr>
          <w:rFonts w:ascii="Book Antiqua" w:hAnsi="Book Antiqua" w:cs="Arial"/>
          <w:sz w:val="24"/>
          <w:szCs w:val="24"/>
          <w:lang w:val="en-US"/>
        </w:rPr>
        <w:t>peptides</w:t>
      </w:r>
      <w:r w:rsidR="003B780A" w:rsidRPr="004B39D6">
        <w:rPr>
          <w:rFonts w:ascii="Book Antiqua" w:hAnsi="Book Antiqua" w:cs="Arial"/>
          <w:sz w:val="24"/>
          <w:szCs w:val="24"/>
          <w:lang w:val="en-US"/>
        </w:rPr>
        <w:t>. As an example, patient 3 had 78.85% of the double positive cells activated with pool 3 and 2.9% with pool 6. Patient 4 had 6.05% of cells activated with pool 3</w:t>
      </w:r>
      <w:r w:rsidR="00255FFE" w:rsidRPr="004B39D6">
        <w:rPr>
          <w:rFonts w:ascii="Book Antiqua" w:hAnsi="Book Antiqua" w:cs="Arial"/>
          <w:sz w:val="24"/>
          <w:szCs w:val="24"/>
          <w:lang w:val="en-US"/>
        </w:rPr>
        <w:t>,</w:t>
      </w:r>
      <w:r w:rsidR="003B780A" w:rsidRPr="004B39D6">
        <w:rPr>
          <w:rFonts w:ascii="Book Antiqua" w:hAnsi="Book Antiqua" w:cs="Arial"/>
          <w:sz w:val="24"/>
          <w:szCs w:val="24"/>
          <w:lang w:val="en-US"/>
        </w:rPr>
        <w:t xml:space="preserve"> whereas pool 5 did not have any effect. Patient </w:t>
      </w:r>
      <w:r w:rsidR="00915FD8" w:rsidRPr="004B39D6">
        <w:rPr>
          <w:rFonts w:ascii="Book Antiqua" w:hAnsi="Book Antiqua" w:cs="Arial"/>
          <w:sz w:val="24"/>
          <w:szCs w:val="24"/>
          <w:lang w:val="en-US"/>
        </w:rPr>
        <w:t>17</w:t>
      </w:r>
      <w:r w:rsidR="003B780A" w:rsidRPr="004B39D6">
        <w:rPr>
          <w:rFonts w:ascii="Book Antiqua" w:hAnsi="Book Antiqua" w:cs="Arial"/>
          <w:sz w:val="24"/>
          <w:szCs w:val="24"/>
          <w:lang w:val="en-US"/>
        </w:rPr>
        <w:t xml:space="preserve"> showed 21.21% of cell activation with pool 3</w:t>
      </w:r>
      <w:r w:rsidR="00255FFE" w:rsidRPr="004B39D6">
        <w:rPr>
          <w:rFonts w:ascii="Book Antiqua" w:hAnsi="Book Antiqua" w:cs="Arial"/>
          <w:sz w:val="24"/>
          <w:szCs w:val="24"/>
          <w:lang w:val="en-US"/>
        </w:rPr>
        <w:t>,</w:t>
      </w:r>
      <w:r w:rsidR="003B780A" w:rsidRPr="004B39D6">
        <w:rPr>
          <w:rFonts w:ascii="Book Antiqua" w:hAnsi="Book Antiqua" w:cs="Arial"/>
          <w:sz w:val="24"/>
          <w:szCs w:val="24"/>
          <w:lang w:val="en-US"/>
        </w:rPr>
        <w:t xml:space="preserve"> but no response </w:t>
      </w:r>
      <w:r w:rsidR="00915FD8" w:rsidRPr="004B39D6">
        <w:rPr>
          <w:rFonts w:ascii="Book Antiqua" w:hAnsi="Book Antiqua" w:cs="Arial"/>
          <w:sz w:val="24"/>
          <w:szCs w:val="24"/>
          <w:lang w:val="en-US"/>
        </w:rPr>
        <w:t xml:space="preserve">was observed </w:t>
      </w:r>
      <w:r w:rsidR="003B780A" w:rsidRPr="004B39D6">
        <w:rPr>
          <w:rFonts w:ascii="Book Antiqua" w:hAnsi="Book Antiqua" w:cs="Arial"/>
          <w:sz w:val="24"/>
          <w:szCs w:val="24"/>
          <w:lang w:val="en-US"/>
        </w:rPr>
        <w:t>when</w:t>
      </w:r>
      <w:r w:rsidR="00915FD8" w:rsidRPr="004B39D6">
        <w:rPr>
          <w:rFonts w:ascii="Book Antiqua" w:hAnsi="Book Antiqua" w:cs="Arial"/>
          <w:sz w:val="24"/>
          <w:szCs w:val="24"/>
          <w:lang w:val="en-US"/>
        </w:rPr>
        <w:t xml:space="preserve"> the cells were</w:t>
      </w:r>
      <w:r w:rsidR="003B780A" w:rsidRPr="004B39D6">
        <w:rPr>
          <w:rFonts w:ascii="Book Antiqua" w:hAnsi="Book Antiqua" w:cs="Arial"/>
          <w:sz w:val="24"/>
          <w:szCs w:val="24"/>
          <w:lang w:val="en-US"/>
        </w:rPr>
        <w:t xml:space="preserve"> cultured with pool 2. </w:t>
      </w:r>
      <w:r w:rsidR="00915FD8" w:rsidRPr="004B39D6">
        <w:rPr>
          <w:rFonts w:ascii="Book Antiqua" w:hAnsi="Book Antiqua" w:cs="Arial"/>
          <w:sz w:val="24"/>
          <w:szCs w:val="24"/>
          <w:lang w:val="en-US"/>
        </w:rPr>
        <w:t>In all the cases, the cells produced both cytokines, indicating a Th0 type of response.</w:t>
      </w:r>
    </w:p>
    <w:p w14:paraId="6B000954" w14:textId="77777777" w:rsidR="0050021B" w:rsidRPr="004B39D6" w:rsidRDefault="0050021B" w:rsidP="0081528B">
      <w:pPr>
        <w:snapToGrid w:val="0"/>
        <w:spacing w:after="0" w:line="360" w:lineRule="auto"/>
        <w:jc w:val="both"/>
        <w:rPr>
          <w:rFonts w:ascii="Book Antiqua" w:hAnsi="Book Antiqua" w:cs="Arial"/>
          <w:sz w:val="24"/>
          <w:szCs w:val="24"/>
          <w:lang w:val="en-US"/>
        </w:rPr>
      </w:pPr>
    </w:p>
    <w:p w14:paraId="0DED6B0F" w14:textId="77777777" w:rsidR="006B5F75" w:rsidRPr="004B39D6" w:rsidRDefault="006B5F75" w:rsidP="0081528B">
      <w:pPr>
        <w:snapToGrid w:val="0"/>
        <w:spacing w:after="0" w:line="360" w:lineRule="auto"/>
        <w:jc w:val="both"/>
        <w:rPr>
          <w:rFonts w:ascii="Book Antiqua" w:hAnsi="Book Antiqua" w:cs="Arial"/>
          <w:sz w:val="24"/>
          <w:szCs w:val="24"/>
          <w:lang w:val="en-US"/>
        </w:rPr>
      </w:pPr>
    </w:p>
    <w:p w14:paraId="5511888C" w14:textId="77777777" w:rsidR="004A7557" w:rsidRPr="004B39D6" w:rsidRDefault="004A7557" w:rsidP="0081528B">
      <w:pPr>
        <w:snapToGrid w:val="0"/>
        <w:spacing w:after="0" w:line="360" w:lineRule="auto"/>
        <w:jc w:val="both"/>
        <w:rPr>
          <w:rFonts w:ascii="Book Antiqua" w:hAnsi="Book Antiqua" w:cs="Arial"/>
          <w:sz w:val="24"/>
          <w:szCs w:val="24"/>
          <w:lang w:val="en-US"/>
        </w:rPr>
      </w:pPr>
    </w:p>
    <w:p w14:paraId="49805792" w14:textId="77777777" w:rsidR="00040A8B" w:rsidRDefault="00040A8B">
      <w:pPr>
        <w:spacing w:after="0" w:line="240" w:lineRule="auto"/>
        <w:rPr>
          <w:rFonts w:ascii="Book Antiqua" w:hAnsi="Book Antiqua" w:cs="Arial"/>
          <w:b/>
          <w:sz w:val="24"/>
          <w:szCs w:val="24"/>
          <w:lang w:val="en-US"/>
        </w:rPr>
      </w:pPr>
      <w:r>
        <w:rPr>
          <w:rFonts w:ascii="Book Antiqua" w:hAnsi="Book Antiqua" w:cs="Arial"/>
          <w:b/>
          <w:sz w:val="24"/>
          <w:szCs w:val="24"/>
          <w:lang w:val="en-US"/>
        </w:rPr>
        <w:br w:type="page"/>
      </w:r>
    </w:p>
    <w:p w14:paraId="5BAC59D9" w14:textId="24381D59" w:rsidR="00040A8B" w:rsidRPr="00C378DA" w:rsidRDefault="00C378DA" w:rsidP="0081528B">
      <w:pPr>
        <w:snapToGrid w:val="0"/>
        <w:spacing w:after="0" w:line="360" w:lineRule="auto"/>
        <w:jc w:val="both"/>
        <w:rPr>
          <w:rFonts w:ascii="Book Antiqua" w:hAnsi="Book Antiqua" w:cs="Arial"/>
          <w:b/>
          <w:sz w:val="24"/>
          <w:szCs w:val="24"/>
          <w:lang w:val="en-US" w:eastAsia="zh-CN"/>
        </w:rPr>
      </w:pPr>
      <w:r w:rsidRPr="00C378DA">
        <w:rPr>
          <w:rFonts w:ascii="Book Antiqua" w:hAnsi="Book Antiqua" w:cs="Arial"/>
          <w:b/>
          <w:sz w:val="24"/>
          <w:szCs w:val="24"/>
          <w:lang w:val="en-US"/>
        </w:rPr>
        <w:lastRenderedPageBreak/>
        <w:t>Table 1 Patient characteristics</w:t>
      </w:r>
    </w:p>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09"/>
        <w:gridCol w:w="709"/>
        <w:gridCol w:w="1134"/>
        <w:gridCol w:w="1701"/>
        <w:gridCol w:w="1667"/>
        <w:gridCol w:w="1310"/>
        <w:gridCol w:w="992"/>
        <w:gridCol w:w="1701"/>
      </w:tblGrid>
      <w:tr w:rsidR="00D14A6D" w:rsidRPr="004B39D6" w14:paraId="166DFAF6" w14:textId="77777777" w:rsidTr="00040A8B">
        <w:tc>
          <w:tcPr>
            <w:tcW w:w="992" w:type="dxa"/>
            <w:tcBorders>
              <w:top w:val="single" w:sz="4" w:space="0" w:color="auto"/>
              <w:bottom w:val="single" w:sz="4" w:space="0" w:color="auto"/>
            </w:tcBorders>
          </w:tcPr>
          <w:p w14:paraId="5BBA7118" w14:textId="77777777" w:rsidR="00D14A6D" w:rsidRPr="004B39D6" w:rsidRDefault="00D14A6D" w:rsidP="001C07F6">
            <w:pPr>
              <w:pStyle w:val="Heading1"/>
              <w:snapToGrid w:val="0"/>
              <w:spacing w:before="0" w:line="360" w:lineRule="auto"/>
              <w:rPr>
                <w:rFonts w:ascii="Book Antiqua" w:hAnsi="Book Antiqua" w:cs="Arial"/>
                <w:color w:val="auto"/>
                <w:sz w:val="24"/>
                <w:szCs w:val="24"/>
                <w:lang w:val="en-US"/>
              </w:rPr>
            </w:pPr>
            <w:r w:rsidRPr="004B39D6">
              <w:rPr>
                <w:rFonts w:ascii="Book Antiqua" w:hAnsi="Book Antiqua" w:cs="Arial"/>
                <w:color w:val="auto"/>
                <w:sz w:val="24"/>
                <w:szCs w:val="24"/>
                <w:lang w:val="en-US"/>
              </w:rPr>
              <w:t>Group</w:t>
            </w:r>
          </w:p>
        </w:tc>
        <w:tc>
          <w:tcPr>
            <w:tcW w:w="709" w:type="dxa"/>
            <w:tcBorders>
              <w:top w:val="single" w:sz="4" w:space="0" w:color="auto"/>
              <w:bottom w:val="single" w:sz="4" w:space="0" w:color="auto"/>
            </w:tcBorders>
          </w:tcPr>
          <w:p w14:paraId="1A919B22" w14:textId="77777777" w:rsidR="00D14A6D" w:rsidRPr="004B39D6" w:rsidRDefault="00D14A6D" w:rsidP="001C07F6">
            <w:pPr>
              <w:pStyle w:val="Heading1"/>
              <w:snapToGrid w:val="0"/>
              <w:spacing w:before="0" w:line="360" w:lineRule="auto"/>
              <w:jc w:val="center"/>
              <w:rPr>
                <w:rFonts w:ascii="Book Antiqua" w:hAnsi="Book Antiqua" w:cs="Arial"/>
                <w:color w:val="auto"/>
                <w:sz w:val="24"/>
                <w:szCs w:val="24"/>
                <w:lang w:val="en-US"/>
              </w:rPr>
            </w:pPr>
            <w:r w:rsidRPr="004B39D6">
              <w:rPr>
                <w:rFonts w:ascii="Book Antiqua" w:hAnsi="Book Antiqua" w:cs="Arial"/>
                <w:color w:val="auto"/>
                <w:sz w:val="24"/>
                <w:szCs w:val="24"/>
                <w:lang w:val="en-US"/>
              </w:rPr>
              <w:t>Patient</w:t>
            </w:r>
          </w:p>
        </w:tc>
        <w:tc>
          <w:tcPr>
            <w:tcW w:w="709" w:type="dxa"/>
            <w:tcBorders>
              <w:top w:val="single" w:sz="4" w:space="0" w:color="auto"/>
              <w:bottom w:val="single" w:sz="4" w:space="0" w:color="auto"/>
            </w:tcBorders>
          </w:tcPr>
          <w:p w14:paraId="5EF93307" w14:textId="77777777" w:rsidR="00D14A6D" w:rsidRPr="004B39D6" w:rsidRDefault="00D14A6D" w:rsidP="001C07F6">
            <w:pPr>
              <w:pStyle w:val="Heading1"/>
              <w:snapToGrid w:val="0"/>
              <w:spacing w:before="0" w:line="360" w:lineRule="auto"/>
              <w:jc w:val="center"/>
              <w:rPr>
                <w:rFonts w:ascii="Book Antiqua" w:hAnsi="Book Antiqua" w:cs="Arial"/>
                <w:color w:val="auto"/>
                <w:sz w:val="24"/>
                <w:szCs w:val="24"/>
                <w:lang w:val="en-US"/>
              </w:rPr>
            </w:pPr>
            <w:r w:rsidRPr="004B39D6">
              <w:rPr>
                <w:rFonts w:ascii="Book Antiqua" w:hAnsi="Book Antiqua" w:cs="Arial"/>
                <w:color w:val="auto"/>
                <w:sz w:val="24"/>
                <w:szCs w:val="24"/>
                <w:lang w:val="en-US"/>
              </w:rPr>
              <w:t>Gender</w:t>
            </w:r>
          </w:p>
        </w:tc>
        <w:tc>
          <w:tcPr>
            <w:tcW w:w="1134" w:type="dxa"/>
            <w:tcBorders>
              <w:top w:val="single" w:sz="4" w:space="0" w:color="auto"/>
              <w:bottom w:val="single" w:sz="4" w:space="0" w:color="auto"/>
            </w:tcBorders>
          </w:tcPr>
          <w:p w14:paraId="19277EEB" w14:textId="77777777" w:rsidR="00D14A6D" w:rsidRPr="004B39D6" w:rsidRDefault="00D14A6D" w:rsidP="001C07F6">
            <w:pPr>
              <w:pStyle w:val="Heading1"/>
              <w:snapToGrid w:val="0"/>
              <w:spacing w:before="0" w:line="360" w:lineRule="auto"/>
              <w:jc w:val="center"/>
              <w:rPr>
                <w:rFonts w:ascii="Book Antiqua" w:hAnsi="Book Antiqua" w:cs="Arial"/>
                <w:color w:val="auto"/>
                <w:sz w:val="24"/>
                <w:szCs w:val="24"/>
                <w:lang w:val="en-US"/>
              </w:rPr>
            </w:pPr>
            <w:r w:rsidRPr="004B39D6">
              <w:rPr>
                <w:rFonts w:ascii="Book Antiqua" w:hAnsi="Book Antiqua" w:cs="Arial"/>
                <w:color w:val="auto"/>
                <w:sz w:val="24"/>
                <w:szCs w:val="24"/>
                <w:lang w:val="en-US"/>
              </w:rPr>
              <w:t>LT Date</w:t>
            </w:r>
          </w:p>
        </w:tc>
        <w:tc>
          <w:tcPr>
            <w:tcW w:w="1701" w:type="dxa"/>
            <w:tcBorders>
              <w:top w:val="single" w:sz="4" w:space="0" w:color="auto"/>
              <w:bottom w:val="single" w:sz="4" w:space="0" w:color="auto"/>
            </w:tcBorders>
          </w:tcPr>
          <w:p w14:paraId="1B3CBC04" w14:textId="77777777" w:rsidR="00D14A6D" w:rsidRPr="004B39D6" w:rsidRDefault="00D14A6D" w:rsidP="001C07F6">
            <w:pPr>
              <w:pStyle w:val="Heading1"/>
              <w:snapToGrid w:val="0"/>
              <w:spacing w:before="0" w:line="360" w:lineRule="auto"/>
              <w:jc w:val="center"/>
              <w:rPr>
                <w:rFonts w:ascii="Book Antiqua" w:hAnsi="Book Antiqua" w:cs="Arial"/>
                <w:color w:val="auto"/>
                <w:sz w:val="24"/>
                <w:szCs w:val="24"/>
                <w:lang w:val="en-US"/>
              </w:rPr>
            </w:pPr>
            <w:r w:rsidRPr="004B39D6">
              <w:rPr>
                <w:rFonts w:ascii="Book Antiqua" w:hAnsi="Book Antiqua" w:cs="Arial"/>
                <w:color w:val="auto"/>
                <w:sz w:val="24"/>
                <w:szCs w:val="24"/>
                <w:lang w:val="en-US"/>
              </w:rPr>
              <w:t>Original disease</w:t>
            </w:r>
          </w:p>
        </w:tc>
        <w:tc>
          <w:tcPr>
            <w:tcW w:w="1667" w:type="dxa"/>
            <w:tcBorders>
              <w:top w:val="single" w:sz="4" w:space="0" w:color="auto"/>
              <w:bottom w:val="single" w:sz="4" w:space="0" w:color="auto"/>
            </w:tcBorders>
          </w:tcPr>
          <w:p w14:paraId="0405933D" w14:textId="16B80294" w:rsidR="00D14A6D" w:rsidRPr="004B39D6" w:rsidRDefault="00D14A6D" w:rsidP="001C07F6">
            <w:pPr>
              <w:pStyle w:val="Heading1"/>
              <w:snapToGrid w:val="0"/>
              <w:spacing w:before="0" w:line="360" w:lineRule="auto"/>
              <w:jc w:val="center"/>
              <w:rPr>
                <w:rFonts w:ascii="Book Antiqua" w:hAnsi="Book Antiqua" w:cs="Arial"/>
                <w:color w:val="auto"/>
                <w:sz w:val="24"/>
                <w:szCs w:val="24"/>
                <w:lang w:val="en-US"/>
              </w:rPr>
            </w:pPr>
            <w:r w:rsidRPr="004B39D6">
              <w:rPr>
                <w:rFonts w:ascii="Book Antiqua" w:hAnsi="Book Antiqua" w:cs="Arial"/>
                <w:color w:val="auto"/>
                <w:sz w:val="24"/>
                <w:szCs w:val="24"/>
                <w:lang w:val="en-US"/>
              </w:rPr>
              <w:t>Baseline IS</w:t>
            </w:r>
          </w:p>
        </w:tc>
        <w:tc>
          <w:tcPr>
            <w:tcW w:w="1310" w:type="dxa"/>
            <w:tcBorders>
              <w:top w:val="single" w:sz="4" w:space="0" w:color="auto"/>
              <w:bottom w:val="single" w:sz="4" w:space="0" w:color="auto"/>
            </w:tcBorders>
          </w:tcPr>
          <w:p w14:paraId="64EE3DF6" w14:textId="2C47B3E5" w:rsidR="00D14A6D" w:rsidRPr="004B39D6" w:rsidRDefault="00D14A6D" w:rsidP="001C07F6">
            <w:pPr>
              <w:pStyle w:val="Heading1"/>
              <w:snapToGrid w:val="0"/>
              <w:spacing w:before="0" w:line="360" w:lineRule="auto"/>
              <w:jc w:val="center"/>
              <w:rPr>
                <w:rFonts w:ascii="Book Antiqua" w:hAnsi="Book Antiqua" w:cs="Arial"/>
                <w:color w:val="auto"/>
                <w:sz w:val="24"/>
                <w:szCs w:val="24"/>
                <w:lang w:val="en-US"/>
              </w:rPr>
            </w:pPr>
            <w:r w:rsidRPr="004B39D6">
              <w:rPr>
                <w:rFonts w:ascii="Book Antiqua" w:hAnsi="Book Antiqua" w:cs="Arial"/>
                <w:color w:val="auto"/>
                <w:sz w:val="24"/>
                <w:szCs w:val="24"/>
                <w:lang w:val="en-US"/>
              </w:rPr>
              <w:t>PBMC extraction date</w:t>
            </w:r>
          </w:p>
        </w:tc>
        <w:tc>
          <w:tcPr>
            <w:tcW w:w="992" w:type="dxa"/>
            <w:tcBorders>
              <w:top w:val="single" w:sz="4" w:space="0" w:color="auto"/>
              <w:bottom w:val="single" w:sz="4" w:space="0" w:color="auto"/>
            </w:tcBorders>
          </w:tcPr>
          <w:p w14:paraId="22CBE60D" w14:textId="77777777" w:rsidR="00D14A6D" w:rsidRPr="004B39D6" w:rsidRDefault="00D14A6D" w:rsidP="001C07F6">
            <w:pPr>
              <w:pStyle w:val="Heading1"/>
              <w:snapToGrid w:val="0"/>
              <w:spacing w:before="0" w:line="360" w:lineRule="auto"/>
              <w:jc w:val="center"/>
              <w:rPr>
                <w:rFonts w:ascii="Book Antiqua" w:hAnsi="Book Antiqua" w:cs="Arial"/>
                <w:color w:val="auto"/>
                <w:sz w:val="24"/>
                <w:szCs w:val="24"/>
                <w:lang w:val="en-US"/>
              </w:rPr>
            </w:pPr>
            <w:r w:rsidRPr="004B39D6">
              <w:rPr>
                <w:rFonts w:ascii="Book Antiqua" w:hAnsi="Book Antiqua" w:cs="Arial"/>
                <w:color w:val="auto"/>
                <w:sz w:val="24"/>
                <w:szCs w:val="24"/>
                <w:lang w:val="en-US"/>
              </w:rPr>
              <w:t xml:space="preserve">Years after </w:t>
            </w:r>
            <w:proofErr w:type="spellStart"/>
            <w:r w:rsidRPr="004B39D6">
              <w:rPr>
                <w:rFonts w:ascii="Book Antiqua" w:hAnsi="Book Antiqua" w:cs="Arial"/>
                <w:color w:val="auto"/>
                <w:sz w:val="24"/>
                <w:szCs w:val="24"/>
                <w:lang w:val="en-US"/>
              </w:rPr>
              <w:t>Tx</w:t>
            </w:r>
            <w:proofErr w:type="spellEnd"/>
          </w:p>
        </w:tc>
        <w:tc>
          <w:tcPr>
            <w:tcW w:w="1701" w:type="dxa"/>
            <w:tcBorders>
              <w:top w:val="single" w:sz="4" w:space="0" w:color="auto"/>
              <w:bottom w:val="single" w:sz="4" w:space="0" w:color="auto"/>
            </w:tcBorders>
          </w:tcPr>
          <w:p w14:paraId="034558D8" w14:textId="77777777" w:rsidR="00D14A6D" w:rsidRPr="004B39D6" w:rsidRDefault="00D14A6D" w:rsidP="001C07F6">
            <w:pPr>
              <w:pStyle w:val="Heading1"/>
              <w:snapToGrid w:val="0"/>
              <w:spacing w:before="0" w:line="360" w:lineRule="auto"/>
              <w:jc w:val="center"/>
              <w:rPr>
                <w:rFonts w:ascii="Book Antiqua" w:hAnsi="Book Antiqua" w:cs="Arial"/>
                <w:color w:val="auto"/>
                <w:sz w:val="24"/>
                <w:szCs w:val="24"/>
                <w:lang w:val="en-US"/>
              </w:rPr>
            </w:pPr>
            <w:r w:rsidRPr="004B39D6">
              <w:rPr>
                <w:rFonts w:ascii="Book Antiqua" w:hAnsi="Book Antiqua" w:cs="Arial"/>
                <w:color w:val="auto"/>
                <w:sz w:val="24"/>
                <w:szCs w:val="24"/>
                <w:lang w:val="en-US"/>
              </w:rPr>
              <w:t>Treatment at PBMC extraction</w:t>
            </w:r>
          </w:p>
        </w:tc>
      </w:tr>
      <w:tr w:rsidR="00D14A6D" w:rsidRPr="004B39D6" w14:paraId="5140C7D3" w14:textId="77777777" w:rsidTr="00040A8B">
        <w:tc>
          <w:tcPr>
            <w:tcW w:w="992" w:type="dxa"/>
            <w:vMerge w:val="restart"/>
            <w:tcBorders>
              <w:top w:val="single" w:sz="4" w:space="0" w:color="auto"/>
            </w:tcBorders>
          </w:tcPr>
          <w:p w14:paraId="14417475" w14:textId="77777777" w:rsidR="00D14A6D" w:rsidRPr="004B39D6" w:rsidRDefault="00D14A6D" w:rsidP="001C07F6">
            <w:pPr>
              <w:snapToGrid w:val="0"/>
              <w:spacing w:after="0" w:line="360" w:lineRule="auto"/>
              <w:rPr>
                <w:rFonts w:ascii="Book Antiqua" w:hAnsi="Book Antiqua" w:cs="Arial"/>
                <w:sz w:val="24"/>
                <w:szCs w:val="24"/>
                <w:lang w:val="en-US"/>
              </w:rPr>
            </w:pPr>
            <w:r w:rsidRPr="004B39D6">
              <w:rPr>
                <w:rFonts w:ascii="Book Antiqua" w:hAnsi="Book Antiqua" w:cs="Arial"/>
                <w:sz w:val="24"/>
                <w:szCs w:val="24"/>
                <w:lang w:val="en-US"/>
              </w:rPr>
              <w:t>1</w:t>
            </w:r>
          </w:p>
          <w:p w14:paraId="2E1D62C1" w14:textId="77777777" w:rsidR="00D14A6D" w:rsidRPr="004B39D6" w:rsidRDefault="00D14A6D" w:rsidP="001C07F6">
            <w:pPr>
              <w:snapToGrid w:val="0"/>
              <w:spacing w:after="0" w:line="360" w:lineRule="auto"/>
              <w:rPr>
                <w:rFonts w:ascii="Book Antiqua" w:hAnsi="Book Antiqua" w:cs="Arial"/>
                <w:sz w:val="24"/>
                <w:szCs w:val="24"/>
                <w:lang w:val="en-US"/>
              </w:rPr>
            </w:pPr>
          </w:p>
        </w:tc>
        <w:tc>
          <w:tcPr>
            <w:tcW w:w="709" w:type="dxa"/>
            <w:tcBorders>
              <w:top w:val="single" w:sz="4" w:space="0" w:color="auto"/>
            </w:tcBorders>
          </w:tcPr>
          <w:p w14:paraId="38624D12"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w:t>
            </w:r>
          </w:p>
        </w:tc>
        <w:tc>
          <w:tcPr>
            <w:tcW w:w="709" w:type="dxa"/>
            <w:tcBorders>
              <w:top w:val="single" w:sz="4" w:space="0" w:color="auto"/>
            </w:tcBorders>
          </w:tcPr>
          <w:p w14:paraId="2E3385E7"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M</w:t>
            </w:r>
          </w:p>
        </w:tc>
        <w:tc>
          <w:tcPr>
            <w:tcW w:w="1134" w:type="dxa"/>
            <w:tcBorders>
              <w:top w:val="single" w:sz="4" w:space="0" w:color="auto"/>
            </w:tcBorders>
          </w:tcPr>
          <w:p w14:paraId="09A4CB02"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06-05-99</w:t>
            </w:r>
          </w:p>
        </w:tc>
        <w:tc>
          <w:tcPr>
            <w:tcW w:w="1701" w:type="dxa"/>
            <w:tcBorders>
              <w:top w:val="single" w:sz="4" w:space="0" w:color="auto"/>
            </w:tcBorders>
          </w:tcPr>
          <w:p w14:paraId="120CC846"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Alcoholic cirrhosis</w:t>
            </w:r>
          </w:p>
        </w:tc>
        <w:tc>
          <w:tcPr>
            <w:tcW w:w="1667" w:type="dxa"/>
            <w:tcBorders>
              <w:top w:val="single" w:sz="4" w:space="0" w:color="auto"/>
            </w:tcBorders>
          </w:tcPr>
          <w:p w14:paraId="0F6BCFEB" w14:textId="55CD20A5"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CYA(N), MMF, ST</w:t>
            </w:r>
          </w:p>
        </w:tc>
        <w:tc>
          <w:tcPr>
            <w:tcW w:w="1310" w:type="dxa"/>
            <w:tcBorders>
              <w:top w:val="single" w:sz="4" w:space="0" w:color="auto"/>
            </w:tcBorders>
          </w:tcPr>
          <w:p w14:paraId="36141D79" w14:textId="396A4C95"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12-04-12</w:t>
            </w:r>
          </w:p>
        </w:tc>
        <w:tc>
          <w:tcPr>
            <w:tcW w:w="992" w:type="dxa"/>
            <w:tcBorders>
              <w:top w:val="single" w:sz="4" w:space="0" w:color="auto"/>
            </w:tcBorders>
          </w:tcPr>
          <w:p w14:paraId="3CBB8027"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13</w:t>
            </w:r>
          </w:p>
        </w:tc>
        <w:tc>
          <w:tcPr>
            <w:tcW w:w="1701" w:type="dxa"/>
            <w:tcBorders>
              <w:top w:val="single" w:sz="4" w:space="0" w:color="auto"/>
            </w:tcBorders>
          </w:tcPr>
          <w:p w14:paraId="00301FCE"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CYA(N), MMF, ST</w:t>
            </w:r>
          </w:p>
        </w:tc>
      </w:tr>
      <w:tr w:rsidR="00D14A6D" w:rsidRPr="004B39D6" w14:paraId="47C77CBA" w14:textId="77777777" w:rsidTr="00040A8B">
        <w:tc>
          <w:tcPr>
            <w:tcW w:w="992" w:type="dxa"/>
            <w:vMerge/>
          </w:tcPr>
          <w:p w14:paraId="3D3EC704" w14:textId="77777777" w:rsidR="00D14A6D" w:rsidRPr="004B39D6" w:rsidRDefault="00D14A6D" w:rsidP="001C07F6">
            <w:pPr>
              <w:snapToGrid w:val="0"/>
              <w:spacing w:after="0" w:line="360" w:lineRule="auto"/>
              <w:rPr>
                <w:rFonts w:ascii="Book Antiqua" w:hAnsi="Book Antiqua" w:cs="Arial"/>
                <w:sz w:val="24"/>
                <w:szCs w:val="24"/>
                <w:lang w:val="en-US"/>
              </w:rPr>
            </w:pPr>
          </w:p>
        </w:tc>
        <w:tc>
          <w:tcPr>
            <w:tcW w:w="709" w:type="dxa"/>
          </w:tcPr>
          <w:p w14:paraId="2C65B2C1"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2</w:t>
            </w:r>
          </w:p>
        </w:tc>
        <w:tc>
          <w:tcPr>
            <w:tcW w:w="709" w:type="dxa"/>
          </w:tcPr>
          <w:p w14:paraId="548768D5"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F</w:t>
            </w:r>
          </w:p>
        </w:tc>
        <w:tc>
          <w:tcPr>
            <w:tcW w:w="1134" w:type="dxa"/>
          </w:tcPr>
          <w:p w14:paraId="69CDA199"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07-05-07</w:t>
            </w:r>
          </w:p>
        </w:tc>
        <w:tc>
          <w:tcPr>
            <w:tcW w:w="1701" w:type="dxa"/>
          </w:tcPr>
          <w:p w14:paraId="10BD4BD8"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Cirrhosis probably autoimmune</w:t>
            </w:r>
          </w:p>
        </w:tc>
        <w:tc>
          <w:tcPr>
            <w:tcW w:w="1667" w:type="dxa"/>
          </w:tcPr>
          <w:p w14:paraId="4913481A"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 MMF, ST</w:t>
            </w:r>
          </w:p>
        </w:tc>
        <w:tc>
          <w:tcPr>
            <w:tcW w:w="1310" w:type="dxa"/>
          </w:tcPr>
          <w:p w14:paraId="03C1F4DA" w14:textId="3E08C686"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16-04-12</w:t>
            </w:r>
          </w:p>
        </w:tc>
        <w:tc>
          <w:tcPr>
            <w:tcW w:w="992" w:type="dxa"/>
          </w:tcPr>
          <w:p w14:paraId="42DAF5C9"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5</w:t>
            </w:r>
          </w:p>
        </w:tc>
        <w:tc>
          <w:tcPr>
            <w:tcW w:w="1701" w:type="dxa"/>
          </w:tcPr>
          <w:p w14:paraId="6513E866"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CYA(N), MMF, ST</w:t>
            </w:r>
          </w:p>
        </w:tc>
      </w:tr>
      <w:tr w:rsidR="00D14A6D" w:rsidRPr="004B39D6" w14:paraId="7D008421" w14:textId="77777777" w:rsidTr="00040A8B">
        <w:tc>
          <w:tcPr>
            <w:tcW w:w="992" w:type="dxa"/>
            <w:vMerge/>
          </w:tcPr>
          <w:p w14:paraId="4B08C615" w14:textId="77777777" w:rsidR="00D14A6D" w:rsidRPr="004B39D6" w:rsidRDefault="00D14A6D" w:rsidP="001C07F6">
            <w:pPr>
              <w:snapToGrid w:val="0"/>
              <w:spacing w:after="0" w:line="360" w:lineRule="auto"/>
              <w:rPr>
                <w:rFonts w:ascii="Book Antiqua" w:hAnsi="Book Antiqua" w:cs="Arial"/>
                <w:sz w:val="24"/>
                <w:szCs w:val="24"/>
                <w:lang w:val="en-US"/>
              </w:rPr>
            </w:pPr>
          </w:p>
        </w:tc>
        <w:tc>
          <w:tcPr>
            <w:tcW w:w="709" w:type="dxa"/>
          </w:tcPr>
          <w:p w14:paraId="2AA3FDA7"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3</w:t>
            </w:r>
          </w:p>
        </w:tc>
        <w:tc>
          <w:tcPr>
            <w:tcW w:w="709" w:type="dxa"/>
          </w:tcPr>
          <w:p w14:paraId="7046CA54"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F</w:t>
            </w:r>
          </w:p>
        </w:tc>
        <w:tc>
          <w:tcPr>
            <w:tcW w:w="1134" w:type="dxa"/>
          </w:tcPr>
          <w:p w14:paraId="66CCF079"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02-07-00</w:t>
            </w:r>
          </w:p>
        </w:tc>
        <w:tc>
          <w:tcPr>
            <w:tcW w:w="1701" w:type="dxa"/>
          </w:tcPr>
          <w:p w14:paraId="5F324AD1"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HCV cirrhosis</w:t>
            </w:r>
          </w:p>
        </w:tc>
        <w:tc>
          <w:tcPr>
            <w:tcW w:w="1667" w:type="dxa"/>
          </w:tcPr>
          <w:p w14:paraId="276D0D3E"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CYA(N), ST, BASILISIMAB</w:t>
            </w:r>
          </w:p>
        </w:tc>
        <w:tc>
          <w:tcPr>
            <w:tcW w:w="1310" w:type="dxa"/>
          </w:tcPr>
          <w:p w14:paraId="1DA1CAC8" w14:textId="71B4C6B6"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13-03-12</w:t>
            </w:r>
          </w:p>
        </w:tc>
        <w:tc>
          <w:tcPr>
            <w:tcW w:w="992" w:type="dxa"/>
          </w:tcPr>
          <w:p w14:paraId="62ED2A87"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12</w:t>
            </w:r>
          </w:p>
        </w:tc>
        <w:tc>
          <w:tcPr>
            <w:tcW w:w="1701" w:type="dxa"/>
          </w:tcPr>
          <w:p w14:paraId="3F856F02"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TAC, AZA, ST</w:t>
            </w:r>
          </w:p>
        </w:tc>
      </w:tr>
      <w:tr w:rsidR="00D14A6D" w:rsidRPr="004B39D6" w14:paraId="625CF8E1" w14:textId="77777777" w:rsidTr="00040A8B">
        <w:tc>
          <w:tcPr>
            <w:tcW w:w="992" w:type="dxa"/>
            <w:vMerge/>
          </w:tcPr>
          <w:p w14:paraId="17D9CF1E" w14:textId="77777777" w:rsidR="00D14A6D" w:rsidRPr="004B39D6" w:rsidRDefault="00D14A6D" w:rsidP="001C07F6">
            <w:pPr>
              <w:snapToGrid w:val="0"/>
              <w:spacing w:after="0" w:line="360" w:lineRule="auto"/>
              <w:rPr>
                <w:rFonts w:ascii="Book Antiqua" w:hAnsi="Book Antiqua" w:cs="Arial"/>
                <w:sz w:val="24"/>
                <w:szCs w:val="24"/>
                <w:lang w:val="en-US"/>
              </w:rPr>
            </w:pPr>
          </w:p>
        </w:tc>
        <w:tc>
          <w:tcPr>
            <w:tcW w:w="709" w:type="dxa"/>
          </w:tcPr>
          <w:p w14:paraId="19EB5F62"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4</w:t>
            </w:r>
          </w:p>
        </w:tc>
        <w:tc>
          <w:tcPr>
            <w:tcW w:w="709" w:type="dxa"/>
          </w:tcPr>
          <w:p w14:paraId="75B6EFE4"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F</w:t>
            </w:r>
          </w:p>
        </w:tc>
        <w:tc>
          <w:tcPr>
            <w:tcW w:w="1134" w:type="dxa"/>
          </w:tcPr>
          <w:p w14:paraId="061DEE00"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18-09-03</w:t>
            </w:r>
          </w:p>
        </w:tc>
        <w:tc>
          <w:tcPr>
            <w:tcW w:w="1701" w:type="dxa"/>
          </w:tcPr>
          <w:p w14:paraId="45402654"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Alcoholic cirrhosis</w:t>
            </w:r>
          </w:p>
        </w:tc>
        <w:tc>
          <w:tcPr>
            <w:tcW w:w="1667" w:type="dxa"/>
          </w:tcPr>
          <w:p w14:paraId="490B446C"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 MMF, ST</w:t>
            </w:r>
          </w:p>
        </w:tc>
        <w:tc>
          <w:tcPr>
            <w:tcW w:w="1310" w:type="dxa"/>
          </w:tcPr>
          <w:p w14:paraId="504CD041" w14:textId="3F38319F"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09-05-12</w:t>
            </w:r>
          </w:p>
        </w:tc>
        <w:tc>
          <w:tcPr>
            <w:tcW w:w="992" w:type="dxa"/>
          </w:tcPr>
          <w:p w14:paraId="2DDE3278"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9</w:t>
            </w:r>
          </w:p>
        </w:tc>
        <w:tc>
          <w:tcPr>
            <w:tcW w:w="1701" w:type="dxa"/>
          </w:tcPr>
          <w:p w14:paraId="4042EBCD"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TAC, MMF, ST</w:t>
            </w:r>
          </w:p>
        </w:tc>
      </w:tr>
      <w:tr w:rsidR="00D14A6D" w:rsidRPr="004B39D6" w14:paraId="4AD9BC29" w14:textId="77777777" w:rsidTr="00040A8B">
        <w:tc>
          <w:tcPr>
            <w:tcW w:w="992" w:type="dxa"/>
            <w:vMerge/>
          </w:tcPr>
          <w:p w14:paraId="23C4AEAD" w14:textId="77777777" w:rsidR="00D14A6D" w:rsidRPr="004B39D6" w:rsidRDefault="00D14A6D" w:rsidP="001C07F6">
            <w:pPr>
              <w:snapToGrid w:val="0"/>
              <w:spacing w:after="0" w:line="360" w:lineRule="auto"/>
              <w:rPr>
                <w:rFonts w:ascii="Book Antiqua" w:hAnsi="Book Antiqua" w:cs="Arial"/>
                <w:sz w:val="24"/>
                <w:szCs w:val="24"/>
                <w:lang w:val="en-US"/>
              </w:rPr>
            </w:pPr>
          </w:p>
        </w:tc>
        <w:tc>
          <w:tcPr>
            <w:tcW w:w="709" w:type="dxa"/>
          </w:tcPr>
          <w:p w14:paraId="4B6DDBA5" w14:textId="69D48430"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5</w:t>
            </w:r>
          </w:p>
        </w:tc>
        <w:tc>
          <w:tcPr>
            <w:tcW w:w="709" w:type="dxa"/>
          </w:tcPr>
          <w:p w14:paraId="509016A4"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M</w:t>
            </w:r>
          </w:p>
        </w:tc>
        <w:tc>
          <w:tcPr>
            <w:tcW w:w="1134" w:type="dxa"/>
          </w:tcPr>
          <w:p w14:paraId="42C17947"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02-11-01</w:t>
            </w:r>
          </w:p>
        </w:tc>
        <w:tc>
          <w:tcPr>
            <w:tcW w:w="1701" w:type="dxa"/>
          </w:tcPr>
          <w:p w14:paraId="1356819F"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HCV + alcoholic cirrhosis</w:t>
            </w:r>
          </w:p>
        </w:tc>
        <w:tc>
          <w:tcPr>
            <w:tcW w:w="1667" w:type="dxa"/>
          </w:tcPr>
          <w:p w14:paraId="78B768A8"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CYA(N), ST, BASILISIMAB</w:t>
            </w:r>
          </w:p>
        </w:tc>
        <w:tc>
          <w:tcPr>
            <w:tcW w:w="1310" w:type="dxa"/>
          </w:tcPr>
          <w:p w14:paraId="2F36E234" w14:textId="18E02711"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14-06-12</w:t>
            </w:r>
          </w:p>
        </w:tc>
        <w:tc>
          <w:tcPr>
            <w:tcW w:w="992" w:type="dxa"/>
          </w:tcPr>
          <w:p w14:paraId="6790B164"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11</w:t>
            </w:r>
          </w:p>
        </w:tc>
        <w:tc>
          <w:tcPr>
            <w:tcW w:w="1701" w:type="dxa"/>
          </w:tcPr>
          <w:p w14:paraId="34F234A0"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MMF, ST</w:t>
            </w:r>
          </w:p>
        </w:tc>
      </w:tr>
      <w:tr w:rsidR="00D14A6D" w:rsidRPr="004B39D6" w14:paraId="1872AC7E" w14:textId="77777777" w:rsidTr="00040A8B">
        <w:tc>
          <w:tcPr>
            <w:tcW w:w="992" w:type="dxa"/>
            <w:vMerge/>
          </w:tcPr>
          <w:p w14:paraId="1E14492A" w14:textId="77777777" w:rsidR="00D14A6D" w:rsidRPr="004B39D6" w:rsidRDefault="00D14A6D" w:rsidP="001C07F6">
            <w:pPr>
              <w:snapToGrid w:val="0"/>
              <w:spacing w:after="0" w:line="360" w:lineRule="auto"/>
              <w:rPr>
                <w:rFonts w:ascii="Book Antiqua" w:hAnsi="Book Antiqua" w:cs="Arial"/>
                <w:sz w:val="24"/>
                <w:szCs w:val="24"/>
                <w:lang w:val="en-US"/>
              </w:rPr>
            </w:pPr>
          </w:p>
        </w:tc>
        <w:tc>
          <w:tcPr>
            <w:tcW w:w="709" w:type="dxa"/>
          </w:tcPr>
          <w:p w14:paraId="0B4782B0"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6</w:t>
            </w:r>
          </w:p>
        </w:tc>
        <w:tc>
          <w:tcPr>
            <w:tcW w:w="709" w:type="dxa"/>
          </w:tcPr>
          <w:p w14:paraId="516D56C7"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F</w:t>
            </w:r>
          </w:p>
        </w:tc>
        <w:tc>
          <w:tcPr>
            <w:tcW w:w="1134" w:type="dxa"/>
          </w:tcPr>
          <w:p w14:paraId="6AA6FD03"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27-03-09</w:t>
            </w:r>
          </w:p>
        </w:tc>
        <w:tc>
          <w:tcPr>
            <w:tcW w:w="1701" w:type="dxa"/>
          </w:tcPr>
          <w:p w14:paraId="23454B6F"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Primary biliary cirrhosis</w:t>
            </w:r>
          </w:p>
        </w:tc>
        <w:tc>
          <w:tcPr>
            <w:tcW w:w="1667" w:type="dxa"/>
          </w:tcPr>
          <w:p w14:paraId="346BB804"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 MMF</w:t>
            </w:r>
          </w:p>
        </w:tc>
        <w:tc>
          <w:tcPr>
            <w:tcW w:w="1310" w:type="dxa"/>
          </w:tcPr>
          <w:p w14:paraId="237F515D"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12-04-12</w:t>
            </w:r>
          </w:p>
        </w:tc>
        <w:tc>
          <w:tcPr>
            <w:tcW w:w="992" w:type="dxa"/>
          </w:tcPr>
          <w:p w14:paraId="66612371"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3</w:t>
            </w:r>
          </w:p>
        </w:tc>
        <w:tc>
          <w:tcPr>
            <w:tcW w:w="1701" w:type="dxa"/>
          </w:tcPr>
          <w:p w14:paraId="37998AE8"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MMF, ST</w:t>
            </w:r>
          </w:p>
        </w:tc>
      </w:tr>
      <w:tr w:rsidR="00D14A6D" w:rsidRPr="004B39D6" w14:paraId="0D72939B" w14:textId="77777777" w:rsidTr="00040A8B">
        <w:tc>
          <w:tcPr>
            <w:tcW w:w="992" w:type="dxa"/>
            <w:vMerge/>
          </w:tcPr>
          <w:p w14:paraId="025018D2" w14:textId="77777777" w:rsidR="00D14A6D" w:rsidRPr="004B39D6" w:rsidRDefault="00D14A6D" w:rsidP="001C07F6">
            <w:pPr>
              <w:snapToGrid w:val="0"/>
              <w:spacing w:after="0" w:line="360" w:lineRule="auto"/>
              <w:rPr>
                <w:rFonts w:ascii="Book Antiqua" w:hAnsi="Book Antiqua" w:cs="Arial"/>
                <w:sz w:val="24"/>
                <w:szCs w:val="24"/>
                <w:lang w:val="en-US"/>
              </w:rPr>
            </w:pPr>
          </w:p>
        </w:tc>
        <w:tc>
          <w:tcPr>
            <w:tcW w:w="709" w:type="dxa"/>
          </w:tcPr>
          <w:p w14:paraId="55D4E8DC"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7</w:t>
            </w:r>
          </w:p>
        </w:tc>
        <w:tc>
          <w:tcPr>
            <w:tcW w:w="709" w:type="dxa"/>
          </w:tcPr>
          <w:p w14:paraId="63F61F15"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F</w:t>
            </w:r>
          </w:p>
        </w:tc>
        <w:tc>
          <w:tcPr>
            <w:tcW w:w="1134" w:type="dxa"/>
          </w:tcPr>
          <w:p w14:paraId="74134D54"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18-11-06</w:t>
            </w:r>
          </w:p>
        </w:tc>
        <w:tc>
          <w:tcPr>
            <w:tcW w:w="1701" w:type="dxa"/>
          </w:tcPr>
          <w:p w14:paraId="238A9484"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Secondary biliary cirrhosis</w:t>
            </w:r>
          </w:p>
        </w:tc>
        <w:tc>
          <w:tcPr>
            <w:tcW w:w="1667" w:type="dxa"/>
          </w:tcPr>
          <w:p w14:paraId="16704F51"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 (N), MMF, ST</w:t>
            </w:r>
          </w:p>
        </w:tc>
        <w:tc>
          <w:tcPr>
            <w:tcW w:w="1310" w:type="dxa"/>
          </w:tcPr>
          <w:p w14:paraId="6D9F9537"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08-05-12</w:t>
            </w:r>
          </w:p>
        </w:tc>
        <w:tc>
          <w:tcPr>
            <w:tcW w:w="992" w:type="dxa"/>
          </w:tcPr>
          <w:p w14:paraId="1E2C4110"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6</w:t>
            </w:r>
          </w:p>
        </w:tc>
        <w:tc>
          <w:tcPr>
            <w:tcW w:w="1701" w:type="dxa"/>
          </w:tcPr>
          <w:p w14:paraId="22C8D3D0"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 MMF</w:t>
            </w:r>
          </w:p>
        </w:tc>
      </w:tr>
      <w:tr w:rsidR="00D14A6D" w:rsidRPr="004B39D6" w14:paraId="1F350AE6" w14:textId="77777777" w:rsidTr="00040A8B">
        <w:tc>
          <w:tcPr>
            <w:tcW w:w="992" w:type="dxa"/>
            <w:vMerge w:val="restart"/>
          </w:tcPr>
          <w:p w14:paraId="7F9547E5" w14:textId="77777777" w:rsidR="00D14A6D" w:rsidRPr="004B39D6" w:rsidRDefault="00D14A6D" w:rsidP="001C07F6">
            <w:pPr>
              <w:snapToGrid w:val="0"/>
              <w:spacing w:after="0" w:line="360" w:lineRule="auto"/>
              <w:rPr>
                <w:rFonts w:ascii="Book Antiqua" w:hAnsi="Book Antiqua" w:cs="Arial"/>
                <w:sz w:val="24"/>
                <w:szCs w:val="24"/>
                <w:lang w:val="en-US"/>
              </w:rPr>
            </w:pPr>
            <w:r w:rsidRPr="004B39D6">
              <w:rPr>
                <w:rFonts w:ascii="Book Antiqua" w:hAnsi="Book Antiqua" w:cs="Arial"/>
                <w:sz w:val="24"/>
                <w:szCs w:val="24"/>
                <w:lang w:val="en-US"/>
              </w:rPr>
              <w:t>2</w:t>
            </w:r>
          </w:p>
        </w:tc>
        <w:tc>
          <w:tcPr>
            <w:tcW w:w="709" w:type="dxa"/>
          </w:tcPr>
          <w:p w14:paraId="1CF40AF0"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8</w:t>
            </w:r>
          </w:p>
        </w:tc>
        <w:tc>
          <w:tcPr>
            <w:tcW w:w="709" w:type="dxa"/>
          </w:tcPr>
          <w:p w14:paraId="59545EA5"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M</w:t>
            </w:r>
          </w:p>
        </w:tc>
        <w:tc>
          <w:tcPr>
            <w:tcW w:w="1134" w:type="dxa"/>
          </w:tcPr>
          <w:p w14:paraId="14BFC865"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23-11-96</w:t>
            </w:r>
          </w:p>
        </w:tc>
        <w:tc>
          <w:tcPr>
            <w:tcW w:w="1701" w:type="dxa"/>
          </w:tcPr>
          <w:p w14:paraId="1C77861D"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HBV cirrhosis</w:t>
            </w:r>
          </w:p>
        </w:tc>
        <w:tc>
          <w:tcPr>
            <w:tcW w:w="1667" w:type="dxa"/>
          </w:tcPr>
          <w:p w14:paraId="3060BB96"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 (N), MMF, ST</w:t>
            </w:r>
          </w:p>
        </w:tc>
        <w:tc>
          <w:tcPr>
            <w:tcW w:w="1310" w:type="dxa"/>
          </w:tcPr>
          <w:p w14:paraId="0A09340D"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19-06-12</w:t>
            </w:r>
          </w:p>
        </w:tc>
        <w:tc>
          <w:tcPr>
            <w:tcW w:w="992" w:type="dxa"/>
          </w:tcPr>
          <w:p w14:paraId="1E1E7FF0"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16</w:t>
            </w:r>
          </w:p>
        </w:tc>
        <w:tc>
          <w:tcPr>
            <w:tcW w:w="1701" w:type="dxa"/>
          </w:tcPr>
          <w:p w14:paraId="131EC9EB"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CYA(N), MMF</w:t>
            </w:r>
          </w:p>
        </w:tc>
      </w:tr>
      <w:tr w:rsidR="00D14A6D" w:rsidRPr="004B39D6" w14:paraId="3EE6006D" w14:textId="77777777" w:rsidTr="00040A8B">
        <w:tc>
          <w:tcPr>
            <w:tcW w:w="992" w:type="dxa"/>
            <w:vMerge/>
          </w:tcPr>
          <w:p w14:paraId="50EFDAD1" w14:textId="77777777" w:rsidR="00D14A6D" w:rsidRPr="004B39D6" w:rsidRDefault="00D14A6D" w:rsidP="001C07F6">
            <w:pPr>
              <w:snapToGrid w:val="0"/>
              <w:spacing w:after="0" w:line="360" w:lineRule="auto"/>
              <w:rPr>
                <w:rFonts w:ascii="Book Antiqua" w:hAnsi="Book Antiqua" w:cs="Arial"/>
                <w:sz w:val="24"/>
                <w:szCs w:val="24"/>
                <w:lang w:val="en-US"/>
              </w:rPr>
            </w:pPr>
          </w:p>
        </w:tc>
        <w:tc>
          <w:tcPr>
            <w:tcW w:w="709" w:type="dxa"/>
          </w:tcPr>
          <w:p w14:paraId="1CAA65C9"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9</w:t>
            </w:r>
          </w:p>
        </w:tc>
        <w:tc>
          <w:tcPr>
            <w:tcW w:w="709" w:type="dxa"/>
          </w:tcPr>
          <w:p w14:paraId="500F8C09"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F</w:t>
            </w:r>
          </w:p>
        </w:tc>
        <w:tc>
          <w:tcPr>
            <w:tcW w:w="1134" w:type="dxa"/>
          </w:tcPr>
          <w:p w14:paraId="7F7C2210"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03-06-96</w:t>
            </w:r>
          </w:p>
        </w:tc>
        <w:tc>
          <w:tcPr>
            <w:tcW w:w="1701" w:type="dxa"/>
          </w:tcPr>
          <w:p w14:paraId="5833B620"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Agenesis of the bile ducts</w:t>
            </w:r>
          </w:p>
        </w:tc>
        <w:tc>
          <w:tcPr>
            <w:tcW w:w="1667" w:type="dxa"/>
          </w:tcPr>
          <w:p w14:paraId="52DEBC45"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 ST</w:t>
            </w:r>
          </w:p>
        </w:tc>
        <w:tc>
          <w:tcPr>
            <w:tcW w:w="1310" w:type="dxa"/>
          </w:tcPr>
          <w:p w14:paraId="45E98A51"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21-05-12</w:t>
            </w:r>
          </w:p>
        </w:tc>
        <w:tc>
          <w:tcPr>
            <w:tcW w:w="992" w:type="dxa"/>
          </w:tcPr>
          <w:p w14:paraId="2B6C2ACE"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16</w:t>
            </w:r>
          </w:p>
        </w:tc>
        <w:tc>
          <w:tcPr>
            <w:tcW w:w="1701" w:type="dxa"/>
          </w:tcPr>
          <w:p w14:paraId="6FB2F175"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TAC</w:t>
            </w:r>
          </w:p>
        </w:tc>
      </w:tr>
      <w:tr w:rsidR="00D14A6D" w:rsidRPr="004B39D6" w14:paraId="2EBB93C3" w14:textId="77777777" w:rsidTr="00040A8B">
        <w:tc>
          <w:tcPr>
            <w:tcW w:w="992" w:type="dxa"/>
            <w:vMerge w:val="restart"/>
          </w:tcPr>
          <w:p w14:paraId="18AB373B" w14:textId="77777777" w:rsidR="00D14A6D" w:rsidRPr="004B39D6" w:rsidRDefault="00D14A6D" w:rsidP="001C07F6">
            <w:pPr>
              <w:snapToGrid w:val="0"/>
              <w:spacing w:after="0" w:line="360" w:lineRule="auto"/>
              <w:rPr>
                <w:rFonts w:ascii="Book Antiqua" w:hAnsi="Book Antiqua" w:cs="Arial"/>
                <w:sz w:val="24"/>
                <w:szCs w:val="24"/>
                <w:lang w:val="en-US"/>
              </w:rPr>
            </w:pPr>
            <w:r w:rsidRPr="004B39D6">
              <w:rPr>
                <w:rFonts w:ascii="Book Antiqua" w:hAnsi="Book Antiqua" w:cs="Arial"/>
                <w:sz w:val="24"/>
                <w:szCs w:val="24"/>
                <w:lang w:val="en-US"/>
              </w:rPr>
              <w:t>3</w:t>
            </w:r>
          </w:p>
        </w:tc>
        <w:tc>
          <w:tcPr>
            <w:tcW w:w="709" w:type="dxa"/>
          </w:tcPr>
          <w:p w14:paraId="7B729FE8"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10</w:t>
            </w:r>
          </w:p>
        </w:tc>
        <w:tc>
          <w:tcPr>
            <w:tcW w:w="709" w:type="dxa"/>
          </w:tcPr>
          <w:p w14:paraId="776D8070"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M</w:t>
            </w:r>
          </w:p>
        </w:tc>
        <w:tc>
          <w:tcPr>
            <w:tcW w:w="1134" w:type="dxa"/>
          </w:tcPr>
          <w:p w14:paraId="3EE53DF3"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12-7-06</w:t>
            </w:r>
          </w:p>
        </w:tc>
        <w:tc>
          <w:tcPr>
            <w:tcW w:w="1701" w:type="dxa"/>
          </w:tcPr>
          <w:p w14:paraId="7B867774"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Alcoholic cirrhosis +</w:t>
            </w:r>
            <w:r w:rsidRPr="004B39D6">
              <w:rPr>
                <w:rFonts w:ascii="Book Antiqua" w:hAnsi="Book Antiqua" w:cs="Arial"/>
                <w:color w:val="FF0000"/>
                <w:sz w:val="24"/>
                <w:szCs w:val="24"/>
                <w:lang w:val="en-US"/>
              </w:rPr>
              <w:t xml:space="preserve"> </w:t>
            </w:r>
            <w:proofErr w:type="spellStart"/>
            <w:r w:rsidRPr="004B39D6">
              <w:rPr>
                <w:rFonts w:ascii="Book Antiqua" w:hAnsi="Book Antiqua" w:cs="Arial"/>
                <w:sz w:val="24"/>
                <w:szCs w:val="24"/>
                <w:lang w:val="en-US"/>
              </w:rPr>
              <w:t>hepatocarcinoma</w:t>
            </w:r>
            <w:proofErr w:type="spellEnd"/>
          </w:p>
        </w:tc>
        <w:tc>
          <w:tcPr>
            <w:tcW w:w="1667" w:type="dxa"/>
          </w:tcPr>
          <w:p w14:paraId="70A197B8"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TAC, MMF, ST</w:t>
            </w:r>
          </w:p>
        </w:tc>
        <w:tc>
          <w:tcPr>
            <w:tcW w:w="1310" w:type="dxa"/>
          </w:tcPr>
          <w:p w14:paraId="02467458"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16-04-12</w:t>
            </w:r>
          </w:p>
        </w:tc>
        <w:tc>
          <w:tcPr>
            <w:tcW w:w="992" w:type="dxa"/>
          </w:tcPr>
          <w:p w14:paraId="63EA093E"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6</w:t>
            </w:r>
          </w:p>
        </w:tc>
        <w:tc>
          <w:tcPr>
            <w:tcW w:w="1701" w:type="dxa"/>
          </w:tcPr>
          <w:p w14:paraId="24716EFD"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MMF, SIR</w:t>
            </w:r>
          </w:p>
        </w:tc>
      </w:tr>
      <w:tr w:rsidR="00D14A6D" w:rsidRPr="004B39D6" w14:paraId="4DCCB447" w14:textId="77777777" w:rsidTr="00040A8B">
        <w:tc>
          <w:tcPr>
            <w:tcW w:w="992" w:type="dxa"/>
            <w:vMerge/>
          </w:tcPr>
          <w:p w14:paraId="6D206DFD" w14:textId="77777777" w:rsidR="00D14A6D" w:rsidRPr="004B39D6" w:rsidRDefault="00D14A6D" w:rsidP="001C07F6">
            <w:pPr>
              <w:snapToGrid w:val="0"/>
              <w:spacing w:after="0" w:line="360" w:lineRule="auto"/>
              <w:rPr>
                <w:rFonts w:ascii="Book Antiqua" w:hAnsi="Book Antiqua" w:cs="Arial"/>
                <w:sz w:val="24"/>
                <w:szCs w:val="24"/>
                <w:lang w:val="en-US"/>
              </w:rPr>
            </w:pPr>
          </w:p>
        </w:tc>
        <w:tc>
          <w:tcPr>
            <w:tcW w:w="709" w:type="dxa"/>
          </w:tcPr>
          <w:p w14:paraId="10286E10"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11</w:t>
            </w:r>
          </w:p>
        </w:tc>
        <w:tc>
          <w:tcPr>
            <w:tcW w:w="709" w:type="dxa"/>
          </w:tcPr>
          <w:p w14:paraId="7A1305B2"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M</w:t>
            </w:r>
          </w:p>
        </w:tc>
        <w:tc>
          <w:tcPr>
            <w:tcW w:w="1134" w:type="dxa"/>
          </w:tcPr>
          <w:p w14:paraId="46CE6C1C"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12-02-09</w:t>
            </w:r>
          </w:p>
        </w:tc>
        <w:tc>
          <w:tcPr>
            <w:tcW w:w="1701" w:type="dxa"/>
          </w:tcPr>
          <w:p w14:paraId="78163E1E"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 xml:space="preserve">HBV </w:t>
            </w:r>
            <w:r w:rsidRPr="004B39D6">
              <w:rPr>
                <w:rFonts w:ascii="Book Antiqua" w:hAnsi="Book Antiqua" w:cs="Arial"/>
                <w:sz w:val="24"/>
                <w:szCs w:val="24"/>
                <w:lang w:val="en-US"/>
              </w:rPr>
              <w:lastRenderedPageBreak/>
              <w:t>cirrhosis</w:t>
            </w:r>
          </w:p>
        </w:tc>
        <w:tc>
          <w:tcPr>
            <w:tcW w:w="1667" w:type="dxa"/>
          </w:tcPr>
          <w:p w14:paraId="0859FDD6"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lastRenderedPageBreak/>
              <w:t xml:space="preserve">TAC, MMF, </w:t>
            </w:r>
            <w:r w:rsidRPr="004B39D6">
              <w:rPr>
                <w:rFonts w:ascii="Book Antiqua" w:hAnsi="Book Antiqua" w:cs="Arial"/>
                <w:sz w:val="24"/>
                <w:szCs w:val="24"/>
                <w:lang w:val="en-US"/>
              </w:rPr>
              <w:lastRenderedPageBreak/>
              <w:t>ST</w:t>
            </w:r>
          </w:p>
        </w:tc>
        <w:tc>
          <w:tcPr>
            <w:tcW w:w="1310" w:type="dxa"/>
          </w:tcPr>
          <w:p w14:paraId="7F6BB4CF"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lastRenderedPageBreak/>
              <w:t>16-04-12</w:t>
            </w:r>
          </w:p>
        </w:tc>
        <w:tc>
          <w:tcPr>
            <w:tcW w:w="992" w:type="dxa"/>
          </w:tcPr>
          <w:p w14:paraId="620460A2"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3</w:t>
            </w:r>
          </w:p>
        </w:tc>
        <w:tc>
          <w:tcPr>
            <w:tcW w:w="1701" w:type="dxa"/>
          </w:tcPr>
          <w:p w14:paraId="5CFC155F"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MMF, SIR</w:t>
            </w:r>
          </w:p>
        </w:tc>
      </w:tr>
      <w:tr w:rsidR="00D14A6D" w:rsidRPr="004B39D6" w14:paraId="0C34FA44" w14:textId="77777777" w:rsidTr="00040A8B">
        <w:tc>
          <w:tcPr>
            <w:tcW w:w="992" w:type="dxa"/>
            <w:vMerge/>
          </w:tcPr>
          <w:p w14:paraId="412CEEAB" w14:textId="77777777" w:rsidR="00D14A6D" w:rsidRPr="004B39D6" w:rsidRDefault="00D14A6D" w:rsidP="001C07F6">
            <w:pPr>
              <w:snapToGrid w:val="0"/>
              <w:spacing w:after="0" w:line="360" w:lineRule="auto"/>
              <w:rPr>
                <w:rFonts w:ascii="Book Antiqua" w:hAnsi="Book Antiqua" w:cs="Arial"/>
                <w:sz w:val="24"/>
                <w:szCs w:val="24"/>
                <w:lang w:val="en-US"/>
              </w:rPr>
            </w:pPr>
          </w:p>
        </w:tc>
        <w:tc>
          <w:tcPr>
            <w:tcW w:w="709" w:type="dxa"/>
          </w:tcPr>
          <w:p w14:paraId="73CCFF05"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12</w:t>
            </w:r>
          </w:p>
        </w:tc>
        <w:tc>
          <w:tcPr>
            <w:tcW w:w="709" w:type="dxa"/>
          </w:tcPr>
          <w:p w14:paraId="1A60480C"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M</w:t>
            </w:r>
          </w:p>
        </w:tc>
        <w:tc>
          <w:tcPr>
            <w:tcW w:w="1134" w:type="dxa"/>
          </w:tcPr>
          <w:p w14:paraId="7AB8B71E"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06-07-10</w:t>
            </w:r>
          </w:p>
        </w:tc>
        <w:tc>
          <w:tcPr>
            <w:tcW w:w="1701" w:type="dxa"/>
          </w:tcPr>
          <w:p w14:paraId="1B55F409"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 xml:space="preserve">Non-alcoholic </w:t>
            </w:r>
            <w:proofErr w:type="spellStart"/>
            <w:r w:rsidRPr="004B39D6">
              <w:rPr>
                <w:rFonts w:ascii="Book Antiqua" w:hAnsi="Book Antiqua" w:cs="Arial"/>
                <w:sz w:val="24"/>
                <w:szCs w:val="24"/>
                <w:lang w:val="en-US"/>
              </w:rPr>
              <w:t>steatohepatitis</w:t>
            </w:r>
            <w:proofErr w:type="spellEnd"/>
          </w:p>
        </w:tc>
        <w:tc>
          <w:tcPr>
            <w:tcW w:w="1667" w:type="dxa"/>
          </w:tcPr>
          <w:p w14:paraId="4B7FB3BE"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TAC (10 days) CYA, RAPA</w:t>
            </w:r>
          </w:p>
        </w:tc>
        <w:tc>
          <w:tcPr>
            <w:tcW w:w="1310" w:type="dxa"/>
          </w:tcPr>
          <w:p w14:paraId="7D1F5BE2"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17-04-12</w:t>
            </w:r>
          </w:p>
        </w:tc>
        <w:tc>
          <w:tcPr>
            <w:tcW w:w="992" w:type="dxa"/>
          </w:tcPr>
          <w:p w14:paraId="3714E177"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2</w:t>
            </w:r>
          </w:p>
        </w:tc>
        <w:tc>
          <w:tcPr>
            <w:tcW w:w="1701" w:type="dxa"/>
          </w:tcPr>
          <w:p w14:paraId="371A6F84"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MMF, SIR</w:t>
            </w:r>
          </w:p>
        </w:tc>
      </w:tr>
      <w:tr w:rsidR="00D14A6D" w:rsidRPr="004B39D6" w14:paraId="342B4584" w14:textId="77777777" w:rsidTr="00040A8B">
        <w:tc>
          <w:tcPr>
            <w:tcW w:w="992" w:type="dxa"/>
            <w:vMerge/>
          </w:tcPr>
          <w:p w14:paraId="6771B7FA" w14:textId="77777777" w:rsidR="00D14A6D" w:rsidRPr="004B39D6" w:rsidRDefault="00D14A6D" w:rsidP="001C07F6">
            <w:pPr>
              <w:snapToGrid w:val="0"/>
              <w:spacing w:after="0" w:line="360" w:lineRule="auto"/>
              <w:rPr>
                <w:rFonts w:ascii="Book Antiqua" w:hAnsi="Book Antiqua" w:cs="Arial"/>
                <w:sz w:val="24"/>
                <w:szCs w:val="24"/>
                <w:lang w:val="en-US"/>
              </w:rPr>
            </w:pPr>
          </w:p>
        </w:tc>
        <w:tc>
          <w:tcPr>
            <w:tcW w:w="709" w:type="dxa"/>
          </w:tcPr>
          <w:p w14:paraId="10ABD148"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13</w:t>
            </w:r>
          </w:p>
        </w:tc>
        <w:tc>
          <w:tcPr>
            <w:tcW w:w="709" w:type="dxa"/>
          </w:tcPr>
          <w:p w14:paraId="2A887A5E"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M</w:t>
            </w:r>
          </w:p>
        </w:tc>
        <w:tc>
          <w:tcPr>
            <w:tcW w:w="1134" w:type="dxa"/>
          </w:tcPr>
          <w:p w14:paraId="50CB3F5D"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19-04-11</w:t>
            </w:r>
          </w:p>
        </w:tc>
        <w:tc>
          <w:tcPr>
            <w:tcW w:w="1701" w:type="dxa"/>
          </w:tcPr>
          <w:p w14:paraId="204ABD1C"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 xml:space="preserve">HCV cirrhosis+ </w:t>
            </w:r>
            <w:proofErr w:type="spellStart"/>
            <w:r w:rsidRPr="004B39D6">
              <w:rPr>
                <w:rFonts w:ascii="Book Antiqua" w:hAnsi="Book Antiqua" w:cs="Arial"/>
                <w:sz w:val="24"/>
                <w:szCs w:val="24"/>
                <w:lang w:val="en-US"/>
              </w:rPr>
              <w:t>hepatocarcinoma</w:t>
            </w:r>
            <w:proofErr w:type="spellEnd"/>
          </w:p>
        </w:tc>
        <w:tc>
          <w:tcPr>
            <w:tcW w:w="1667" w:type="dxa"/>
          </w:tcPr>
          <w:p w14:paraId="6E45AB58"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 ST</w:t>
            </w:r>
          </w:p>
        </w:tc>
        <w:tc>
          <w:tcPr>
            <w:tcW w:w="1310" w:type="dxa"/>
          </w:tcPr>
          <w:p w14:paraId="01CB3673"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18-04-12</w:t>
            </w:r>
          </w:p>
        </w:tc>
        <w:tc>
          <w:tcPr>
            <w:tcW w:w="992" w:type="dxa"/>
          </w:tcPr>
          <w:p w14:paraId="6BF48768"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w:t>
            </w:r>
          </w:p>
        </w:tc>
        <w:tc>
          <w:tcPr>
            <w:tcW w:w="1701" w:type="dxa"/>
          </w:tcPr>
          <w:p w14:paraId="1EFB9261"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 ST</w:t>
            </w:r>
          </w:p>
        </w:tc>
      </w:tr>
      <w:tr w:rsidR="00D14A6D" w:rsidRPr="004B39D6" w14:paraId="7C051DB7" w14:textId="77777777" w:rsidTr="00040A8B">
        <w:tc>
          <w:tcPr>
            <w:tcW w:w="992" w:type="dxa"/>
            <w:vMerge/>
          </w:tcPr>
          <w:p w14:paraId="7B16AE38" w14:textId="77777777" w:rsidR="00D14A6D" w:rsidRPr="004B39D6" w:rsidRDefault="00D14A6D" w:rsidP="001C07F6">
            <w:pPr>
              <w:snapToGrid w:val="0"/>
              <w:spacing w:after="0" w:line="360" w:lineRule="auto"/>
              <w:rPr>
                <w:rFonts w:ascii="Book Antiqua" w:hAnsi="Book Antiqua" w:cs="Arial"/>
                <w:sz w:val="24"/>
                <w:szCs w:val="24"/>
                <w:lang w:val="en-US"/>
              </w:rPr>
            </w:pPr>
          </w:p>
        </w:tc>
        <w:tc>
          <w:tcPr>
            <w:tcW w:w="709" w:type="dxa"/>
          </w:tcPr>
          <w:p w14:paraId="30268F4F"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14</w:t>
            </w:r>
          </w:p>
        </w:tc>
        <w:tc>
          <w:tcPr>
            <w:tcW w:w="709" w:type="dxa"/>
          </w:tcPr>
          <w:p w14:paraId="52549201"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M</w:t>
            </w:r>
          </w:p>
        </w:tc>
        <w:tc>
          <w:tcPr>
            <w:tcW w:w="1134" w:type="dxa"/>
          </w:tcPr>
          <w:p w14:paraId="11721512"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18-01-09</w:t>
            </w:r>
          </w:p>
        </w:tc>
        <w:tc>
          <w:tcPr>
            <w:tcW w:w="1701" w:type="dxa"/>
          </w:tcPr>
          <w:p w14:paraId="609F0BCF"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HCV cirrhosis</w:t>
            </w:r>
          </w:p>
        </w:tc>
        <w:tc>
          <w:tcPr>
            <w:tcW w:w="1667" w:type="dxa"/>
          </w:tcPr>
          <w:p w14:paraId="5094EDD9"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TAC, MMF, ST</w:t>
            </w:r>
          </w:p>
        </w:tc>
        <w:tc>
          <w:tcPr>
            <w:tcW w:w="1310" w:type="dxa"/>
          </w:tcPr>
          <w:p w14:paraId="7C757C03"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02-05-12</w:t>
            </w:r>
          </w:p>
        </w:tc>
        <w:tc>
          <w:tcPr>
            <w:tcW w:w="992" w:type="dxa"/>
          </w:tcPr>
          <w:p w14:paraId="42238BA8"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3</w:t>
            </w:r>
          </w:p>
        </w:tc>
        <w:tc>
          <w:tcPr>
            <w:tcW w:w="1701" w:type="dxa"/>
          </w:tcPr>
          <w:p w14:paraId="68B17C94"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TAC</w:t>
            </w:r>
          </w:p>
        </w:tc>
      </w:tr>
      <w:tr w:rsidR="00D14A6D" w:rsidRPr="004B39D6" w14:paraId="0CDCF8F7" w14:textId="77777777" w:rsidTr="00040A8B">
        <w:tc>
          <w:tcPr>
            <w:tcW w:w="992" w:type="dxa"/>
            <w:vMerge/>
          </w:tcPr>
          <w:p w14:paraId="6B520185" w14:textId="77777777" w:rsidR="00D14A6D" w:rsidRPr="004B39D6" w:rsidRDefault="00D14A6D" w:rsidP="001C07F6">
            <w:pPr>
              <w:snapToGrid w:val="0"/>
              <w:spacing w:after="0" w:line="360" w:lineRule="auto"/>
              <w:rPr>
                <w:rFonts w:ascii="Book Antiqua" w:hAnsi="Book Antiqua" w:cs="Arial"/>
                <w:sz w:val="24"/>
                <w:szCs w:val="24"/>
                <w:lang w:val="en-US"/>
              </w:rPr>
            </w:pPr>
          </w:p>
        </w:tc>
        <w:tc>
          <w:tcPr>
            <w:tcW w:w="709" w:type="dxa"/>
          </w:tcPr>
          <w:p w14:paraId="441137E3"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15</w:t>
            </w:r>
          </w:p>
        </w:tc>
        <w:tc>
          <w:tcPr>
            <w:tcW w:w="709" w:type="dxa"/>
          </w:tcPr>
          <w:p w14:paraId="6399E0F2"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F</w:t>
            </w:r>
          </w:p>
        </w:tc>
        <w:tc>
          <w:tcPr>
            <w:tcW w:w="1134" w:type="dxa"/>
          </w:tcPr>
          <w:p w14:paraId="215789D2"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18-06-04</w:t>
            </w:r>
          </w:p>
        </w:tc>
        <w:tc>
          <w:tcPr>
            <w:tcW w:w="1701" w:type="dxa"/>
          </w:tcPr>
          <w:p w14:paraId="364EF1F7"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Alcoholic cirrhosis</w:t>
            </w:r>
          </w:p>
        </w:tc>
        <w:tc>
          <w:tcPr>
            <w:tcW w:w="1667" w:type="dxa"/>
          </w:tcPr>
          <w:p w14:paraId="0DA55ECF"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TAC</w:t>
            </w:r>
          </w:p>
        </w:tc>
        <w:tc>
          <w:tcPr>
            <w:tcW w:w="1310" w:type="dxa"/>
          </w:tcPr>
          <w:p w14:paraId="1C32E904"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07-05-12</w:t>
            </w:r>
          </w:p>
        </w:tc>
        <w:tc>
          <w:tcPr>
            <w:tcW w:w="992" w:type="dxa"/>
          </w:tcPr>
          <w:p w14:paraId="682212AC"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8</w:t>
            </w:r>
          </w:p>
        </w:tc>
        <w:tc>
          <w:tcPr>
            <w:tcW w:w="1701" w:type="dxa"/>
          </w:tcPr>
          <w:p w14:paraId="7E33309D"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MMF, EVE</w:t>
            </w:r>
          </w:p>
        </w:tc>
      </w:tr>
      <w:tr w:rsidR="00D14A6D" w:rsidRPr="004B39D6" w14:paraId="0962783C" w14:textId="77777777" w:rsidTr="00040A8B">
        <w:tc>
          <w:tcPr>
            <w:tcW w:w="992" w:type="dxa"/>
            <w:vMerge/>
          </w:tcPr>
          <w:p w14:paraId="1447CE03" w14:textId="77777777" w:rsidR="00D14A6D" w:rsidRPr="004B39D6" w:rsidRDefault="00D14A6D" w:rsidP="001C07F6">
            <w:pPr>
              <w:snapToGrid w:val="0"/>
              <w:spacing w:after="0" w:line="360" w:lineRule="auto"/>
              <w:rPr>
                <w:rFonts w:ascii="Book Antiqua" w:hAnsi="Book Antiqua" w:cs="Arial"/>
                <w:sz w:val="24"/>
                <w:szCs w:val="24"/>
                <w:lang w:val="en-US"/>
              </w:rPr>
            </w:pPr>
          </w:p>
        </w:tc>
        <w:tc>
          <w:tcPr>
            <w:tcW w:w="709" w:type="dxa"/>
          </w:tcPr>
          <w:p w14:paraId="21B6F7FF"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16</w:t>
            </w:r>
          </w:p>
        </w:tc>
        <w:tc>
          <w:tcPr>
            <w:tcW w:w="709" w:type="dxa"/>
          </w:tcPr>
          <w:p w14:paraId="0354C03E"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M</w:t>
            </w:r>
          </w:p>
        </w:tc>
        <w:tc>
          <w:tcPr>
            <w:tcW w:w="1134" w:type="dxa"/>
          </w:tcPr>
          <w:p w14:paraId="655FAC64"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30-07-08</w:t>
            </w:r>
          </w:p>
        </w:tc>
        <w:tc>
          <w:tcPr>
            <w:tcW w:w="1701" w:type="dxa"/>
          </w:tcPr>
          <w:p w14:paraId="22655611"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HCV cirrhosis</w:t>
            </w:r>
          </w:p>
        </w:tc>
        <w:tc>
          <w:tcPr>
            <w:tcW w:w="1667" w:type="dxa"/>
          </w:tcPr>
          <w:p w14:paraId="24A39D93"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TAC, MMF, ST</w:t>
            </w:r>
          </w:p>
        </w:tc>
        <w:tc>
          <w:tcPr>
            <w:tcW w:w="1310" w:type="dxa"/>
          </w:tcPr>
          <w:p w14:paraId="33E0CA40"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08-05-12</w:t>
            </w:r>
          </w:p>
        </w:tc>
        <w:tc>
          <w:tcPr>
            <w:tcW w:w="992" w:type="dxa"/>
          </w:tcPr>
          <w:p w14:paraId="51BBB56B"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4</w:t>
            </w:r>
          </w:p>
        </w:tc>
        <w:tc>
          <w:tcPr>
            <w:tcW w:w="1701" w:type="dxa"/>
          </w:tcPr>
          <w:p w14:paraId="292B9E3E"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MMF, EVE</w:t>
            </w:r>
          </w:p>
        </w:tc>
      </w:tr>
      <w:tr w:rsidR="00D14A6D" w:rsidRPr="004B39D6" w14:paraId="53122E7E" w14:textId="77777777" w:rsidTr="00040A8B">
        <w:tc>
          <w:tcPr>
            <w:tcW w:w="992" w:type="dxa"/>
            <w:vMerge/>
          </w:tcPr>
          <w:p w14:paraId="21AB42C2" w14:textId="77777777" w:rsidR="00D14A6D" w:rsidRPr="004B39D6" w:rsidRDefault="00D14A6D" w:rsidP="001C07F6">
            <w:pPr>
              <w:snapToGrid w:val="0"/>
              <w:spacing w:after="0" w:line="360" w:lineRule="auto"/>
              <w:rPr>
                <w:rFonts w:ascii="Book Antiqua" w:hAnsi="Book Antiqua" w:cs="Arial"/>
                <w:sz w:val="24"/>
                <w:szCs w:val="24"/>
                <w:lang w:val="en-US"/>
              </w:rPr>
            </w:pPr>
          </w:p>
        </w:tc>
        <w:tc>
          <w:tcPr>
            <w:tcW w:w="709" w:type="dxa"/>
          </w:tcPr>
          <w:p w14:paraId="422CBF5A"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17</w:t>
            </w:r>
          </w:p>
        </w:tc>
        <w:tc>
          <w:tcPr>
            <w:tcW w:w="709" w:type="dxa"/>
          </w:tcPr>
          <w:p w14:paraId="49B5C659"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M</w:t>
            </w:r>
          </w:p>
        </w:tc>
        <w:tc>
          <w:tcPr>
            <w:tcW w:w="1134" w:type="dxa"/>
          </w:tcPr>
          <w:p w14:paraId="5D871853"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20-12-04</w:t>
            </w:r>
          </w:p>
        </w:tc>
        <w:tc>
          <w:tcPr>
            <w:tcW w:w="1701" w:type="dxa"/>
          </w:tcPr>
          <w:p w14:paraId="22BD19BF"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HCV cirrhosis</w:t>
            </w:r>
          </w:p>
        </w:tc>
        <w:tc>
          <w:tcPr>
            <w:tcW w:w="1667" w:type="dxa"/>
          </w:tcPr>
          <w:p w14:paraId="4B9175F3"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TAC, MMF, ST</w:t>
            </w:r>
          </w:p>
        </w:tc>
        <w:tc>
          <w:tcPr>
            <w:tcW w:w="1310" w:type="dxa"/>
          </w:tcPr>
          <w:p w14:paraId="2666C2A5"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22-05-12</w:t>
            </w:r>
          </w:p>
        </w:tc>
        <w:tc>
          <w:tcPr>
            <w:tcW w:w="992" w:type="dxa"/>
          </w:tcPr>
          <w:p w14:paraId="4F4605D6"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7</w:t>
            </w:r>
          </w:p>
        </w:tc>
        <w:tc>
          <w:tcPr>
            <w:tcW w:w="1701" w:type="dxa"/>
          </w:tcPr>
          <w:p w14:paraId="4C5AD109"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TAC, MMF</w:t>
            </w:r>
          </w:p>
        </w:tc>
      </w:tr>
      <w:tr w:rsidR="00D14A6D" w:rsidRPr="004B39D6" w14:paraId="69BF786C" w14:textId="77777777" w:rsidTr="00040A8B">
        <w:tc>
          <w:tcPr>
            <w:tcW w:w="992" w:type="dxa"/>
            <w:vMerge/>
          </w:tcPr>
          <w:p w14:paraId="7B8E8B03" w14:textId="77777777" w:rsidR="00D14A6D" w:rsidRPr="004B39D6" w:rsidRDefault="00D14A6D" w:rsidP="001C07F6">
            <w:pPr>
              <w:snapToGrid w:val="0"/>
              <w:spacing w:after="0" w:line="360" w:lineRule="auto"/>
              <w:rPr>
                <w:rFonts w:ascii="Book Antiqua" w:hAnsi="Book Antiqua" w:cs="Arial"/>
                <w:sz w:val="24"/>
                <w:szCs w:val="24"/>
                <w:lang w:val="en-US"/>
              </w:rPr>
            </w:pPr>
          </w:p>
        </w:tc>
        <w:tc>
          <w:tcPr>
            <w:tcW w:w="709" w:type="dxa"/>
          </w:tcPr>
          <w:p w14:paraId="2677D9DE"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18</w:t>
            </w:r>
          </w:p>
        </w:tc>
        <w:tc>
          <w:tcPr>
            <w:tcW w:w="709" w:type="dxa"/>
          </w:tcPr>
          <w:p w14:paraId="5EEDE327"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F</w:t>
            </w:r>
          </w:p>
        </w:tc>
        <w:tc>
          <w:tcPr>
            <w:tcW w:w="1134" w:type="dxa"/>
          </w:tcPr>
          <w:p w14:paraId="67303046"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20-09-99</w:t>
            </w:r>
          </w:p>
        </w:tc>
        <w:tc>
          <w:tcPr>
            <w:tcW w:w="1701" w:type="dxa"/>
          </w:tcPr>
          <w:p w14:paraId="3EB8D6DB"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HCV cirrhosis</w:t>
            </w:r>
          </w:p>
        </w:tc>
        <w:tc>
          <w:tcPr>
            <w:tcW w:w="1667" w:type="dxa"/>
          </w:tcPr>
          <w:p w14:paraId="541758D6" w14:textId="6A4773CA"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 ST</w:t>
            </w:r>
          </w:p>
        </w:tc>
        <w:tc>
          <w:tcPr>
            <w:tcW w:w="1310" w:type="dxa"/>
          </w:tcPr>
          <w:p w14:paraId="1EB7FC4F"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18-06-12</w:t>
            </w:r>
          </w:p>
        </w:tc>
        <w:tc>
          <w:tcPr>
            <w:tcW w:w="992" w:type="dxa"/>
          </w:tcPr>
          <w:p w14:paraId="13573220"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13</w:t>
            </w:r>
          </w:p>
        </w:tc>
        <w:tc>
          <w:tcPr>
            <w:tcW w:w="1701" w:type="dxa"/>
          </w:tcPr>
          <w:p w14:paraId="132ABDC9"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w:t>
            </w:r>
          </w:p>
        </w:tc>
      </w:tr>
      <w:tr w:rsidR="00D14A6D" w:rsidRPr="004B39D6" w14:paraId="53953DAC" w14:textId="77777777" w:rsidTr="00040A8B">
        <w:tc>
          <w:tcPr>
            <w:tcW w:w="992" w:type="dxa"/>
            <w:vMerge w:val="restart"/>
          </w:tcPr>
          <w:p w14:paraId="717BAE1C" w14:textId="77777777" w:rsidR="00D14A6D" w:rsidRPr="004B39D6" w:rsidRDefault="00D14A6D" w:rsidP="001C07F6">
            <w:pPr>
              <w:snapToGrid w:val="0"/>
              <w:spacing w:after="0" w:line="360" w:lineRule="auto"/>
              <w:rPr>
                <w:rFonts w:ascii="Book Antiqua" w:hAnsi="Book Antiqua" w:cs="Arial"/>
                <w:sz w:val="24"/>
                <w:szCs w:val="24"/>
                <w:lang w:val="en-US"/>
              </w:rPr>
            </w:pPr>
            <w:r w:rsidRPr="004B39D6">
              <w:rPr>
                <w:rFonts w:ascii="Book Antiqua" w:hAnsi="Book Antiqua" w:cs="Arial"/>
                <w:sz w:val="24"/>
                <w:szCs w:val="24"/>
                <w:lang w:val="en-US"/>
              </w:rPr>
              <w:t>4</w:t>
            </w:r>
          </w:p>
        </w:tc>
        <w:tc>
          <w:tcPr>
            <w:tcW w:w="709" w:type="dxa"/>
          </w:tcPr>
          <w:p w14:paraId="30D35113"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E</w:t>
            </w:r>
          </w:p>
        </w:tc>
        <w:tc>
          <w:tcPr>
            <w:tcW w:w="709" w:type="dxa"/>
          </w:tcPr>
          <w:p w14:paraId="35DA04C5"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F</w:t>
            </w:r>
          </w:p>
        </w:tc>
        <w:tc>
          <w:tcPr>
            <w:tcW w:w="1134" w:type="dxa"/>
          </w:tcPr>
          <w:p w14:paraId="07F5BC42"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09-03-09</w:t>
            </w:r>
          </w:p>
        </w:tc>
        <w:tc>
          <w:tcPr>
            <w:tcW w:w="1701" w:type="dxa"/>
          </w:tcPr>
          <w:p w14:paraId="7943D669"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Alcoholic cirrhosis</w:t>
            </w:r>
          </w:p>
        </w:tc>
        <w:tc>
          <w:tcPr>
            <w:tcW w:w="1667" w:type="dxa"/>
          </w:tcPr>
          <w:p w14:paraId="3A858151"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 ST</w:t>
            </w:r>
          </w:p>
        </w:tc>
        <w:tc>
          <w:tcPr>
            <w:tcW w:w="1310" w:type="dxa"/>
          </w:tcPr>
          <w:p w14:paraId="2EBECDFA"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21-03-12</w:t>
            </w:r>
          </w:p>
        </w:tc>
        <w:tc>
          <w:tcPr>
            <w:tcW w:w="992" w:type="dxa"/>
          </w:tcPr>
          <w:p w14:paraId="68F0C995"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3</w:t>
            </w:r>
          </w:p>
        </w:tc>
        <w:tc>
          <w:tcPr>
            <w:tcW w:w="1701" w:type="dxa"/>
          </w:tcPr>
          <w:p w14:paraId="78724A31"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 MMF</w:t>
            </w:r>
          </w:p>
        </w:tc>
      </w:tr>
      <w:tr w:rsidR="00D14A6D" w:rsidRPr="004B39D6" w14:paraId="7353118B" w14:textId="77777777" w:rsidTr="00040A8B">
        <w:tc>
          <w:tcPr>
            <w:tcW w:w="992" w:type="dxa"/>
            <w:vMerge/>
          </w:tcPr>
          <w:p w14:paraId="1F6BE3B3" w14:textId="77777777" w:rsidR="00D14A6D" w:rsidRPr="004B39D6" w:rsidRDefault="00D14A6D" w:rsidP="001C07F6">
            <w:pPr>
              <w:snapToGrid w:val="0"/>
              <w:spacing w:after="0" w:line="360" w:lineRule="auto"/>
              <w:rPr>
                <w:rFonts w:ascii="Book Antiqua" w:hAnsi="Book Antiqua" w:cs="Arial"/>
                <w:sz w:val="24"/>
                <w:szCs w:val="24"/>
                <w:lang w:val="en-US"/>
              </w:rPr>
            </w:pPr>
          </w:p>
        </w:tc>
        <w:tc>
          <w:tcPr>
            <w:tcW w:w="709" w:type="dxa"/>
          </w:tcPr>
          <w:p w14:paraId="090B194E"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G</w:t>
            </w:r>
          </w:p>
        </w:tc>
        <w:tc>
          <w:tcPr>
            <w:tcW w:w="709" w:type="dxa"/>
          </w:tcPr>
          <w:p w14:paraId="09D67F8F"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M</w:t>
            </w:r>
          </w:p>
        </w:tc>
        <w:tc>
          <w:tcPr>
            <w:tcW w:w="1134" w:type="dxa"/>
          </w:tcPr>
          <w:p w14:paraId="04E84999"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16-11-08</w:t>
            </w:r>
          </w:p>
        </w:tc>
        <w:tc>
          <w:tcPr>
            <w:tcW w:w="1701" w:type="dxa"/>
          </w:tcPr>
          <w:p w14:paraId="5E5C3258"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HCV cirrhosis</w:t>
            </w:r>
          </w:p>
        </w:tc>
        <w:tc>
          <w:tcPr>
            <w:tcW w:w="1667" w:type="dxa"/>
          </w:tcPr>
          <w:p w14:paraId="120449EA"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TAC, DACLIZUMAB</w:t>
            </w:r>
          </w:p>
        </w:tc>
        <w:tc>
          <w:tcPr>
            <w:tcW w:w="1310" w:type="dxa"/>
          </w:tcPr>
          <w:p w14:paraId="499457B8"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30-04-12</w:t>
            </w:r>
          </w:p>
        </w:tc>
        <w:tc>
          <w:tcPr>
            <w:tcW w:w="992" w:type="dxa"/>
          </w:tcPr>
          <w:p w14:paraId="5AF61325"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3</w:t>
            </w:r>
          </w:p>
        </w:tc>
        <w:tc>
          <w:tcPr>
            <w:tcW w:w="1701" w:type="dxa"/>
          </w:tcPr>
          <w:p w14:paraId="2D496276"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w:t>
            </w:r>
          </w:p>
        </w:tc>
      </w:tr>
      <w:tr w:rsidR="00D14A6D" w:rsidRPr="004B39D6" w14:paraId="1CE0EDAC" w14:textId="77777777" w:rsidTr="00040A8B">
        <w:tc>
          <w:tcPr>
            <w:tcW w:w="992" w:type="dxa"/>
            <w:vMerge/>
          </w:tcPr>
          <w:p w14:paraId="54D5090A" w14:textId="77777777" w:rsidR="00D14A6D" w:rsidRPr="004B39D6" w:rsidRDefault="00D14A6D" w:rsidP="001C07F6">
            <w:pPr>
              <w:snapToGrid w:val="0"/>
              <w:spacing w:after="0" w:line="360" w:lineRule="auto"/>
              <w:rPr>
                <w:rFonts w:ascii="Book Antiqua" w:hAnsi="Book Antiqua" w:cs="Arial"/>
                <w:sz w:val="24"/>
                <w:szCs w:val="24"/>
                <w:lang w:val="en-US"/>
              </w:rPr>
            </w:pPr>
          </w:p>
        </w:tc>
        <w:tc>
          <w:tcPr>
            <w:tcW w:w="709" w:type="dxa"/>
          </w:tcPr>
          <w:p w14:paraId="0BC8B51B"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J</w:t>
            </w:r>
          </w:p>
        </w:tc>
        <w:tc>
          <w:tcPr>
            <w:tcW w:w="709" w:type="dxa"/>
          </w:tcPr>
          <w:p w14:paraId="2DD87293"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F</w:t>
            </w:r>
          </w:p>
        </w:tc>
        <w:tc>
          <w:tcPr>
            <w:tcW w:w="1134" w:type="dxa"/>
          </w:tcPr>
          <w:p w14:paraId="63B039DB"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22-05-10</w:t>
            </w:r>
          </w:p>
        </w:tc>
        <w:tc>
          <w:tcPr>
            <w:tcW w:w="1701" w:type="dxa"/>
          </w:tcPr>
          <w:p w14:paraId="7AA87932" w14:textId="77777777" w:rsidR="00D14A6D" w:rsidRPr="004B39D6" w:rsidRDefault="00D14A6D" w:rsidP="001C07F6">
            <w:pPr>
              <w:snapToGrid w:val="0"/>
              <w:spacing w:after="0" w:line="360" w:lineRule="auto"/>
              <w:jc w:val="center"/>
              <w:rPr>
                <w:rFonts w:ascii="Book Antiqua" w:hAnsi="Book Antiqua" w:cs="Arial"/>
                <w:sz w:val="24"/>
                <w:szCs w:val="24"/>
                <w:lang w:val="en-US"/>
              </w:rPr>
            </w:pPr>
            <w:proofErr w:type="spellStart"/>
            <w:r w:rsidRPr="004B39D6">
              <w:rPr>
                <w:rFonts w:ascii="Book Antiqua" w:hAnsi="Book Antiqua" w:cs="Arial"/>
                <w:sz w:val="24"/>
                <w:szCs w:val="24"/>
                <w:lang w:val="en-US"/>
              </w:rPr>
              <w:t>Hepatocarcinoma</w:t>
            </w:r>
            <w:proofErr w:type="spellEnd"/>
          </w:p>
        </w:tc>
        <w:tc>
          <w:tcPr>
            <w:tcW w:w="1667" w:type="dxa"/>
          </w:tcPr>
          <w:p w14:paraId="2C3E6FEC"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 ST</w:t>
            </w:r>
          </w:p>
        </w:tc>
        <w:tc>
          <w:tcPr>
            <w:tcW w:w="1310" w:type="dxa"/>
          </w:tcPr>
          <w:p w14:paraId="725874D7"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02-05-12</w:t>
            </w:r>
          </w:p>
        </w:tc>
        <w:tc>
          <w:tcPr>
            <w:tcW w:w="992" w:type="dxa"/>
          </w:tcPr>
          <w:p w14:paraId="46876094"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2</w:t>
            </w:r>
          </w:p>
        </w:tc>
        <w:tc>
          <w:tcPr>
            <w:tcW w:w="1701" w:type="dxa"/>
          </w:tcPr>
          <w:p w14:paraId="5290ED00"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CYA</w:t>
            </w:r>
          </w:p>
        </w:tc>
      </w:tr>
      <w:tr w:rsidR="00D14A6D" w:rsidRPr="004B39D6" w14:paraId="229F22D1" w14:textId="77777777" w:rsidTr="00040A8B">
        <w:tc>
          <w:tcPr>
            <w:tcW w:w="992" w:type="dxa"/>
            <w:vMerge/>
            <w:tcBorders>
              <w:bottom w:val="single" w:sz="4" w:space="0" w:color="auto"/>
            </w:tcBorders>
          </w:tcPr>
          <w:p w14:paraId="7C0A9CB3" w14:textId="77777777" w:rsidR="00D14A6D" w:rsidRPr="004B39D6" w:rsidRDefault="00D14A6D" w:rsidP="001C07F6">
            <w:pPr>
              <w:snapToGrid w:val="0"/>
              <w:spacing w:after="0" w:line="360" w:lineRule="auto"/>
              <w:rPr>
                <w:rFonts w:ascii="Book Antiqua" w:hAnsi="Book Antiqua" w:cs="Arial"/>
                <w:sz w:val="24"/>
                <w:szCs w:val="24"/>
                <w:lang w:val="en-US"/>
              </w:rPr>
            </w:pPr>
          </w:p>
        </w:tc>
        <w:tc>
          <w:tcPr>
            <w:tcW w:w="709" w:type="dxa"/>
            <w:tcBorders>
              <w:bottom w:val="single" w:sz="4" w:space="0" w:color="auto"/>
            </w:tcBorders>
          </w:tcPr>
          <w:p w14:paraId="3E2A683A"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L</w:t>
            </w:r>
          </w:p>
        </w:tc>
        <w:tc>
          <w:tcPr>
            <w:tcW w:w="709" w:type="dxa"/>
            <w:tcBorders>
              <w:bottom w:val="single" w:sz="4" w:space="0" w:color="auto"/>
            </w:tcBorders>
          </w:tcPr>
          <w:p w14:paraId="7BED53CE"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M</w:t>
            </w:r>
          </w:p>
        </w:tc>
        <w:tc>
          <w:tcPr>
            <w:tcW w:w="1134" w:type="dxa"/>
            <w:tcBorders>
              <w:bottom w:val="single" w:sz="4" w:space="0" w:color="auto"/>
            </w:tcBorders>
          </w:tcPr>
          <w:p w14:paraId="5AB504C3"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28-07-11</w:t>
            </w:r>
          </w:p>
        </w:tc>
        <w:tc>
          <w:tcPr>
            <w:tcW w:w="1701" w:type="dxa"/>
            <w:tcBorders>
              <w:bottom w:val="single" w:sz="4" w:space="0" w:color="auto"/>
            </w:tcBorders>
          </w:tcPr>
          <w:p w14:paraId="6D84A1A7"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Primary biliary cirrhosis</w:t>
            </w:r>
          </w:p>
        </w:tc>
        <w:tc>
          <w:tcPr>
            <w:tcW w:w="1667" w:type="dxa"/>
            <w:tcBorders>
              <w:bottom w:val="single" w:sz="4" w:space="0" w:color="auto"/>
            </w:tcBorders>
          </w:tcPr>
          <w:p w14:paraId="143A6454"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TAC, MMF, ST</w:t>
            </w:r>
          </w:p>
        </w:tc>
        <w:tc>
          <w:tcPr>
            <w:tcW w:w="1310" w:type="dxa"/>
            <w:tcBorders>
              <w:bottom w:val="single" w:sz="4" w:space="0" w:color="auto"/>
            </w:tcBorders>
          </w:tcPr>
          <w:p w14:paraId="1F27AA48"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19-06-12</w:t>
            </w:r>
          </w:p>
        </w:tc>
        <w:tc>
          <w:tcPr>
            <w:tcW w:w="992" w:type="dxa"/>
            <w:tcBorders>
              <w:bottom w:val="single" w:sz="4" w:space="0" w:color="auto"/>
            </w:tcBorders>
          </w:tcPr>
          <w:p w14:paraId="4FBC55BC"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1</w:t>
            </w:r>
          </w:p>
        </w:tc>
        <w:tc>
          <w:tcPr>
            <w:tcW w:w="1701" w:type="dxa"/>
            <w:tcBorders>
              <w:bottom w:val="single" w:sz="4" w:space="0" w:color="auto"/>
            </w:tcBorders>
          </w:tcPr>
          <w:p w14:paraId="0731F560" w14:textId="77777777" w:rsidR="00D14A6D" w:rsidRPr="004B39D6" w:rsidRDefault="00D14A6D" w:rsidP="001C07F6">
            <w:pPr>
              <w:snapToGrid w:val="0"/>
              <w:spacing w:after="0" w:line="360" w:lineRule="auto"/>
              <w:jc w:val="center"/>
              <w:rPr>
                <w:rFonts w:ascii="Book Antiqua" w:hAnsi="Book Antiqua" w:cs="Arial"/>
                <w:sz w:val="24"/>
                <w:szCs w:val="24"/>
                <w:lang w:val="en-US"/>
              </w:rPr>
            </w:pPr>
            <w:r w:rsidRPr="004B39D6">
              <w:rPr>
                <w:rFonts w:ascii="Book Antiqua" w:hAnsi="Book Antiqua" w:cs="Arial"/>
                <w:sz w:val="24"/>
                <w:szCs w:val="24"/>
                <w:lang w:val="en-US"/>
              </w:rPr>
              <w:t>TAC</w:t>
            </w:r>
          </w:p>
        </w:tc>
      </w:tr>
    </w:tbl>
    <w:p w14:paraId="0F369DD0" w14:textId="3D50EF62" w:rsidR="00D14A6D" w:rsidRPr="004B39D6" w:rsidRDefault="00D14A6D" w:rsidP="0081528B">
      <w:pPr>
        <w:snapToGrid w:val="0"/>
        <w:spacing w:after="0" w:line="360" w:lineRule="auto"/>
        <w:jc w:val="both"/>
        <w:rPr>
          <w:rFonts w:ascii="Book Antiqua" w:hAnsi="Book Antiqua" w:cs="Arial"/>
          <w:sz w:val="24"/>
          <w:szCs w:val="24"/>
          <w:lang w:val="en-US"/>
        </w:rPr>
      </w:pPr>
      <w:r w:rsidRPr="004B39D6">
        <w:rPr>
          <w:rFonts w:ascii="Book Antiqua" w:hAnsi="Book Antiqua" w:cs="Arial"/>
          <w:sz w:val="24"/>
          <w:szCs w:val="24"/>
          <w:lang w:val="en-US"/>
        </w:rPr>
        <w:br w:type="page"/>
      </w:r>
    </w:p>
    <w:p w14:paraId="41665866" w14:textId="47013078" w:rsidR="00D14A6D" w:rsidRPr="001C07F6" w:rsidRDefault="001C07F6" w:rsidP="001C07F6">
      <w:pPr>
        <w:tabs>
          <w:tab w:val="right" w:pos="1134"/>
        </w:tabs>
        <w:snapToGrid w:val="0"/>
        <w:spacing w:after="0" w:line="360" w:lineRule="auto"/>
        <w:jc w:val="both"/>
        <w:rPr>
          <w:rFonts w:ascii="Book Antiqua" w:eastAsiaTheme="minorHAnsi" w:hAnsi="Book Antiqua" w:cstheme="minorBidi"/>
          <w:b/>
          <w:sz w:val="24"/>
          <w:szCs w:val="24"/>
          <w:lang w:val="en-US" w:eastAsia="en-US"/>
        </w:rPr>
      </w:pPr>
      <w:r w:rsidRPr="001C07F6">
        <w:rPr>
          <w:rFonts w:ascii="Book Antiqua" w:eastAsiaTheme="minorHAnsi" w:hAnsi="Book Antiqua" w:cstheme="minorBidi"/>
          <w:b/>
          <w:sz w:val="24"/>
          <w:szCs w:val="24"/>
          <w:lang w:val="en-US" w:eastAsia="en-US"/>
        </w:rPr>
        <w:lastRenderedPageBreak/>
        <w:t>Table 2</w:t>
      </w:r>
      <w:r w:rsidR="00D14A6D" w:rsidRPr="001C07F6">
        <w:rPr>
          <w:rFonts w:ascii="Book Antiqua" w:eastAsiaTheme="minorHAnsi" w:hAnsi="Book Antiqua" w:cstheme="minorBidi"/>
          <w:b/>
          <w:sz w:val="24"/>
          <w:szCs w:val="24"/>
          <w:lang w:val="en-US" w:eastAsia="en-US"/>
        </w:rPr>
        <w:t xml:space="preserve"> </w:t>
      </w:r>
      <w:r w:rsidRPr="001C07F6">
        <w:rPr>
          <w:rFonts w:ascii="Book Antiqua" w:hAnsi="Book Antiqua" w:cs="Arial"/>
          <w:b/>
          <w:sz w:val="24"/>
          <w:szCs w:val="24"/>
        </w:rPr>
        <w:t>G</w:t>
      </w:r>
      <w:r w:rsidRPr="001C07F6">
        <w:rPr>
          <w:rFonts w:ascii="Book Antiqua" w:hAnsi="Book Antiqua" w:cs="Arial" w:hint="eastAsia"/>
          <w:b/>
          <w:sz w:val="24"/>
          <w:szCs w:val="24"/>
        </w:rPr>
        <w:t>lutathione S-transferase T1</w:t>
      </w:r>
      <w:r w:rsidRPr="001C07F6">
        <w:rPr>
          <w:rFonts w:ascii="Book Antiqua" w:hAnsi="Book Antiqua" w:cs="Arial" w:hint="eastAsia"/>
          <w:b/>
          <w:sz w:val="24"/>
          <w:szCs w:val="24"/>
          <w:lang w:eastAsia="zh-CN"/>
        </w:rPr>
        <w:t xml:space="preserve"> </w:t>
      </w:r>
      <w:r w:rsidR="00D14A6D" w:rsidRPr="001C07F6">
        <w:rPr>
          <w:rFonts w:ascii="Book Antiqua" w:eastAsiaTheme="minorHAnsi" w:hAnsi="Book Antiqua" w:cstheme="minorBidi"/>
          <w:b/>
          <w:sz w:val="24"/>
          <w:szCs w:val="24"/>
          <w:lang w:val="en-US" w:eastAsia="en-US"/>
        </w:rPr>
        <w:t>peptides and amino acid position and sequence</w:t>
      </w: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1701"/>
        <w:gridCol w:w="2843"/>
      </w:tblGrid>
      <w:tr w:rsidR="00D14A6D" w:rsidRPr="004B39D6" w14:paraId="6104148A" w14:textId="77777777" w:rsidTr="001C07F6">
        <w:tc>
          <w:tcPr>
            <w:tcW w:w="843" w:type="dxa"/>
            <w:tcBorders>
              <w:top w:val="single" w:sz="4" w:space="0" w:color="auto"/>
              <w:bottom w:val="single" w:sz="4" w:space="0" w:color="auto"/>
            </w:tcBorders>
          </w:tcPr>
          <w:p w14:paraId="0E5A156E" w14:textId="77777777" w:rsidR="00D14A6D" w:rsidRPr="004B39D6" w:rsidRDefault="00D14A6D" w:rsidP="0081528B">
            <w:pPr>
              <w:tabs>
                <w:tab w:val="right" w:pos="1134"/>
              </w:tabs>
              <w:snapToGrid w:val="0"/>
              <w:spacing w:after="0" w:line="360" w:lineRule="auto"/>
              <w:jc w:val="both"/>
              <w:rPr>
                <w:rFonts w:ascii="Book Antiqua" w:hAnsi="Book Antiqua"/>
                <w:b/>
                <w:sz w:val="24"/>
                <w:szCs w:val="24"/>
                <w:lang w:val="en-US"/>
              </w:rPr>
            </w:pPr>
            <w:r w:rsidRPr="004B39D6">
              <w:rPr>
                <w:rFonts w:ascii="Book Antiqua" w:hAnsi="Book Antiqua"/>
                <w:b/>
                <w:sz w:val="24"/>
                <w:szCs w:val="24"/>
                <w:lang w:val="en-US"/>
              </w:rPr>
              <w:t>Pool</w:t>
            </w:r>
          </w:p>
        </w:tc>
        <w:tc>
          <w:tcPr>
            <w:tcW w:w="1701" w:type="dxa"/>
            <w:tcBorders>
              <w:top w:val="single" w:sz="4" w:space="0" w:color="auto"/>
              <w:bottom w:val="single" w:sz="4" w:space="0" w:color="auto"/>
            </w:tcBorders>
          </w:tcPr>
          <w:p w14:paraId="30F4C9C5" w14:textId="77777777" w:rsidR="00D14A6D" w:rsidRPr="004B39D6" w:rsidRDefault="00D14A6D" w:rsidP="001C07F6">
            <w:pPr>
              <w:tabs>
                <w:tab w:val="right" w:pos="1134"/>
              </w:tabs>
              <w:snapToGrid w:val="0"/>
              <w:spacing w:after="0" w:line="360" w:lineRule="auto"/>
              <w:jc w:val="center"/>
              <w:rPr>
                <w:rFonts w:ascii="Book Antiqua" w:hAnsi="Book Antiqua"/>
                <w:b/>
                <w:sz w:val="24"/>
                <w:szCs w:val="24"/>
                <w:lang w:val="en-US"/>
              </w:rPr>
            </w:pPr>
            <w:r w:rsidRPr="004B39D6">
              <w:rPr>
                <w:rFonts w:ascii="Book Antiqua" w:hAnsi="Book Antiqua"/>
                <w:b/>
                <w:sz w:val="24"/>
                <w:szCs w:val="24"/>
                <w:lang w:val="en-US"/>
              </w:rPr>
              <w:t>Amino acid #</w:t>
            </w:r>
          </w:p>
        </w:tc>
        <w:tc>
          <w:tcPr>
            <w:tcW w:w="2843" w:type="dxa"/>
            <w:tcBorders>
              <w:top w:val="single" w:sz="4" w:space="0" w:color="auto"/>
              <w:bottom w:val="single" w:sz="4" w:space="0" w:color="auto"/>
            </w:tcBorders>
          </w:tcPr>
          <w:p w14:paraId="39ED55DF" w14:textId="77777777" w:rsidR="00D14A6D" w:rsidRPr="004B39D6" w:rsidRDefault="00D14A6D" w:rsidP="001C07F6">
            <w:pPr>
              <w:tabs>
                <w:tab w:val="right" w:pos="1134"/>
              </w:tabs>
              <w:snapToGrid w:val="0"/>
              <w:spacing w:after="0" w:line="360" w:lineRule="auto"/>
              <w:jc w:val="center"/>
              <w:rPr>
                <w:rFonts w:ascii="Book Antiqua" w:hAnsi="Book Antiqua"/>
                <w:b/>
                <w:sz w:val="24"/>
                <w:szCs w:val="24"/>
                <w:lang w:val="en-US"/>
              </w:rPr>
            </w:pPr>
            <w:r w:rsidRPr="004B39D6">
              <w:rPr>
                <w:rFonts w:ascii="Book Antiqua" w:hAnsi="Book Antiqua"/>
                <w:b/>
                <w:sz w:val="24"/>
                <w:szCs w:val="24"/>
                <w:lang w:val="en-US"/>
              </w:rPr>
              <w:t>Amino acid sequence</w:t>
            </w:r>
          </w:p>
        </w:tc>
      </w:tr>
      <w:tr w:rsidR="00D14A6D" w:rsidRPr="004B39D6" w14:paraId="1D15552E" w14:textId="77777777" w:rsidTr="001C07F6">
        <w:tc>
          <w:tcPr>
            <w:tcW w:w="843" w:type="dxa"/>
            <w:tcBorders>
              <w:top w:val="single" w:sz="4" w:space="0" w:color="auto"/>
            </w:tcBorders>
          </w:tcPr>
          <w:p w14:paraId="7494EBBD"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r w:rsidRPr="004B39D6">
              <w:rPr>
                <w:rFonts w:ascii="Book Antiqua" w:hAnsi="Book Antiqua"/>
                <w:sz w:val="24"/>
                <w:szCs w:val="24"/>
                <w:lang w:val="en-US"/>
              </w:rPr>
              <w:t>1</w:t>
            </w:r>
          </w:p>
        </w:tc>
        <w:tc>
          <w:tcPr>
            <w:tcW w:w="1701" w:type="dxa"/>
            <w:tcBorders>
              <w:top w:val="single" w:sz="4" w:space="0" w:color="auto"/>
            </w:tcBorders>
          </w:tcPr>
          <w:p w14:paraId="1024AA4C" w14:textId="75433392"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1-15</w:t>
            </w:r>
          </w:p>
        </w:tc>
        <w:tc>
          <w:tcPr>
            <w:tcW w:w="2843" w:type="dxa"/>
            <w:tcBorders>
              <w:top w:val="single" w:sz="4" w:space="0" w:color="auto"/>
            </w:tcBorders>
          </w:tcPr>
          <w:p w14:paraId="69A5EA2B" w14:textId="2E1E69BE"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MGLELYLDLLSQPCR</w:t>
            </w:r>
          </w:p>
        </w:tc>
      </w:tr>
      <w:tr w:rsidR="00D14A6D" w:rsidRPr="004B39D6" w14:paraId="1559AD0B" w14:textId="77777777" w:rsidTr="001C07F6">
        <w:tc>
          <w:tcPr>
            <w:tcW w:w="843" w:type="dxa"/>
          </w:tcPr>
          <w:p w14:paraId="56718C38"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5D1D1742" w14:textId="5FCB61AF"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7-21</w:t>
            </w:r>
          </w:p>
        </w:tc>
        <w:tc>
          <w:tcPr>
            <w:tcW w:w="2843" w:type="dxa"/>
          </w:tcPr>
          <w:p w14:paraId="401233CA" w14:textId="186F513D"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LDLLSQPCRAVYIFA</w:t>
            </w:r>
          </w:p>
        </w:tc>
      </w:tr>
      <w:tr w:rsidR="00D14A6D" w:rsidRPr="004B39D6" w14:paraId="373280D0" w14:textId="77777777" w:rsidTr="001C07F6">
        <w:tc>
          <w:tcPr>
            <w:tcW w:w="843" w:type="dxa"/>
          </w:tcPr>
          <w:p w14:paraId="2C503E9D"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1D7EC8AE" w14:textId="018C62C3"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13-27</w:t>
            </w:r>
          </w:p>
        </w:tc>
        <w:tc>
          <w:tcPr>
            <w:tcW w:w="2843" w:type="dxa"/>
          </w:tcPr>
          <w:p w14:paraId="23E5852B" w14:textId="01B57EE7"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PCRAVYIFAKKNDIP</w:t>
            </w:r>
          </w:p>
        </w:tc>
      </w:tr>
      <w:tr w:rsidR="00D14A6D" w:rsidRPr="004B39D6" w14:paraId="598315E0" w14:textId="77777777" w:rsidTr="001C07F6">
        <w:tc>
          <w:tcPr>
            <w:tcW w:w="843" w:type="dxa"/>
          </w:tcPr>
          <w:p w14:paraId="27847C43"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209FE1DF" w14:textId="2AD20FE7"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19-33</w:t>
            </w:r>
          </w:p>
        </w:tc>
        <w:tc>
          <w:tcPr>
            <w:tcW w:w="2843" w:type="dxa"/>
          </w:tcPr>
          <w:p w14:paraId="30A8DF16" w14:textId="57B8E7CB"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IFAKKNDIPFELRIV</w:t>
            </w:r>
          </w:p>
        </w:tc>
      </w:tr>
      <w:tr w:rsidR="00D14A6D" w:rsidRPr="004B39D6" w14:paraId="6A017F3C" w14:textId="77777777" w:rsidTr="001C07F6">
        <w:tc>
          <w:tcPr>
            <w:tcW w:w="843" w:type="dxa"/>
          </w:tcPr>
          <w:p w14:paraId="14EB05C6"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174936C7" w14:textId="6BA14440"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25-39</w:t>
            </w:r>
          </w:p>
        </w:tc>
        <w:tc>
          <w:tcPr>
            <w:tcW w:w="2843" w:type="dxa"/>
          </w:tcPr>
          <w:p w14:paraId="6EC72C75" w14:textId="24C44A41"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DIPFELRIVDLIKGQ</w:t>
            </w:r>
          </w:p>
        </w:tc>
      </w:tr>
      <w:tr w:rsidR="00D14A6D" w:rsidRPr="004B39D6" w14:paraId="53D1AFEF" w14:textId="77777777" w:rsidTr="001C07F6">
        <w:tc>
          <w:tcPr>
            <w:tcW w:w="843" w:type="dxa"/>
          </w:tcPr>
          <w:p w14:paraId="567B0F04"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r w:rsidRPr="004B39D6">
              <w:rPr>
                <w:rFonts w:ascii="Book Antiqua" w:hAnsi="Book Antiqua"/>
                <w:sz w:val="24"/>
                <w:szCs w:val="24"/>
                <w:lang w:val="en-US"/>
              </w:rPr>
              <w:t>2</w:t>
            </w:r>
          </w:p>
        </w:tc>
        <w:tc>
          <w:tcPr>
            <w:tcW w:w="1701" w:type="dxa"/>
          </w:tcPr>
          <w:p w14:paraId="49FBEDB6" w14:textId="196174F6"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31-45</w:t>
            </w:r>
          </w:p>
        </w:tc>
        <w:tc>
          <w:tcPr>
            <w:tcW w:w="2843" w:type="dxa"/>
          </w:tcPr>
          <w:p w14:paraId="60DB301D" w14:textId="4AD0B092"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RIVDLIKGQHLSDAF</w:t>
            </w:r>
          </w:p>
        </w:tc>
      </w:tr>
      <w:tr w:rsidR="00D14A6D" w:rsidRPr="004B39D6" w14:paraId="1286C4DD" w14:textId="77777777" w:rsidTr="001C07F6">
        <w:tc>
          <w:tcPr>
            <w:tcW w:w="843" w:type="dxa"/>
          </w:tcPr>
          <w:p w14:paraId="2E575724"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67B6C875" w14:textId="4312BB83"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37-51</w:t>
            </w:r>
          </w:p>
        </w:tc>
        <w:tc>
          <w:tcPr>
            <w:tcW w:w="2843" w:type="dxa"/>
          </w:tcPr>
          <w:p w14:paraId="6A351C2C" w14:textId="40B06EB3"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KGQHLSDAFAQVNPL</w:t>
            </w:r>
          </w:p>
        </w:tc>
      </w:tr>
      <w:tr w:rsidR="00D14A6D" w:rsidRPr="004B39D6" w14:paraId="52F15C35" w14:textId="77777777" w:rsidTr="001C07F6">
        <w:tc>
          <w:tcPr>
            <w:tcW w:w="843" w:type="dxa"/>
          </w:tcPr>
          <w:p w14:paraId="573B15F2"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10C5BF95" w14:textId="4B93A843"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43-57</w:t>
            </w:r>
          </w:p>
        </w:tc>
        <w:tc>
          <w:tcPr>
            <w:tcW w:w="2843" w:type="dxa"/>
          </w:tcPr>
          <w:p w14:paraId="0D53625E" w14:textId="7AAAE701"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DAFAQVNPLKKVPAL</w:t>
            </w:r>
          </w:p>
        </w:tc>
      </w:tr>
      <w:tr w:rsidR="00D14A6D" w:rsidRPr="004B39D6" w14:paraId="2A48BADE" w14:textId="77777777" w:rsidTr="001C07F6">
        <w:tc>
          <w:tcPr>
            <w:tcW w:w="843" w:type="dxa"/>
          </w:tcPr>
          <w:p w14:paraId="106B2F9A"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7B0DF252" w14:textId="096D1B4F"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49-63</w:t>
            </w:r>
          </w:p>
        </w:tc>
        <w:tc>
          <w:tcPr>
            <w:tcW w:w="2843" w:type="dxa"/>
          </w:tcPr>
          <w:p w14:paraId="611629A6" w14:textId="39BD689C"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NPLKKVPALKDGDFT</w:t>
            </w:r>
          </w:p>
        </w:tc>
      </w:tr>
      <w:tr w:rsidR="00D14A6D" w:rsidRPr="004B39D6" w14:paraId="613D6595" w14:textId="77777777" w:rsidTr="001C07F6">
        <w:tc>
          <w:tcPr>
            <w:tcW w:w="843" w:type="dxa"/>
          </w:tcPr>
          <w:p w14:paraId="4335B043"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7DB7DD77" w14:textId="32630A61"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55-69</w:t>
            </w:r>
          </w:p>
        </w:tc>
        <w:tc>
          <w:tcPr>
            <w:tcW w:w="2843" w:type="dxa"/>
          </w:tcPr>
          <w:p w14:paraId="11B82A59" w14:textId="1C91FFAF"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PALKDGDFTLTESVA</w:t>
            </w:r>
          </w:p>
        </w:tc>
      </w:tr>
      <w:tr w:rsidR="00D14A6D" w:rsidRPr="004B39D6" w14:paraId="5E60E2A0" w14:textId="77777777" w:rsidTr="001C07F6">
        <w:tc>
          <w:tcPr>
            <w:tcW w:w="843" w:type="dxa"/>
          </w:tcPr>
          <w:p w14:paraId="0B6EE963"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r w:rsidRPr="004B39D6">
              <w:rPr>
                <w:rFonts w:ascii="Book Antiqua" w:hAnsi="Book Antiqua"/>
                <w:sz w:val="24"/>
                <w:szCs w:val="24"/>
                <w:lang w:val="en-US"/>
              </w:rPr>
              <w:t>3</w:t>
            </w:r>
          </w:p>
        </w:tc>
        <w:tc>
          <w:tcPr>
            <w:tcW w:w="1701" w:type="dxa"/>
          </w:tcPr>
          <w:p w14:paraId="38FC2FCA" w14:textId="280AAB40"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61-75</w:t>
            </w:r>
          </w:p>
        </w:tc>
        <w:tc>
          <w:tcPr>
            <w:tcW w:w="2843" w:type="dxa"/>
          </w:tcPr>
          <w:p w14:paraId="3DC23465" w14:textId="3C588573" w:rsidR="00D14A6D" w:rsidRPr="004B39D6" w:rsidRDefault="00D14A6D" w:rsidP="001C07F6">
            <w:pPr>
              <w:snapToGrid w:val="0"/>
              <w:spacing w:after="0" w:line="360" w:lineRule="auto"/>
              <w:jc w:val="center"/>
              <w:rPr>
                <w:rFonts w:ascii="Book Antiqua" w:hAnsi="Book Antiqua" w:cs="Courier New"/>
                <w:sz w:val="24"/>
                <w:szCs w:val="24"/>
                <w:highlight w:val="yellow"/>
                <w:lang w:val="en-US"/>
              </w:rPr>
            </w:pPr>
            <w:r w:rsidRPr="004B39D6">
              <w:rPr>
                <w:rFonts w:ascii="Book Antiqua" w:hAnsi="Book Antiqua" w:cs="Courier New"/>
                <w:sz w:val="24"/>
                <w:szCs w:val="24"/>
                <w:lang w:val="en-US"/>
              </w:rPr>
              <w:t>DFTLTESVAILLYLT</w:t>
            </w:r>
          </w:p>
        </w:tc>
      </w:tr>
      <w:tr w:rsidR="00D14A6D" w:rsidRPr="004B39D6" w14:paraId="7659E40F" w14:textId="77777777" w:rsidTr="001C07F6">
        <w:tc>
          <w:tcPr>
            <w:tcW w:w="843" w:type="dxa"/>
          </w:tcPr>
          <w:p w14:paraId="45E30F75"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32D4D498" w14:textId="2B046665"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67-81</w:t>
            </w:r>
          </w:p>
        </w:tc>
        <w:tc>
          <w:tcPr>
            <w:tcW w:w="2843" w:type="dxa"/>
          </w:tcPr>
          <w:p w14:paraId="29ECA3EF" w14:textId="62D8ED75" w:rsidR="00D14A6D" w:rsidRPr="004B39D6" w:rsidRDefault="00D14A6D" w:rsidP="001C07F6">
            <w:pPr>
              <w:snapToGrid w:val="0"/>
              <w:spacing w:after="0" w:line="360" w:lineRule="auto"/>
              <w:jc w:val="center"/>
              <w:rPr>
                <w:rFonts w:ascii="Book Antiqua" w:hAnsi="Book Antiqua" w:cs="Courier New"/>
                <w:sz w:val="24"/>
                <w:szCs w:val="24"/>
                <w:highlight w:val="yellow"/>
                <w:lang w:val="en-US"/>
              </w:rPr>
            </w:pPr>
            <w:r w:rsidRPr="004B39D6">
              <w:rPr>
                <w:rFonts w:ascii="Book Antiqua" w:hAnsi="Book Antiqua" w:cs="Courier New"/>
                <w:sz w:val="24"/>
                <w:szCs w:val="24"/>
                <w:lang w:val="en-US"/>
              </w:rPr>
              <w:t>SVAILLYLTRKYKVP</w:t>
            </w:r>
          </w:p>
        </w:tc>
      </w:tr>
      <w:tr w:rsidR="00D14A6D" w:rsidRPr="004B39D6" w14:paraId="146B8FF3" w14:textId="77777777" w:rsidTr="001C07F6">
        <w:tc>
          <w:tcPr>
            <w:tcW w:w="843" w:type="dxa"/>
          </w:tcPr>
          <w:p w14:paraId="718F044A"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16A47A01" w14:textId="371A8742"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73-87</w:t>
            </w:r>
          </w:p>
        </w:tc>
        <w:tc>
          <w:tcPr>
            <w:tcW w:w="2843" w:type="dxa"/>
          </w:tcPr>
          <w:p w14:paraId="3EE93A3A" w14:textId="0FC3BC15"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YLTRKYKVPDYWYPQ</w:t>
            </w:r>
          </w:p>
        </w:tc>
      </w:tr>
      <w:tr w:rsidR="00D14A6D" w:rsidRPr="004B39D6" w14:paraId="073F9D17" w14:textId="77777777" w:rsidTr="001C07F6">
        <w:tc>
          <w:tcPr>
            <w:tcW w:w="843" w:type="dxa"/>
          </w:tcPr>
          <w:p w14:paraId="7D7E1EB0"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6A6C35BA" w14:textId="63132195"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79-93</w:t>
            </w:r>
          </w:p>
        </w:tc>
        <w:tc>
          <w:tcPr>
            <w:tcW w:w="2843" w:type="dxa"/>
          </w:tcPr>
          <w:p w14:paraId="54562112" w14:textId="6FFC348E"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KVPDYWYPQDLQARA</w:t>
            </w:r>
          </w:p>
        </w:tc>
      </w:tr>
      <w:tr w:rsidR="00D14A6D" w:rsidRPr="004B39D6" w14:paraId="5F56BFEF" w14:textId="77777777" w:rsidTr="001C07F6">
        <w:tc>
          <w:tcPr>
            <w:tcW w:w="843" w:type="dxa"/>
          </w:tcPr>
          <w:p w14:paraId="2E7A1DE6"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1DD9D048" w14:textId="39792D36"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85-99</w:t>
            </w:r>
          </w:p>
        </w:tc>
        <w:tc>
          <w:tcPr>
            <w:tcW w:w="2843" w:type="dxa"/>
          </w:tcPr>
          <w:p w14:paraId="481817D2" w14:textId="78C85398"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YPQDLQARARVDEYL</w:t>
            </w:r>
          </w:p>
        </w:tc>
      </w:tr>
      <w:tr w:rsidR="00D14A6D" w:rsidRPr="004B39D6" w14:paraId="22131742" w14:textId="77777777" w:rsidTr="001C07F6">
        <w:tc>
          <w:tcPr>
            <w:tcW w:w="843" w:type="dxa"/>
          </w:tcPr>
          <w:p w14:paraId="1E0E1C34"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r w:rsidRPr="004B39D6">
              <w:rPr>
                <w:rFonts w:ascii="Book Antiqua" w:hAnsi="Book Antiqua"/>
                <w:sz w:val="24"/>
                <w:szCs w:val="24"/>
                <w:lang w:val="en-US"/>
              </w:rPr>
              <w:t>4</w:t>
            </w:r>
          </w:p>
        </w:tc>
        <w:tc>
          <w:tcPr>
            <w:tcW w:w="1701" w:type="dxa"/>
          </w:tcPr>
          <w:p w14:paraId="1E5CAB58" w14:textId="383BEC66"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91-105</w:t>
            </w:r>
          </w:p>
        </w:tc>
        <w:tc>
          <w:tcPr>
            <w:tcW w:w="2843" w:type="dxa"/>
          </w:tcPr>
          <w:p w14:paraId="64260823" w14:textId="6DE8DA65"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ARARVDEYLAWQHTT</w:t>
            </w:r>
          </w:p>
        </w:tc>
      </w:tr>
      <w:tr w:rsidR="00D14A6D" w:rsidRPr="004B39D6" w14:paraId="182FCD70" w14:textId="77777777" w:rsidTr="001C07F6">
        <w:tc>
          <w:tcPr>
            <w:tcW w:w="843" w:type="dxa"/>
          </w:tcPr>
          <w:p w14:paraId="51701212"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5372273C" w14:textId="190F50A0"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97-111</w:t>
            </w:r>
          </w:p>
        </w:tc>
        <w:tc>
          <w:tcPr>
            <w:tcW w:w="2843" w:type="dxa"/>
          </w:tcPr>
          <w:p w14:paraId="5D581BCF" w14:textId="7B94CE3B"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EYLAWQHTTLRRSCL</w:t>
            </w:r>
          </w:p>
        </w:tc>
      </w:tr>
      <w:tr w:rsidR="00D14A6D" w:rsidRPr="004B39D6" w14:paraId="1DC7EA79" w14:textId="77777777" w:rsidTr="001C07F6">
        <w:tc>
          <w:tcPr>
            <w:tcW w:w="843" w:type="dxa"/>
          </w:tcPr>
          <w:p w14:paraId="7CE8F11D"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0F76E4EB" w14:textId="16B8B1E9"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103-117</w:t>
            </w:r>
          </w:p>
        </w:tc>
        <w:tc>
          <w:tcPr>
            <w:tcW w:w="2843" w:type="dxa"/>
          </w:tcPr>
          <w:p w14:paraId="5F38B6C1" w14:textId="468DF084"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HTTLRRSCLRALWHK</w:t>
            </w:r>
          </w:p>
        </w:tc>
      </w:tr>
      <w:tr w:rsidR="00D14A6D" w:rsidRPr="004B39D6" w14:paraId="7665C600" w14:textId="77777777" w:rsidTr="001C07F6">
        <w:tc>
          <w:tcPr>
            <w:tcW w:w="843" w:type="dxa"/>
          </w:tcPr>
          <w:p w14:paraId="197AEE10"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1C0BA7F1" w14:textId="4E50CC9F"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109-123</w:t>
            </w:r>
          </w:p>
        </w:tc>
        <w:tc>
          <w:tcPr>
            <w:tcW w:w="2843" w:type="dxa"/>
          </w:tcPr>
          <w:p w14:paraId="06369103" w14:textId="0CC6D358"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SCLRALWHKVMFPVF</w:t>
            </w:r>
          </w:p>
        </w:tc>
      </w:tr>
      <w:tr w:rsidR="00D14A6D" w:rsidRPr="004B39D6" w14:paraId="52C3832E" w14:textId="77777777" w:rsidTr="001C07F6">
        <w:tc>
          <w:tcPr>
            <w:tcW w:w="843" w:type="dxa"/>
          </w:tcPr>
          <w:p w14:paraId="3969EAC2"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2F5FD896" w14:textId="42A699CE"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115-129</w:t>
            </w:r>
          </w:p>
        </w:tc>
        <w:tc>
          <w:tcPr>
            <w:tcW w:w="2843" w:type="dxa"/>
          </w:tcPr>
          <w:p w14:paraId="0B04D09B" w14:textId="0C674E94"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WHKVMFPVFLGEPVS</w:t>
            </w:r>
          </w:p>
        </w:tc>
      </w:tr>
      <w:tr w:rsidR="00D14A6D" w:rsidRPr="004B39D6" w14:paraId="2C66715D" w14:textId="77777777" w:rsidTr="001C07F6">
        <w:tc>
          <w:tcPr>
            <w:tcW w:w="843" w:type="dxa"/>
          </w:tcPr>
          <w:p w14:paraId="318C5062"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r w:rsidRPr="004B39D6">
              <w:rPr>
                <w:rFonts w:ascii="Book Antiqua" w:hAnsi="Book Antiqua"/>
                <w:sz w:val="24"/>
                <w:szCs w:val="24"/>
                <w:lang w:val="en-US"/>
              </w:rPr>
              <w:t>5</w:t>
            </w:r>
          </w:p>
        </w:tc>
        <w:tc>
          <w:tcPr>
            <w:tcW w:w="1701" w:type="dxa"/>
          </w:tcPr>
          <w:p w14:paraId="6EF47CD1" w14:textId="723E35F7"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119-133</w:t>
            </w:r>
          </w:p>
        </w:tc>
        <w:tc>
          <w:tcPr>
            <w:tcW w:w="2843" w:type="dxa"/>
          </w:tcPr>
          <w:p w14:paraId="34654720" w14:textId="57A93965"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MFPVFLGEPVSPQTL</w:t>
            </w:r>
          </w:p>
        </w:tc>
      </w:tr>
      <w:tr w:rsidR="00D14A6D" w:rsidRPr="004B39D6" w14:paraId="5922F926" w14:textId="77777777" w:rsidTr="001C07F6">
        <w:tc>
          <w:tcPr>
            <w:tcW w:w="843" w:type="dxa"/>
          </w:tcPr>
          <w:p w14:paraId="7117D559"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3A60ABFF" w14:textId="120BAA7E"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125-139</w:t>
            </w:r>
          </w:p>
        </w:tc>
        <w:tc>
          <w:tcPr>
            <w:tcW w:w="2843" w:type="dxa"/>
          </w:tcPr>
          <w:p w14:paraId="29B3286F" w14:textId="64984C3C"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GEPVSPQTLAATLAE</w:t>
            </w:r>
          </w:p>
        </w:tc>
      </w:tr>
      <w:tr w:rsidR="00D14A6D" w:rsidRPr="004B39D6" w14:paraId="387BEFBF" w14:textId="77777777" w:rsidTr="001C07F6">
        <w:tc>
          <w:tcPr>
            <w:tcW w:w="843" w:type="dxa"/>
          </w:tcPr>
          <w:p w14:paraId="2DBD03F1"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474D05EC" w14:textId="41B176EF"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131-145</w:t>
            </w:r>
          </w:p>
        </w:tc>
        <w:tc>
          <w:tcPr>
            <w:tcW w:w="2843" w:type="dxa"/>
          </w:tcPr>
          <w:p w14:paraId="70E9129C" w14:textId="502C8032"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QTLAATLAELDVTLQ</w:t>
            </w:r>
          </w:p>
        </w:tc>
      </w:tr>
      <w:tr w:rsidR="00D14A6D" w:rsidRPr="004B39D6" w14:paraId="13D5DE90" w14:textId="77777777" w:rsidTr="001C07F6">
        <w:tc>
          <w:tcPr>
            <w:tcW w:w="843" w:type="dxa"/>
          </w:tcPr>
          <w:p w14:paraId="05A93CA5"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488839A4" w14:textId="563EE20B"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137-151</w:t>
            </w:r>
          </w:p>
        </w:tc>
        <w:tc>
          <w:tcPr>
            <w:tcW w:w="2843" w:type="dxa"/>
          </w:tcPr>
          <w:p w14:paraId="2D182F28" w14:textId="45729EB5"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LAELDVTLQLLEDKF</w:t>
            </w:r>
          </w:p>
        </w:tc>
      </w:tr>
      <w:tr w:rsidR="00D14A6D" w:rsidRPr="004B39D6" w14:paraId="799CD428" w14:textId="77777777" w:rsidTr="001C07F6">
        <w:tc>
          <w:tcPr>
            <w:tcW w:w="843" w:type="dxa"/>
          </w:tcPr>
          <w:p w14:paraId="0EC7E34D"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2567C22A" w14:textId="593F5002"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143-157</w:t>
            </w:r>
          </w:p>
        </w:tc>
        <w:tc>
          <w:tcPr>
            <w:tcW w:w="2843" w:type="dxa"/>
          </w:tcPr>
          <w:p w14:paraId="189079C9" w14:textId="6CED36CA"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TLQLLEDKFLQNKAF</w:t>
            </w:r>
          </w:p>
        </w:tc>
      </w:tr>
      <w:tr w:rsidR="00D14A6D" w:rsidRPr="004B39D6" w14:paraId="636BDDA1" w14:textId="77777777" w:rsidTr="001C07F6">
        <w:tc>
          <w:tcPr>
            <w:tcW w:w="843" w:type="dxa"/>
          </w:tcPr>
          <w:p w14:paraId="1083EEF5"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r w:rsidRPr="004B39D6">
              <w:rPr>
                <w:rFonts w:ascii="Book Antiqua" w:hAnsi="Book Antiqua"/>
                <w:sz w:val="24"/>
                <w:szCs w:val="24"/>
                <w:lang w:val="en-US"/>
              </w:rPr>
              <w:t>6</w:t>
            </w:r>
          </w:p>
        </w:tc>
        <w:tc>
          <w:tcPr>
            <w:tcW w:w="1701" w:type="dxa"/>
          </w:tcPr>
          <w:p w14:paraId="3072DA30" w14:textId="635BC9F5"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149-163</w:t>
            </w:r>
          </w:p>
        </w:tc>
        <w:tc>
          <w:tcPr>
            <w:tcW w:w="2843" w:type="dxa"/>
          </w:tcPr>
          <w:p w14:paraId="41292B38" w14:textId="535FAF78"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DKFLQNKAFLTGPHI</w:t>
            </w:r>
          </w:p>
        </w:tc>
      </w:tr>
      <w:tr w:rsidR="00D14A6D" w:rsidRPr="004B39D6" w14:paraId="7E86D748" w14:textId="77777777" w:rsidTr="001C07F6">
        <w:tc>
          <w:tcPr>
            <w:tcW w:w="843" w:type="dxa"/>
          </w:tcPr>
          <w:p w14:paraId="3C2264F8"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0E886520" w14:textId="18DB64EA"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155-169</w:t>
            </w:r>
          </w:p>
        </w:tc>
        <w:tc>
          <w:tcPr>
            <w:tcW w:w="2843" w:type="dxa"/>
          </w:tcPr>
          <w:p w14:paraId="219C26BD" w14:textId="33BB2213"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KAFLTGPHISLADLV</w:t>
            </w:r>
          </w:p>
        </w:tc>
      </w:tr>
      <w:tr w:rsidR="00D14A6D" w:rsidRPr="004B39D6" w14:paraId="2004E9C6" w14:textId="77777777" w:rsidTr="001C07F6">
        <w:tc>
          <w:tcPr>
            <w:tcW w:w="843" w:type="dxa"/>
          </w:tcPr>
          <w:p w14:paraId="15FDCEF5"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44F952C3" w14:textId="2D170E2B"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161-175</w:t>
            </w:r>
          </w:p>
        </w:tc>
        <w:tc>
          <w:tcPr>
            <w:tcW w:w="2843" w:type="dxa"/>
          </w:tcPr>
          <w:p w14:paraId="2BE8E0CD" w14:textId="6887443C"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PHISLADLVAITELM</w:t>
            </w:r>
          </w:p>
        </w:tc>
      </w:tr>
      <w:tr w:rsidR="00D14A6D" w:rsidRPr="004B39D6" w14:paraId="403F49D1" w14:textId="77777777" w:rsidTr="001C07F6">
        <w:tc>
          <w:tcPr>
            <w:tcW w:w="843" w:type="dxa"/>
          </w:tcPr>
          <w:p w14:paraId="77890779"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5EF0B626" w14:textId="2851AFFA"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167-181</w:t>
            </w:r>
          </w:p>
        </w:tc>
        <w:tc>
          <w:tcPr>
            <w:tcW w:w="2843" w:type="dxa"/>
          </w:tcPr>
          <w:p w14:paraId="5388C01F" w14:textId="60D8DF29"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DLVAITELMHPVGAG</w:t>
            </w:r>
          </w:p>
        </w:tc>
      </w:tr>
      <w:tr w:rsidR="00D14A6D" w:rsidRPr="004B39D6" w14:paraId="1A7296B2" w14:textId="77777777" w:rsidTr="001C07F6">
        <w:tc>
          <w:tcPr>
            <w:tcW w:w="843" w:type="dxa"/>
          </w:tcPr>
          <w:p w14:paraId="56FFA79F"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28CE70A8" w14:textId="7AF623D3"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173-187</w:t>
            </w:r>
          </w:p>
        </w:tc>
        <w:tc>
          <w:tcPr>
            <w:tcW w:w="2843" w:type="dxa"/>
          </w:tcPr>
          <w:p w14:paraId="12C4941B" w14:textId="4FC94020"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ELMHPVGAGCQVFEG</w:t>
            </w:r>
          </w:p>
        </w:tc>
      </w:tr>
      <w:tr w:rsidR="00D14A6D" w:rsidRPr="004B39D6" w14:paraId="64FDC0DD" w14:textId="77777777" w:rsidTr="001C07F6">
        <w:tc>
          <w:tcPr>
            <w:tcW w:w="843" w:type="dxa"/>
          </w:tcPr>
          <w:p w14:paraId="390BD7B2"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r w:rsidRPr="004B39D6">
              <w:rPr>
                <w:rFonts w:ascii="Book Antiqua" w:hAnsi="Book Antiqua"/>
                <w:sz w:val="24"/>
                <w:szCs w:val="24"/>
                <w:lang w:val="en-US"/>
              </w:rPr>
              <w:t>7</w:t>
            </w:r>
          </w:p>
        </w:tc>
        <w:tc>
          <w:tcPr>
            <w:tcW w:w="1701" w:type="dxa"/>
          </w:tcPr>
          <w:p w14:paraId="165EA7E0" w14:textId="76ADE9CF"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179-193</w:t>
            </w:r>
          </w:p>
        </w:tc>
        <w:tc>
          <w:tcPr>
            <w:tcW w:w="2843" w:type="dxa"/>
          </w:tcPr>
          <w:p w14:paraId="485AF88B" w14:textId="08EF9068"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GAGCQVFEGRPKLAT</w:t>
            </w:r>
          </w:p>
        </w:tc>
      </w:tr>
      <w:tr w:rsidR="00D14A6D" w:rsidRPr="004B39D6" w14:paraId="50326AF9" w14:textId="77777777" w:rsidTr="001C07F6">
        <w:tc>
          <w:tcPr>
            <w:tcW w:w="843" w:type="dxa"/>
          </w:tcPr>
          <w:p w14:paraId="75DCCC5A"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32989261" w14:textId="69838FF7"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185-199</w:t>
            </w:r>
          </w:p>
        </w:tc>
        <w:tc>
          <w:tcPr>
            <w:tcW w:w="2843" w:type="dxa"/>
          </w:tcPr>
          <w:p w14:paraId="22346C7B" w14:textId="7736DAAF"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FEGRPKLATWRQRVE</w:t>
            </w:r>
          </w:p>
        </w:tc>
      </w:tr>
      <w:tr w:rsidR="00D14A6D" w:rsidRPr="004B39D6" w14:paraId="7C658944" w14:textId="77777777" w:rsidTr="001C07F6">
        <w:tc>
          <w:tcPr>
            <w:tcW w:w="843" w:type="dxa"/>
          </w:tcPr>
          <w:p w14:paraId="393EA674"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33847B5F" w14:textId="0E705141"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191-205</w:t>
            </w:r>
          </w:p>
        </w:tc>
        <w:tc>
          <w:tcPr>
            <w:tcW w:w="2843" w:type="dxa"/>
          </w:tcPr>
          <w:p w14:paraId="7C7DAD12" w14:textId="05E9F0D3"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LATWRQRVEAAVGED</w:t>
            </w:r>
          </w:p>
        </w:tc>
      </w:tr>
      <w:tr w:rsidR="00D14A6D" w:rsidRPr="004B39D6" w14:paraId="4B581DEF" w14:textId="77777777" w:rsidTr="001C07F6">
        <w:tc>
          <w:tcPr>
            <w:tcW w:w="843" w:type="dxa"/>
          </w:tcPr>
          <w:p w14:paraId="5E4FEE1D"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3B6EA47A" w14:textId="7AC889B1"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197-211</w:t>
            </w:r>
          </w:p>
        </w:tc>
        <w:tc>
          <w:tcPr>
            <w:tcW w:w="2843" w:type="dxa"/>
          </w:tcPr>
          <w:p w14:paraId="1EA8C346" w14:textId="7A575098"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RVEAAVGEDLFQEAH</w:t>
            </w:r>
          </w:p>
        </w:tc>
      </w:tr>
      <w:tr w:rsidR="00D14A6D" w:rsidRPr="004B39D6" w14:paraId="5C187196" w14:textId="77777777" w:rsidTr="001C07F6">
        <w:tc>
          <w:tcPr>
            <w:tcW w:w="843" w:type="dxa"/>
          </w:tcPr>
          <w:p w14:paraId="0E813AEF"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0EBEA5E3" w14:textId="02BBDCD2"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203-217</w:t>
            </w:r>
          </w:p>
        </w:tc>
        <w:tc>
          <w:tcPr>
            <w:tcW w:w="2843" w:type="dxa"/>
          </w:tcPr>
          <w:p w14:paraId="42EEBEBF" w14:textId="7C1312AB"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GEDLFQEAHEVILKA</w:t>
            </w:r>
          </w:p>
        </w:tc>
      </w:tr>
      <w:tr w:rsidR="00D14A6D" w:rsidRPr="004B39D6" w14:paraId="696B65E4" w14:textId="77777777" w:rsidTr="001C07F6">
        <w:tc>
          <w:tcPr>
            <w:tcW w:w="843" w:type="dxa"/>
          </w:tcPr>
          <w:p w14:paraId="30CA7D48"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r w:rsidRPr="004B39D6">
              <w:rPr>
                <w:rFonts w:ascii="Book Antiqua" w:hAnsi="Book Antiqua"/>
                <w:sz w:val="24"/>
                <w:szCs w:val="24"/>
                <w:lang w:val="en-US"/>
              </w:rPr>
              <w:t>8</w:t>
            </w:r>
          </w:p>
        </w:tc>
        <w:tc>
          <w:tcPr>
            <w:tcW w:w="1701" w:type="dxa"/>
          </w:tcPr>
          <w:p w14:paraId="6334FB4F" w14:textId="02C014AD"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209-223</w:t>
            </w:r>
          </w:p>
        </w:tc>
        <w:tc>
          <w:tcPr>
            <w:tcW w:w="2843" w:type="dxa"/>
          </w:tcPr>
          <w:p w14:paraId="029A02D5" w14:textId="1DE5E021"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EAHEVILKAKDFPPA</w:t>
            </w:r>
          </w:p>
        </w:tc>
      </w:tr>
      <w:tr w:rsidR="00D14A6D" w:rsidRPr="004B39D6" w14:paraId="325B5521" w14:textId="77777777" w:rsidTr="001C07F6">
        <w:tc>
          <w:tcPr>
            <w:tcW w:w="843" w:type="dxa"/>
          </w:tcPr>
          <w:p w14:paraId="5830C4BB"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61F80FCD" w14:textId="16D41D12"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215-229</w:t>
            </w:r>
          </w:p>
        </w:tc>
        <w:tc>
          <w:tcPr>
            <w:tcW w:w="2843" w:type="dxa"/>
          </w:tcPr>
          <w:p w14:paraId="04830B76" w14:textId="626C062A"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LKAKDFPPADPTIKQ</w:t>
            </w:r>
          </w:p>
        </w:tc>
      </w:tr>
      <w:tr w:rsidR="00D14A6D" w:rsidRPr="004B39D6" w14:paraId="5FB5CE36" w14:textId="77777777" w:rsidTr="001C07F6">
        <w:tc>
          <w:tcPr>
            <w:tcW w:w="843" w:type="dxa"/>
          </w:tcPr>
          <w:p w14:paraId="74DDB3B8"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Pr>
          <w:p w14:paraId="784486C9" w14:textId="65357629"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221-235</w:t>
            </w:r>
          </w:p>
        </w:tc>
        <w:tc>
          <w:tcPr>
            <w:tcW w:w="2843" w:type="dxa"/>
          </w:tcPr>
          <w:p w14:paraId="77F3D16A" w14:textId="4F02FB3B"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PPADPTIKQKLMPWV</w:t>
            </w:r>
          </w:p>
        </w:tc>
      </w:tr>
      <w:tr w:rsidR="00D14A6D" w:rsidRPr="004B39D6" w14:paraId="4AD0991B" w14:textId="77777777" w:rsidTr="001C07F6">
        <w:tc>
          <w:tcPr>
            <w:tcW w:w="843" w:type="dxa"/>
            <w:tcBorders>
              <w:bottom w:val="single" w:sz="4" w:space="0" w:color="auto"/>
            </w:tcBorders>
          </w:tcPr>
          <w:p w14:paraId="5CB4CD73" w14:textId="77777777" w:rsidR="00D14A6D" w:rsidRPr="004B39D6" w:rsidRDefault="00D14A6D" w:rsidP="0081528B">
            <w:pPr>
              <w:tabs>
                <w:tab w:val="right" w:pos="1134"/>
              </w:tabs>
              <w:snapToGrid w:val="0"/>
              <w:spacing w:after="0" w:line="360" w:lineRule="auto"/>
              <w:jc w:val="both"/>
              <w:rPr>
                <w:rFonts w:ascii="Book Antiqua" w:hAnsi="Book Antiqua"/>
                <w:sz w:val="24"/>
                <w:szCs w:val="24"/>
                <w:lang w:val="en-US"/>
              </w:rPr>
            </w:pPr>
          </w:p>
        </w:tc>
        <w:tc>
          <w:tcPr>
            <w:tcW w:w="1701" w:type="dxa"/>
            <w:tcBorders>
              <w:bottom w:val="single" w:sz="4" w:space="0" w:color="auto"/>
            </w:tcBorders>
          </w:tcPr>
          <w:p w14:paraId="1F3A9AD5" w14:textId="406CD555"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226-240</w:t>
            </w:r>
          </w:p>
        </w:tc>
        <w:tc>
          <w:tcPr>
            <w:tcW w:w="2843" w:type="dxa"/>
            <w:tcBorders>
              <w:bottom w:val="single" w:sz="4" w:space="0" w:color="auto"/>
            </w:tcBorders>
          </w:tcPr>
          <w:p w14:paraId="26529FFE" w14:textId="2A4101FC" w:rsidR="00D14A6D" w:rsidRPr="004B39D6" w:rsidRDefault="00D14A6D" w:rsidP="001C07F6">
            <w:pPr>
              <w:snapToGrid w:val="0"/>
              <w:spacing w:after="0" w:line="360" w:lineRule="auto"/>
              <w:jc w:val="center"/>
              <w:rPr>
                <w:rFonts w:ascii="Book Antiqua" w:hAnsi="Book Antiqua" w:cs="Courier New"/>
                <w:sz w:val="24"/>
                <w:szCs w:val="24"/>
                <w:lang w:val="en-US"/>
              </w:rPr>
            </w:pPr>
            <w:r w:rsidRPr="004B39D6">
              <w:rPr>
                <w:rFonts w:ascii="Book Antiqua" w:hAnsi="Book Antiqua" w:cs="Courier New"/>
                <w:sz w:val="24"/>
                <w:szCs w:val="24"/>
                <w:lang w:val="en-US"/>
              </w:rPr>
              <w:t>TIKQKLMPWVLAMIR</w:t>
            </w:r>
          </w:p>
        </w:tc>
      </w:tr>
    </w:tbl>
    <w:p w14:paraId="3F8E85BD" w14:textId="77777777" w:rsidR="00D14A6D" w:rsidRPr="004B39D6" w:rsidRDefault="00D14A6D" w:rsidP="0081528B">
      <w:pPr>
        <w:tabs>
          <w:tab w:val="right" w:pos="1134"/>
        </w:tabs>
        <w:snapToGrid w:val="0"/>
        <w:spacing w:after="0" w:line="360" w:lineRule="auto"/>
        <w:ind w:left="1701"/>
        <w:jc w:val="both"/>
        <w:rPr>
          <w:rFonts w:ascii="Book Antiqua" w:eastAsiaTheme="minorHAnsi" w:hAnsi="Book Antiqua" w:cstheme="minorBidi"/>
          <w:sz w:val="24"/>
          <w:szCs w:val="24"/>
          <w:lang w:val="en-US" w:eastAsia="en-US"/>
        </w:rPr>
      </w:pPr>
    </w:p>
    <w:p w14:paraId="4C1A89B3" w14:textId="77777777" w:rsidR="00776995" w:rsidRDefault="00776995">
      <w:pPr>
        <w:spacing w:after="0" w:line="240" w:lineRule="auto"/>
        <w:rPr>
          <w:rFonts w:ascii="Book Antiqua" w:eastAsiaTheme="minorHAnsi" w:hAnsi="Book Antiqua" w:cstheme="minorBidi"/>
          <w:b/>
          <w:sz w:val="24"/>
          <w:szCs w:val="24"/>
          <w:lang w:val="en-US" w:eastAsia="en-US"/>
        </w:rPr>
      </w:pPr>
      <w:r>
        <w:rPr>
          <w:rFonts w:ascii="Book Antiqua" w:eastAsiaTheme="minorHAnsi" w:hAnsi="Book Antiqua" w:cstheme="minorBidi"/>
          <w:b/>
          <w:sz w:val="24"/>
          <w:szCs w:val="24"/>
          <w:lang w:val="en-US" w:eastAsia="en-US"/>
        </w:rPr>
        <w:br w:type="page"/>
      </w:r>
    </w:p>
    <w:p w14:paraId="3121723E" w14:textId="1BF95050" w:rsidR="00776995" w:rsidRDefault="00776995" w:rsidP="0081528B">
      <w:pPr>
        <w:snapToGrid w:val="0"/>
        <w:spacing w:after="0" w:line="360" w:lineRule="auto"/>
        <w:jc w:val="both"/>
        <w:rPr>
          <w:rFonts w:ascii="Book Antiqua" w:hAnsi="Book Antiqua" w:cstheme="minorBidi"/>
          <w:b/>
          <w:sz w:val="24"/>
          <w:szCs w:val="24"/>
          <w:lang w:val="en-US" w:eastAsia="zh-CN"/>
        </w:rPr>
      </w:pPr>
      <w:r w:rsidRPr="001C07F6">
        <w:rPr>
          <w:rFonts w:ascii="Book Antiqua" w:eastAsiaTheme="minorHAnsi" w:hAnsi="Book Antiqua" w:cstheme="minorBidi"/>
          <w:b/>
          <w:sz w:val="24"/>
          <w:szCs w:val="24"/>
          <w:lang w:val="en-US" w:eastAsia="en-US"/>
        </w:rPr>
        <w:lastRenderedPageBreak/>
        <w:t xml:space="preserve">Table 3 Specific immune response after stimulation of T lymphocytes in culture with </w:t>
      </w:r>
      <w:r w:rsidRPr="001C07F6">
        <w:rPr>
          <w:rFonts w:ascii="Book Antiqua" w:hAnsi="Book Antiqua" w:cs="Arial" w:hint="eastAsia"/>
          <w:b/>
          <w:sz w:val="24"/>
          <w:szCs w:val="24"/>
        </w:rPr>
        <w:t>glutathione S-transferase T1</w:t>
      </w:r>
      <w:r w:rsidRPr="001C07F6">
        <w:rPr>
          <w:rFonts w:ascii="Book Antiqua" w:eastAsiaTheme="minorHAnsi" w:hAnsi="Book Antiqua" w:cstheme="minorBidi"/>
          <w:b/>
          <w:sz w:val="24"/>
          <w:szCs w:val="24"/>
          <w:lang w:val="en-US" w:eastAsia="en-US"/>
        </w:rPr>
        <w:t xml:space="preserve"> peptides</w:t>
      </w:r>
      <w:r w:rsidR="00187A7C" w:rsidRPr="00187A7C">
        <w:rPr>
          <w:rFonts w:ascii="Book Antiqua" w:hAnsi="Book Antiqua" w:cstheme="minorBidi" w:hint="eastAsia"/>
          <w:b/>
          <w:sz w:val="24"/>
          <w:szCs w:val="24"/>
          <w:vertAlign w:val="superscript"/>
          <w:lang w:val="en-US" w:eastAsia="zh-CN"/>
        </w:rPr>
        <w:t>1</w:t>
      </w:r>
    </w:p>
    <w:tbl>
      <w:tblPr>
        <w:tblStyle w:val="TableTheme"/>
        <w:tblW w:w="10349" w:type="dxa"/>
        <w:tblInd w:w="-743" w:type="dxa"/>
        <w:tblLayout w:type="fixed"/>
        <w:tblLook w:val="04A0" w:firstRow="1" w:lastRow="0" w:firstColumn="1" w:lastColumn="0" w:noHBand="0" w:noVBand="1"/>
      </w:tblPr>
      <w:tblGrid>
        <w:gridCol w:w="1135"/>
        <w:gridCol w:w="673"/>
        <w:gridCol w:w="886"/>
        <w:gridCol w:w="992"/>
        <w:gridCol w:w="922"/>
        <w:gridCol w:w="196"/>
        <w:gridCol w:w="725"/>
        <w:gridCol w:w="851"/>
        <w:gridCol w:w="992"/>
        <w:gridCol w:w="132"/>
        <w:gridCol w:w="860"/>
        <w:gridCol w:w="992"/>
        <w:gridCol w:w="993"/>
      </w:tblGrid>
      <w:tr w:rsidR="00776995" w:rsidRPr="00776995" w14:paraId="759F8FB2" w14:textId="77777777" w:rsidTr="00187A7C">
        <w:trPr>
          <w:cnfStyle w:val="100000000000" w:firstRow="1" w:lastRow="0" w:firstColumn="0" w:lastColumn="0" w:oddVBand="0" w:evenVBand="0" w:oddHBand="0" w:evenHBand="0" w:firstRowFirstColumn="0" w:firstRowLastColumn="0" w:lastRowFirstColumn="0" w:lastRowLastColumn="0"/>
        </w:trPr>
        <w:tc>
          <w:tcPr>
            <w:tcW w:w="1135" w:type="dxa"/>
            <w:vMerge w:val="restart"/>
          </w:tcPr>
          <w:p w14:paraId="44DEAB58" w14:textId="14525BC5" w:rsidR="00776995" w:rsidRPr="00776995" w:rsidRDefault="00776995" w:rsidP="00187A7C">
            <w:pPr>
              <w:snapToGrid w:val="0"/>
              <w:spacing w:after="0" w:line="360" w:lineRule="auto"/>
              <w:jc w:val="left"/>
              <w:rPr>
                <w:rFonts w:ascii="Book Antiqua" w:hAnsi="Book Antiqua"/>
                <w:b/>
                <w:sz w:val="24"/>
                <w:szCs w:val="24"/>
              </w:rPr>
            </w:pPr>
            <w:r w:rsidRPr="00776995">
              <w:rPr>
                <w:rFonts w:ascii="Book Antiqua" w:hAnsi="Book Antiqua" w:cs="Arial"/>
                <w:b/>
                <w:sz w:val="24"/>
                <w:szCs w:val="24"/>
              </w:rPr>
              <w:t xml:space="preserve"> </w:t>
            </w:r>
            <w:r>
              <w:rPr>
                <w:rFonts w:ascii="Book Antiqua" w:hAnsi="Book Antiqua" w:cs="Arial" w:hint="eastAsia"/>
                <w:b/>
                <w:sz w:val="24"/>
                <w:szCs w:val="24"/>
              </w:rPr>
              <w:t>G</w:t>
            </w:r>
            <w:r w:rsidRPr="00776995">
              <w:rPr>
                <w:rFonts w:ascii="Book Antiqua" w:hAnsi="Book Antiqua"/>
                <w:b/>
                <w:sz w:val="24"/>
                <w:szCs w:val="24"/>
              </w:rPr>
              <w:t>roup</w:t>
            </w:r>
          </w:p>
        </w:tc>
        <w:tc>
          <w:tcPr>
            <w:tcW w:w="673" w:type="dxa"/>
            <w:vMerge w:val="restart"/>
          </w:tcPr>
          <w:p w14:paraId="2D6016FA" w14:textId="4712FA6B" w:rsidR="00776995" w:rsidRPr="00776995" w:rsidRDefault="00776995" w:rsidP="00187A7C">
            <w:pPr>
              <w:snapToGrid w:val="0"/>
              <w:spacing w:after="0" w:line="360" w:lineRule="auto"/>
              <w:rPr>
                <w:rFonts w:ascii="Book Antiqua" w:hAnsi="Book Antiqua"/>
                <w:b/>
                <w:sz w:val="24"/>
                <w:szCs w:val="24"/>
              </w:rPr>
            </w:pPr>
            <w:r w:rsidRPr="00776995">
              <w:rPr>
                <w:rFonts w:ascii="Book Antiqua" w:hAnsi="Book Antiqua"/>
                <w:b/>
                <w:sz w:val="24"/>
                <w:szCs w:val="24"/>
              </w:rPr>
              <w:t>Pat #</w:t>
            </w:r>
          </w:p>
        </w:tc>
        <w:tc>
          <w:tcPr>
            <w:tcW w:w="2996" w:type="dxa"/>
            <w:gridSpan w:val="4"/>
          </w:tcPr>
          <w:p w14:paraId="6C6FF86C" w14:textId="7F55823E" w:rsidR="00776995" w:rsidRPr="00776995" w:rsidRDefault="00776995" w:rsidP="00187A7C">
            <w:pPr>
              <w:snapToGrid w:val="0"/>
              <w:spacing w:after="0" w:line="360" w:lineRule="auto"/>
              <w:jc w:val="center"/>
              <w:rPr>
                <w:rFonts w:ascii="Book Antiqua" w:hAnsi="Book Antiqua"/>
                <w:b/>
                <w:sz w:val="24"/>
                <w:szCs w:val="24"/>
              </w:rPr>
            </w:pPr>
            <w:r w:rsidRPr="00776995">
              <w:rPr>
                <w:rFonts w:ascii="Book Antiqua" w:hAnsi="Book Antiqua"/>
                <w:b/>
                <w:sz w:val="24"/>
                <w:szCs w:val="24"/>
              </w:rPr>
              <w:t>CD8</w:t>
            </w:r>
            <w:r w:rsidRPr="00776995">
              <w:rPr>
                <w:rFonts w:ascii="Book Antiqua" w:hAnsi="Book Antiqua"/>
                <w:b/>
                <w:sz w:val="24"/>
                <w:szCs w:val="24"/>
                <w:vertAlign w:val="superscript"/>
              </w:rPr>
              <w:t>+</w:t>
            </w:r>
          </w:p>
        </w:tc>
        <w:tc>
          <w:tcPr>
            <w:tcW w:w="2700" w:type="dxa"/>
            <w:gridSpan w:val="4"/>
          </w:tcPr>
          <w:p w14:paraId="2D0F9A71" w14:textId="2E4739BE" w:rsidR="00776995" w:rsidRPr="00776995" w:rsidRDefault="00776995" w:rsidP="00187A7C">
            <w:pPr>
              <w:snapToGrid w:val="0"/>
              <w:spacing w:after="0" w:line="360" w:lineRule="auto"/>
              <w:jc w:val="center"/>
              <w:rPr>
                <w:rFonts w:ascii="Book Antiqua" w:hAnsi="Book Antiqua"/>
                <w:b/>
                <w:sz w:val="24"/>
                <w:szCs w:val="24"/>
              </w:rPr>
            </w:pPr>
            <w:r w:rsidRPr="00776995">
              <w:rPr>
                <w:rFonts w:ascii="Book Antiqua" w:hAnsi="Book Antiqua"/>
                <w:b/>
                <w:sz w:val="24"/>
                <w:szCs w:val="24"/>
              </w:rPr>
              <w:t>CD4</w:t>
            </w:r>
            <w:r w:rsidRPr="00776995">
              <w:rPr>
                <w:rFonts w:ascii="Book Antiqua" w:hAnsi="Book Antiqua"/>
                <w:b/>
                <w:sz w:val="24"/>
                <w:szCs w:val="24"/>
                <w:vertAlign w:val="superscript"/>
              </w:rPr>
              <w:t>+</w:t>
            </w:r>
          </w:p>
        </w:tc>
        <w:tc>
          <w:tcPr>
            <w:tcW w:w="2845" w:type="dxa"/>
            <w:gridSpan w:val="3"/>
          </w:tcPr>
          <w:p w14:paraId="79F98CE8" w14:textId="741BFA6F" w:rsidR="00776995" w:rsidRPr="00776995" w:rsidRDefault="00776995" w:rsidP="00187A7C">
            <w:pPr>
              <w:snapToGrid w:val="0"/>
              <w:spacing w:after="0" w:line="360" w:lineRule="auto"/>
              <w:jc w:val="center"/>
              <w:rPr>
                <w:rFonts w:ascii="Book Antiqua" w:hAnsi="Book Antiqua"/>
                <w:b/>
                <w:sz w:val="24"/>
                <w:szCs w:val="24"/>
              </w:rPr>
            </w:pPr>
            <w:r w:rsidRPr="00776995">
              <w:rPr>
                <w:rFonts w:ascii="Book Antiqua" w:hAnsi="Book Antiqua"/>
                <w:b/>
                <w:sz w:val="24"/>
                <w:szCs w:val="24"/>
              </w:rPr>
              <w:t>CD4</w:t>
            </w:r>
            <w:r w:rsidRPr="00776995">
              <w:rPr>
                <w:rFonts w:ascii="Book Antiqua" w:hAnsi="Book Antiqua"/>
                <w:b/>
                <w:sz w:val="24"/>
                <w:szCs w:val="24"/>
                <w:vertAlign w:val="superscript"/>
              </w:rPr>
              <w:t>+</w:t>
            </w:r>
            <w:r w:rsidRPr="00776995">
              <w:rPr>
                <w:rFonts w:ascii="Book Antiqua" w:hAnsi="Book Antiqua"/>
                <w:b/>
                <w:sz w:val="24"/>
                <w:szCs w:val="24"/>
              </w:rPr>
              <w:t>CD8</w:t>
            </w:r>
            <w:r w:rsidRPr="00776995">
              <w:rPr>
                <w:rFonts w:ascii="Book Antiqua" w:hAnsi="Book Antiqua"/>
                <w:b/>
                <w:sz w:val="24"/>
                <w:szCs w:val="24"/>
                <w:vertAlign w:val="superscript"/>
              </w:rPr>
              <w:t>low</w:t>
            </w:r>
          </w:p>
        </w:tc>
      </w:tr>
      <w:tr w:rsidR="00776995" w:rsidRPr="00776995" w14:paraId="35DED305" w14:textId="77777777" w:rsidTr="00187A7C">
        <w:tc>
          <w:tcPr>
            <w:tcW w:w="1135" w:type="dxa"/>
            <w:vMerge/>
            <w:tcBorders>
              <w:bottom w:val="single" w:sz="4" w:space="0" w:color="auto"/>
            </w:tcBorders>
          </w:tcPr>
          <w:p w14:paraId="0558A3C4" w14:textId="77777777" w:rsidR="00776995" w:rsidRPr="00776995" w:rsidRDefault="00776995" w:rsidP="00187A7C">
            <w:pPr>
              <w:snapToGrid w:val="0"/>
              <w:spacing w:after="0" w:line="360" w:lineRule="auto"/>
              <w:jc w:val="left"/>
              <w:rPr>
                <w:rFonts w:ascii="Book Antiqua" w:hAnsi="Book Antiqua"/>
                <w:b/>
                <w:sz w:val="24"/>
                <w:szCs w:val="24"/>
              </w:rPr>
            </w:pPr>
          </w:p>
        </w:tc>
        <w:tc>
          <w:tcPr>
            <w:tcW w:w="673" w:type="dxa"/>
            <w:vMerge/>
            <w:tcBorders>
              <w:bottom w:val="single" w:sz="4" w:space="0" w:color="auto"/>
            </w:tcBorders>
          </w:tcPr>
          <w:p w14:paraId="348F52AC" w14:textId="3C814A7A" w:rsidR="00776995" w:rsidRPr="00776995" w:rsidRDefault="00776995" w:rsidP="00187A7C">
            <w:pPr>
              <w:snapToGrid w:val="0"/>
              <w:spacing w:after="0" w:line="360" w:lineRule="auto"/>
              <w:rPr>
                <w:rFonts w:ascii="Book Antiqua" w:hAnsi="Book Antiqua"/>
                <w:b/>
                <w:sz w:val="24"/>
                <w:szCs w:val="24"/>
              </w:rPr>
            </w:pPr>
          </w:p>
        </w:tc>
        <w:tc>
          <w:tcPr>
            <w:tcW w:w="886" w:type="dxa"/>
            <w:tcBorders>
              <w:bottom w:val="single" w:sz="4" w:space="0" w:color="auto"/>
            </w:tcBorders>
          </w:tcPr>
          <w:p w14:paraId="79635A5C" w14:textId="77777777" w:rsidR="00776995" w:rsidRPr="00776995" w:rsidRDefault="00776995" w:rsidP="00187A7C">
            <w:pPr>
              <w:snapToGrid w:val="0"/>
              <w:spacing w:after="0" w:line="360" w:lineRule="auto"/>
              <w:rPr>
                <w:rFonts w:ascii="Book Antiqua" w:hAnsi="Book Antiqua"/>
                <w:b/>
                <w:sz w:val="24"/>
                <w:szCs w:val="24"/>
              </w:rPr>
            </w:pPr>
            <w:r w:rsidRPr="00776995">
              <w:rPr>
                <w:rFonts w:ascii="Book Antiqua" w:hAnsi="Book Antiqua"/>
                <w:b/>
                <w:sz w:val="24"/>
                <w:szCs w:val="24"/>
              </w:rPr>
              <w:t>IL-4</w:t>
            </w:r>
          </w:p>
        </w:tc>
        <w:tc>
          <w:tcPr>
            <w:tcW w:w="992" w:type="dxa"/>
            <w:tcBorders>
              <w:bottom w:val="single" w:sz="4" w:space="0" w:color="auto"/>
            </w:tcBorders>
          </w:tcPr>
          <w:p w14:paraId="738E7F5E" w14:textId="77777777" w:rsidR="00776995" w:rsidRPr="00776995" w:rsidRDefault="00776995" w:rsidP="00187A7C">
            <w:pPr>
              <w:snapToGrid w:val="0"/>
              <w:spacing w:after="0" w:line="360" w:lineRule="auto"/>
              <w:rPr>
                <w:rFonts w:ascii="Book Antiqua" w:hAnsi="Book Antiqua"/>
                <w:b/>
                <w:sz w:val="24"/>
                <w:szCs w:val="24"/>
              </w:rPr>
            </w:pPr>
            <w:proofErr w:type="spellStart"/>
            <w:r w:rsidRPr="00776995">
              <w:rPr>
                <w:rFonts w:ascii="Book Antiqua" w:hAnsi="Book Antiqua"/>
                <w:b/>
                <w:sz w:val="24"/>
                <w:szCs w:val="24"/>
              </w:rPr>
              <w:t>IFN</w:t>
            </w:r>
            <w:r w:rsidRPr="00776995">
              <w:rPr>
                <w:rFonts w:ascii="Book Antiqua" w:hAnsi="Book Antiqua" w:cstheme="minorHAnsi"/>
                <w:b/>
                <w:sz w:val="24"/>
                <w:szCs w:val="24"/>
              </w:rPr>
              <w:t>γ</w:t>
            </w:r>
            <w:proofErr w:type="spellEnd"/>
          </w:p>
        </w:tc>
        <w:tc>
          <w:tcPr>
            <w:tcW w:w="922" w:type="dxa"/>
            <w:tcBorders>
              <w:bottom w:val="single" w:sz="4" w:space="0" w:color="auto"/>
            </w:tcBorders>
          </w:tcPr>
          <w:p w14:paraId="3CB93468" w14:textId="77777777" w:rsidR="00776995" w:rsidRPr="00776995" w:rsidRDefault="00776995" w:rsidP="00187A7C">
            <w:pPr>
              <w:snapToGrid w:val="0"/>
              <w:spacing w:after="0" w:line="360" w:lineRule="auto"/>
              <w:ind w:right="-223"/>
              <w:rPr>
                <w:rFonts w:ascii="Book Antiqua" w:hAnsi="Book Antiqua"/>
                <w:b/>
                <w:sz w:val="24"/>
                <w:szCs w:val="24"/>
              </w:rPr>
            </w:pPr>
            <w:r w:rsidRPr="00776995">
              <w:rPr>
                <w:rFonts w:ascii="Book Antiqua" w:hAnsi="Book Antiqua"/>
                <w:b/>
                <w:sz w:val="24"/>
                <w:szCs w:val="24"/>
              </w:rPr>
              <w:t xml:space="preserve">IL-4/ </w:t>
            </w:r>
            <w:proofErr w:type="spellStart"/>
            <w:r w:rsidRPr="00776995">
              <w:rPr>
                <w:rFonts w:ascii="Book Antiqua" w:hAnsi="Book Antiqua"/>
                <w:b/>
                <w:sz w:val="24"/>
                <w:szCs w:val="24"/>
              </w:rPr>
              <w:t>IFN</w:t>
            </w:r>
            <w:r w:rsidRPr="00776995">
              <w:rPr>
                <w:rFonts w:ascii="Book Antiqua" w:hAnsi="Book Antiqua" w:cstheme="minorHAnsi"/>
                <w:b/>
                <w:sz w:val="24"/>
                <w:szCs w:val="24"/>
              </w:rPr>
              <w:t>γ</w:t>
            </w:r>
            <w:proofErr w:type="spellEnd"/>
          </w:p>
        </w:tc>
        <w:tc>
          <w:tcPr>
            <w:tcW w:w="921" w:type="dxa"/>
            <w:gridSpan w:val="2"/>
            <w:tcBorders>
              <w:bottom w:val="single" w:sz="4" w:space="0" w:color="auto"/>
            </w:tcBorders>
          </w:tcPr>
          <w:p w14:paraId="281C4BFB" w14:textId="77777777" w:rsidR="00776995" w:rsidRPr="00776995" w:rsidRDefault="00776995" w:rsidP="00187A7C">
            <w:pPr>
              <w:snapToGrid w:val="0"/>
              <w:spacing w:after="0" w:line="360" w:lineRule="auto"/>
              <w:rPr>
                <w:rFonts w:ascii="Book Antiqua" w:hAnsi="Book Antiqua"/>
                <w:b/>
                <w:sz w:val="24"/>
                <w:szCs w:val="24"/>
              </w:rPr>
            </w:pPr>
            <w:r w:rsidRPr="00776995">
              <w:rPr>
                <w:rFonts w:ascii="Book Antiqua" w:hAnsi="Book Antiqua"/>
                <w:b/>
                <w:sz w:val="24"/>
                <w:szCs w:val="24"/>
              </w:rPr>
              <w:t>IL-4</w:t>
            </w:r>
          </w:p>
        </w:tc>
        <w:tc>
          <w:tcPr>
            <w:tcW w:w="851" w:type="dxa"/>
            <w:tcBorders>
              <w:bottom w:val="single" w:sz="4" w:space="0" w:color="auto"/>
            </w:tcBorders>
          </w:tcPr>
          <w:p w14:paraId="609B99A0" w14:textId="77777777" w:rsidR="00776995" w:rsidRPr="00776995" w:rsidRDefault="00776995" w:rsidP="00187A7C">
            <w:pPr>
              <w:snapToGrid w:val="0"/>
              <w:spacing w:after="0" w:line="360" w:lineRule="auto"/>
              <w:rPr>
                <w:rFonts w:ascii="Book Antiqua" w:hAnsi="Book Antiqua"/>
                <w:b/>
                <w:sz w:val="24"/>
                <w:szCs w:val="24"/>
              </w:rPr>
            </w:pPr>
            <w:proofErr w:type="spellStart"/>
            <w:r w:rsidRPr="00776995">
              <w:rPr>
                <w:rFonts w:ascii="Book Antiqua" w:hAnsi="Book Antiqua"/>
                <w:b/>
                <w:sz w:val="24"/>
                <w:szCs w:val="24"/>
              </w:rPr>
              <w:t>IFN</w:t>
            </w:r>
            <w:r w:rsidRPr="00776995">
              <w:rPr>
                <w:rFonts w:ascii="Book Antiqua" w:hAnsi="Book Antiqua" w:cstheme="minorHAnsi"/>
                <w:b/>
                <w:sz w:val="24"/>
                <w:szCs w:val="24"/>
              </w:rPr>
              <w:t>γ</w:t>
            </w:r>
            <w:proofErr w:type="spellEnd"/>
          </w:p>
        </w:tc>
        <w:tc>
          <w:tcPr>
            <w:tcW w:w="992" w:type="dxa"/>
            <w:tcBorders>
              <w:bottom w:val="single" w:sz="4" w:space="0" w:color="auto"/>
            </w:tcBorders>
          </w:tcPr>
          <w:p w14:paraId="4C6166DE" w14:textId="77777777" w:rsidR="00776995" w:rsidRPr="00776995" w:rsidRDefault="00776995" w:rsidP="00187A7C">
            <w:pPr>
              <w:snapToGrid w:val="0"/>
              <w:spacing w:after="0" w:line="360" w:lineRule="auto"/>
              <w:rPr>
                <w:rFonts w:ascii="Book Antiqua" w:hAnsi="Book Antiqua"/>
                <w:b/>
                <w:sz w:val="24"/>
                <w:szCs w:val="24"/>
              </w:rPr>
            </w:pPr>
            <w:r w:rsidRPr="00776995">
              <w:rPr>
                <w:rFonts w:ascii="Book Antiqua" w:hAnsi="Book Antiqua"/>
                <w:b/>
                <w:sz w:val="24"/>
                <w:szCs w:val="24"/>
              </w:rPr>
              <w:t xml:space="preserve">IL-4/ </w:t>
            </w:r>
            <w:proofErr w:type="spellStart"/>
            <w:r w:rsidRPr="00776995">
              <w:rPr>
                <w:rFonts w:ascii="Book Antiqua" w:hAnsi="Book Antiqua"/>
                <w:b/>
                <w:sz w:val="24"/>
                <w:szCs w:val="24"/>
              </w:rPr>
              <w:t>IFN</w:t>
            </w:r>
            <w:r w:rsidRPr="00776995">
              <w:rPr>
                <w:rFonts w:ascii="Book Antiqua" w:hAnsi="Book Antiqua" w:cstheme="minorHAnsi"/>
                <w:b/>
                <w:sz w:val="24"/>
                <w:szCs w:val="24"/>
              </w:rPr>
              <w:t>γ</w:t>
            </w:r>
            <w:proofErr w:type="spellEnd"/>
          </w:p>
        </w:tc>
        <w:tc>
          <w:tcPr>
            <w:tcW w:w="992" w:type="dxa"/>
            <w:gridSpan w:val="2"/>
            <w:tcBorders>
              <w:bottom w:val="single" w:sz="4" w:space="0" w:color="auto"/>
            </w:tcBorders>
          </w:tcPr>
          <w:p w14:paraId="4FB42106" w14:textId="77777777" w:rsidR="00776995" w:rsidRPr="00776995" w:rsidRDefault="00776995" w:rsidP="00187A7C">
            <w:pPr>
              <w:snapToGrid w:val="0"/>
              <w:spacing w:after="0" w:line="360" w:lineRule="auto"/>
              <w:rPr>
                <w:rFonts w:ascii="Book Antiqua" w:hAnsi="Book Antiqua"/>
                <w:b/>
                <w:sz w:val="24"/>
                <w:szCs w:val="24"/>
              </w:rPr>
            </w:pPr>
            <w:r w:rsidRPr="00776995">
              <w:rPr>
                <w:rFonts w:ascii="Book Antiqua" w:hAnsi="Book Antiqua"/>
                <w:b/>
                <w:sz w:val="24"/>
                <w:szCs w:val="24"/>
              </w:rPr>
              <w:t>IL-4</w:t>
            </w:r>
          </w:p>
        </w:tc>
        <w:tc>
          <w:tcPr>
            <w:tcW w:w="992" w:type="dxa"/>
            <w:tcBorders>
              <w:bottom w:val="single" w:sz="4" w:space="0" w:color="auto"/>
            </w:tcBorders>
          </w:tcPr>
          <w:p w14:paraId="4C63BCDE" w14:textId="77777777" w:rsidR="00776995" w:rsidRPr="00776995" w:rsidRDefault="00776995" w:rsidP="00187A7C">
            <w:pPr>
              <w:snapToGrid w:val="0"/>
              <w:spacing w:after="0" w:line="360" w:lineRule="auto"/>
              <w:rPr>
                <w:rFonts w:ascii="Book Antiqua" w:hAnsi="Book Antiqua"/>
                <w:b/>
                <w:sz w:val="24"/>
                <w:szCs w:val="24"/>
              </w:rPr>
            </w:pPr>
            <w:proofErr w:type="spellStart"/>
            <w:r w:rsidRPr="00776995">
              <w:rPr>
                <w:rFonts w:ascii="Book Antiqua" w:hAnsi="Book Antiqua"/>
                <w:b/>
                <w:sz w:val="24"/>
                <w:szCs w:val="24"/>
              </w:rPr>
              <w:t>IFN</w:t>
            </w:r>
            <w:r w:rsidRPr="00776995">
              <w:rPr>
                <w:rFonts w:ascii="Book Antiqua" w:hAnsi="Book Antiqua" w:cstheme="minorHAnsi"/>
                <w:b/>
                <w:sz w:val="24"/>
                <w:szCs w:val="24"/>
              </w:rPr>
              <w:t>γ</w:t>
            </w:r>
            <w:proofErr w:type="spellEnd"/>
          </w:p>
        </w:tc>
        <w:tc>
          <w:tcPr>
            <w:tcW w:w="993" w:type="dxa"/>
            <w:tcBorders>
              <w:bottom w:val="single" w:sz="4" w:space="0" w:color="auto"/>
            </w:tcBorders>
          </w:tcPr>
          <w:p w14:paraId="29517AC0" w14:textId="77777777" w:rsidR="00776995" w:rsidRPr="00776995" w:rsidRDefault="00776995" w:rsidP="00187A7C">
            <w:pPr>
              <w:snapToGrid w:val="0"/>
              <w:spacing w:after="0" w:line="360" w:lineRule="auto"/>
              <w:rPr>
                <w:rFonts w:ascii="Book Antiqua" w:hAnsi="Book Antiqua"/>
                <w:b/>
                <w:sz w:val="24"/>
                <w:szCs w:val="24"/>
              </w:rPr>
            </w:pPr>
            <w:r w:rsidRPr="00776995">
              <w:rPr>
                <w:rFonts w:ascii="Book Antiqua" w:hAnsi="Book Antiqua"/>
                <w:b/>
                <w:sz w:val="24"/>
                <w:szCs w:val="24"/>
              </w:rPr>
              <w:t xml:space="preserve">IL-4/ </w:t>
            </w:r>
            <w:proofErr w:type="spellStart"/>
            <w:r w:rsidRPr="00776995">
              <w:rPr>
                <w:rFonts w:ascii="Book Antiqua" w:hAnsi="Book Antiqua"/>
                <w:b/>
                <w:sz w:val="24"/>
                <w:szCs w:val="24"/>
              </w:rPr>
              <w:t>IFN</w:t>
            </w:r>
            <w:r w:rsidRPr="00776995">
              <w:rPr>
                <w:rFonts w:ascii="Book Antiqua" w:hAnsi="Book Antiqua" w:cstheme="minorHAnsi"/>
                <w:b/>
                <w:sz w:val="24"/>
                <w:szCs w:val="24"/>
              </w:rPr>
              <w:t>γ</w:t>
            </w:r>
            <w:proofErr w:type="spellEnd"/>
          </w:p>
        </w:tc>
      </w:tr>
      <w:tr w:rsidR="00776995" w:rsidRPr="004B39D6" w14:paraId="6603E9C6" w14:textId="77777777" w:rsidTr="00187A7C">
        <w:tc>
          <w:tcPr>
            <w:tcW w:w="1135" w:type="dxa"/>
            <w:tcBorders>
              <w:top w:val="single" w:sz="4" w:space="0" w:color="auto"/>
            </w:tcBorders>
          </w:tcPr>
          <w:p w14:paraId="4052344B" w14:textId="77777777" w:rsidR="00776995" w:rsidRPr="004B39D6" w:rsidRDefault="00776995" w:rsidP="00187A7C">
            <w:pPr>
              <w:snapToGrid w:val="0"/>
              <w:spacing w:after="0" w:line="360" w:lineRule="auto"/>
              <w:jc w:val="left"/>
              <w:rPr>
                <w:rFonts w:ascii="Book Antiqua" w:hAnsi="Book Antiqua"/>
                <w:sz w:val="24"/>
                <w:szCs w:val="24"/>
              </w:rPr>
            </w:pPr>
            <w:r w:rsidRPr="004B39D6">
              <w:rPr>
                <w:rFonts w:ascii="Book Antiqua" w:hAnsi="Book Antiqua"/>
                <w:sz w:val="24"/>
                <w:szCs w:val="24"/>
              </w:rPr>
              <w:t>1</w:t>
            </w:r>
          </w:p>
        </w:tc>
        <w:tc>
          <w:tcPr>
            <w:tcW w:w="673" w:type="dxa"/>
            <w:tcBorders>
              <w:top w:val="single" w:sz="4" w:space="0" w:color="auto"/>
            </w:tcBorders>
          </w:tcPr>
          <w:p w14:paraId="2CACF40B"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1</w:t>
            </w:r>
          </w:p>
        </w:tc>
        <w:tc>
          <w:tcPr>
            <w:tcW w:w="886" w:type="dxa"/>
            <w:tcBorders>
              <w:top w:val="single" w:sz="4" w:space="0" w:color="auto"/>
            </w:tcBorders>
          </w:tcPr>
          <w:p w14:paraId="021B18D3"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Borders>
              <w:top w:val="single" w:sz="4" w:space="0" w:color="auto"/>
            </w:tcBorders>
          </w:tcPr>
          <w:p w14:paraId="64940D6C"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Borders>
              <w:top w:val="single" w:sz="4" w:space="0" w:color="auto"/>
            </w:tcBorders>
          </w:tcPr>
          <w:p w14:paraId="1ED3DFF9"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Borders>
              <w:top w:val="single" w:sz="4" w:space="0" w:color="auto"/>
            </w:tcBorders>
          </w:tcPr>
          <w:p w14:paraId="414427FA"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1.24%</w:t>
            </w:r>
          </w:p>
        </w:tc>
        <w:tc>
          <w:tcPr>
            <w:tcW w:w="851" w:type="dxa"/>
            <w:tcBorders>
              <w:top w:val="single" w:sz="4" w:space="0" w:color="auto"/>
            </w:tcBorders>
          </w:tcPr>
          <w:p w14:paraId="6EBE7776"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1.41%</w:t>
            </w:r>
          </w:p>
        </w:tc>
        <w:tc>
          <w:tcPr>
            <w:tcW w:w="992" w:type="dxa"/>
            <w:tcBorders>
              <w:top w:val="single" w:sz="4" w:space="0" w:color="auto"/>
            </w:tcBorders>
          </w:tcPr>
          <w:p w14:paraId="1BF9DB50"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gridSpan w:val="2"/>
            <w:tcBorders>
              <w:top w:val="single" w:sz="4" w:space="0" w:color="auto"/>
            </w:tcBorders>
          </w:tcPr>
          <w:p w14:paraId="5B5F3FB0"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Borders>
              <w:top w:val="single" w:sz="4" w:space="0" w:color="auto"/>
            </w:tcBorders>
          </w:tcPr>
          <w:p w14:paraId="701B228B"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3" w:type="dxa"/>
            <w:tcBorders>
              <w:top w:val="single" w:sz="4" w:space="0" w:color="auto"/>
            </w:tcBorders>
          </w:tcPr>
          <w:p w14:paraId="5C092601"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r>
      <w:tr w:rsidR="00776995" w:rsidRPr="004B39D6" w14:paraId="56F55739" w14:textId="77777777" w:rsidTr="00187A7C">
        <w:tc>
          <w:tcPr>
            <w:tcW w:w="1135" w:type="dxa"/>
          </w:tcPr>
          <w:p w14:paraId="3F2C42F9"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20120F78"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2</w:t>
            </w:r>
          </w:p>
        </w:tc>
        <w:tc>
          <w:tcPr>
            <w:tcW w:w="886" w:type="dxa"/>
          </w:tcPr>
          <w:p w14:paraId="6FE82D3B"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1.7%</w:t>
            </w:r>
          </w:p>
        </w:tc>
        <w:tc>
          <w:tcPr>
            <w:tcW w:w="992" w:type="dxa"/>
          </w:tcPr>
          <w:p w14:paraId="391C2AF1"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Pr>
          <w:p w14:paraId="08A838CB"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Pr>
          <w:p w14:paraId="38978409"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2.04%</w:t>
            </w:r>
          </w:p>
        </w:tc>
        <w:tc>
          <w:tcPr>
            <w:tcW w:w="851" w:type="dxa"/>
          </w:tcPr>
          <w:p w14:paraId="27B12144"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5155F8EE"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gridSpan w:val="2"/>
          </w:tcPr>
          <w:p w14:paraId="6A3BAA62"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8.23%</w:t>
            </w:r>
          </w:p>
        </w:tc>
        <w:tc>
          <w:tcPr>
            <w:tcW w:w="992" w:type="dxa"/>
          </w:tcPr>
          <w:p w14:paraId="0E046F56"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3" w:type="dxa"/>
          </w:tcPr>
          <w:p w14:paraId="5B2FE1C6"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3.44%</w:t>
            </w:r>
          </w:p>
        </w:tc>
      </w:tr>
      <w:tr w:rsidR="00776995" w:rsidRPr="004B39D6" w14:paraId="160AF639" w14:textId="77777777" w:rsidTr="00187A7C">
        <w:tc>
          <w:tcPr>
            <w:tcW w:w="1135" w:type="dxa"/>
          </w:tcPr>
          <w:p w14:paraId="1D200DEF"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71C356B3"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3</w:t>
            </w:r>
          </w:p>
        </w:tc>
        <w:tc>
          <w:tcPr>
            <w:tcW w:w="886" w:type="dxa"/>
          </w:tcPr>
          <w:p w14:paraId="6DE1F8CD"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4.92%</w:t>
            </w:r>
          </w:p>
        </w:tc>
        <w:tc>
          <w:tcPr>
            <w:tcW w:w="992" w:type="dxa"/>
          </w:tcPr>
          <w:p w14:paraId="1112C058"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Pr>
          <w:p w14:paraId="1769AACA"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3.54%</w:t>
            </w:r>
          </w:p>
        </w:tc>
        <w:tc>
          <w:tcPr>
            <w:tcW w:w="921" w:type="dxa"/>
            <w:gridSpan w:val="2"/>
          </w:tcPr>
          <w:p w14:paraId="4BC9D169"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4.93%</w:t>
            </w:r>
          </w:p>
        </w:tc>
        <w:tc>
          <w:tcPr>
            <w:tcW w:w="851" w:type="dxa"/>
          </w:tcPr>
          <w:p w14:paraId="187394AB"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251B30B3"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31.34%</w:t>
            </w:r>
          </w:p>
        </w:tc>
        <w:tc>
          <w:tcPr>
            <w:tcW w:w="992" w:type="dxa"/>
            <w:gridSpan w:val="2"/>
          </w:tcPr>
          <w:p w14:paraId="1F280EEF"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10.77%</w:t>
            </w:r>
          </w:p>
        </w:tc>
        <w:tc>
          <w:tcPr>
            <w:tcW w:w="992" w:type="dxa"/>
          </w:tcPr>
          <w:p w14:paraId="5ED19A60"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2.25%</w:t>
            </w:r>
          </w:p>
        </w:tc>
        <w:tc>
          <w:tcPr>
            <w:tcW w:w="993" w:type="dxa"/>
          </w:tcPr>
          <w:p w14:paraId="2A1C2D84"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78.95%</w:t>
            </w:r>
          </w:p>
        </w:tc>
      </w:tr>
      <w:tr w:rsidR="00776995" w:rsidRPr="004B39D6" w14:paraId="4E6B274F" w14:textId="77777777" w:rsidTr="00187A7C">
        <w:tc>
          <w:tcPr>
            <w:tcW w:w="1135" w:type="dxa"/>
          </w:tcPr>
          <w:p w14:paraId="3D94B74F"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0D4919EF"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4</w:t>
            </w:r>
          </w:p>
        </w:tc>
        <w:tc>
          <w:tcPr>
            <w:tcW w:w="886" w:type="dxa"/>
          </w:tcPr>
          <w:p w14:paraId="48749D32"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3CBF69EC"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Pr>
          <w:p w14:paraId="164F45A6"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Pr>
          <w:p w14:paraId="7A2FACA5"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851" w:type="dxa"/>
          </w:tcPr>
          <w:p w14:paraId="11FF30C1"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05FE0481"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gridSpan w:val="2"/>
          </w:tcPr>
          <w:p w14:paraId="7CFF78AA"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6FC50D9D"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3" w:type="dxa"/>
          </w:tcPr>
          <w:p w14:paraId="75A8239D"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9.54%</w:t>
            </w:r>
          </w:p>
        </w:tc>
      </w:tr>
      <w:tr w:rsidR="00776995" w:rsidRPr="004B39D6" w14:paraId="79950168" w14:textId="77777777" w:rsidTr="00187A7C">
        <w:tc>
          <w:tcPr>
            <w:tcW w:w="1135" w:type="dxa"/>
          </w:tcPr>
          <w:p w14:paraId="7FCFE37A"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6556C118"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5</w:t>
            </w:r>
          </w:p>
        </w:tc>
        <w:tc>
          <w:tcPr>
            <w:tcW w:w="886" w:type="dxa"/>
          </w:tcPr>
          <w:p w14:paraId="4C3AA6A3"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01178ACB"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Pr>
          <w:p w14:paraId="7F343D79"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Pr>
          <w:p w14:paraId="12273FD9"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851" w:type="dxa"/>
          </w:tcPr>
          <w:p w14:paraId="06C934A3"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6FF50BA8"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gridSpan w:val="2"/>
          </w:tcPr>
          <w:p w14:paraId="26CD1FF2"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264F60C1"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3" w:type="dxa"/>
          </w:tcPr>
          <w:p w14:paraId="4E3F9DC9"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4.56%</w:t>
            </w:r>
          </w:p>
        </w:tc>
      </w:tr>
      <w:tr w:rsidR="00776995" w:rsidRPr="004B39D6" w14:paraId="435B17D8" w14:textId="77777777" w:rsidTr="00187A7C">
        <w:tc>
          <w:tcPr>
            <w:tcW w:w="1135" w:type="dxa"/>
          </w:tcPr>
          <w:p w14:paraId="6463E75E"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67AFF343"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6</w:t>
            </w:r>
          </w:p>
        </w:tc>
        <w:tc>
          <w:tcPr>
            <w:tcW w:w="886" w:type="dxa"/>
          </w:tcPr>
          <w:p w14:paraId="641443AE"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2.36%</w:t>
            </w:r>
          </w:p>
        </w:tc>
        <w:tc>
          <w:tcPr>
            <w:tcW w:w="992" w:type="dxa"/>
          </w:tcPr>
          <w:p w14:paraId="78754B17"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2.03%</w:t>
            </w:r>
          </w:p>
        </w:tc>
        <w:tc>
          <w:tcPr>
            <w:tcW w:w="922" w:type="dxa"/>
          </w:tcPr>
          <w:p w14:paraId="46CEAC3D"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1.15%</w:t>
            </w:r>
          </w:p>
        </w:tc>
        <w:tc>
          <w:tcPr>
            <w:tcW w:w="921" w:type="dxa"/>
            <w:gridSpan w:val="2"/>
          </w:tcPr>
          <w:p w14:paraId="01B275CF"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3.71%</w:t>
            </w:r>
          </w:p>
        </w:tc>
        <w:tc>
          <w:tcPr>
            <w:tcW w:w="851" w:type="dxa"/>
          </w:tcPr>
          <w:p w14:paraId="365E2AEA"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2.45%</w:t>
            </w:r>
          </w:p>
        </w:tc>
        <w:tc>
          <w:tcPr>
            <w:tcW w:w="992" w:type="dxa"/>
          </w:tcPr>
          <w:p w14:paraId="55A12CFF"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2.14%</w:t>
            </w:r>
          </w:p>
        </w:tc>
        <w:tc>
          <w:tcPr>
            <w:tcW w:w="992" w:type="dxa"/>
            <w:gridSpan w:val="2"/>
          </w:tcPr>
          <w:p w14:paraId="23482940"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22634455"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3" w:type="dxa"/>
          </w:tcPr>
          <w:p w14:paraId="554140AD"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r>
      <w:tr w:rsidR="00776995" w:rsidRPr="004B39D6" w14:paraId="071196FE" w14:textId="77777777" w:rsidTr="00187A7C">
        <w:tc>
          <w:tcPr>
            <w:tcW w:w="1135" w:type="dxa"/>
          </w:tcPr>
          <w:p w14:paraId="18AEA1FF"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7E897605"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7</w:t>
            </w:r>
          </w:p>
        </w:tc>
        <w:tc>
          <w:tcPr>
            <w:tcW w:w="886" w:type="dxa"/>
          </w:tcPr>
          <w:p w14:paraId="7A819B78"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59363BF6"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Pr>
          <w:p w14:paraId="10A71F77"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Pr>
          <w:p w14:paraId="766EDC90"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3.19%</w:t>
            </w:r>
          </w:p>
        </w:tc>
        <w:tc>
          <w:tcPr>
            <w:tcW w:w="851" w:type="dxa"/>
          </w:tcPr>
          <w:p w14:paraId="16107355"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2.35%</w:t>
            </w:r>
          </w:p>
        </w:tc>
        <w:tc>
          <w:tcPr>
            <w:tcW w:w="992" w:type="dxa"/>
          </w:tcPr>
          <w:p w14:paraId="10253077"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5.63%</w:t>
            </w:r>
          </w:p>
        </w:tc>
        <w:tc>
          <w:tcPr>
            <w:tcW w:w="992" w:type="dxa"/>
            <w:gridSpan w:val="2"/>
          </w:tcPr>
          <w:p w14:paraId="7DC0FBA0"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6F822461"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3" w:type="dxa"/>
          </w:tcPr>
          <w:p w14:paraId="6EBA95CC"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r>
      <w:tr w:rsidR="00776995" w:rsidRPr="004B39D6" w14:paraId="56C7F0D6" w14:textId="77777777" w:rsidTr="00187A7C">
        <w:tc>
          <w:tcPr>
            <w:tcW w:w="1135" w:type="dxa"/>
          </w:tcPr>
          <w:p w14:paraId="48DA46B2"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78D6EBE2" w14:textId="77777777" w:rsidR="00776995" w:rsidRPr="004B39D6" w:rsidRDefault="00776995" w:rsidP="00187A7C">
            <w:pPr>
              <w:snapToGrid w:val="0"/>
              <w:spacing w:after="0" w:line="360" w:lineRule="auto"/>
              <w:rPr>
                <w:rFonts w:ascii="Book Antiqua" w:hAnsi="Book Antiqua"/>
                <w:sz w:val="24"/>
                <w:szCs w:val="24"/>
              </w:rPr>
            </w:pPr>
          </w:p>
        </w:tc>
        <w:tc>
          <w:tcPr>
            <w:tcW w:w="886" w:type="dxa"/>
          </w:tcPr>
          <w:p w14:paraId="68243968" w14:textId="77777777" w:rsidR="00776995" w:rsidRPr="004B39D6" w:rsidRDefault="00776995" w:rsidP="00187A7C">
            <w:pPr>
              <w:snapToGrid w:val="0"/>
              <w:spacing w:after="0" w:line="360" w:lineRule="auto"/>
              <w:rPr>
                <w:rFonts w:ascii="Book Antiqua" w:hAnsi="Book Antiqua"/>
                <w:sz w:val="24"/>
                <w:szCs w:val="24"/>
              </w:rPr>
            </w:pPr>
          </w:p>
        </w:tc>
        <w:tc>
          <w:tcPr>
            <w:tcW w:w="992" w:type="dxa"/>
          </w:tcPr>
          <w:p w14:paraId="50BB31CF" w14:textId="77777777" w:rsidR="00776995" w:rsidRPr="004B39D6" w:rsidRDefault="00776995" w:rsidP="00187A7C">
            <w:pPr>
              <w:snapToGrid w:val="0"/>
              <w:spacing w:after="0" w:line="360" w:lineRule="auto"/>
              <w:rPr>
                <w:rFonts w:ascii="Book Antiqua" w:hAnsi="Book Antiqua"/>
                <w:sz w:val="24"/>
                <w:szCs w:val="24"/>
              </w:rPr>
            </w:pPr>
          </w:p>
        </w:tc>
        <w:tc>
          <w:tcPr>
            <w:tcW w:w="922" w:type="dxa"/>
          </w:tcPr>
          <w:p w14:paraId="3872A2AC" w14:textId="77777777" w:rsidR="00776995" w:rsidRPr="004B39D6" w:rsidRDefault="00776995" w:rsidP="00187A7C">
            <w:pPr>
              <w:snapToGrid w:val="0"/>
              <w:spacing w:after="0" w:line="360" w:lineRule="auto"/>
              <w:ind w:right="-223"/>
              <w:rPr>
                <w:rFonts w:ascii="Book Antiqua" w:hAnsi="Book Antiqua"/>
                <w:sz w:val="24"/>
                <w:szCs w:val="24"/>
              </w:rPr>
            </w:pPr>
          </w:p>
        </w:tc>
        <w:tc>
          <w:tcPr>
            <w:tcW w:w="921" w:type="dxa"/>
            <w:gridSpan w:val="2"/>
          </w:tcPr>
          <w:p w14:paraId="20D77D79" w14:textId="77777777" w:rsidR="00776995" w:rsidRPr="004B39D6" w:rsidRDefault="00776995" w:rsidP="00187A7C">
            <w:pPr>
              <w:snapToGrid w:val="0"/>
              <w:spacing w:after="0" w:line="360" w:lineRule="auto"/>
              <w:rPr>
                <w:rFonts w:ascii="Book Antiqua" w:hAnsi="Book Antiqua"/>
                <w:sz w:val="24"/>
                <w:szCs w:val="24"/>
              </w:rPr>
            </w:pPr>
          </w:p>
        </w:tc>
        <w:tc>
          <w:tcPr>
            <w:tcW w:w="851" w:type="dxa"/>
          </w:tcPr>
          <w:p w14:paraId="05F54E65" w14:textId="77777777" w:rsidR="00776995" w:rsidRPr="004B39D6" w:rsidRDefault="00776995" w:rsidP="00187A7C">
            <w:pPr>
              <w:snapToGrid w:val="0"/>
              <w:spacing w:after="0" w:line="360" w:lineRule="auto"/>
              <w:rPr>
                <w:rFonts w:ascii="Book Antiqua" w:hAnsi="Book Antiqua"/>
                <w:sz w:val="24"/>
                <w:szCs w:val="24"/>
              </w:rPr>
            </w:pPr>
          </w:p>
        </w:tc>
        <w:tc>
          <w:tcPr>
            <w:tcW w:w="992" w:type="dxa"/>
          </w:tcPr>
          <w:p w14:paraId="2ECD3E73" w14:textId="77777777" w:rsidR="00776995" w:rsidRPr="004B39D6" w:rsidRDefault="00776995" w:rsidP="00187A7C">
            <w:pPr>
              <w:snapToGrid w:val="0"/>
              <w:spacing w:after="0" w:line="360" w:lineRule="auto"/>
              <w:rPr>
                <w:rFonts w:ascii="Book Antiqua" w:hAnsi="Book Antiqua"/>
                <w:sz w:val="24"/>
                <w:szCs w:val="24"/>
              </w:rPr>
            </w:pPr>
          </w:p>
        </w:tc>
        <w:tc>
          <w:tcPr>
            <w:tcW w:w="992" w:type="dxa"/>
            <w:gridSpan w:val="2"/>
          </w:tcPr>
          <w:p w14:paraId="12E19FBE" w14:textId="77777777" w:rsidR="00776995" w:rsidRPr="004B39D6" w:rsidRDefault="00776995" w:rsidP="00187A7C">
            <w:pPr>
              <w:snapToGrid w:val="0"/>
              <w:spacing w:after="0" w:line="360" w:lineRule="auto"/>
              <w:rPr>
                <w:rFonts w:ascii="Book Antiqua" w:hAnsi="Book Antiqua"/>
                <w:sz w:val="24"/>
                <w:szCs w:val="24"/>
              </w:rPr>
            </w:pPr>
          </w:p>
        </w:tc>
        <w:tc>
          <w:tcPr>
            <w:tcW w:w="992" w:type="dxa"/>
          </w:tcPr>
          <w:p w14:paraId="74B9E6F4" w14:textId="77777777" w:rsidR="00776995" w:rsidRPr="004B39D6" w:rsidRDefault="00776995" w:rsidP="00187A7C">
            <w:pPr>
              <w:snapToGrid w:val="0"/>
              <w:spacing w:after="0" w:line="360" w:lineRule="auto"/>
              <w:rPr>
                <w:rFonts w:ascii="Book Antiqua" w:hAnsi="Book Antiqua"/>
                <w:sz w:val="24"/>
                <w:szCs w:val="24"/>
              </w:rPr>
            </w:pPr>
          </w:p>
        </w:tc>
        <w:tc>
          <w:tcPr>
            <w:tcW w:w="993" w:type="dxa"/>
          </w:tcPr>
          <w:p w14:paraId="1ADE21EB" w14:textId="77777777" w:rsidR="00776995" w:rsidRPr="004B39D6" w:rsidRDefault="00776995" w:rsidP="00187A7C">
            <w:pPr>
              <w:snapToGrid w:val="0"/>
              <w:spacing w:after="0" w:line="360" w:lineRule="auto"/>
              <w:rPr>
                <w:rFonts w:ascii="Book Antiqua" w:hAnsi="Book Antiqua"/>
                <w:sz w:val="24"/>
                <w:szCs w:val="24"/>
              </w:rPr>
            </w:pPr>
          </w:p>
        </w:tc>
      </w:tr>
      <w:tr w:rsidR="00776995" w:rsidRPr="004B39D6" w14:paraId="4A3F48C0" w14:textId="77777777" w:rsidTr="00187A7C">
        <w:tc>
          <w:tcPr>
            <w:tcW w:w="1135" w:type="dxa"/>
          </w:tcPr>
          <w:p w14:paraId="4F6F31FC" w14:textId="77777777" w:rsidR="00776995" w:rsidRPr="004B39D6" w:rsidRDefault="00776995" w:rsidP="00187A7C">
            <w:pPr>
              <w:snapToGrid w:val="0"/>
              <w:spacing w:after="0" w:line="360" w:lineRule="auto"/>
              <w:jc w:val="left"/>
              <w:rPr>
                <w:rFonts w:ascii="Book Antiqua" w:hAnsi="Book Antiqua"/>
                <w:sz w:val="24"/>
                <w:szCs w:val="24"/>
              </w:rPr>
            </w:pPr>
            <w:r w:rsidRPr="004B39D6">
              <w:rPr>
                <w:rFonts w:ascii="Book Antiqua" w:hAnsi="Book Antiqua"/>
                <w:sz w:val="24"/>
                <w:szCs w:val="24"/>
              </w:rPr>
              <w:t>2</w:t>
            </w:r>
          </w:p>
        </w:tc>
        <w:tc>
          <w:tcPr>
            <w:tcW w:w="673" w:type="dxa"/>
          </w:tcPr>
          <w:p w14:paraId="77DD6E21"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8</w:t>
            </w:r>
          </w:p>
        </w:tc>
        <w:tc>
          <w:tcPr>
            <w:tcW w:w="886" w:type="dxa"/>
          </w:tcPr>
          <w:p w14:paraId="04D6E32D"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42D5DA23"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Pr>
          <w:p w14:paraId="211E51AD"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Pr>
          <w:p w14:paraId="23300EF9"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851" w:type="dxa"/>
          </w:tcPr>
          <w:p w14:paraId="05BB37FC"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7A5F63A2"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gridSpan w:val="2"/>
          </w:tcPr>
          <w:p w14:paraId="387E3AAF"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5D9E1693"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3" w:type="dxa"/>
          </w:tcPr>
          <w:p w14:paraId="14D4FECA"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r>
      <w:tr w:rsidR="00776995" w:rsidRPr="004B39D6" w14:paraId="2AFC8E56" w14:textId="77777777" w:rsidTr="00187A7C">
        <w:tc>
          <w:tcPr>
            <w:tcW w:w="1135" w:type="dxa"/>
          </w:tcPr>
          <w:p w14:paraId="78D6BE85"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6157ED2D"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9</w:t>
            </w:r>
          </w:p>
        </w:tc>
        <w:tc>
          <w:tcPr>
            <w:tcW w:w="886" w:type="dxa"/>
          </w:tcPr>
          <w:p w14:paraId="0532B0BE"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04B310E4"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Pr>
          <w:p w14:paraId="649BA037"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Pr>
          <w:p w14:paraId="415E5052"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851" w:type="dxa"/>
          </w:tcPr>
          <w:p w14:paraId="5A3C3AAC"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53A3AD01"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gridSpan w:val="2"/>
          </w:tcPr>
          <w:p w14:paraId="4930D502"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716878CD"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3" w:type="dxa"/>
          </w:tcPr>
          <w:p w14:paraId="4FEF50D3"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r>
      <w:tr w:rsidR="00776995" w:rsidRPr="004B39D6" w14:paraId="25D948FF" w14:textId="77777777" w:rsidTr="00187A7C">
        <w:tc>
          <w:tcPr>
            <w:tcW w:w="1135" w:type="dxa"/>
          </w:tcPr>
          <w:p w14:paraId="35ED515C"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6C570146" w14:textId="77777777" w:rsidR="00776995" w:rsidRPr="004B39D6" w:rsidRDefault="00776995" w:rsidP="00187A7C">
            <w:pPr>
              <w:snapToGrid w:val="0"/>
              <w:spacing w:after="0" w:line="360" w:lineRule="auto"/>
              <w:rPr>
                <w:rFonts w:ascii="Book Antiqua" w:hAnsi="Book Antiqua"/>
                <w:sz w:val="24"/>
                <w:szCs w:val="24"/>
              </w:rPr>
            </w:pPr>
          </w:p>
        </w:tc>
        <w:tc>
          <w:tcPr>
            <w:tcW w:w="886" w:type="dxa"/>
          </w:tcPr>
          <w:p w14:paraId="60D8C5E0" w14:textId="77777777" w:rsidR="00776995" w:rsidRPr="004B39D6" w:rsidRDefault="00776995" w:rsidP="00187A7C">
            <w:pPr>
              <w:snapToGrid w:val="0"/>
              <w:spacing w:after="0" w:line="360" w:lineRule="auto"/>
              <w:rPr>
                <w:rFonts w:ascii="Book Antiqua" w:hAnsi="Book Antiqua"/>
                <w:sz w:val="24"/>
                <w:szCs w:val="24"/>
              </w:rPr>
            </w:pPr>
          </w:p>
        </w:tc>
        <w:tc>
          <w:tcPr>
            <w:tcW w:w="992" w:type="dxa"/>
          </w:tcPr>
          <w:p w14:paraId="772C0E58" w14:textId="77777777" w:rsidR="00776995" w:rsidRPr="004B39D6" w:rsidRDefault="00776995" w:rsidP="00187A7C">
            <w:pPr>
              <w:snapToGrid w:val="0"/>
              <w:spacing w:after="0" w:line="360" w:lineRule="auto"/>
              <w:rPr>
                <w:rFonts w:ascii="Book Antiqua" w:hAnsi="Book Antiqua"/>
                <w:sz w:val="24"/>
                <w:szCs w:val="24"/>
              </w:rPr>
            </w:pPr>
          </w:p>
        </w:tc>
        <w:tc>
          <w:tcPr>
            <w:tcW w:w="922" w:type="dxa"/>
          </w:tcPr>
          <w:p w14:paraId="702F3C5A" w14:textId="77777777" w:rsidR="00776995" w:rsidRPr="004B39D6" w:rsidRDefault="00776995" w:rsidP="00187A7C">
            <w:pPr>
              <w:snapToGrid w:val="0"/>
              <w:spacing w:after="0" w:line="360" w:lineRule="auto"/>
              <w:ind w:right="-223"/>
              <w:rPr>
                <w:rFonts w:ascii="Book Antiqua" w:hAnsi="Book Antiqua"/>
                <w:sz w:val="24"/>
                <w:szCs w:val="24"/>
              </w:rPr>
            </w:pPr>
          </w:p>
        </w:tc>
        <w:tc>
          <w:tcPr>
            <w:tcW w:w="921" w:type="dxa"/>
            <w:gridSpan w:val="2"/>
          </w:tcPr>
          <w:p w14:paraId="5F2B4899" w14:textId="77777777" w:rsidR="00776995" w:rsidRPr="004B39D6" w:rsidRDefault="00776995" w:rsidP="00187A7C">
            <w:pPr>
              <w:snapToGrid w:val="0"/>
              <w:spacing w:after="0" w:line="360" w:lineRule="auto"/>
              <w:rPr>
                <w:rFonts w:ascii="Book Antiqua" w:hAnsi="Book Antiqua"/>
                <w:sz w:val="24"/>
                <w:szCs w:val="24"/>
              </w:rPr>
            </w:pPr>
          </w:p>
        </w:tc>
        <w:tc>
          <w:tcPr>
            <w:tcW w:w="851" w:type="dxa"/>
          </w:tcPr>
          <w:p w14:paraId="1A8CF1D2" w14:textId="77777777" w:rsidR="00776995" w:rsidRPr="004B39D6" w:rsidRDefault="00776995" w:rsidP="00187A7C">
            <w:pPr>
              <w:snapToGrid w:val="0"/>
              <w:spacing w:after="0" w:line="360" w:lineRule="auto"/>
              <w:rPr>
                <w:rFonts w:ascii="Book Antiqua" w:hAnsi="Book Antiqua"/>
                <w:sz w:val="24"/>
                <w:szCs w:val="24"/>
              </w:rPr>
            </w:pPr>
          </w:p>
        </w:tc>
        <w:tc>
          <w:tcPr>
            <w:tcW w:w="992" w:type="dxa"/>
          </w:tcPr>
          <w:p w14:paraId="2C25CFC5" w14:textId="77777777" w:rsidR="00776995" w:rsidRPr="004B39D6" w:rsidRDefault="00776995" w:rsidP="00187A7C">
            <w:pPr>
              <w:snapToGrid w:val="0"/>
              <w:spacing w:after="0" w:line="360" w:lineRule="auto"/>
              <w:rPr>
                <w:rFonts w:ascii="Book Antiqua" w:hAnsi="Book Antiqua"/>
                <w:sz w:val="24"/>
                <w:szCs w:val="24"/>
              </w:rPr>
            </w:pPr>
          </w:p>
        </w:tc>
        <w:tc>
          <w:tcPr>
            <w:tcW w:w="992" w:type="dxa"/>
            <w:gridSpan w:val="2"/>
          </w:tcPr>
          <w:p w14:paraId="41A0812C" w14:textId="77777777" w:rsidR="00776995" w:rsidRPr="004B39D6" w:rsidRDefault="00776995" w:rsidP="00187A7C">
            <w:pPr>
              <w:snapToGrid w:val="0"/>
              <w:spacing w:after="0" w:line="360" w:lineRule="auto"/>
              <w:rPr>
                <w:rFonts w:ascii="Book Antiqua" w:hAnsi="Book Antiqua"/>
                <w:sz w:val="24"/>
                <w:szCs w:val="24"/>
              </w:rPr>
            </w:pPr>
          </w:p>
        </w:tc>
        <w:tc>
          <w:tcPr>
            <w:tcW w:w="992" w:type="dxa"/>
          </w:tcPr>
          <w:p w14:paraId="45884F33" w14:textId="77777777" w:rsidR="00776995" w:rsidRPr="004B39D6" w:rsidRDefault="00776995" w:rsidP="00187A7C">
            <w:pPr>
              <w:snapToGrid w:val="0"/>
              <w:spacing w:after="0" w:line="360" w:lineRule="auto"/>
              <w:rPr>
                <w:rFonts w:ascii="Book Antiqua" w:hAnsi="Book Antiqua"/>
                <w:sz w:val="24"/>
                <w:szCs w:val="24"/>
              </w:rPr>
            </w:pPr>
          </w:p>
        </w:tc>
        <w:tc>
          <w:tcPr>
            <w:tcW w:w="993" w:type="dxa"/>
          </w:tcPr>
          <w:p w14:paraId="195325AE" w14:textId="77777777" w:rsidR="00776995" w:rsidRPr="004B39D6" w:rsidRDefault="00776995" w:rsidP="00187A7C">
            <w:pPr>
              <w:snapToGrid w:val="0"/>
              <w:spacing w:after="0" w:line="360" w:lineRule="auto"/>
              <w:rPr>
                <w:rFonts w:ascii="Book Antiqua" w:hAnsi="Book Antiqua"/>
                <w:sz w:val="24"/>
                <w:szCs w:val="24"/>
              </w:rPr>
            </w:pPr>
          </w:p>
        </w:tc>
      </w:tr>
      <w:tr w:rsidR="00776995" w:rsidRPr="004B39D6" w14:paraId="33D69FBD" w14:textId="77777777" w:rsidTr="00187A7C">
        <w:tc>
          <w:tcPr>
            <w:tcW w:w="1135" w:type="dxa"/>
          </w:tcPr>
          <w:p w14:paraId="1BD22EBD" w14:textId="77777777" w:rsidR="00776995" w:rsidRPr="004B39D6" w:rsidRDefault="00776995" w:rsidP="00187A7C">
            <w:pPr>
              <w:snapToGrid w:val="0"/>
              <w:spacing w:after="0" w:line="360" w:lineRule="auto"/>
              <w:jc w:val="left"/>
              <w:rPr>
                <w:rFonts w:ascii="Book Antiqua" w:hAnsi="Book Antiqua"/>
                <w:sz w:val="24"/>
                <w:szCs w:val="24"/>
              </w:rPr>
            </w:pPr>
            <w:r w:rsidRPr="004B39D6">
              <w:rPr>
                <w:rFonts w:ascii="Book Antiqua" w:hAnsi="Book Antiqua"/>
                <w:sz w:val="24"/>
                <w:szCs w:val="24"/>
              </w:rPr>
              <w:t>3</w:t>
            </w:r>
          </w:p>
        </w:tc>
        <w:tc>
          <w:tcPr>
            <w:tcW w:w="673" w:type="dxa"/>
          </w:tcPr>
          <w:p w14:paraId="6957C2CD"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10</w:t>
            </w:r>
          </w:p>
        </w:tc>
        <w:tc>
          <w:tcPr>
            <w:tcW w:w="886" w:type="dxa"/>
          </w:tcPr>
          <w:p w14:paraId="66D930E0"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3534EBA0"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Pr>
          <w:p w14:paraId="4A402254"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Pr>
          <w:p w14:paraId="1971DC1E"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851" w:type="dxa"/>
          </w:tcPr>
          <w:p w14:paraId="40161815"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2AA6A569"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gridSpan w:val="2"/>
          </w:tcPr>
          <w:p w14:paraId="5624876F"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526C8271"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3" w:type="dxa"/>
          </w:tcPr>
          <w:p w14:paraId="27D51014"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6.63%</w:t>
            </w:r>
          </w:p>
        </w:tc>
      </w:tr>
      <w:tr w:rsidR="00776995" w:rsidRPr="004B39D6" w14:paraId="6C489F8B" w14:textId="77777777" w:rsidTr="00187A7C">
        <w:tc>
          <w:tcPr>
            <w:tcW w:w="1135" w:type="dxa"/>
          </w:tcPr>
          <w:p w14:paraId="4BBAF2A5"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5DFB8DBD"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11</w:t>
            </w:r>
          </w:p>
        </w:tc>
        <w:tc>
          <w:tcPr>
            <w:tcW w:w="886" w:type="dxa"/>
          </w:tcPr>
          <w:p w14:paraId="167977C9"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4CF5119E"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Pr>
          <w:p w14:paraId="70B1ABB1"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Pr>
          <w:p w14:paraId="6B14A893"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851" w:type="dxa"/>
          </w:tcPr>
          <w:p w14:paraId="1293F23C"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50C0B1C0"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gridSpan w:val="2"/>
          </w:tcPr>
          <w:p w14:paraId="0B6FF74F"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616F3C08"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3" w:type="dxa"/>
          </w:tcPr>
          <w:p w14:paraId="035EF0CD"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r>
      <w:tr w:rsidR="00776995" w:rsidRPr="004B39D6" w14:paraId="20BF7824" w14:textId="77777777" w:rsidTr="00187A7C">
        <w:tc>
          <w:tcPr>
            <w:tcW w:w="1135" w:type="dxa"/>
          </w:tcPr>
          <w:p w14:paraId="391D84BE"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3C7A406B"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12</w:t>
            </w:r>
          </w:p>
        </w:tc>
        <w:tc>
          <w:tcPr>
            <w:tcW w:w="886" w:type="dxa"/>
          </w:tcPr>
          <w:p w14:paraId="39062914"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3C62C6CC"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Pr>
          <w:p w14:paraId="3471547B"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Pr>
          <w:p w14:paraId="7AC2BA63"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851" w:type="dxa"/>
          </w:tcPr>
          <w:p w14:paraId="1B7561A7"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012FF68C"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gridSpan w:val="2"/>
          </w:tcPr>
          <w:p w14:paraId="28121926"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595B9ACD"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3" w:type="dxa"/>
          </w:tcPr>
          <w:p w14:paraId="2A4E8134"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r>
      <w:tr w:rsidR="00776995" w:rsidRPr="004B39D6" w14:paraId="28BA3270" w14:textId="77777777" w:rsidTr="00187A7C">
        <w:tc>
          <w:tcPr>
            <w:tcW w:w="1135" w:type="dxa"/>
          </w:tcPr>
          <w:p w14:paraId="6C70C528"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3D4885B2"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13</w:t>
            </w:r>
          </w:p>
        </w:tc>
        <w:tc>
          <w:tcPr>
            <w:tcW w:w="886" w:type="dxa"/>
          </w:tcPr>
          <w:p w14:paraId="223DC260"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3656A602"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Pr>
          <w:p w14:paraId="352B58FE"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Pr>
          <w:p w14:paraId="5B01DFF0"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851" w:type="dxa"/>
          </w:tcPr>
          <w:p w14:paraId="71F8E7F4"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74E77FD0"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gridSpan w:val="2"/>
          </w:tcPr>
          <w:p w14:paraId="701F3849"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78BF2DBF"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3" w:type="dxa"/>
          </w:tcPr>
          <w:p w14:paraId="594AE183"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r>
      <w:tr w:rsidR="00776995" w:rsidRPr="004B39D6" w14:paraId="1AA2CC43" w14:textId="77777777" w:rsidTr="00187A7C">
        <w:tc>
          <w:tcPr>
            <w:tcW w:w="1135" w:type="dxa"/>
          </w:tcPr>
          <w:p w14:paraId="0A2DAFFC"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15C4F9FE"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14</w:t>
            </w:r>
          </w:p>
        </w:tc>
        <w:tc>
          <w:tcPr>
            <w:tcW w:w="886" w:type="dxa"/>
          </w:tcPr>
          <w:p w14:paraId="40B73587"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4F8D54FB"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Pr>
          <w:p w14:paraId="7C021252"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Pr>
          <w:p w14:paraId="7685DEA1"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2.65%</w:t>
            </w:r>
          </w:p>
        </w:tc>
        <w:tc>
          <w:tcPr>
            <w:tcW w:w="851" w:type="dxa"/>
          </w:tcPr>
          <w:p w14:paraId="08BAB6A9"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7DFE21B8"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4.71%</w:t>
            </w:r>
          </w:p>
        </w:tc>
        <w:tc>
          <w:tcPr>
            <w:tcW w:w="992" w:type="dxa"/>
            <w:gridSpan w:val="2"/>
          </w:tcPr>
          <w:p w14:paraId="1960961E"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296BC38F"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3" w:type="dxa"/>
          </w:tcPr>
          <w:p w14:paraId="263A0371"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r>
      <w:tr w:rsidR="00776995" w:rsidRPr="004B39D6" w14:paraId="13EAF371" w14:textId="77777777" w:rsidTr="00187A7C">
        <w:tc>
          <w:tcPr>
            <w:tcW w:w="1135" w:type="dxa"/>
          </w:tcPr>
          <w:p w14:paraId="7282E161"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220D4B8A"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15</w:t>
            </w:r>
          </w:p>
        </w:tc>
        <w:tc>
          <w:tcPr>
            <w:tcW w:w="886" w:type="dxa"/>
          </w:tcPr>
          <w:p w14:paraId="7317A600"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6D484908"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Pr>
          <w:p w14:paraId="09269B7D"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Pr>
          <w:p w14:paraId="2927CD53"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1.45%</w:t>
            </w:r>
          </w:p>
        </w:tc>
        <w:tc>
          <w:tcPr>
            <w:tcW w:w="851" w:type="dxa"/>
          </w:tcPr>
          <w:p w14:paraId="76FCA47E"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553F7094"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5.18%</w:t>
            </w:r>
          </w:p>
        </w:tc>
        <w:tc>
          <w:tcPr>
            <w:tcW w:w="992" w:type="dxa"/>
            <w:gridSpan w:val="2"/>
          </w:tcPr>
          <w:p w14:paraId="7DCED2E0"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027CD7E9"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3" w:type="dxa"/>
          </w:tcPr>
          <w:p w14:paraId="0A73B4C7"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r>
      <w:tr w:rsidR="00776995" w:rsidRPr="004B39D6" w14:paraId="3F6139D5" w14:textId="77777777" w:rsidTr="00187A7C">
        <w:tc>
          <w:tcPr>
            <w:tcW w:w="1135" w:type="dxa"/>
          </w:tcPr>
          <w:p w14:paraId="3789E28D"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3FC501C5"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16</w:t>
            </w:r>
          </w:p>
        </w:tc>
        <w:tc>
          <w:tcPr>
            <w:tcW w:w="886" w:type="dxa"/>
          </w:tcPr>
          <w:p w14:paraId="03E1A9D4"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033CD388"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Pr>
          <w:p w14:paraId="4F8BADA5"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Pr>
          <w:p w14:paraId="3C917759"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851" w:type="dxa"/>
          </w:tcPr>
          <w:p w14:paraId="339C6B19"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12C568CA"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gridSpan w:val="2"/>
          </w:tcPr>
          <w:p w14:paraId="3A51C488"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6DED6341"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3" w:type="dxa"/>
          </w:tcPr>
          <w:p w14:paraId="4705AA40"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r>
      <w:tr w:rsidR="00776995" w:rsidRPr="004B39D6" w14:paraId="4CEE819D" w14:textId="77777777" w:rsidTr="00187A7C">
        <w:tc>
          <w:tcPr>
            <w:tcW w:w="1135" w:type="dxa"/>
          </w:tcPr>
          <w:p w14:paraId="0FF47F64"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31C7DF18"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17</w:t>
            </w:r>
          </w:p>
        </w:tc>
        <w:tc>
          <w:tcPr>
            <w:tcW w:w="886" w:type="dxa"/>
          </w:tcPr>
          <w:p w14:paraId="5BC6654C"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6528FCAF"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Pr>
          <w:p w14:paraId="7072AAE0"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Pr>
          <w:p w14:paraId="7A124364"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851" w:type="dxa"/>
          </w:tcPr>
          <w:p w14:paraId="29B04273"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69F1F7A3"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gridSpan w:val="2"/>
          </w:tcPr>
          <w:p w14:paraId="02B61B75"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1.68%</w:t>
            </w:r>
          </w:p>
        </w:tc>
        <w:tc>
          <w:tcPr>
            <w:tcW w:w="992" w:type="dxa"/>
          </w:tcPr>
          <w:p w14:paraId="1F4818EB"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4.6%</w:t>
            </w:r>
          </w:p>
        </w:tc>
        <w:tc>
          <w:tcPr>
            <w:tcW w:w="993" w:type="dxa"/>
          </w:tcPr>
          <w:p w14:paraId="2BF0B8CE"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29.58%</w:t>
            </w:r>
          </w:p>
        </w:tc>
      </w:tr>
      <w:tr w:rsidR="00776995" w:rsidRPr="004B39D6" w14:paraId="7C6EFFC6" w14:textId="77777777" w:rsidTr="00187A7C">
        <w:tc>
          <w:tcPr>
            <w:tcW w:w="1135" w:type="dxa"/>
          </w:tcPr>
          <w:p w14:paraId="74EF4883"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1ABDB9AF"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18</w:t>
            </w:r>
          </w:p>
        </w:tc>
        <w:tc>
          <w:tcPr>
            <w:tcW w:w="886" w:type="dxa"/>
          </w:tcPr>
          <w:p w14:paraId="7B893E38"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5B24EDC4"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Pr>
          <w:p w14:paraId="32C268F9"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Pr>
          <w:p w14:paraId="6741DA18"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851" w:type="dxa"/>
          </w:tcPr>
          <w:p w14:paraId="6458A90D"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385A4BDD"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gridSpan w:val="2"/>
          </w:tcPr>
          <w:p w14:paraId="7B1D2596"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2.51%</w:t>
            </w:r>
          </w:p>
        </w:tc>
        <w:tc>
          <w:tcPr>
            <w:tcW w:w="992" w:type="dxa"/>
          </w:tcPr>
          <w:p w14:paraId="2837F690"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4.13%</w:t>
            </w:r>
          </w:p>
        </w:tc>
        <w:tc>
          <w:tcPr>
            <w:tcW w:w="993" w:type="dxa"/>
          </w:tcPr>
          <w:p w14:paraId="05FAAA96"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43.05%</w:t>
            </w:r>
          </w:p>
        </w:tc>
      </w:tr>
      <w:tr w:rsidR="00776995" w:rsidRPr="004B39D6" w14:paraId="6210EEAC" w14:textId="77777777" w:rsidTr="00187A7C">
        <w:tc>
          <w:tcPr>
            <w:tcW w:w="1135" w:type="dxa"/>
          </w:tcPr>
          <w:p w14:paraId="4957537A"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362A5599" w14:textId="77777777" w:rsidR="00776995" w:rsidRPr="004B39D6" w:rsidRDefault="00776995" w:rsidP="00187A7C">
            <w:pPr>
              <w:snapToGrid w:val="0"/>
              <w:spacing w:after="0" w:line="360" w:lineRule="auto"/>
              <w:rPr>
                <w:rFonts w:ascii="Book Antiqua" w:hAnsi="Book Antiqua"/>
                <w:sz w:val="24"/>
                <w:szCs w:val="24"/>
              </w:rPr>
            </w:pPr>
          </w:p>
        </w:tc>
        <w:tc>
          <w:tcPr>
            <w:tcW w:w="886" w:type="dxa"/>
          </w:tcPr>
          <w:p w14:paraId="1122A61A" w14:textId="77777777" w:rsidR="00776995" w:rsidRPr="004B39D6" w:rsidRDefault="00776995" w:rsidP="00187A7C">
            <w:pPr>
              <w:snapToGrid w:val="0"/>
              <w:spacing w:after="0" w:line="360" w:lineRule="auto"/>
              <w:rPr>
                <w:rFonts w:ascii="Book Antiqua" w:hAnsi="Book Antiqua"/>
                <w:sz w:val="24"/>
                <w:szCs w:val="24"/>
              </w:rPr>
            </w:pPr>
          </w:p>
        </w:tc>
        <w:tc>
          <w:tcPr>
            <w:tcW w:w="992" w:type="dxa"/>
          </w:tcPr>
          <w:p w14:paraId="794AECEA" w14:textId="77777777" w:rsidR="00776995" w:rsidRPr="004B39D6" w:rsidRDefault="00776995" w:rsidP="00187A7C">
            <w:pPr>
              <w:snapToGrid w:val="0"/>
              <w:spacing w:after="0" w:line="360" w:lineRule="auto"/>
              <w:rPr>
                <w:rFonts w:ascii="Book Antiqua" w:hAnsi="Book Antiqua"/>
                <w:sz w:val="24"/>
                <w:szCs w:val="24"/>
              </w:rPr>
            </w:pPr>
          </w:p>
        </w:tc>
        <w:tc>
          <w:tcPr>
            <w:tcW w:w="922" w:type="dxa"/>
          </w:tcPr>
          <w:p w14:paraId="4A6FB30F" w14:textId="77777777" w:rsidR="00776995" w:rsidRPr="004B39D6" w:rsidRDefault="00776995" w:rsidP="00187A7C">
            <w:pPr>
              <w:snapToGrid w:val="0"/>
              <w:spacing w:after="0" w:line="360" w:lineRule="auto"/>
              <w:ind w:right="-223"/>
              <w:rPr>
                <w:rFonts w:ascii="Book Antiqua" w:hAnsi="Book Antiqua"/>
                <w:sz w:val="24"/>
                <w:szCs w:val="24"/>
              </w:rPr>
            </w:pPr>
          </w:p>
        </w:tc>
        <w:tc>
          <w:tcPr>
            <w:tcW w:w="921" w:type="dxa"/>
            <w:gridSpan w:val="2"/>
          </w:tcPr>
          <w:p w14:paraId="3A352F6D" w14:textId="77777777" w:rsidR="00776995" w:rsidRPr="004B39D6" w:rsidRDefault="00776995" w:rsidP="00187A7C">
            <w:pPr>
              <w:snapToGrid w:val="0"/>
              <w:spacing w:after="0" w:line="360" w:lineRule="auto"/>
              <w:rPr>
                <w:rFonts w:ascii="Book Antiqua" w:hAnsi="Book Antiqua"/>
                <w:sz w:val="24"/>
                <w:szCs w:val="24"/>
              </w:rPr>
            </w:pPr>
          </w:p>
        </w:tc>
        <w:tc>
          <w:tcPr>
            <w:tcW w:w="851" w:type="dxa"/>
          </w:tcPr>
          <w:p w14:paraId="25692E6F" w14:textId="77777777" w:rsidR="00776995" w:rsidRPr="004B39D6" w:rsidRDefault="00776995" w:rsidP="00187A7C">
            <w:pPr>
              <w:snapToGrid w:val="0"/>
              <w:spacing w:after="0" w:line="360" w:lineRule="auto"/>
              <w:rPr>
                <w:rFonts w:ascii="Book Antiqua" w:hAnsi="Book Antiqua"/>
                <w:sz w:val="24"/>
                <w:szCs w:val="24"/>
              </w:rPr>
            </w:pPr>
          </w:p>
        </w:tc>
        <w:tc>
          <w:tcPr>
            <w:tcW w:w="992" w:type="dxa"/>
          </w:tcPr>
          <w:p w14:paraId="4F2716E4" w14:textId="77777777" w:rsidR="00776995" w:rsidRPr="004B39D6" w:rsidRDefault="00776995" w:rsidP="00187A7C">
            <w:pPr>
              <w:snapToGrid w:val="0"/>
              <w:spacing w:after="0" w:line="360" w:lineRule="auto"/>
              <w:rPr>
                <w:rFonts w:ascii="Book Antiqua" w:hAnsi="Book Antiqua"/>
                <w:sz w:val="24"/>
                <w:szCs w:val="24"/>
              </w:rPr>
            </w:pPr>
          </w:p>
        </w:tc>
        <w:tc>
          <w:tcPr>
            <w:tcW w:w="992" w:type="dxa"/>
            <w:gridSpan w:val="2"/>
          </w:tcPr>
          <w:p w14:paraId="29A5F602" w14:textId="77777777" w:rsidR="00776995" w:rsidRPr="004B39D6" w:rsidRDefault="00776995" w:rsidP="00187A7C">
            <w:pPr>
              <w:snapToGrid w:val="0"/>
              <w:spacing w:after="0" w:line="360" w:lineRule="auto"/>
              <w:rPr>
                <w:rFonts w:ascii="Book Antiqua" w:hAnsi="Book Antiqua"/>
                <w:sz w:val="24"/>
                <w:szCs w:val="24"/>
              </w:rPr>
            </w:pPr>
          </w:p>
        </w:tc>
        <w:tc>
          <w:tcPr>
            <w:tcW w:w="992" w:type="dxa"/>
          </w:tcPr>
          <w:p w14:paraId="5EDB61A6" w14:textId="77777777" w:rsidR="00776995" w:rsidRPr="004B39D6" w:rsidRDefault="00776995" w:rsidP="00187A7C">
            <w:pPr>
              <w:snapToGrid w:val="0"/>
              <w:spacing w:after="0" w:line="360" w:lineRule="auto"/>
              <w:rPr>
                <w:rFonts w:ascii="Book Antiqua" w:hAnsi="Book Antiqua"/>
                <w:sz w:val="24"/>
                <w:szCs w:val="24"/>
              </w:rPr>
            </w:pPr>
          </w:p>
        </w:tc>
        <w:tc>
          <w:tcPr>
            <w:tcW w:w="993" w:type="dxa"/>
          </w:tcPr>
          <w:p w14:paraId="213DFC9E" w14:textId="77777777" w:rsidR="00776995" w:rsidRPr="004B39D6" w:rsidRDefault="00776995" w:rsidP="00187A7C">
            <w:pPr>
              <w:snapToGrid w:val="0"/>
              <w:spacing w:after="0" w:line="360" w:lineRule="auto"/>
              <w:rPr>
                <w:rFonts w:ascii="Book Antiqua" w:hAnsi="Book Antiqua"/>
                <w:sz w:val="24"/>
                <w:szCs w:val="24"/>
              </w:rPr>
            </w:pPr>
          </w:p>
        </w:tc>
      </w:tr>
      <w:tr w:rsidR="00776995" w:rsidRPr="004B39D6" w14:paraId="3FF1E958" w14:textId="77777777" w:rsidTr="00187A7C">
        <w:tc>
          <w:tcPr>
            <w:tcW w:w="1135" w:type="dxa"/>
          </w:tcPr>
          <w:p w14:paraId="3EA11BF2" w14:textId="77777777" w:rsidR="00776995" w:rsidRPr="004B39D6" w:rsidRDefault="00776995" w:rsidP="00187A7C">
            <w:pPr>
              <w:snapToGrid w:val="0"/>
              <w:spacing w:after="0" w:line="360" w:lineRule="auto"/>
              <w:jc w:val="left"/>
              <w:rPr>
                <w:rFonts w:ascii="Book Antiqua" w:hAnsi="Book Antiqua"/>
                <w:sz w:val="24"/>
                <w:szCs w:val="24"/>
              </w:rPr>
            </w:pPr>
            <w:r w:rsidRPr="004B39D6">
              <w:rPr>
                <w:rFonts w:ascii="Book Antiqua" w:hAnsi="Book Antiqua"/>
                <w:sz w:val="24"/>
                <w:szCs w:val="24"/>
              </w:rPr>
              <w:t xml:space="preserve">CONTROL </w:t>
            </w:r>
          </w:p>
        </w:tc>
        <w:tc>
          <w:tcPr>
            <w:tcW w:w="673" w:type="dxa"/>
          </w:tcPr>
          <w:p w14:paraId="45B9D620"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E</w:t>
            </w:r>
          </w:p>
        </w:tc>
        <w:tc>
          <w:tcPr>
            <w:tcW w:w="886" w:type="dxa"/>
          </w:tcPr>
          <w:p w14:paraId="055860D8"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2A88026E"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Pr>
          <w:p w14:paraId="3ED20622"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Pr>
          <w:p w14:paraId="1A422DD5"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851" w:type="dxa"/>
          </w:tcPr>
          <w:p w14:paraId="77E4F1EF"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25224873"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gridSpan w:val="2"/>
          </w:tcPr>
          <w:p w14:paraId="2F422989"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18404ABB"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3" w:type="dxa"/>
          </w:tcPr>
          <w:p w14:paraId="757FB93A"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r>
      <w:tr w:rsidR="00776995" w:rsidRPr="004B39D6" w14:paraId="65BC8823" w14:textId="77777777" w:rsidTr="00187A7C">
        <w:tc>
          <w:tcPr>
            <w:tcW w:w="1135" w:type="dxa"/>
          </w:tcPr>
          <w:p w14:paraId="3E91B7CD"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7744FD59"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G</w:t>
            </w:r>
          </w:p>
        </w:tc>
        <w:tc>
          <w:tcPr>
            <w:tcW w:w="886" w:type="dxa"/>
          </w:tcPr>
          <w:p w14:paraId="2CB84348"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33F9F60D"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Pr>
          <w:p w14:paraId="176122D9"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Pr>
          <w:p w14:paraId="0482954F"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851" w:type="dxa"/>
          </w:tcPr>
          <w:p w14:paraId="20A6AD33"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354F4B87"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gridSpan w:val="2"/>
          </w:tcPr>
          <w:p w14:paraId="3E115741"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3A4D30F4"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3" w:type="dxa"/>
          </w:tcPr>
          <w:p w14:paraId="3E5BE066"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r>
      <w:tr w:rsidR="00776995" w:rsidRPr="004B39D6" w14:paraId="46D4F469" w14:textId="77777777" w:rsidTr="00187A7C">
        <w:tc>
          <w:tcPr>
            <w:tcW w:w="1135" w:type="dxa"/>
          </w:tcPr>
          <w:p w14:paraId="0CBF93D0"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Pr>
          <w:p w14:paraId="2C965806"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J</w:t>
            </w:r>
          </w:p>
        </w:tc>
        <w:tc>
          <w:tcPr>
            <w:tcW w:w="886" w:type="dxa"/>
          </w:tcPr>
          <w:p w14:paraId="1EBBA045"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1F00327D"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Pr>
          <w:p w14:paraId="659D9A75"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Pr>
          <w:p w14:paraId="6A3B6B6B"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851" w:type="dxa"/>
          </w:tcPr>
          <w:p w14:paraId="0494DDD0"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5E0E244A"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gridSpan w:val="2"/>
          </w:tcPr>
          <w:p w14:paraId="5F931FC5"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Pr>
          <w:p w14:paraId="2A36B032"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3" w:type="dxa"/>
          </w:tcPr>
          <w:p w14:paraId="0F1229A9"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r>
      <w:tr w:rsidR="00776995" w:rsidRPr="004B39D6" w14:paraId="4AD29284" w14:textId="77777777" w:rsidTr="00187A7C">
        <w:tc>
          <w:tcPr>
            <w:tcW w:w="1135" w:type="dxa"/>
            <w:tcBorders>
              <w:bottom w:val="single" w:sz="4" w:space="0" w:color="auto"/>
            </w:tcBorders>
          </w:tcPr>
          <w:p w14:paraId="72B14CF0" w14:textId="77777777" w:rsidR="00776995" w:rsidRPr="004B39D6" w:rsidRDefault="00776995" w:rsidP="00187A7C">
            <w:pPr>
              <w:snapToGrid w:val="0"/>
              <w:spacing w:after="0" w:line="360" w:lineRule="auto"/>
              <w:jc w:val="left"/>
              <w:rPr>
                <w:rFonts w:ascii="Book Antiqua" w:hAnsi="Book Antiqua"/>
                <w:sz w:val="24"/>
                <w:szCs w:val="24"/>
              </w:rPr>
            </w:pPr>
          </w:p>
        </w:tc>
        <w:tc>
          <w:tcPr>
            <w:tcW w:w="673" w:type="dxa"/>
            <w:tcBorders>
              <w:bottom w:val="single" w:sz="4" w:space="0" w:color="auto"/>
            </w:tcBorders>
          </w:tcPr>
          <w:p w14:paraId="16E18981"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L</w:t>
            </w:r>
          </w:p>
        </w:tc>
        <w:tc>
          <w:tcPr>
            <w:tcW w:w="886" w:type="dxa"/>
            <w:tcBorders>
              <w:bottom w:val="single" w:sz="4" w:space="0" w:color="auto"/>
            </w:tcBorders>
          </w:tcPr>
          <w:p w14:paraId="6564C625"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Borders>
              <w:bottom w:val="single" w:sz="4" w:space="0" w:color="auto"/>
            </w:tcBorders>
          </w:tcPr>
          <w:p w14:paraId="661260B1"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22" w:type="dxa"/>
            <w:tcBorders>
              <w:bottom w:val="single" w:sz="4" w:space="0" w:color="auto"/>
            </w:tcBorders>
          </w:tcPr>
          <w:p w14:paraId="6A144BAD" w14:textId="77777777" w:rsidR="00776995" w:rsidRPr="004B39D6" w:rsidRDefault="00776995" w:rsidP="00187A7C">
            <w:pPr>
              <w:snapToGrid w:val="0"/>
              <w:spacing w:after="0" w:line="360" w:lineRule="auto"/>
              <w:ind w:right="-223"/>
              <w:rPr>
                <w:rFonts w:ascii="Book Antiqua" w:hAnsi="Book Antiqua"/>
                <w:sz w:val="24"/>
                <w:szCs w:val="24"/>
              </w:rPr>
            </w:pPr>
            <w:r w:rsidRPr="004B39D6">
              <w:rPr>
                <w:rFonts w:ascii="Book Antiqua" w:hAnsi="Book Antiqua"/>
                <w:sz w:val="24"/>
                <w:szCs w:val="24"/>
              </w:rPr>
              <w:t>-</w:t>
            </w:r>
          </w:p>
        </w:tc>
        <w:tc>
          <w:tcPr>
            <w:tcW w:w="921" w:type="dxa"/>
            <w:gridSpan w:val="2"/>
            <w:tcBorders>
              <w:bottom w:val="single" w:sz="4" w:space="0" w:color="auto"/>
            </w:tcBorders>
          </w:tcPr>
          <w:p w14:paraId="27A822D6"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851" w:type="dxa"/>
            <w:tcBorders>
              <w:bottom w:val="single" w:sz="4" w:space="0" w:color="auto"/>
            </w:tcBorders>
          </w:tcPr>
          <w:p w14:paraId="784D304C"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Borders>
              <w:bottom w:val="single" w:sz="4" w:space="0" w:color="auto"/>
            </w:tcBorders>
          </w:tcPr>
          <w:p w14:paraId="4442DB88"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gridSpan w:val="2"/>
            <w:tcBorders>
              <w:bottom w:val="single" w:sz="4" w:space="0" w:color="auto"/>
            </w:tcBorders>
          </w:tcPr>
          <w:p w14:paraId="53ECB6EA"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2" w:type="dxa"/>
            <w:tcBorders>
              <w:bottom w:val="single" w:sz="4" w:space="0" w:color="auto"/>
            </w:tcBorders>
          </w:tcPr>
          <w:p w14:paraId="3B3205ED"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c>
          <w:tcPr>
            <w:tcW w:w="993" w:type="dxa"/>
            <w:tcBorders>
              <w:bottom w:val="single" w:sz="4" w:space="0" w:color="auto"/>
            </w:tcBorders>
          </w:tcPr>
          <w:p w14:paraId="091A238D" w14:textId="77777777" w:rsidR="00776995" w:rsidRPr="004B39D6" w:rsidRDefault="00776995" w:rsidP="00187A7C">
            <w:pPr>
              <w:snapToGrid w:val="0"/>
              <w:spacing w:after="0" w:line="360" w:lineRule="auto"/>
              <w:rPr>
                <w:rFonts w:ascii="Book Antiqua" w:hAnsi="Book Antiqua"/>
                <w:sz w:val="24"/>
                <w:szCs w:val="24"/>
              </w:rPr>
            </w:pPr>
            <w:r w:rsidRPr="004B39D6">
              <w:rPr>
                <w:rFonts w:ascii="Book Antiqua" w:hAnsi="Book Antiqua"/>
                <w:sz w:val="24"/>
                <w:szCs w:val="24"/>
              </w:rPr>
              <w:t>*</w:t>
            </w:r>
          </w:p>
        </w:tc>
      </w:tr>
    </w:tbl>
    <w:p w14:paraId="72F23456" w14:textId="55FD694D" w:rsidR="00D14A6D" w:rsidRPr="004B39D6" w:rsidRDefault="00187A7C" w:rsidP="001C07F6">
      <w:pPr>
        <w:snapToGrid w:val="0"/>
        <w:spacing w:after="0" w:line="360" w:lineRule="auto"/>
        <w:jc w:val="both"/>
        <w:rPr>
          <w:rFonts w:ascii="Book Antiqua" w:eastAsiaTheme="minorHAnsi" w:hAnsi="Book Antiqua" w:cstheme="minorBidi"/>
          <w:sz w:val="24"/>
          <w:szCs w:val="24"/>
          <w:lang w:val="en-US" w:eastAsia="en-US"/>
        </w:rPr>
      </w:pPr>
      <w:r w:rsidRPr="00187A7C">
        <w:rPr>
          <w:rFonts w:ascii="Book Antiqua" w:hAnsi="Book Antiqua" w:cstheme="minorBidi" w:hint="eastAsia"/>
          <w:sz w:val="24"/>
          <w:szCs w:val="24"/>
          <w:vertAlign w:val="superscript"/>
          <w:lang w:val="en-US" w:eastAsia="zh-CN"/>
        </w:rPr>
        <w:lastRenderedPageBreak/>
        <w:t>1</w:t>
      </w:r>
      <w:r w:rsidR="001C07F6" w:rsidRPr="001C07F6">
        <w:rPr>
          <w:rFonts w:ascii="Book Antiqua" w:eastAsiaTheme="minorHAnsi" w:hAnsi="Book Antiqua" w:cstheme="minorBidi"/>
          <w:sz w:val="24"/>
          <w:szCs w:val="24"/>
          <w:lang w:val="en-US" w:eastAsia="en-US"/>
        </w:rPr>
        <w:t xml:space="preserve">Pathways of activation are defined by the production of IL-4, </w:t>
      </w:r>
      <w:proofErr w:type="spellStart"/>
      <w:r w:rsidR="001C07F6" w:rsidRPr="001C07F6">
        <w:rPr>
          <w:rFonts w:ascii="Book Antiqua" w:eastAsiaTheme="minorHAnsi" w:hAnsi="Book Antiqua" w:cstheme="minorBidi"/>
          <w:sz w:val="24"/>
          <w:szCs w:val="24"/>
          <w:lang w:val="en-US" w:eastAsia="en-US"/>
        </w:rPr>
        <w:t>IFNγ</w:t>
      </w:r>
      <w:proofErr w:type="spellEnd"/>
      <w:r w:rsidR="001C07F6" w:rsidRPr="001C07F6">
        <w:rPr>
          <w:rFonts w:ascii="Book Antiqua" w:eastAsiaTheme="minorHAnsi" w:hAnsi="Book Antiqua" w:cstheme="minorBidi"/>
          <w:sz w:val="24"/>
          <w:szCs w:val="24"/>
          <w:lang w:val="en-US" w:eastAsia="en-US"/>
        </w:rPr>
        <w:t xml:space="preserve"> or both cytokines simultaneously.</w:t>
      </w:r>
      <w:r>
        <w:rPr>
          <w:rFonts w:ascii="Book Antiqua" w:hAnsi="Book Antiqua" w:cstheme="minorBidi" w:hint="eastAsia"/>
          <w:sz w:val="24"/>
          <w:szCs w:val="24"/>
          <w:lang w:val="en-US" w:eastAsia="zh-CN"/>
        </w:rPr>
        <w:t xml:space="preserve"> </w:t>
      </w:r>
      <w:r>
        <w:rPr>
          <w:rFonts w:ascii="Book Antiqua" w:hAnsi="Book Antiqua" w:cstheme="minorBidi"/>
          <w:sz w:val="24"/>
          <w:szCs w:val="24"/>
          <w:lang w:val="en-US" w:eastAsia="zh-CN"/>
        </w:rPr>
        <w:t>“</w:t>
      </w:r>
      <w:r>
        <w:rPr>
          <w:rFonts w:ascii="Book Antiqua" w:hAnsi="Book Antiqua" w:cstheme="minorBidi" w:hint="eastAsia"/>
          <w:sz w:val="24"/>
          <w:szCs w:val="24"/>
          <w:lang w:val="en-US" w:eastAsia="zh-CN"/>
        </w:rPr>
        <w:t>-</w:t>
      </w:r>
      <w:r>
        <w:rPr>
          <w:rFonts w:ascii="Book Antiqua" w:hAnsi="Book Antiqua" w:cstheme="minorBidi"/>
          <w:sz w:val="24"/>
          <w:szCs w:val="24"/>
          <w:lang w:val="en-US" w:eastAsia="zh-CN"/>
        </w:rPr>
        <w:t>“</w:t>
      </w:r>
      <w:r>
        <w:rPr>
          <w:rFonts w:ascii="Book Antiqua" w:hAnsi="Book Antiqua" w:cstheme="minorBidi" w:hint="eastAsia"/>
          <w:sz w:val="24"/>
          <w:szCs w:val="24"/>
          <w:lang w:val="en-US" w:eastAsia="zh-CN"/>
        </w:rPr>
        <w:t xml:space="preserve">: </w:t>
      </w:r>
      <w:r w:rsidRPr="004B39D6">
        <w:rPr>
          <w:rFonts w:ascii="Book Antiqua" w:eastAsiaTheme="minorHAnsi" w:hAnsi="Book Antiqua" w:cstheme="minorBidi"/>
          <w:sz w:val="24"/>
          <w:szCs w:val="24"/>
          <w:lang w:val="en-US" w:eastAsia="en-US"/>
        </w:rPr>
        <w:t>N</w:t>
      </w:r>
      <w:r w:rsidR="00D14A6D" w:rsidRPr="004B39D6">
        <w:rPr>
          <w:rFonts w:ascii="Book Antiqua" w:eastAsiaTheme="minorHAnsi" w:hAnsi="Book Antiqua" w:cstheme="minorBidi"/>
          <w:sz w:val="24"/>
          <w:szCs w:val="24"/>
          <w:lang w:val="en-US" w:eastAsia="en-US"/>
        </w:rPr>
        <w:t xml:space="preserve">o activation; </w:t>
      </w:r>
      <w:r>
        <w:rPr>
          <w:rFonts w:ascii="Book Antiqua" w:hAnsi="Book Antiqua" w:cstheme="minorBidi"/>
          <w:sz w:val="24"/>
          <w:szCs w:val="24"/>
          <w:lang w:val="en-US" w:eastAsia="zh-CN"/>
        </w:rPr>
        <w:t>“</w:t>
      </w:r>
      <w:r w:rsidR="00D14A6D" w:rsidRPr="004B39D6">
        <w:rPr>
          <w:rFonts w:ascii="Book Antiqua" w:eastAsiaTheme="minorHAnsi" w:hAnsi="Book Antiqua" w:cstheme="minorBidi"/>
          <w:sz w:val="24"/>
          <w:szCs w:val="24"/>
          <w:lang w:val="en-US" w:eastAsia="en-US"/>
        </w:rPr>
        <w:t>*</w:t>
      </w:r>
      <w:r>
        <w:rPr>
          <w:rFonts w:ascii="Book Antiqua" w:hAnsi="Book Antiqua" w:cstheme="minorBidi"/>
          <w:sz w:val="24"/>
          <w:szCs w:val="24"/>
          <w:lang w:val="en-US" w:eastAsia="zh-CN"/>
        </w:rPr>
        <w:t>”</w:t>
      </w:r>
      <w:r>
        <w:rPr>
          <w:rFonts w:ascii="Book Antiqua" w:hAnsi="Book Antiqua" w:cstheme="minorBidi" w:hint="eastAsia"/>
          <w:sz w:val="24"/>
          <w:szCs w:val="24"/>
          <w:lang w:val="en-US" w:eastAsia="zh-CN"/>
        </w:rPr>
        <w:t xml:space="preserve">: </w:t>
      </w:r>
      <w:r w:rsidRPr="004B39D6">
        <w:rPr>
          <w:rFonts w:ascii="Book Antiqua" w:eastAsiaTheme="minorHAnsi" w:hAnsi="Book Antiqua" w:cstheme="minorBidi"/>
          <w:sz w:val="24"/>
          <w:szCs w:val="24"/>
          <w:lang w:val="en-US" w:eastAsia="en-US"/>
        </w:rPr>
        <w:t>A</w:t>
      </w:r>
      <w:r w:rsidR="00D14A6D" w:rsidRPr="004B39D6">
        <w:rPr>
          <w:rFonts w:ascii="Book Antiqua" w:eastAsiaTheme="minorHAnsi" w:hAnsi="Book Antiqua" w:cstheme="minorBidi"/>
          <w:sz w:val="24"/>
          <w:szCs w:val="24"/>
          <w:lang w:val="en-US" w:eastAsia="en-US"/>
        </w:rPr>
        <w:t>nalysis was not possible due to the low number of gated cells. Group 1: don+/rec-, with Abs, with PC-rich rejection</w:t>
      </w:r>
      <w:r>
        <w:rPr>
          <w:rFonts w:ascii="Book Antiqua" w:hAnsi="Book Antiqua" w:cstheme="minorBidi" w:hint="eastAsia"/>
          <w:sz w:val="24"/>
          <w:szCs w:val="24"/>
          <w:lang w:val="en-US" w:eastAsia="zh-CN"/>
        </w:rPr>
        <w:t>;</w:t>
      </w:r>
      <w:r w:rsidR="00D14A6D" w:rsidRPr="004B39D6">
        <w:rPr>
          <w:rFonts w:ascii="Book Antiqua" w:eastAsiaTheme="minorHAnsi" w:hAnsi="Book Antiqua" w:cstheme="minorBidi"/>
          <w:sz w:val="24"/>
          <w:szCs w:val="24"/>
          <w:lang w:val="en-US" w:eastAsia="en-US"/>
        </w:rPr>
        <w:t xml:space="preserve"> Group 2: don+/rec-, with Abs, without PC-rich rejection</w:t>
      </w:r>
      <w:r>
        <w:rPr>
          <w:rFonts w:ascii="Book Antiqua" w:hAnsi="Book Antiqua" w:cstheme="minorBidi" w:hint="eastAsia"/>
          <w:sz w:val="24"/>
          <w:szCs w:val="24"/>
          <w:lang w:val="en-US" w:eastAsia="zh-CN"/>
        </w:rPr>
        <w:t>;</w:t>
      </w:r>
      <w:r w:rsidR="00D14A6D" w:rsidRPr="004B39D6">
        <w:rPr>
          <w:rFonts w:ascii="Book Antiqua" w:eastAsiaTheme="minorHAnsi" w:hAnsi="Book Antiqua" w:cstheme="minorBidi"/>
          <w:sz w:val="24"/>
          <w:szCs w:val="24"/>
          <w:lang w:val="en-US" w:eastAsia="en-US"/>
        </w:rPr>
        <w:t xml:space="preserve"> Group 3: don+/rec-, without Abs, without PC-rich rejection</w:t>
      </w:r>
      <w:r>
        <w:rPr>
          <w:rFonts w:ascii="Book Antiqua" w:hAnsi="Book Antiqua" w:cstheme="minorBidi" w:hint="eastAsia"/>
          <w:sz w:val="24"/>
          <w:szCs w:val="24"/>
          <w:lang w:val="en-US" w:eastAsia="zh-CN"/>
        </w:rPr>
        <w:t>;</w:t>
      </w:r>
      <w:r w:rsidR="00D14A6D" w:rsidRPr="004B39D6">
        <w:rPr>
          <w:rFonts w:ascii="Book Antiqua" w:eastAsiaTheme="minorHAnsi" w:hAnsi="Book Antiqua" w:cstheme="minorBidi"/>
          <w:sz w:val="24"/>
          <w:szCs w:val="24"/>
          <w:lang w:val="en-US" w:eastAsia="en-US"/>
        </w:rPr>
        <w:t xml:space="preserve"> Control group: don+/rec+.</w:t>
      </w:r>
    </w:p>
    <w:p w14:paraId="608C5C23" w14:textId="77777777" w:rsidR="00D14A6D" w:rsidRDefault="00D14A6D" w:rsidP="0081528B">
      <w:pPr>
        <w:snapToGrid w:val="0"/>
        <w:spacing w:after="0" w:line="360" w:lineRule="auto"/>
        <w:jc w:val="both"/>
        <w:rPr>
          <w:rFonts w:ascii="Book Antiqua" w:hAnsi="Book Antiqua" w:cs="Arial"/>
          <w:sz w:val="24"/>
          <w:szCs w:val="24"/>
          <w:lang w:val="en-US" w:eastAsia="zh-CN"/>
        </w:rPr>
      </w:pPr>
    </w:p>
    <w:p w14:paraId="208392F8" w14:textId="77777777" w:rsidR="001C07F6" w:rsidRDefault="001C07F6" w:rsidP="0081528B">
      <w:pPr>
        <w:snapToGrid w:val="0"/>
        <w:spacing w:after="0" w:line="360" w:lineRule="auto"/>
        <w:jc w:val="both"/>
        <w:rPr>
          <w:rFonts w:ascii="Book Antiqua" w:hAnsi="Book Antiqua" w:cs="Arial"/>
          <w:sz w:val="24"/>
          <w:szCs w:val="24"/>
          <w:lang w:val="en-US" w:eastAsia="zh-CN"/>
        </w:rPr>
      </w:pPr>
    </w:p>
    <w:p w14:paraId="72A9ED90" w14:textId="7C0B935D" w:rsidR="001C07F6" w:rsidRDefault="001C07F6">
      <w:pPr>
        <w:spacing w:after="0" w:line="240" w:lineRule="auto"/>
        <w:rPr>
          <w:rFonts w:ascii="Book Antiqua" w:hAnsi="Book Antiqua" w:cs="Arial"/>
          <w:sz w:val="24"/>
          <w:szCs w:val="24"/>
          <w:lang w:val="en-US" w:eastAsia="zh-CN"/>
        </w:rPr>
      </w:pPr>
      <w:r>
        <w:rPr>
          <w:rFonts w:ascii="Book Antiqua" w:hAnsi="Book Antiqua" w:cs="Arial"/>
          <w:sz w:val="24"/>
          <w:szCs w:val="24"/>
          <w:lang w:val="en-US" w:eastAsia="zh-CN"/>
        </w:rPr>
        <w:br w:type="page"/>
      </w:r>
    </w:p>
    <w:p w14:paraId="63213FC2" w14:textId="502DE193" w:rsidR="001C07F6" w:rsidRPr="004B39D6" w:rsidRDefault="001C07F6" w:rsidP="0081528B">
      <w:pPr>
        <w:snapToGrid w:val="0"/>
        <w:spacing w:after="0" w:line="360" w:lineRule="auto"/>
        <w:jc w:val="both"/>
        <w:rPr>
          <w:rFonts w:ascii="Book Antiqua" w:hAnsi="Book Antiqua" w:cs="Arial"/>
          <w:sz w:val="24"/>
          <w:szCs w:val="24"/>
          <w:lang w:val="en-US" w:eastAsia="zh-CN"/>
        </w:rPr>
      </w:pPr>
      <w:r w:rsidRPr="001C07F6">
        <w:rPr>
          <w:rFonts w:ascii="Book Antiqua" w:eastAsiaTheme="minorHAnsi" w:hAnsi="Book Antiqua" w:cstheme="minorBidi"/>
          <w:b/>
          <w:sz w:val="24"/>
          <w:szCs w:val="24"/>
          <w:lang w:val="en-US" w:eastAsia="en-US"/>
        </w:rPr>
        <w:lastRenderedPageBreak/>
        <w:t>Table 4 Class I and class II HLA genotypes of the patients</w:t>
      </w:r>
    </w:p>
    <w:tbl>
      <w:tblPr>
        <w:tblStyle w:val="TableTheme"/>
        <w:tblW w:w="6204" w:type="dxa"/>
        <w:tblLayout w:type="fixed"/>
        <w:tblLook w:val="04A0" w:firstRow="1" w:lastRow="0" w:firstColumn="1" w:lastColumn="0" w:noHBand="0" w:noVBand="1"/>
      </w:tblPr>
      <w:tblGrid>
        <w:gridCol w:w="1101"/>
        <w:gridCol w:w="1559"/>
        <w:gridCol w:w="1843"/>
        <w:gridCol w:w="1701"/>
      </w:tblGrid>
      <w:tr w:rsidR="00D14A6D" w:rsidRPr="004B39D6" w14:paraId="6960BCBA" w14:textId="77777777" w:rsidTr="001C07F6">
        <w:trPr>
          <w:cnfStyle w:val="100000000000" w:firstRow="1" w:lastRow="0" w:firstColumn="0" w:lastColumn="0" w:oddVBand="0" w:evenVBand="0" w:oddHBand="0" w:evenHBand="0" w:firstRowFirstColumn="0" w:firstRowLastColumn="0" w:lastRowFirstColumn="0" w:lastRowLastColumn="0"/>
          <w:trHeight w:val="172"/>
        </w:trPr>
        <w:tc>
          <w:tcPr>
            <w:tcW w:w="1101" w:type="dxa"/>
          </w:tcPr>
          <w:p w14:paraId="5125C6D6" w14:textId="77777777" w:rsidR="00D14A6D" w:rsidRPr="004B39D6" w:rsidRDefault="00D14A6D" w:rsidP="001C07F6">
            <w:pPr>
              <w:snapToGrid w:val="0"/>
              <w:spacing w:after="0" w:line="360" w:lineRule="auto"/>
              <w:rPr>
                <w:rFonts w:ascii="Book Antiqua" w:hAnsi="Book Antiqua" w:cstheme="minorHAnsi"/>
                <w:b/>
                <w:sz w:val="24"/>
                <w:szCs w:val="24"/>
              </w:rPr>
            </w:pPr>
            <w:r w:rsidRPr="004B39D6">
              <w:rPr>
                <w:rFonts w:ascii="Book Antiqua" w:hAnsi="Book Antiqua" w:cstheme="minorHAnsi"/>
                <w:b/>
                <w:sz w:val="24"/>
                <w:szCs w:val="24"/>
              </w:rPr>
              <w:t>Pat #</w:t>
            </w:r>
          </w:p>
        </w:tc>
        <w:tc>
          <w:tcPr>
            <w:tcW w:w="1559" w:type="dxa"/>
          </w:tcPr>
          <w:p w14:paraId="3149E2E0" w14:textId="77777777" w:rsidR="00D14A6D" w:rsidRPr="004B39D6" w:rsidRDefault="00D14A6D" w:rsidP="001C07F6">
            <w:pPr>
              <w:snapToGrid w:val="0"/>
              <w:spacing w:after="0" w:line="360" w:lineRule="auto"/>
              <w:rPr>
                <w:rFonts w:ascii="Book Antiqua" w:hAnsi="Book Antiqua" w:cstheme="minorHAnsi"/>
                <w:b/>
                <w:noProof/>
                <w:sz w:val="24"/>
                <w:szCs w:val="24"/>
              </w:rPr>
            </w:pPr>
            <w:r w:rsidRPr="004B39D6">
              <w:rPr>
                <w:rFonts w:ascii="Book Antiqua" w:hAnsi="Book Antiqua" w:cstheme="minorHAnsi"/>
                <w:b/>
                <w:sz w:val="24"/>
                <w:szCs w:val="24"/>
              </w:rPr>
              <w:t>HLA-A*</w:t>
            </w:r>
          </w:p>
        </w:tc>
        <w:tc>
          <w:tcPr>
            <w:tcW w:w="1843" w:type="dxa"/>
          </w:tcPr>
          <w:p w14:paraId="7A916AC3" w14:textId="77777777" w:rsidR="00D14A6D" w:rsidRPr="004B39D6" w:rsidRDefault="00D14A6D" w:rsidP="001C07F6">
            <w:pPr>
              <w:snapToGrid w:val="0"/>
              <w:spacing w:after="0" w:line="360" w:lineRule="auto"/>
              <w:rPr>
                <w:rFonts w:ascii="Book Antiqua" w:hAnsi="Book Antiqua" w:cstheme="minorHAnsi"/>
                <w:b/>
                <w:noProof/>
                <w:sz w:val="24"/>
                <w:szCs w:val="24"/>
              </w:rPr>
            </w:pPr>
            <w:r w:rsidRPr="004B39D6">
              <w:rPr>
                <w:rFonts w:ascii="Book Antiqua" w:hAnsi="Book Antiqua" w:cstheme="minorHAnsi"/>
                <w:b/>
                <w:sz w:val="24"/>
                <w:szCs w:val="24"/>
              </w:rPr>
              <w:t>HLA-B*</w:t>
            </w:r>
          </w:p>
        </w:tc>
        <w:tc>
          <w:tcPr>
            <w:tcW w:w="1701" w:type="dxa"/>
          </w:tcPr>
          <w:p w14:paraId="37B9AE4E" w14:textId="77777777" w:rsidR="00D14A6D" w:rsidRPr="004B39D6" w:rsidRDefault="00D14A6D" w:rsidP="001C07F6">
            <w:pPr>
              <w:snapToGrid w:val="0"/>
              <w:spacing w:after="0" w:line="360" w:lineRule="auto"/>
              <w:rPr>
                <w:rFonts w:ascii="Book Antiqua" w:hAnsi="Book Antiqua" w:cstheme="minorHAnsi"/>
                <w:b/>
                <w:noProof/>
                <w:sz w:val="24"/>
                <w:szCs w:val="24"/>
              </w:rPr>
            </w:pPr>
            <w:r w:rsidRPr="004B39D6">
              <w:rPr>
                <w:rFonts w:ascii="Book Antiqua" w:hAnsi="Book Antiqua" w:cstheme="minorHAnsi"/>
                <w:b/>
                <w:sz w:val="24"/>
                <w:szCs w:val="24"/>
              </w:rPr>
              <w:t>DRB1*</w:t>
            </w:r>
          </w:p>
        </w:tc>
      </w:tr>
      <w:tr w:rsidR="00D14A6D" w:rsidRPr="004B39D6" w14:paraId="024AA4B7" w14:textId="77777777" w:rsidTr="001C07F6">
        <w:trPr>
          <w:trHeight w:val="172"/>
        </w:trPr>
        <w:tc>
          <w:tcPr>
            <w:tcW w:w="1101" w:type="dxa"/>
          </w:tcPr>
          <w:p w14:paraId="3F3515F8"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1</w:t>
            </w:r>
          </w:p>
        </w:tc>
        <w:tc>
          <w:tcPr>
            <w:tcW w:w="1559" w:type="dxa"/>
          </w:tcPr>
          <w:p w14:paraId="7298A23C"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01    03</w:t>
            </w:r>
          </w:p>
        </w:tc>
        <w:tc>
          <w:tcPr>
            <w:tcW w:w="1843" w:type="dxa"/>
          </w:tcPr>
          <w:p w14:paraId="6494BB26"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07    57</w:t>
            </w:r>
          </w:p>
        </w:tc>
        <w:tc>
          <w:tcPr>
            <w:tcW w:w="1701" w:type="dxa"/>
          </w:tcPr>
          <w:p w14:paraId="38DC9B9D"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11    15</w:t>
            </w:r>
          </w:p>
        </w:tc>
      </w:tr>
      <w:tr w:rsidR="00D14A6D" w:rsidRPr="004B39D6" w14:paraId="4D0CE177" w14:textId="77777777" w:rsidTr="001C07F6">
        <w:tc>
          <w:tcPr>
            <w:tcW w:w="1101" w:type="dxa"/>
          </w:tcPr>
          <w:p w14:paraId="049DA952"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2</w:t>
            </w:r>
          </w:p>
        </w:tc>
        <w:tc>
          <w:tcPr>
            <w:tcW w:w="1559" w:type="dxa"/>
          </w:tcPr>
          <w:p w14:paraId="2F75620B"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01    66</w:t>
            </w:r>
          </w:p>
        </w:tc>
        <w:tc>
          <w:tcPr>
            <w:tcW w:w="1843" w:type="dxa"/>
          </w:tcPr>
          <w:p w14:paraId="453F13C2"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08    41</w:t>
            </w:r>
          </w:p>
        </w:tc>
        <w:tc>
          <w:tcPr>
            <w:tcW w:w="1701" w:type="dxa"/>
          </w:tcPr>
          <w:p w14:paraId="1FE5C6EB"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03    13</w:t>
            </w:r>
          </w:p>
        </w:tc>
      </w:tr>
      <w:tr w:rsidR="00D14A6D" w:rsidRPr="004B39D6" w14:paraId="27609870" w14:textId="77777777" w:rsidTr="001C07F6">
        <w:tc>
          <w:tcPr>
            <w:tcW w:w="1101" w:type="dxa"/>
          </w:tcPr>
          <w:p w14:paraId="02325FA3"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3</w:t>
            </w:r>
          </w:p>
        </w:tc>
        <w:tc>
          <w:tcPr>
            <w:tcW w:w="1559" w:type="dxa"/>
          </w:tcPr>
          <w:p w14:paraId="618B95AD"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11    29</w:t>
            </w:r>
          </w:p>
        </w:tc>
        <w:tc>
          <w:tcPr>
            <w:tcW w:w="1843" w:type="dxa"/>
          </w:tcPr>
          <w:p w14:paraId="42FA0729"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07    35</w:t>
            </w:r>
          </w:p>
        </w:tc>
        <w:tc>
          <w:tcPr>
            <w:tcW w:w="1701" w:type="dxa"/>
          </w:tcPr>
          <w:p w14:paraId="0CF17D4D"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07   13</w:t>
            </w:r>
          </w:p>
        </w:tc>
      </w:tr>
      <w:tr w:rsidR="00D14A6D" w:rsidRPr="004B39D6" w14:paraId="3E8C81D6" w14:textId="77777777" w:rsidTr="001C07F6">
        <w:tc>
          <w:tcPr>
            <w:tcW w:w="1101" w:type="dxa"/>
          </w:tcPr>
          <w:p w14:paraId="3FC4D3A2"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4</w:t>
            </w:r>
          </w:p>
        </w:tc>
        <w:tc>
          <w:tcPr>
            <w:tcW w:w="1559" w:type="dxa"/>
          </w:tcPr>
          <w:p w14:paraId="7CF7CA9C"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02    11</w:t>
            </w:r>
          </w:p>
        </w:tc>
        <w:tc>
          <w:tcPr>
            <w:tcW w:w="1843" w:type="dxa"/>
          </w:tcPr>
          <w:p w14:paraId="4924BDEE"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51    60</w:t>
            </w:r>
          </w:p>
        </w:tc>
        <w:tc>
          <w:tcPr>
            <w:tcW w:w="1701" w:type="dxa"/>
          </w:tcPr>
          <w:p w14:paraId="219725A9"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04   13</w:t>
            </w:r>
          </w:p>
        </w:tc>
      </w:tr>
      <w:tr w:rsidR="00D14A6D" w:rsidRPr="004B39D6" w14:paraId="23217503" w14:textId="77777777" w:rsidTr="001C07F6">
        <w:tc>
          <w:tcPr>
            <w:tcW w:w="1101" w:type="dxa"/>
          </w:tcPr>
          <w:p w14:paraId="2F5DC67C"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5</w:t>
            </w:r>
          </w:p>
        </w:tc>
        <w:tc>
          <w:tcPr>
            <w:tcW w:w="1559" w:type="dxa"/>
          </w:tcPr>
          <w:p w14:paraId="3B94516C" w14:textId="1F6CAA6E"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 xml:space="preserve">30   </w:t>
            </w:r>
            <w:r w:rsidR="00FB0BD6">
              <w:rPr>
                <w:rFonts w:ascii="Book Antiqua" w:hAnsi="Book Antiqua" w:cstheme="minorHAnsi"/>
                <w:sz w:val="24"/>
                <w:szCs w:val="24"/>
              </w:rPr>
              <w:t xml:space="preserve">  </w:t>
            </w:r>
            <w:r w:rsidRPr="004B39D6">
              <w:rPr>
                <w:rFonts w:ascii="Book Antiqua" w:hAnsi="Book Antiqua" w:cstheme="minorHAnsi"/>
                <w:sz w:val="24"/>
                <w:szCs w:val="24"/>
              </w:rPr>
              <w:t xml:space="preserve"> -</w:t>
            </w:r>
          </w:p>
        </w:tc>
        <w:tc>
          <w:tcPr>
            <w:tcW w:w="1843" w:type="dxa"/>
          </w:tcPr>
          <w:p w14:paraId="440475EC"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13    18</w:t>
            </w:r>
          </w:p>
        </w:tc>
        <w:tc>
          <w:tcPr>
            <w:tcW w:w="1701" w:type="dxa"/>
          </w:tcPr>
          <w:p w14:paraId="7A2CC8D4"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03   07</w:t>
            </w:r>
          </w:p>
        </w:tc>
      </w:tr>
      <w:tr w:rsidR="00D14A6D" w:rsidRPr="004B39D6" w14:paraId="53C2175B" w14:textId="77777777" w:rsidTr="001C07F6">
        <w:tc>
          <w:tcPr>
            <w:tcW w:w="1101" w:type="dxa"/>
          </w:tcPr>
          <w:p w14:paraId="5592C1A4"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6</w:t>
            </w:r>
          </w:p>
        </w:tc>
        <w:tc>
          <w:tcPr>
            <w:tcW w:w="1559" w:type="dxa"/>
          </w:tcPr>
          <w:p w14:paraId="7A1B8A57"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02    11</w:t>
            </w:r>
          </w:p>
        </w:tc>
        <w:tc>
          <w:tcPr>
            <w:tcW w:w="1843" w:type="dxa"/>
          </w:tcPr>
          <w:p w14:paraId="0D971CAD"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35    44</w:t>
            </w:r>
          </w:p>
        </w:tc>
        <w:tc>
          <w:tcPr>
            <w:tcW w:w="1701" w:type="dxa"/>
          </w:tcPr>
          <w:p w14:paraId="7933D011"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07   08</w:t>
            </w:r>
          </w:p>
        </w:tc>
      </w:tr>
      <w:tr w:rsidR="00D14A6D" w:rsidRPr="004B39D6" w14:paraId="6D11F412" w14:textId="77777777" w:rsidTr="001C07F6">
        <w:tc>
          <w:tcPr>
            <w:tcW w:w="1101" w:type="dxa"/>
          </w:tcPr>
          <w:p w14:paraId="5806EF93"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7</w:t>
            </w:r>
          </w:p>
        </w:tc>
        <w:tc>
          <w:tcPr>
            <w:tcW w:w="1559" w:type="dxa"/>
          </w:tcPr>
          <w:p w14:paraId="1D21BB5D"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26    29</w:t>
            </w:r>
          </w:p>
        </w:tc>
        <w:tc>
          <w:tcPr>
            <w:tcW w:w="1843" w:type="dxa"/>
          </w:tcPr>
          <w:p w14:paraId="321D93E9"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38    44</w:t>
            </w:r>
          </w:p>
        </w:tc>
        <w:tc>
          <w:tcPr>
            <w:tcW w:w="1701" w:type="dxa"/>
          </w:tcPr>
          <w:p w14:paraId="33C0232B"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01   03</w:t>
            </w:r>
          </w:p>
        </w:tc>
      </w:tr>
      <w:tr w:rsidR="00D14A6D" w:rsidRPr="004B39D6" w14:paraId="6CF1569D" w14:textId="77777777" w:rsidTr="001C07F6">
        <w:tc>
          <w:tcPr>
            <w:tcW w:w="1101" w:type="dxa"/>
          </w:tcPr>
          <w:p w14:paraId="64CD535E"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8</w:t>
            </w:r>
          </w:p>
        </w:tc>
        <w:tc>
          <w:tcPr>
            <w:tcW w:w="1559" w:type="dxa"/>
          </w:tcPr>
          <w:p w14:paraId="34042EAA"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23    24</w:t>
            </w:r>
          </w:p>
        </w:tc>
        <w:tc>
          <w:tcPr>
            <w:tcW w:w="1843" w:type="dxa"/>
          </w:tcPr>
          <w:p w14:paraId="1F7F10B8"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14    52</w:t>
            </w:r>
          </w:p>
        </w:tc>
        <w:tc>
          <w:tcPr>
            <w:tcW w:w="1701" w:type="dxa"/>
          </w:tcPr>
          <w:p w14:paraId="68B117F7"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01   11</w:t>
            </w:r>
          </w:p>
        </w:tc>
      </w:tr>
      <w:tr w:rsidR="00D14A6D" w:rsidRPr="004B39D6" w14:paraId="50A77611" w14:textId="77777777" w:rsidTr="001C07F6">
        <w:tc>
          <w:tcPr>
            <w:tcW w:w="1101" w:type="dxa"/>
          </w:tcPr>
          <w:p w14:paraId="0194B6DB"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9</w:t>
            </w:r>
          </w:p>
        </w:tc>
        <w:tc>
          <w:tcPr>
            <w:tcW w:w="1559" w:type="dxa"/>
          </w:tcPr>
          <w:p w14:paraId="41379FBD"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11    68</w:t>
            </w:r>
          </w:p>
        </w:tc>
        <w:tc>
          <w:tcPr>
            <w:tcW w:w="1843" w:type="dxa"/>
          </w:tcPr>
          <w:p w14:paraId="0DF7E7A3"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35    44</w:t>
            </w:r>
          </w:p>
        </w:tc>
        <w:tc>
          <w:tcPr>
            <w:tcW w:w="1701" w:type="dxa"/>
          </w:tcPr>
          <w:p w14:paraId="7A7E0C36" w14:textId="69822655"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01   14</w:t>
            </w:r>
          </w:p>
        </w:tc>
      </w:tr>
      <w:tr w:rsidR="00D14A6D" w:rsidRPr="004B39D6" w14:paraId="0EC914FC" w14:textId="77777777" w:rsidTr="001C07F6">
        <w:tc>
          <w:tcPr>
            <w:tcW w:w="1101" w:type="dxa"/>
          </w:tcPr>
          <w:p w14:paraId="43694D28"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10</w:t>
            </w:r>
          </w:p>
        </w:tc>
        <w:tc>
          <w:tcPr>
            <w:tcW w:w="1559" w:type="dxa"/>
          </w:tcPr>
          <w:p w14:paraId="39C1CF59"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02    33</w:t>
            </w:r>
          </w:p>
        </w:tc>
        <w:tc>
          <w:tcPr>
            <w:tcW w:w="1843" w:type="dxa"/>
          </w:tcPr>
          <w:p w14:paraId="5B3C5EAD"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14    35</w:t>
            </w:r>
          </w:p>
        </w:tc>
        <w:tc>
          <w:tcPr>
            <w:tcW w:w="1701" w:type="dxa"/>
          </w:tcPr>
          <w:p w14:paraId="3608E86B" w14:textId="214F47AD"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01   07</w:t>
            </w:r>
          </w:p>
        </w:tc>
      </w:tr>
      <w:tr w:rsidR="00D14A6D" w:rsidRPr="004B39D6" w14:paraId="02D81C60" w14:textId="77777777" w:rsidTr="001C07F6">
        <w:tc>
          <w:tcPr>
            <w:tcW w:w="1101" w:type="dxa"/>
          </w:tcPr>
          <w:p w14:paraId="5336BF4B"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11</w:t>
            </w:r>
          </w:p>
        </w:tc>
        <w:tc>
          <w:tcPr>
            <w:tcW w:w="1559" w:type="dxa"/>
          </w:tcPr>
          <w:p w14:paraId="76557F7A" w14:textId="32BE5730"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01     29</w:t>
            </w:r>
          </w:p>
        </w:tc>
        <w:tc>
          <w:tcPr>
            <w:tcW w:w="1843" w:type="dxa"/>
          </w:tcPr>
          <w:p w14:paraId="4908665A"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57    61</w:t>
            </w:r>
          </w:p>
        </w:tc>
        <w:tc>
          <w:tcPr>
            <w:tcW w:w="1701" w:type="dxa"/>
          </w:tcPr>
          <w:p w14:paraId="624B6E6C" w14:textId="745FFBE4"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01   04</w:t>
            </w:r>
          </w:p>
        </w:tc>
      </w:tr>
      <w:tr w:rsidR="00D14A6D" w:rsidRPr="004B39D6" w14:paraId="23303A73" w14:textId="77777777" w:rsidTr="001C07F6">
        <w:tc>
          <w:tcPr>
            <w:tcW w:w="1101" w:type="dxa"/>
          </w:tcPr>
          <w:p w14:paraId="37C53B02"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12</w:t>
            </w:r>
          </w:p>
        </w:tc>
        <w:tc>
          <w:tcPr>
            <w:tcW w:w="1559" w:type="dxa"/>
          </w:tcPr>
          <w:p w14:paraId="2475950C"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01    33</w:t>
            </w:r>
          </w:p>
        </w:tc>
        <w:tc>
          <w:tcPr>
            <w:tcW w:w="1843" w:type="dxa"/>
          </w:tcPr>
          <w:p w14:paraId="4DE3A541"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44    64</w:t>
            </w:r>
          </w:p>
        </w:tc>
        <w:tc>
          <w:tcPr>
            <w:tcW w:w="1701" w:type="dxa"/>
          </w:tcPr>
          <w:p w14:paraId="31479BC9" w14:textId="0AFBAE72"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01   07</w:t>
            </w:r>
          </w:p>
        </w:tc>
      </w:tr>
      <w:tr w:rsidR="00D14A6D" w:rsidRPr="004B39D6" w14:paraId="79DB436C" w14:textId="77777777" w:rsidTr="001C07F6">
        <w:tc>
          <w:tcPr>
            <w:tcW w:w="1101" w:type="dxa"/>
          </w:tcPr>
          <w:p w14:paraId="0C3F0BBF"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13</w:t>
            </w:r>
          </w:p>
        </w:tc>
        <w:tc>
          <w:tcPr>
            <w:tcW w:w="1559" w:type="dxa"/>
          </w:tcPr>
          <w:p w14:paraId="69B25A2D" w14:textId="11C20FF5"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01       -</w:t>
            </w:r>
          </w:p>
        </w:tc>
        <w:tc>
          <w:tcPr>
            <w:tcW w:w="1843" w:type="dxa"/>
          </w:tcPr>
          <w:p w14:paraId="7A3A6E99"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08    18</w:t>
            </w:r>
          </w:p>
        </w:tc>
        <w:tc>
          <w:tcPr>
            <w:tcW w:w="1701" w:type="dxa"/>
          </w:tcPr>
          <w:p w14:paraId="2EB1E642"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04   07</w:t>
            </w:r>
          </w:p>
        </w:tc>
      </w:tr>
      <w:tr w:rsidR="00D14A6D" w:rsidRPr="004B39D6" w14:paraId="1A3E6645" w14:textId="77777777" w:rsidTr="001C07F6">
        <w:tc>
          <w:tcPr>
            <w:tcW w:w="1101" w:type="dxa"/>
          </w:tcPr>
          <w:p w14:paraId="6BB67114"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14</w:t>
            </w:r>
          </w:p>
        </w:tc>
        <w:tc>
          <w:tcPr>
            <w:tcW w:w="1559" w:type="dxa"/>
          </w:tcPr>
          <w:p w14:paraId="511D0D5E" w14:textId="7764BEF1"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29       -</w:t>
            </w:r>
          </w:p>
        </w:tc>
        <w:tc>
          <w:tcPr>
            <w:tcW w:w="1843" w:type="dxa"/>
          </w:tcPr>
          <w:p w14:paraId="6296A7C9" w14:textId="2F28E31D" w:rsidR="00D14A6D" w:rsidRPr="004B39D6" w:rsidRDefault="00FB0BD6" w:rsidP="001C07F6">
            <w:pPr>
              <w:snapToGrid w:val="0"/>
              <w:spacing w:after="0" w:line="360" w:lineRule="auto"/>
              <w:rPr>
                <w:rFonts w:ascii="Book Antiqua" w:hAnsi="Book Antiqua" w:cstheme="minorHAnsi"/>
                <w:sz w:val="24"/>
                <w:szCs w:val="24"/>
              </w:rPr>
            </w:pPr>
            <w:r>
              <w:rPr>
                <w:rFonts w:ascii="Book Antiqua" w:hAnsi="Book Antiqua" w:cstheme="minorHAnsi"/>
                <w:sz w:val="24"/>
                <w:szCs w:val="24"/>
              </w:rPr>
              <w:t xml:space="preserve">44      </w:t>
            </w:r>
            <w:r w:rsidR="00D14A6D" w:rsidRPr="004B39D6">
              <w:rPr>
                <w:rFonts w:ascii="Book Antiqua" w:hAnsi="Book Antiqua" w:cstheme="minorHAnsi"/>
                <w:sz w:val="24"/>
                <w:szCs w:val="24"/>
              </w:rPr>
              <w:t>-</w:t>
            </w:r>
          </w:p>
        </w:tc>
        <w:tc>
          <w:tcPr>
            <w:tcW w:w="1701" w:type="dxa"/>
          </w:tcPr>
          <w:p w14:paraId="48AFC5A7" w14:textId="10C259CC" w:rsidR="00D14A6D" w:rsidRPr="004B39D6" w:rsidRDefault="00FB0BD6" w:rsidP="001C07F6">
            <w:pPr>
              <w:snapToGrid w:val="0"/>
              <w:spacing w:after="0" w:line="360" w:lineRule="auto"/>
              <w:rPr>
                <w:rFonts w:ascii="Book Antiqua" w:hAnsi="Book Antiqua" w:cstheme="minorHAnsi"/>
                <w:sz w:val="24"/>
                <w:szCs w:val="24"/>
              </w:rPr>
            </w:pPr>
            <w:r>
              <w:rPr>
                <w:rFonts w:ascii="Book Antiqua" w:hAnsi="Book Antiqua" w:cstheme="minorHAnsi"/>
                <w:sz w:val="24"/>
                <w:szCs w:val="24"/>
              </w:rPr>
              <w:t xml:space="preserve">07     </w:t>
            </w:r>
            <w:r w:rsidR="00D14A6D" w:rsidRPr="004B39D6">
              <w:rPr>
                <w:rFonts w:ascii="Book Antiqua" w:hAnsi="Book Antiqua" w:cstheme="minorHAnsi"/>
                <w:sz w:val="24"/>
                <w:szCs w:val="24"/>
              </w:rPr>
              <w:t>-</w:t>
            </w:r>
          </w:p>
        </w:tc>
      </w:tr>
      <w:tr w:rsidR="00D14A6D" w:rsidRPr="004B39D6" w14:paraId="40F74E64" w14:textId="77777777" w:rsidTr="001C07F6">
        <w:tc>
          <w:tcPr>
            <w:tcW w:w="1101" w:type="dxa"/>
          </w:tcPr>
          <w:p w14:paraId="66E62D4C"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15</w:t>
            </w:r>
          </w:p>
        </w:tc>
        <w:tc>
          <w:tcPr>
            <w:tcW w:w="1559" w:type="dxa"/>
          </w:tcPr>
          <w:p w14:paraId="27649A59"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 xml:space="preserve"> 01     30</w:t>
            </w:r>
          </w:p>
        </w:tc>
        <w:tc>
          <w:tcPr>
            <w:tcW w:w="1843" w:type="dxa"/>
          </w:tcPr>
          <w:p w14:paraId="598204B9"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08    51</w:t>
            </w:r>
          </w:p>
        </w:tc>
        <w:tc>
          <w:tcPr>
            <w:tcW w:w="1701" w:type="dxa"/>
          </w:tcPr>
          <w:p w14:paraId="6BFC167B"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03   07</w:t>
            </w:r>
          </w:p>
        </w:tc>
      </w:tr>
      <w:tr w:rsidR="00D14A6D" w:rsidRPr="004B39D6" w14:paraId="4118183C" w14:textId="77777777" w:rsidTr="001C07F6">
        <w:tc>
          <w:tcPr>
            <w:tcW w:w="1101" w:type="dxa"/>
          </w:tcPr>
          <w:p w14:paraId="6A8726C5"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16</w:t>
            </w:r>
          </w:p>
        </w:tc>
        <w:tc>
          <w:tcPr>
            <w:tcW w:w="1559" w:type="dxa"/>
          </w:tcPr>
          <w:p w14:paraId="5DE7489A"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 xml:space="preserve"> 02     29</w:t>
            </w:r>
          </w:p>
        </w:tc>
        <w:tc>
          <w:tcPr>
            <w:tcW w:w="1843" w:type="dxa"/>
          </w:tcPr>
          <w:p w14:paraId="0CD93183"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39    44</w:t>
            </w:r>
          </w:p>
        </w:tc>
        <w:tc>
          <w:tcPr>
            <w:tcW w:w="1701" w:type="dxa"/>
          </w:tcPr>
          <w:p w14:paraId="034D21D8"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07   11</w:t>
            </w:r>
          </w:p>
        </w:tc>
      </w:tr>
      <w:tr w:rsidR="00D14A6D" w:rsidRPr="004B39D6" w14:paraId="6C26F98F" w14:textId="77777777" w:rsidTr="001C07F6">
        <w:tc>
          <w:tcPr>
            <w:tcW w:w="1101" w:type="dxa"/>
          </w:tcPr>
          <w:p w14:paraId="54669B8D"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17</w:t>
            </w:r>
          </w:p>
        </w:tc>
        <w:tc>
          <w:tcPr>
            <w:tcW w:w="1559" w:type="dxa"/>
          </w:tcPr>
          <w:p w14:paraId="7F6A5453"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 xml:space="preserve"> 03     32</w:t>
            </w:r>
          </w:p>
        </w:tc>
        <w:tc>
          <w:tcPr>
            <w:tcW w:w="1843" w:type="dxa"/>
          </w:tcPr>
          <w:p w14:paraId="2D31E7C5"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37    44</w:t>
            </w:r>
          </w:p>
        </w:tc>
        <w:tc>
          <w:tcPr>
            <w:tcW w:w="1701" w:type="dxa"/>
          </w:tcPr>
          <w:p w14:paraId="6E952E88"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03   12</w:t>
            </w:r>
          </w:p>
        </w:tc>
      </w:tr>
      <w:tr w:rsidR="00D14A6D" w:rsidRPr="004B39D6" w14:paraId="034A91F7" w14:textId="77777777" w:rsidTr="001C07F6">
        <w:tc>
          <w:tcPr>
            <w:tcW w:w="1101" w:type="dxa"/>
            <w:tcBorders>
              <w:bottom w:val="single" w:sz="4" w:space="0" w:color="auto"/>
            </w:tcBorders>
          </w:tcPr>
          <w:p w14:paraId="2E40E15B"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18</w:t>
            </w:r>
          </w:p>
        </w:tc>
        <w:tc>
          <w:tcPr>
            <w:tcW w:w="1559" w:type="dxa"/>
            <w:tcBorders>
              <w:bottom w:val="single" w:sz="4" w:space="0" w:color="auto"/>
            </w:tcBorders>
          </w:tcPr>
          <w:p w14:paraId="0A122406"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 xml:space="preserve"> 03     11</w:t>
            </w:r>
          </w:p>
        </w:tc>
        <w:tc>
          <w:tcPr>
            <w:tcW w:w="1843" w:type="dxa"/>
            <w:tcBorders>
              <w:bottom w:val="single" w:sz="4" w:space="0" w:color="auto"/>
            </w:tcBorders>
          </w:tcPr>
          <w:p w14:paraId="74FCA3FD" w14:textId="77777777" w:rsidR="00D14A6D" w:rsidRPr="004B39D6" w:rsidRDefault="00D14A6D" w:rsidP="001C07F6">
            <w:pPr>
              <w:snapToGrid w:val="0"/>
              <w:spacing w:after="0" w:line="360" w:lineRule="auto"/>
              <w:rPr>
                <w:rFonts w:ascii="Book Antiqua" w:hAnsi="Book Antiqua" w:cstheme="minorHAnsi"/>
                <w:sz w:val="24"/>
                <w:szCs w:val="24"/>
              </w:rPr>
            </w:pPr>
            <w:r w:rsidRPr="004B39D6">
              <w:rPr>
                <w:rFonts w:ascii="Book Antiqua" w:hAnsi="Book Antiqua" w:cstheme="minorHAnsi"/>
                <w:sz w:val="24"/>
                <w:szCs w:val="24"/>
              </w:rPr>
              <w:t>14    49</w:t>
            </w:r>
          </w:p>
        </w:tc>
        <w:tc>
          <w:tcPr>
            <w:tcW w:w="1701" w:type="dxa"/>
            <w:tcBorders>
              <w:bottom w:val="single" w:sz="4" w:space="0" w:color="auto"/>
            </w:tcBorders>
          </w:tcPr>
          <w:p w14:paraId="1B2C0864" w14:textId="46E315A6" w:rsidR="00D14A6D" w:rsidRPr="004B39D6" w:rsidRDefault="00FB0BD6" w:rsidP="001C07F6">
            <w:pPr>
              <w:snapToGrid w:val="0"/>
              <w:spacing w:after="0" w:line="360" w:lineRule="auto"/>
              <w:rPr>
                <w:rFonts w:ascii="Book Antiqua" w:hAnsi="Book Antiqua" w:cstheme="minorHAnsi"/>
                <w:sz w:val="24"/>
                <w:szCs w:val="24"/>
              </w:rPr>
            </w:pPr>
            <w:r>
              <w:rPr>
                <w:rFonts w:ascii="Book Antiqua" w:hAnsi="Book Antiqua" w:cstheme="minorHAnsi"/>
                <w:sz w:val="24"/>
                <w:szCs w:val="24"/>
              </w:rPr>
              <w:t xml:space="preserve">07     </w:t>
            </w:r>
            <w:r w:rsidR="00D14A6D" w:rsidRPr="004B39D6">
              <w:rPr>
                <w:rFonts w:ascii="Book Antiqua" w:hAnsi="Book Antiqua" w:cstheme="minorHAnsi"/>
                <w:sz w:val="24"/>
                <w:szCs w:val="24"/>
              </w:rPr>
              <w:t>-</w:t>
            </w:r>
          </w:p>
        </w:tc>
      </w:tr>
    </w:tbl>
    <w:p w14:paraId="0FDAA015" w14:textId="77777777" w:rsidR="001C07F6" w:rsidRDefault="001C07F6">
      <w:pPr>
        <w:spacing w:after="0" w:line="240" w:lineRule="auto"/>
        <w:rPr>
          <w:rFonts w:ascii="Book Antiqua" w:hAnsi="Book Antiqua" w:cstheme="minorBidi"/>
          <w:b/>
          <w:sz w:val="24"/>
          <w:szCs w:val="24"/>
          <w:lang w:val="en-US" w:eastAsia="zh-CN"/>
        </w:rPr>
      </w:pPr>
      <w:r>
        <w:rPr>
          <w:rFonts w:ascii="Book Antiqua" w:hAnsi="Book Antiqua" w:cstheme="minorBidi"/>
          <w:b/>
          <w:sz w:val="24"/>
          <w:szCs w:val="24"/>
          <w:lang w:val="en-US" w:eastAsia="zh-CN"/>
        </w:rPr>
        <w:br w:type="page"/>
      </w:r>
    </w:p>
    <w:p w14:paraId="5F77CC89" w14:textId="4F0BB990" w:rsidR="001C07F6" w:rsidRDefault="001C07F6" w:rsidP="0081528B">
      <w:pPr>
        <w:pBdr>
          <w:bottom w:val="single" w:sz="6" w:space="1" w:color="auto"/>
        </w:pBdr>
        <w:snapToGrid w:val="0"/>
        <w:spacing w:after="0" w:line="360" w:lineRule="auto"/>
        <w:jc w:val="both"/>
        <w:rPr>
          <w:rFonts w:ascii="Book Antiqua" w:hAnsi="Book Antiqua" w:cstheme="minorBidi"/>
          <w:b/>
          <w:sz w:val="24"/>
          <w:szCs w:val="24"/>
          <w:lang w:val="en-US" w:eastAsia="zh-CN"/>
        </w:rPr>
      </w:pPr>
      <w:r w:rsidRPr="001C07F6">
        <w:rPr>
          <w:rFonts w:ascii="Book Antiqua" w:hAnsi="Book Antiqua" w:cstheme="minorBidi"/>
          <w:b/>
          <w:sz w:val="24"/>
          <w:szCs w:val="24"/>
          <w:lang w:val="en-US" w:eastAsia="zh-CN"/>
        </w:rPr>
        <w:lastRenderedPageBreak/>
        <w:t xml:space="preserve">Table 5 Identification of several regions of the GSTT1 protein, whose peptides would be suitable to be presented by HLA class I and II alleles of the patients based on in </w:t>
      </w:r>
      <w:proofErr w:type="spellStart"/>
      <w:r w:rsidRPr="001C07F6">
        <w:rPr>
          <w:rFonts w:ascii="Book Antiqua" w:hAnsi="Book Antiqua" w:cstheme="minorBidi"/>
          <w:b/>
          <w:sz w:val="24"/>
          <w:szCs w:val="24"/>
          <w:lang w:val="en-US" w:eastAsia="zh-CN"/>
        </w:rPr>
        <w:t>silico</w:t>
      </w:r>
      <w:proofErr w:type="spellEnd"/>
      <w:r w:rsidRPr="001C07F6">
        <w:rPr>
          <w:rFonts w:ascii="Book Antiqua" w:hAnsi="Book Antiqua" w:cstheme="minorBidi"/>
          <w:b/>
          <w:sz w:val="24"/>
          <w:szCs w:val="24"/>
          <w:lang w:val="en-US" w:eastAsia="zh-CN"/>
        </w:rPr>
        <w:t xml:space="preserve"> predictions</w:t>
      </w:r>
    </w:p>
    <w:p w14:paraId="04AD7D1A" w14:textId="77777777" w:rsidR="001C07F6" w:rsidRPr="001C07F6" w:rsidRDefault="001C07F6" w:rsidP="0081528B">
      <w:pPr>
        <w:snapToGrid w:val="0"/>
        <w:spacing w:after="0" w:line="360" w:lineRule="auto"/>
        <w:jc w:val="both"/>
        <w:rPr>
          <w:rFonts w:ascii="Book Antiqua" w:hAnsi="Book Antiqua" w:cs="Calibri"/>
          <w:sz w:val="24"/>
          <w:szCs w:val="24"/>
          <w:lang w:val="en-US" w:eastAsia="zh-CN"/>
        </w:rPr>
        <w:sectPr w:rsidR="001C07F6" w:rsidRPr="001C07F6" w:rsidSect="00D14A6D">
          <w:footerReference w:type="default" r:id="rId15"/>
          <w:pgSz w:w="11906" w:h="16838"/>
          <w:pgMar w:top="1417" w:right="1416" w:bottom="1417" w:left="1701" w:header="709" w:footer="709" w:gutter="0"/>
          <w:cols w:space="708"/>
          <w:docGrid w:linePitch="360"/>
        </w:sectPr>
      </w:pPr>
    </w:p>
    <w:tbl>
      <w:tblPr>
        <w:tblStyle w:val="TableTheme"/>
        <w:tblW w:w="4940" w:type="pct"/>
        <w:tblLook w:val="01E0" w:firstRow="1" w:lastRow="1" w:firstColumn="1" w:lastColumn="1" w:noHBand="0" w:noVBand="0"/>
      </w:tblPr>
      <w:tblGrid>
        <w:gridCol w:w="1759"/>
        <w:gridCol w:w="2986"/>
        <w:gridCol w:w="1187"/>
        <w:gridCol w:w="1052"/>
        <w:gridCol w:w="1913"/>
      </w:tblGrid>
      <w:tr w:rsidR="00FB0BD6" w:rsidRPr="004B39D6" w14:paraId="5E180F4A" w14:textId="77777777" w:rsidTr="00FB0BD6">
        <w:trPr>
          <w:cnfStyle w:val="100000000000" w:firstRow="1" w:lastRow="0" w:firstColumn="0" w:lastColumn="0" w:oddVBand="0" w:evenVBand="0" w:oddHBand="0" w:evenHBand="0" w:firstRowFirstColumn="0" w:firstRowLastColumn="0" w:lastRowFirstColumn="0" w:lastRowLastColumn="0"/>
        </w:trPr>
        <w:tc>
          <w:tcPr>
            <w:tcW w:w="989" w:type="pct"/>
          </w:tcPr>
          <w:p w14:paraId="3E9ACE3C" w14:textId="55748681" w:rsidR="001C07F6" w:rsidRPr="00FB0BD6" w:rsidRDefault="00FB0BD6" w:rsidP="004B6347">
            <w:pPr>
              <w:snapToGrid w:val="0"/>
              <w:spacing w:after="0" w:line="360" w:lineRule="auto"/>
              <w:rPr>
                <w:rFonts w:ascii="Book Antiqua" w:eastAsiaTheme="minorEastAsia" w:hAnsi="Book Antiqua" w:cs="Calibri"/>
                <w:b/>
                <w:sz w:val="24"/>
                <w:szCs w:val="24"/>
              </w:rPr>
            </w:pPr>
            <w:r>
              <w:rPr>
                <w:rFonts w:ascii="Book Antiqua" w:eastAsia="MS Mincho" w:hAnsi="Book Antiqua" w:cs="Calibri"/>
                <w:b/>
                <w:sz w:val="24"/>
                <w:szCs w:val="24"/>
                <w:lang w:eastAsia="ja-JP"/>
              </w:rPr>
              <w:lastRenderedPageBreak/>
              <w:t>Recipient’s HLA</w:t>
            </w:r>
          </w:p>
        </w:tc>
        <w:tc>
          <w:tcPr>
            <w:tcW w:w="1678" w:type="pct"/>
          </w:tcPr>
          <w:p w14:paraId="53E6A9AA" w14:textId="77777777" w:rsidR="001C07F6" w:rsidRPr="004B39D6" w:rsidRDefault="001C07F6" w:rsidP="00FB0BD6">
            <w:pPr>
              <w:snapToGrid w:val="0"/>
              <w:spacing w:after="0" w:line="360" w:lineRule="auto"/>
              <w:jc w:val="center"/>
              <w:rPr>
                <w:rFonts w:ascii="Book Antiqua" w:eastAsia="MS Mincho" w:hAnsi="Book Antiqua" w:cs="Calibri"/>
                <w:b/>
                <w:sz w:val="24"/>
                <w:szCs w:val="24"/>
                <w:lang w:eastAsia="ja-JP"/>
              </w:rPr>
            </w:pPr>
            <w:r w:rsidRPr="004B39D6">
              <w:rPr>
                <w:rFonts w:ascii="Book Antiqua" w:eastAsia="MS Mincho" w:hAnsi="Book Antiqua" w:cs="Calibri"/>
                <w:b/>
                <w:sz w:val="24"/>
                <w:szCs w:val="24"/>
                <w:lang w:eastAsia="ja-JP"/>
              </w:rPr>
              <w:t>Peptide sequence</w:t>
            </w:r>
          </w:p>
        </w:tc>
        <w:tc>
          <w:tcPr>
            <w:tcW w:w="667" w:type="pct"/>
          </w:tcPr>
          <w:p w14:paraId="5307BEBD" w14:textId="77777777" w:rsidR="001C07F6" w:rsidRPr="004B39D6" w:rsidRDefault="001C07F6" w:rsidP="00FB0BD6">
            <w:pPr>
              <w:snapToGrid w:val="0"/>
              <w:spacing w:after="0" w:line="360" w:lineRule="auto"/>
              <w:jc w:val="center"/>
              <w:rPr>
                <w:rFonts w:ascii="Book Antiqua" w:eastAsia="MS Mincho" w:hAnsi="Book Antiqua" w:cs="Calibri"/>
                <w:b/>
                <w:sz w:val="24"/>
                <w:szCs w:val="24"/>
                <w:lang w:eastAsia="ja-JP"/>
              </w:rPr>
            </w:pPr>
            <w:proofErr w:type="spellStart"/>
            <w:r w:rsidRPr="004B39D6">
              <w:rPr>
                <w:rFonts w:ascii="Book Antiqua" w:eastAsia="MS Mincho" w:hAnsi="Book Antiqua" w:cs="Calibri"/>
                <w:b/>
                <w:sz w:val="24"/>
                <w:szCs w:val="24"/>
                <w:lang w:eastAsia="ja-JP"/>
              </w:rPr>
              <w:t>Aa</w:t>
            </w:r>
            <w:proofErr w:type="spellEnd"/>
            <w:r w:rsidRPr="004B39D6">
              <w:rPr>
                <w:rFonts w:ascii="Book Antiqua" w:eastAsia="MS Mincho" w:hAnsi="Book Antiqua" w:cs="Calibri"/>
                <w:b/>
                <w:sz w:val="24"/>
                <w:szCs w:val="24"/>
                <w:lang w:eastAsia="ja-JP"/>
              </w:rPr>
              <w:t xml:space="preserve"> position</w:t>
            </w:r>
          </w:p>
        </w:tc>
        <w:tc>
          <w:tcPr>
            <w:tcW w:w="591" w:type="pct"/>
          </w:tcPr>
          <w:p w14:paraId="6B2D4CA6" w14:textId="75747B50" w:rsidR="001C07F6" w:rsidRPr="004B39D6" w:rsidRDefault="001C07F6" w:rsidP="00FB0BD6">
            <w:pPr>
              <w:snapToGrid w:val="0"/>
              <w:spacing w:after="0" w:line="360" w:lineRule="auto"/>
              <w:jc w:val="center"/>
              <w:rPr>
                <w:rFonts w:ascii="Book Antiqua" w:eastAsia="MS Mincho" w:hAnsi="Book Antiqua" w:cs="Calibri"/>
                <w:b/>
                <w:sz w:val="24"/>
                <w:szCs w:val="24"/>
                <w:lang w:eastAsia="ja-JP"/>
              </w:rPr>
            </w:pPr>
            <w:r w:rsidRPr="004B39D6">
              <w:rPr>
                <w:rFonts w:ascii="Book Antiqua" w:eastAsia="MS Mincho" w:hAnsi="Book Antiqua" w:cs="Calibri"/>
                <w:b/>
                <w:sz w:val="24"/>
                <w:szCs w:val="24"/>
                <w:lang w:eastAsia="ja-JP"/>
              </w:rPr>
              <w:t>Length</w:t>
            </w:r>
          </w:p>
        </w:tc>
        <w:tc>
          <w:tcPr>
            <w:tcW w:w="1075" w:type="pct"/>
          </w:tcPr>
          <w:p w14:paraId="43E25D0A" w14:textId="17B42823" w:rsidR="001C07F6" w:rsidRPr="004B39D6" w:rsidRDefault="001C07F6" w:rsidP="00FB0BD6">
            <w:pPr>
              <w:snapToGrid w:val="0"/>
              <w:spacing w:after="0" w:line="360" w:lineRule="auto"/>
              <w:jc w:val="center"/>
              <w:rPr>
                <w:rFonts w:ascii="Book Antiqua" w:eastAsia="MS Mincho" w:hAnsi="Book Antiqua" w:cs="Calibri"/>
                <w:b/>
                <w:sz w:val="24"/>
                <w:szCs w:val="24"/>
                <w:lang w:eastAsia="ja-JP"/>
              </w:rPr>
            </w:pPr>
            <w:r w:rsidRPr="004B39D6">
              <w:rPr>
                <w:rFonts w:ascii="Book Antiqua" w:eastAsia="MS Mincho" w:hAnsi="Book Antiqua" w:cs="Calibri"/>
                <w:b/>
                <w:sz w:val="24"/>
                <w:szCs w:val="24"/>
                <w:lang w:eastAsia="ja-JP"/>
              </w:rPr>
              <w:t xml:space="preserve">Percentile </w:t>
            </w:r>
            <w:r w:rsidR="00FB0BD6" w:rsidRPr="004B39D6">
              <w:rPr>
                <w:rFonts w:ascii="Book Antiqua" w:eastAsia="MS Mincho" w:hAnsi="Book Antiqua" w:cs="Calibri"/>
                <w:b/>
                <w:sz w:val="24"/>
                <w:szCs w:val="24"/>
                <w:lang w:eastAsia="ja-JP"/>
              </w:rPr>
              <w:t>r</w:t>
            </w:r>
            <w:r w:rsidRPr="004B39D6">
              <w:rPr>
                <w:rFonts w:ascii="Book Antiqua" w:eastAsia="MS Mincho" w:hAnsi="Book Antiqua" w:cs="Calibri"/>
                <w:b/>
                <w:sz w:val="24"/>
                <w:szCs w:val="24"/>
                <w:lang w:eastAsia="ja-JP"/>
              </w:rPr>
              <w:t>ank</w:t>
            </w:r>
          </w:p>
        </w:tc>
      </w:tr>
      <w:tr w:rsidR="00FB0BD6" w:rsidRPr="004B39D6" w14:paraId="01C95C56" w14:textId="77777777" w:rsidTr="00FB0BD6">
        <w:trPr>
          <w:trHeight w:val="135"/>
        </w:trPr>
        <w:tc>
          <w:tcPr>
            <w:tcW w:w="989" w:type="pct"/>
          </w:tcPr>
          <w:p w14:paraId="1F1F6214" w14:textId="760F4F25" w:rsidR="00FB0BD6" w:rsidRPr="00FB0BD6" w:rsidRDefault="00FB0BD6" w:rsidP="00FB0BD6">
            <w:pPr>
              <w:snapToGrid w:val="0"/>
              <w:spacing w:after="0" w:line="360" w:lineRule="auto"/>
              <w:rPr>
                <w:rFonts w:ascii="Book Antiqua" w:eastAsiaTheme="minorEastAsia" w:hAnsi="Book Antiqua" w:cs="Calibri"/>
                <w:sz w:val="24"/>
                <w:szCs w:val="24"/>
              </w:rPr>
            </w:pPr>
            <w:r w:rsidRPr="004B39D6">
              <w:rPr>
                <w:rFonts w:ascii="Book Antiqua" w:eastAsia="MS Mincho" w:hAnsi="Book Antiqua" w:cs="Calibri"/>
                <w:b/>
                <w:sz w:val="24"/>
                <w:szCs w:val="24"/>
                <w:lang w:eastAsia="ja-JP"/>
              </w:rPr>
              <w:t>Class I</w:t>
            </w:r>
          </w:p>
        </w:tc>
        <w:tc>
          <w:tcPr>
            <w:tcW w:w="1678" w:type="pct"/>
          </w:tcPr>
          <w:p w14:paraId="1202682B" w14:textId="77777777" w:rsidR="00FB0BD6" w:rsidRPr="00FB0BD6" w:rsidRDefault="00FB0BD6" w:rsidP="00FB0BD6">
            <w:pPr>
              <w:snapToGrid w:val="0"/>
              <w:spacing w:after="0" w:line="360" w:lineRule="auto"/>
              <w:jc w:val="center"/>
              <w:rPr>
                <w:rFonts w:ascii="Book Antiqua" w:eastAsia="MS Mincho" w:hAnsi="Book Antiqua" w:cs="Calibri"/>
                <w:sz w:val="24"/>
                <w:szCs w:val="24"/>
                <w:lang w:eastAsia="ja-JP"/>
              </w:rPr>
            </w:pPr>
          </w:p>
        </w:tc>
        <w:tc>
          <w:tcPr>
            <w:tcW w:w="667" w:type="pct"/>
          </w:tcPr>
          <w:p w14:paraId="0162F75E" w14:textId="77777777" w:rsidR="00FB0BD6" w:rsidRPr="004B39D6" w:rsidRDefault="00FB0BD6" w:rsidP="00FB0BD6">
            <w:pPr>
              <w:snapToGrid w:val="0"/>
              <w:spacing w:after="0" w:line="360" w:lineRule="auto"/>
              <w:jc w:val="center"/>
              <w:rPr>
                <w:rFonts w:ascii="Book Antiqua" w:eastAsia="MS Mincho" w:hAnsi="Book Antiqua" w:cs="Calibri"/>
                <w:sz w:val="24"/>
                <w:szCs w:val="24"/>
                <w:lang w:eastAsia="ja-JP"/>
              </w:rPr>
            </w:pPr>
          </w:p>
        </w:tc>
        <w:tc>
          <w:tcPr>
            <w:tcW w:w="591" w:type="pct"/>
          </w:tcPr>
          <w:p w14:paraId="4CB87809" w14:textId="77777777" w:rsidR="00FB0BD6" w:rsidRPr="004B39D6" w:rsidRDefault="00FB0BD6" w:rsidP="00FB0BD6">
            <w:pPr>
              <w:snapToGrid w:val="0"/>
              <w:spacing w:after="0" w:line="360" w:lineRule="auto"/>
              <w:jc w:val="center"/>
              <w:rPr>
                <w:rFonts w:ascii="Book Antiqua" w:eastAsia="MS Mincho" w:hAnsi="Book Antiqua" w:cs="Calibri"/>
                <w:sz w:val="24"/>
                <w:szCs w:val="24"/>
                <w:lang w:eastAsia="ja-JP"/>
              </w:rPr>
            </w:pPr>
          </w:p>
        </w:tc>
        <w:tc>
          <w:tcPr>
            <w:tcW w:w="1075" w:type="pct"/>
          </w:tcPr>
          <w:p w14:paraId="5BE1D586" w14:textId="77777777" w:rsidR="00FB0BD6" w:rsidRPr="004B39D6" w:rsidRDefault="00FB0BD6" w:rsidP="00FB0BD6">
            <w:pPr>
              <w:snapToGrid w:val="0"/>
              <w:spacing w:after="0" w:line="360" w:lineRule="auto"/>
              <w:jc w:val="center"/>
              <w:rPr>
                <w:rFonts w:ascii="Book Antiqua" w:eastAsia="MS Mincho" w:hAnsi="Book Antiqua" w:cs="Calibri"/>
                <w:sz w:val="24"/>
                <w:szCs w:val="24"/>
                <w:lang w:eastAsia="ja-JP"/>
              </w:rPr>
            </w:pPr>
          </w:p>
        </w:tc>
      </w:tr>
      <w:tr w:rsidR="00FB0BD6" w:rsidRPr="004B39D6" w14:paraId="384D8E86" w14:textId="77777777" w:rsidTr="00FB0BD6">
        <w:trPr>
          <w:trHeight w:val="135"/>
        </w:trPr>
        <w:tc>
          <w:tcPr>
            <w:tcW w:w="989" w:type="pct"/>
          </w:tcPr>
          <w:p w14:paraId="5C0F6EBC"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A*01:01</w:t>
            </w:r>
          </w:p>
        </w:tc>
        <w:tc>
          <w:tcPr>
            <w:tcW w:w="1678" w:type="pct"/>
          </w:tcPr>
          <w:p w14:paraId="57180EDE" w14:textId="10AB9989" w:rsidR="001C07F6" w:rsidRPr="00FB0BD6" w:rsidRDefault="001C07F6" w:rsidP="00FB0BD6">
            <w:pPr>
              <w:snapToGrid w:val="0"/>
              <w:spacing w:after="0" w:line="360" w:lineRule="auto"/>
              <w:jc w:val="center"/>
              <w:rPr>
                <w:rFonts w:ascii="Book Antiqua" w:eastAsia="MS Mincho" w:hAnsi="Book Antiqua" w:cs="Calibri"/>
                <w:sz w:val="24"/>
                <w:szCs w:val="24"/>
                <w:lang w:eastAsia="ja-JP"/>
              </w:rPr>
            </w:pPr>
            <w:r w:rsidRPr="00FB0BD6">
              <w:rPr>
                <w:rFonts w:ascii="Book Antiqua" w:eastAsia="MS Mincho" w:hAnsi="Book Antiqua" w:cs="Calibri"/>
                <w:sz w:val="24"/>
                <w:szCs w:val="24"/>
                <w:lang w:eastAsia="ja-JP"/>
              </w:rPr>
              <w:t>FTLTESVAILLY</w:t>
            </w:r>
            <w:r w:rsidR="00FB0BD6" w:rsidRPr="00FB0BD6">
              <w:rPr>
                <w:rFonts w:ascii="Book Antiqua" w:hAnsi="Book Antiqua" w:cs="Calibri" w:hint="eastAsia"/>
                <w:sz w:val="24"/>
                <w:szCs w:val="24"/>
                <w:vertAlign w:val="superscript"/>
              </w:rPr>
              <w:t>1</w:t>
            </w:r>
          </w:p>
        </w:tc>
        <w:tc>
          <w:tcPr>
            <w:tcW w:w="667" w:type="pct"/>
          </w:tcPr>
          <w:p w14:paraId="50FF3C0E"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62-73</w:t>
            </w:r>
          </w:p>
        </w:tc>
        <w:tc>
          <w:tcPr>
            <w:tcW w:w="591" w:type="pct"/>
          </w:tcPr>
          <w:p w14:paraId="6AAFC405"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12</w:t>
            </w:r>
          </w:p>
        </w:tc>
        <w:tc>
          <w:tcPr>
            <w:tcW w:w="1075" w:type="pct"/>
          </w:tcPr>
          <w:p w14:paraId="73FFD2F9"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0.1</w:t>
            </w:r>
          </w:p>
        </w:tc>
      </w:tr>
      <w:tr w:rsidR="00FB0BD6" w:rsidRPr="004B39D6" w14:paraId="24221CA3" w14:textId="77777777" w:rsidTr="00FB0BD6">
        <w:trPr>
          <w:trHeight w:val="135"/>
        </w:trPr>
        <w:tc>
          <w:tcPr>
            <w:tcW w:w="989" w:type="pct"/>
          </w:tcPr>
          <w:p w14:paraId="12616C18"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A*02:01</w:t>
            </w:r>
          </w:p>
        </w:tc>
        <w:tc>
          <w:tcPr>
            <w:tcW w:w="1678" w:type="pct"/>
          </w:tcPr>
          <w:p w14:paraId="3E7C9E26" w14:textId="222DDEC9"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YIFAKKNDIPFEL</w:t>
            </w:r>
          </w:p>
        </w:tc>
        <w:tc>
          <w:tcPr>
            <w:tcW w:w="667" w:type="pct"/>
          </w:tcPr>
          <w:p w14:paraId="4DCBF1F1"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18-30</w:t>
            </w:r>
          </w:p>
        </w:tc>
        <w:tc>
          <w:tcPr>
            <w:tcW w:w="591" w:type="pct"/>
          </w:tcPr>
          <w:p w14:paraId="240D9819"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13</w:t>
            </w:r>
          </w:p>
        </w:tc>
        <w:tc>
          <w:tcPr>
            <w:tcW w:w="1075" w:type="pct"/>
          </w:tcPr>
          <w:p w14:paraId="3890BFFD"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0.1</w:t>
            </w:r>
          </w:p>
        </w:tc>
      </w:tr>
      <w:tr w:rsidR="00FB0BD6" w:rsidRPr="004B39D6" w14:paraId="1ABCC5E8" w14:textId="77777777" w:rsidTr="00FB0BD6">
        <w:trPr>
          <w:trHeight w:val="135"/>
        </w:trPr>
        <w:tc>
          <w:tcPr>
            <w:tcW w:w="989" w:type="pct"/>
          </w:tcPr>
          <w:p w14:paraId="4BB156E1"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p>
        </w:tc>
        <w:tc>
          <w:tcPr>
            <w:tcW w:w="1678" w:type="pct"/>
          </w:tcPr>
          <w:p w14:paraId="6D5EE262" w14:textId="54C87978"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CLRALWHKVMFPV</w:t>
            </w:r>
          </w:p>
        </w:tc>
        <w:tc>
          <w:tcPr>
            <w:tcW w:w="667" w:type="pct"/>
          </w:tcPr>
          <w:p w14:paraId="6C1FB1F9"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110-122</w:t>
            </w:r>
          </w:p>
        </w:tc>
        <w:tc>
          <w:tcPr>
            <w:tcW w:w="591" w:type="pct"/>
          </w:tcPr>
          <w:p w14:paraId="16FB9EB6"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13</w:t>
            </w:r>
          </w:p>
        </w:tc>
        <w:tc>
          <w:tcPr>
            <w:tcW w:w="1075" w:type="pct"/>
          </w:tcPr>
          <w:p w14:paraId="4E046C55"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0.1</w:t>
            </w:r>
          </w:p>
        </w:tc>
      </w:tr>
      <w:tr w:rsidR="00FB0BD6" w:rsidRPr="004B39D6" w14:paraId="1634C1E1" w14:textId="77777777" w:rsidTr="00FB0BD6">
        <w:trPr>
          <w:trHeight w:val="135"/>
        </w:trPr>
        <w:tc>
          <w:tcPr>
            <w:tcW w:w="989" w:type="pct"/>
          </w:tcPr>
          <w:p w14:paraId="570124A1"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p>
        </w:tc>
        <w:tc>
          <w:tcPr>
            <w:tcW w:w="1678" w:type="pct"/>
          </w:tcPr>
          <w:p w14:paraId="61E71C0A" w14:textId="29E8D021"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IKQKLMPWVLAMI</w:t>
            </w:r>
          </w:p>
        </w:tc>
        <w:tc>
          <w:tcPr>
            <w:tcW w:w="667" w:type="pct"/>
          </w:tcPr>
          <w:p w14:paraId="7A2B8685"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227-239</w:t>
            </w:r>
          </w:p>
        </w:tc>
        <w:tc>
          <w:tcPr>
            <w:tcW w:w="591" w:type="pct"/>
          </w:tcPr>
          <w:p w14:paraId="72D482D1"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13</w:t>
            </w:r>
          </w:p>
        </w:tc>
        <w:tc>
          <w:tcPr>
            <w:tcW w:w="1075" w:type="pct"/>
          </w:tcPr>
          <w:p w14:paraId="5DAB7858"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0.1</w:t>
            </w:r>
          </w:p>
        </w:tc>
      </w:tr>
      <w:tr w:rsidR="00FB0BD6" w:rsidRPr="004B39D6" w14:paraId="4DC090D7" w14:textId="77777777" w:rsidTr="00FB0BD6">
        <w:trPr>
          <w:trHeight w:val="135"/>
        </w:trPr>
        <w:tc>
          <w:tcPr>
            <w:tcW w:w="989" w:type="pct"/>
          </w:tcPr>
          <w:p w14:paraId="00FE9C86"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A*03:01</w:t>
            </w:r>
          </w:p>
        </w:tc>
        <w:tc>
          <w:tcPr>
            <w:tcW w:w="1678" w:type="pct"/>
          </w:tcPr>
          <w:p w14:paraId="42C7749B" w14:textId="6CD708F5" w:rsidR="001C07F6" w:rsidRPr="00FB0BD6" w:rsidRDefault="001C07F6" w:rsidP="00FB0BD6">
            <w:pPr>
              <w:snapToGrid w:val="0"/>
              <w:spacing w:after="0" w:line="360" w:lineRule="auto"/>
              <w:jc w:val="center"/>
              <w:rPr>
                <w:rFonts w:ascii="Book Antiqua" w:eastAsia="MS Mincho" w:hAnsi="Book Antiqua" w:cs="Calibri"/>
                <w:sz w:val="24"/>
                <w:szCs w:val="24"/>
                <w:lang w:eastAsia="ja-JP"/>
              </w:rPr>
            </w:pPr>
            <w:r w:rsidRPr="00FB0BD6">
              <w:rPr>
                <w:rFonts w:ascii="Book Antiqua" w:eastAsia="MS Mincho" w:hAnsi="Book Antiqua" w:cs="Calibri"/>
                <w:sz w:val="24"/>
                <w:szCs w:val="24"/>
                <w:lang w:eastAsia="ja-JP"/>
              </w:rPr>
              <w:t>SVAILLYLTRKYK</w:t>
            </w:r>
            <w:r w:rsidR="00FB0BD6" w:rsidRPr="00FB0BD6">
              <w:rPr>
                <w:rFonts w:ascii="Book Antiqua" w:hAnsi="Book Antiqua" w:cs="Calibri" w:hint="eastAsia"/>
                <w:sz w:val="24"/>
                <w:szCs w:val="24"/>
                <w:vertAlign w:val="superscript"/>
              </w:rPr>
              <w:t>1</w:t>
            </w:r>
          </w:p>
        </w:tc>
        <w:tc>
          <w:tcPr>
            <w:tcW w:w="667" w:type="pct"/>
          </w:tcPr>
          <w:p w14:paraId="78D1336D"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67-79</w:t>
            </w:r>
          </w:p>
        </w:tc>
        <w:tc>
          <w:tcPr>
            <w:tcW w:w="591" w:type="pct"/>
          </w:tcPr>
          <w:p w14:paraId="0CAECF17"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13</w:t>
            </w:r>
          </w:p>
        </w:tc>
        <w:tc>
          <w:tcPr>
            <w:tcW w:w="1075" w:type="pct"/>
          </w:tcPr>
          <w:p w14:paraId="294B6DD0"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0.2</w:t>
            </w:r>
          </w:p>
        </w:tc>
      </w:tr>
      <w:tr w:rsidR="00FB0BD6" w:rsidRPr="004B39D6" w14:paraId="1E2D545A" w14:textId="77777777" w:rsidTr="00FB0BD6">
        <w:trPr>
          <w:trHeight w:val="135"/>
        </w:trPr>
        <w:tc>
          <w:tcPr>
            <w:tcW w:w="989" w:type="pct"/>
          </w:tcPr>
          <w:p w14:paraId="6F815E7F"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A*11:01</w:t>
            </w:r>
          </w:p>
        </w:tc>
        <w:tc>
          <w:tcPr>
            <w:tcW w:w="1678" w:type="pct"/>
          </w:tcPr>
          <w:p w14:paraId="51131889" w14:textId="798631F6" w:rsidR="001C07F6" w:rsidRPr="00FB0BD6" w:rsidRDefault="001C07F6" w:rsidP="00FB0BD6">
            <w:pPr>
              <w:snapToGrid w:val="0"/>
              <w:spacing w:after="0" w:line="360" w:lineRule="auto"/>
              <w:jc w:val="center"/>
              <w:rPr>
                <w:rFonts w:ascii="Book Antiqua" w:eastAsia="MS Mincho" w:hAnsi="Book Antiqua" w:cs="Calibri"/>
                <w:sz w:val="24"/>
                <w:szCs w:val="24"/>
                <w:lang w:eastAsia="ja-JP"/>
              </w:rPr>
            </w:pPr>
            <w:r w:rsidRPr="00FB0BD6">
              <w:rPr>
                <w:rFonts w:ascii="Book Antiqua" w:eastAsia="MS Mincho" w:hAnsi="Book Antiqua" w:cs="Calibri"/>
                <w:sz w:val="24"/>
                <w:szCs w:val="24"/>
                <w:lang w:eastAsia="ja-JP"/>
              </w:rPr>
              <w:t>ESVAILLYLTRK</w:t>
            </w:r>
            <w:r w:rsidR="00FB0BD6" w:rsidRPr="00FB0BD6">
              <w:rPr>
                <w:rFonts w:ascii="Book Antiqua" w:hAnsi="Book Antiqua" w:cs="Calibri" w:hint="eastAsia"/>
                <w:sz w:val="24"/>
                <w:szCs w:val="24"/>
                <w:vertAlign w:val="superscript"/>
              </w:rPr>
              <w:t>1</w:t>
            </w:r>
          </w:p>
        </w:tc>
        <w:tc>
          <w:tcPr>
            <w:tcW w:w="667" w:type="pct"/>
          </w:tcPr>
          <w:p w14:paraId="64A116E9"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66-77</w:t>
            </w:r>
          </w:p>
        </w:tc>
        <w:tc>
          <w:tcPr>
            <w:tcW w:w="591" w:type="pct"/>
          </w:tcPr>
          <w:p w14:paraId="12F8CC01"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12</w:t>
            </w:r>
          </w:p>
        </w:tc>
        <w:tc>
          <w:tcPr>
            <w:tcW w:w="1075" w:type="pct"/>
          </w:tcPr>
          <w:p w14:paraId="6DB6F04B"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0.1</w:t>
            </w:r>
          </w:p>
        </w:tc>
      </w:tr>
      <w:tr w:rsidR="00FB0BD6" w:rsidRPr="004B39D6" w14:paraId="77C7B4BB" w14:textId="77777777" w:rsidTr="00FB0BD6">
        <w:trPr>
          <w:trHeight w:val="135"/>
        </w:trPr>
        <w:tc>
          <w:tcPr>
            <w:tcW w:w="989" w:type="pct"/>
          </w:tcPr>
          <w:p w14:paraId="4C09B1C6"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A*29:02</w:t>
            </w:r>
          </w:p>
        </w:tc>
        <w:tc>
          <w:tcPr>
            <w:tcW w:w="1678" w:type="pct"/>
          </w:tcPr>
          <w:p w14:paraId="2AF5D1CC" w14:textId="301AAE69" w:rsidR="001C07F6" w:rsidRPr="00FB0BD6" w:rsidRDefault="001C07F6" w:rsidP="00FB0BD6">
            <w:pPr>
              <w:snapToGrid w:val="0"/>
              <w:spacing w:after="0" w:line="360" w:lineRule="auto"/>
              <w:jc w:val="center"/>
              <w:rPr>
                <w:rFonts w:ascii="Book Antiqua" w:eastAsia="MS Mincho" w:hAnsi="Book Antiqua" w:cs="Calibri"/>
                <w:sz w:val="24"/>
                <w:szCs w:val="24"/>
                <w:lang w:eastAsia="ja-JP"/>
              </w:rPr>
            </w:pPr>
            <w:r w:rsidRPr="00FB0BD6">
              <w:rPr>
                <w:rFonts w:ascii="Book Antiqua" w:eastAsia="MS Mincho" w:hAnsi="Book Antiqua" w:cs="Calibri"/>
                <w:sz w:val="24"/>
                <w:szCs w:val="24"/>
                <w:lang w:eastAsia="ja-JP"/>
              </w:rPr>
              <w:t>FLTESVAILLY</w:t>
            </w:r>
            <w:r w:rsidR="00FB0BD6" w:rsidRPr="00FB0BD6">
              <w:rPr>
                <w:rFonts w:ascii="Book Antiqua" w:hAnsi="Book Antiqua" w:cs="Calibri" w:hint="eastAsia"/>
                <w:sz w:val="24"/>
                <w:szCs w:val="24"/>
                <w:vertAlign w:val="superscript"/>
              </w:rPr>
              <w:t>1</w:t>
            </w:r>
          </w:p>
        </w:tc>
        <w:tc>
          <w:tcPr>
            <w:tcW w:w="667" w:type="pct"/>
          </w:tcPr>
          <w:p w14:paraId="337E42EC"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62-73</w:t>
            </w:r>
          </w:p>
        </w:tc>
        <w:tc>
          <w:tcPr>
            <w:tcW w:w="591" w:type="pct"/>
          </w:tcPr>
          <w:p w14:paraId="0DDA19F9"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12</w:t>
            </w:r>
          </w:p>
        </w:tc>
        <w:tc>
          <w:tcPr>
            <w:tcW w:w="1075" w:type="pct"/>
          </w:tcPr>
          <w:p w14:paraId="03232ED1"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0.2</w:t>
            </w:r>
          </w:p>
        </w:tc>
      </w:tr>
      <w:tr w:rsidR="00FB0BD6" w:rsidRPr="004B39D6" w14:paraId="3FC67DD7" w14:textId="77777777" w:rsidTr="00FB0BD6">
        <w:trPr>
          <w:trHeight w:val="135"/>
        </w:trPr>
        <w:tc>
          <w:tcPr>
            <w:tcW w:w="989" w:type="pct"/>
          </w:tcPr>
          <w:p w14:paraId="436D5B9A"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B*07:02</w:t>
            </w:r>
          </w:p>
        </w:tc>
        <w:tc>
          <w:tcPr>
            <w:tcW w:w="1678" w:type="pct"/>
          </w:tcPr>
          <w:p w14:paraId="5560027A" w14:textId="63854C2A"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SPQTLAATLAEL</w:t>
            </w:r>
          </w:p>
        </w:tc>
        <w:tc>
          <w:tcPr>
            <w:tcW w:w="667" w:type="pct"/>
          </w:tcPr>
          <w:p w14:paraId="5F4BF2DC"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129-140</w:t>
            </w:r>
          </w:p>
        </w:tc>
        <w:tc>
          <w:tcPr>
            <w:tcW w:w="591" w:type="pct"/>
          </w:tcPr>
          <w:p w14:paraId="7FB0DB61"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12</w:t>
            </w:r>
          </w:p>
        </w:tc>
        <w:tc>
          <w:tcPr>
            <w:tcW w:w="1075" w:type="pct"/>
          </w:tcPr>
          <w:p w14:paraId="3EDD02F0"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0.1</w:t>
            </w:r>
          </w:p>
        </w:tc>
      </w:tr>
      <w:tr w:rsidR="00FB0BD6" w:rsidRPr="004B39D6" w14:paraId="678B30BE" w14:textId="77777777" w:rsidTr="00FB0BD6">
        <w:trPr>
          <w:trHeight w:val="135"/>
        </w:trPr>
        <w:tc>
          <w:tcPr>
            <w:tcW w:w="989" w:type="pct"/>
          </w:tcPr>
          <w:p w14:paraId="3CD673FA"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p>
        </w:tc>
        <w:tc>
          <w:tcPr>
            <w:tcW w:w="1678" w:type="pct"/>
          </w:tcPr>
          <w:p w14:paraId="0A2C139E" w14:textId="0BC7E0B8"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RPKLATWRQRVEAA</w:t>
            </w:r>
          </w:p>
        </w:tc>
        <w:tc>
          <w:tcPr>
            <w:tcW w:w="667" w:type="pct"/>
          </w:tcPr>
          <w:p w14:paraId="57F9470D"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188-201</w:t>
            </w:r>
          </w:p>
        </w:tc>
        <w:tc>
          <w:tcPr>
            <w:tcW w:w="591" w:type="pct"/>
          </w:tcPr>
          <w:p w14:paraId="11278F79"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14</w:t>
            </w:r>
          </w:p>
        </w:tc>
        <w:tc>
          <w:tcPr>
            <w:tcW w:w="1075" w:type="pct"/>
          </w:tcPr>
          <w:p w14:paraId="35B7CEF4"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0.2</w:t>
            </w:r>
          </w:p>
        </w:tc>
      </w:tr>
      <w:tr w:rsidR="00FB0BD6" w:rsidRPr="004B39D6" w14:paraId="79B1A3D1" w14:textId="77777777" w:rsidTr="00FB0BD6">
        <w:trPr>
          <w:trHeight w:val="135"/>
        </w:trPr>
        <w:tc>
          <w:tcPr>
            <w:tcW w:w="989" w:type="pct"/>
          </w:tcPr>
          <w:p w14:paraId="61D9DB83"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B*08:01</w:t>
            </w:r>
          </w:p>
        </w:tc>
        <w:tc>
          <w:tcPr>
            <w:tcW w:w="1678" w:type="pct"/>
          </w:tcPr>
          <w:p w14:paraId="7DC71F68" w14:textId="0E04B72F"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FAQVNPLKKVPAL</w:t>
            </w:r>
          </w:p>
        </w:tc>
        <w:tc>
          <w:tcPr>
            <w:tcW w:w="667" w:type="pct"/>
          </w:tcPr>
          <w:p w14:paraId="5B0CCB6C"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45-57</w:t>
            </w:r>
          </w:p>
        </w:tc>
        <w:tc>
          <w:tcPr>
            <w:tcW w:w="591" w:type="pct"/>
          </w:tcPr>
          <w:p w14:paraId="14E4C4A1"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13</w:t>
            </w:r>
          </w:p>
        </w:tc>
        <w:tc>
          <w:tcPr>
            <w:tcW w:w="1075" w:type="pct"/>
          </w:tcPr>
          <w:p w14:paraId="27581886"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0.2</w:t>
            </w:r>
          </w:p>
        </w:tc>
      </w:tr>
      <w:tr w:rsidR="00FB0BD6" w:rsidRPr="004B39D6" w14:paraId="15A655AD" w14:textId="77777777" w:rsidTr="00FB0BD6">
        <w:trPr>
          <w:trHeight w:val="135"/>
        </w:trPr>
        <w:tc>
          <w:tcPr>
            <w:tcW w:w="989" w:type="pct"/>
          </w:tcPr>
          <w:p w14:paraId="2EE692A5"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p>
        </w:tc>
        <w:tc>
          <w:tcPr>
            <w:tcW w:w="1678" w:type="pct"/>
          </w:tcPr>
          <w:p w14:paraId="5E94983C" w14:textId="65F42C5C"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LAWQHTTLRRSCL</w:t>
            </w:r>
          </w:p>
        </w:tc>
        <w:tc>
          <w:tcPr>
            <w:tcW w:w="667" w:type="pct"/>
          </w:tcPr>
          <w:p w14:paraId="05A11CE7"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99-111</w:t>
            </w:r>
          </w:p>
        </w:tc>
        <w:tc>
          <w:tcPr>
            <w:tcW w:w="591" w:type="pct"/>
          </w:tcPr>
          <w:p w14:paraId="10DE7B00"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13</w:t>
            </w:r>
          </w:p>
        </w:tc>
        <w:tc>
          <w:tcPr>
            <w:tcW w:w="1075" w:type="pct"/>
          </w:tcPr>
          <w:p w14:paraId="42216180"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0.2</w:t>
            </w:r>
          </w:p>
        </w:tc>
      </w:tr>
      <w:tr w:rsidR="00FB0BD6" w:rsidRPr="004B39D6" w14:paraId="0B451F6B" w14:textId="77777777" w:rsidTr="00FB0BD6">
        <w:trPr>
          <w:trHeight w:val="135"/>
        </w:trPr>
        <w:tc>
          <w:tcPr>
            <w:tcW w:w="989" w:type="pct"/>
          </w:tcPr>
          <w:p w14:paraId="29319016"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p>
        </w:tc>
        <w:tc>
          <w:tcPr>
            <w:tcW w:w="1678" w:type="pct"/>
          </w:tcPr>
          <w:p w14:paraId="6D716558" w14:textId="6356BEA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DPTIKQKLMPWVL</w:t>
            </w:r>
          </w:p>
        </w:tc>
        <w:tc>
          <w:tcPr>
            <w:tcW w:w="667" w:type="pct"/>
          </w:tcPr>
          <w:p w14:paraId="3249DA81"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224-236</w:t>
            </w:r>
          </w:p>
        </w:tc>
        <w:tc>
          <w:tcPr>
            <w:tcW w:w="591" w:type="pct"/>
          </w:tcPr>
          <w:p w14:paraId="5650522A"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13</w:t>
            </w:r>
          </w:p>
        </w:tc>
        <w:tc>
          <w:tcPr>
            <w:tcW w:w="1075" w:type="pct"/>
          </w:tcPr>
          <w:p w14:paraId="626D0426"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0.2</w:t>
            </w:r>
          </w:p>
        </w:tc>
      </w:tr>
      <w:tr w:rsidR="00FB0BD6" w:rsidRPr="004B39D6" w14:paraId="7FA9A10C" w14:textId="77777777" w:rsidTr="00FB0BD6">
        <w:trPr>
          <w:trHeight w:val="135"/>
        </w:trPr>
        <w:tc>
          <w:tcPr>
            <w:tcW w:w="989" w:type="pct"/>
          </w:tcPr>
          <w:p w14:paraId="75D2F7C7"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B*35:01</w:t>
            </w:r>
          </w:p>
        </w:tc>
        <w:tc>
          <w:tcPr>
            <w:tcW w:w="1678" w:type="pct"/>
          </w:tcPr>
          <w:p w14:paraId="39787811" w14:textId="11DD08D4"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YPQDLQARARVDEY</w:t>
            </w:r>
          </w:p>
        </w:tc>
        <w:tc>
          <w:tcPr>
            <w:tcW w:w="667" w:type="pct"/>
          </w:tcPr>
          <w:p w14:paraId="5DA2F7DF"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85-98</w:t>
            </w:r>
          </w:p>
        </w:tc>
        <w:tc>
          <w:tcPr>
            <w:tcW w:w="591" w:type="pct"/>
          </w:tcPr>
          <w:p w14:paraId="500BFBBB"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14</w:t>
            </w:r>
          </w:p>
        </w:tc>
        <w:tc>
          <w:tcPr>
            <w:tcW w:w="1075" w:type="pct"/>
          </w:tcPr>
          <w:p w14:paraId="76C506FA"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0.1</w:t>
            </w:r>
          </w:p>
        </w:tc>
      </w:tr>
      <w:tr w:rsidR="00FB0BD6" w:rsidRPr="004B39D6" w14:paraId="08EEF4E3" w14:textId="77777777" w:rsidTr="00FB0BD6">
        <w:trPr>
          <w:trHeight w:val="135"/>
        </w:trPr>
        <w:tc>
          <w:tcPr>
            <w:tcW w:w="989" w:type="pct"/>
          </w:tcPr>
          <w:p w14:paraId="29944FB5"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B*44:02</w:t>
            </w:r>
          </w:p>
        </w:tc>
        <w:tc>
          <w:tcPr>
            <w:tcW w:w="1678" w:type="pct"/>
          </w:tcPr>
          <w:p w14:paraId="39C2A075" w14:textId="7B6C26A6" w:rsidR="001C07F6" w:rsidRPr="00FB0BD6" w:rsidRDefault="001C07F6" w:rsidP="00FB0BD6">
            <w:pPr>
              <w:snapToGrid w:val="0"/>
              <w:spacing w:after="0" w:line="360" w:lineRule="auto"/>
              <w:jc w:val="center"/>
              <w:rPr>
                <w:rFonts w:ascii="Book Antiqua" w:eastAsia="MS Mincho" w:hAnsi="Book Antiqua" w:cs="Calibri"/>
                <w:sz w:val="24"/>
                <w:szCs w:val="24"/>
                <w:lang w:eastAsia="ja-JP"/>
              </w:rPr>
            </w:pPr>
            <w:r w:rsidRPr="00FB0BD6">
              <w:rPr>
                <w:rFonts w:ascii="Book Antiqua" w:eastAsia="MS Mincho" w:hAnsi="Book Antiqua" w:cs="Calibri"/>
                <w:sz w:val="24"/>
                <w:szCs w:val="24"/>
                <w:lang w:eastAsia="ja-JP"/>
              </w:rPr>
              <w:t>TESVAILLY</w:t>
            </w:r>
            <w:r w:rsidR="00FB0BD6" w:rsidRPr="00FB0BD6">
              <w:rPr>
                <w:rFonts w:ascii="Book Antiqua" w:hAnsi="Book Antiqua" w:cs="Calibri" w:hint="eastAsia"/>
                <w:sz w:val="24"/>
                <w:szCs w:val="24"/>
                <w:vertAlign w:val="superscript"/>
              </w:rPr>
              <w:t>1</w:t>
            </w:r>
          </w:p>
        </w:tc>
        <w:tc>
          <w:tcPr>
            <w:tcW w:w="667" w:type="pct"/>
          </w:tcPr>
          <w:p w14:paraId="7A9269D7"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65-73</w:t>
            </w:r>
          </w:p>
        </w:tc>
        <w:tc>
          <w:tcPr>
            <w:tcW w:w="591" w:type="pct"/>
          </w:tcPr>
          <w:p w14:paraId="5DF345EE"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9</w:t>
            </w:r>
          </w:p>
        </w:tc>
        <w:tc>
          <w:tcPr>
            <w:tcW w:w="1075" w:type="pct"/>
          </w:tcPr>
          <w:p w14:paraId="58CE99CB"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0.15</w:t>
            </w:r>
          </w:p>
        </w:tc>
      </w:tr>
      <w:tr w:rsidR="00FB0BD6" w:rsidRPr="004B39D6" w14:paraId="7621B71B" w14:textId="77777777" w:rsidTr="00FB0BD6">
        <w:trPr>
          <w:trHeight w:val="135"/>
        </w:trPr>
        <w:tc>
          <w:tcPr>
            <w:tcW w:w="989" w:type="pct"/>
          </w:tcPr>
          <w:p w14:paraId="523570C5"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p>
        </w:tc>
        <w:tc>
          <w:tcPr>
            <w:tcW w:w="1678" w:type="pct"/>
          </w:tcPr>
          <w:p w14:paraId="67341A45" w14:textId="67A85FAA"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AELDVTLQL</w:t>
            </w:r>
          </w:p>
        </w:tc>
        <w:tc>
          <w:tcPr>
            <w:tcW w:w="667" w:type="pct"/>
          </w:tcPr>
          <w:p w14:paraId="54E0A7B3"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138-146</w:t>
            </w:r>
          </w:p>
        </w:tc>
        <w:tc>
          <w:tcPr>
            <w:tcW w:w="591" w:type="pct"/>
          </w:tcPr>
          <w:p w14:paraId="498E67AD"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9</w:t>
            </w:r>
          </w:p>
        </w:tc>
        <w:tc>
          <w:tcPr>
            <w:tcW w:w="1075" w:type="pct"/>
          </w:tcPr>
          <w:p w14:paraId="772C3608"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0.15</w:t>
            </w:r>
          </w:p>
        </w:tc>
      </w:tr>
      <w:tr w:rsidR="00FB0BD6" w:rsidRPr="004B39D6" w14:paraId="541395C0" w14:textId="77777777" w:rsidTr="00FB0BD6">
        <w:trPr>
          <w:trHeight w:val="135"/>
        </w:trPr>
        <w:tc>
          <w:tcPr>
            <w:tcW w:w="989" w:type="pct"/>
          </w:tcPr>
          <w:p w14:paraId="067A7DB9" w14:textId="77777777" w:rsidR="001C07F6" w:rsidRPr="004B39D6" w:rsidRDefault="001C07F6" w:rsidP="00FB0BD6">
            <w:pPr>
              <w:snapToGrid w:val="0"/>
              <w:spacing w:after="0" w:line="360" w:lineRule="auto"/>
              <w:rPr>
                <w:rFonts w:ascii="Book Antiqua" w:eastAsia="MS Mincho" w:hAnsi="Book Antiqua" w:cs="Calibri"/>
                <w:b/>
                <w:sz w:val="24"/>
                <w:szCs w:val="24"/>
                <w:lang w:eastAsia="ja-JP"/>
              </w:rPr>
            </w:pPr>
            <w:r w:rsidRPr="004B39D6">
              <w:rPr>
                <w:rFonts w:ascii="Book Antiqua" w:eastAsia="MS Mincho" w:hAnsi="Book Antiqua" w:cs="Calibri"/>
                <w:b/>
                <w:sz w:val="24"/>
                <w:szCs w:val="24"/>
                <w:lang w:eastAsia="ja-JP"/>
              </w:rPr>
              <w:t>Class II</w:t>
            </w:r>
          </w:p>
        </w:tc>
        <w:tc>
          <w:tcPr>
            <w:tcW w:w="1678" w:type="pct"/>
          </w:tcPr>
          <w:p w14:paraId="2435DFE0"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p>
        </w:tc>
        <w:tc>
          <w:tcPr>
            <w:tcW w:w="667" w:type="pct"/>
          </w:tcPr>
          <w:p w14:paraId="41DA5AA8"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p>
        </w:tc>
        <w:tc>
          <w:tcPr>
            <w:tcW w:w="591" w:type="pct"/>
          </w:tcPr>
          <w:p w14:paraId="70D4C767"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p>
        </w:tc>
        <w:tc>
          <w:tcPr>
            <w:tcW w:w="1075" w:type="pct"/>
          </w:tcPr>
          <w:p w14:paraId="2DF2BB99"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p>
        </w:tc>
      </w:tr>
      <w:tr w:rsidR="00FB0BD6" w:rsidRPr="004B39D6" w14:paraId="1CBC5574" w14:textId="77777777" w:rsidTr="00FB0BD6">
        <w:trPr>
          <w:trHeight w:val="135"/>
        </w:trPr>
        <w:tc>
          <w:tcPr>
            <w:tcW w:w="989" w:type="pct"/>
          </w:tcPr>
          <w:p w14:paraId="0E64D74C"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DRB1*01:03</w:t>
            </w:r>
          </w:p>
        </w:tc>
        <w:tc>
          <w:tcPr>
            <w:tcW w:w="1678" w:type="pct"/>
          </w:tcPr>
          <w:p w14:paraId="4DA42B57" w14:textId="1F4B9B8B"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GD</w:t>
            </w:r>
            <w:r w:rsidRPr="00FB0BD6">
              <w:rPr>
                <w:rFonts w:ascii="Book Antiqua" w:eastAsia="MS Mincho" w:hAnsi="Book Antiqua" w:cs="Calibri"/>
                <w:sz w:val="24"/>
                <w:szCs w:val="24"/>
                <w:lang w:eastAsia="ja-JP"/>
              </w:rPr>
              <w:t>FTLTESVAILLYL</w:t>
            </w:r>
            <w:r w:rsidR="00FB0BD6" w:rsidRPr="00FB0BD6">
              <w:rPr>
                <w:rFonts w:ascii="Book Antiqua" w:hAnsi="Book Antiqua" w:cs="Calibri" w:hint="eastAsia"/>
                <w:sz w:val="24"/>
                <w:szCs w:val="24"/>
                <w:vertAlign w:val="superscript"/>
              </w:rPr>
              <w:t>1</w:t>
            </w:r>
          </w:p>
        </w:tc>
        <w:tc>
          <w:tcPr>
            <w:tcW w:w="667" w:type="pct"/>
          </w:tcPr>
          <w:p w14:paraId="2E1F934E"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60-74</w:t>
            </w:r>
          </w:p>
        </w:tc>
        <w:tc>
          <w:tcPr>
            <w:tcW w:w="591" w:type="pct"/>
          </w:tcPr>
          <w:p w14:paraId="0C62E3FE"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15</w:t>
            </w:r>
          </w:p>
        </w:tc>
        <w:tc>
          <w:tcPr>
            <w:tcW w:w="1075" w:type="pct"/>
          </w:tcPr>
          <w:p w14:paraId="48D133C8"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0.6</w:t>
            </w:r>
          </w:p>
        </w:tc>
      </w:tr>
      <w:tr w:rsidR="00FB0BD6" w:rsidRPr="004B39D6" w14:paraId="7458D850" w14:textId="77777777" w:rsidTr="00FB0BD6">
        <w:trPr>
          <w:trHeight w:val="135"/>
        </w:trPr>
        <w:tc>
          <w:tcPr>
            <w:tcW w:w="989" w:type="pct"/>
          </w:tcPr>
          <w:p w14:paraId="0026F5CC"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DRB1*07:01</w:t>
            </w:r>
          </w:p>
        </w:tc>
        <w:tc>
          <w:tcPr>
            <w:tcW w:w="1678" w:type="pct"/>
          </w:tcPr>
          <w:p w14:paraId="71B03E7D" w14:textId="26F128ED"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ALKDGD</w:t>
            </w:r>
            <w:r w:rsidRPr="00FB0BD6">
              <w:rPr>
                <w:rFonts w:ascii="Book Antiqua" w:eastAsia="MS Mincho" w:hAnsi="Book Antiqua" w:cs="Calibri"/>
                <w:sz w:val="24"/>
                <w:szCs w:val="24"/>
                <w:lang w:eastAsia="ja-JP"/>
              </w:rPr>
              <w:t>FTLTESVAI</w:t>
            </w:r>
            <w:r w:rsidR="00FB0BD6" w:rsidRPr="00FB0BD6">
              <w:rPr>
                <w:rFonts w:ascii="Book Antiqua" w:hAnsi="Book Antiqua" w:cs="Calibri" w:hint="eastAsia"/>
                <w:sz w:val="24"/>
                <w:szCs w:val="24"/>
                <w:vertAlign w:val="superscript"/>
              </w:rPr>
              <w:t>1</w:t>
            </w:r>
          </w:p>
        </w:tc>
        <w:tc>
          <w:tcPr>
            <w:tcW w:w="667" w:type="pct"/>
          </w:tcPr>
          <w:p w14:paraId="115A4823"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56-70</w:t>
            </w:r>
          </w:p>
        </w:tc>
        <w:tc>
          <w:tcPr>
            <w:tcW w:w="591" w:type="pct"/>
          </w:tcPr>
          <w:p w14:paraId="4F8E18D7"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15</w:t>
            </w:r>
          </w:p>
        </w:tc>
        <w:tc>
          <w:tcPr>
            <w:tcW w:w="1075" w:type="pct"/>
          </w:tcPr>
          <w:p w14:paraId="195BDDCE"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0.4</w:t>
            </w:r>
          </w:p>
        </w:tc>
      </w:tr>
      <w:tr w:rsidR="00FB0BD6" w:rsidRPr="004B39D6" w14:paraId="30036CE2" w14:textId="77777777" w:rsidTr="00FB0BD6">
        <w:trPr>
          <w:trHeight w:val="135"/>
        </w:trPr>
        <w:tc>
          <w:tcPr>
            <w:tcW w:w="989" w:type="pct"/>
          </w:tcPr>
          <w:p w14:paraId="0F6F62E9"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DRB1*11:01</w:t>
            </w:r>
          </w:p>
        </w:tc>
        <w:tc>
          <w:tcPr>
            <w:tcW w:w="1678" w:type="pct"/>
          </w:tcPr>
          <w:p w14:paraId="3F32430F" w14:textId="31EC35BB"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FB0BD6">
              <w:rPr>
                <w:rFonts w:ascii="Book Antiqua" w:eastAsia="MS Mincho" w:hAnsi="Book Antiqua" w:cs="Calibri"/>
                <w:sz w:val="24"/>
                <w:szCs w:val="24"/>
                <w:lang w:eastAsia="ja-JP"/>
              </w:rPr>
              <w:t>AILLYLTRKYKVP</w:t>
            </w:r>
            <w:r w:rsidRPr="004B39D6">
              <w:rPr>
                <w:rFonts w:ascii="Book Antiqua" w:eastAsia="MS Mincho" w:hAnsi="Book Antiqua" w:cs="Calibri"/>
                <w:sz w:val="24"/>
                <w:szCs w:val="24"/>
                <w:lang w:eastAsia="ja-JP"/>
              </w:rPr>
              <w:t>DY</w:t>
            </w:r>
            <w:r w:rsidR="00FB0BD6" w:rsidRPr="00FB0BD6">
              <w:rPr>
                <w:rFonts w:ascii="Book Antiqua" w:hAnsi="Book Antiqua" w:cs="Calibri" w:hint="eastAsia"/>
                <w:sz w:val="24"/>
                <w:szCs w:val="24"/>
                <w:vertAlign w:val="superscript"/>
              </w:rPr>
              <w:t>1</w:t>
            </w:r>
          </w:p>
        </w:tc>
        <w:tc>
          <w:tcPr>
            <w:tcW w:w="667" w:type="pct"/>
          </w:tcPr>
          <w:p w14:paraId="06437C0E"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69-83</w:t>
            </w:r>
          </w:p>
        </w:tc>
        <w:tc>
          <w:tcPr>
            <w:tcW w:w="591" w:type="pct"/>
          </w:tcPr>
          <w:p w14:paraId="65FAE440"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15</w:t>
            </w:r>
          </w:p>
        </w:tc>
        <w:tc>
          <w:tcPr>
            <w:tcW w:w="1075" w:type="pct"/>
          </w:tcPr>
          <w:p w14:paraId="651349CF"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0.5</w:t>
            </w:r>
          </w:p>
        </w:tc>
      </w:tr>
      <w:tr w:rsidR="00FB0BD6" w:rsidRPr="004B39D6" w14:paraId="4A327F73" w14:textId="77777777" w:rsidTr="00FB0BD6">
        <w:trPr>
          <w:trHeight w:val="135"/>
        </w:trPr>
        <w:tc>
          <w:tcPr>
            <w:tcW w:w="989" w:type="pct"/>
          </w:tcPr>
          <w:p w14:paraId="0E74D60C"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DRB1*12:01</w:t>
            </w:r>
          </w:p>
        </w:tc>
        <w:tc>
          <w:tcPr>
            <w:tcW w:w="1678" w:type="pct"/>
          </w:tcPr>
          <w:p w14:paraId="334449D3" w14:textId="70ED4B71" w:rsidR="001C07F6" w:rsidRPr="00FB0BD6" w:rsidRDefault="001C07F6" w:rsidP="00FB0BD6">
            <w:pPr>
              <w:snapToGrid w:val="0"/>
              <w:spacing w:after="0" w:line="360" w:lineRule="auto"/>
              <w:jc w:val="center"/>
              <w:rPr>
                <w:rFonts w:ascii="Book Antiqua" w:eastAsia="MS Mincho" w:hAnsi="Book Antiqua" w:cs="Calibri"/>
                <w:sz w:val="24"/>
                <w:szCs w:val="24"/>
                <w:lang w:eastAsia="ja-JP"/>
              </w:rPr>
            </w:pPr>
            <w:r w:rsidRPr="00FB0BD6">
              <w:rPr>
                <w:rFonts w:ascii="Book Antiqua" w:eastAsia="MS Mincho" w:hAnsi="Book Antiqua" w:cs="Calibri"/>
                <w:sz w:val="24"/>
                <w:szCs w:val="24"/>
                <w:lang w:eastAsia="ja-JP"/>
              </w:rPr>
              <w:t>SVAILLYLTRKYKVP</w:t>
            </w:r>
            <w:r w:rsidR="00FB0BD6" w:rsidRPr="00FB0BD6">
              <w:rPr>
                <w:rFonts w:ascii="Book Antiqua" w:hAnsi="Book Antiqua" w:cs="Calibri" w:hint="eastAsia"/>
                <w:sz w:val="24"/>
                <w:szCs w:val="24"/>
                <w:vertAlign w:val="superscript"/>
              </w:rPr>
              <w:t>1</w:t>
            </w:r>
          </w:p>
        </w:tc>
        <w:tc>
          <w:tcPr>
            <w:tcW w:w="667" w:type="pct"/>
          </w:tcPr>
          <w:p w14:paraId="5DD0F7B8"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67-81</w:t>
            </w:r>
          </w:p>
        </w:tc>
        <w:tc>
          <w:tcPr>
            <w:tcW w:w="591" w:type="pct"/>
          </w:tcPr>
          <w:p w14:paraId="34BC4668"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15</w:t>
            </w:r>
          </w:p>
        </w:tc>
        <w:tc>
          <w:tcPr>
            <w:tcW w:w="1075" w:type="pct"/>
          </w:tcPr>
          <w:p w14:paraId="35E5C139"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0.72</w:t>
            </w:r>
          </w:p>
        </w:tc>
      </w:tr>
      <w:tr w:rsidR="00FB0BD6" w:rsidRPr="004B39D6" w14:paraId="5B7A6A97" w14:textId="77777777" w:rsidTr="00FB0BD6">
        <w:trPr>
          <w:trHeight w:val="135"/>
        </w:trPr>
        <w:tc>
          <w:tcPr>
            <w:tcW w:w="989" w:type="pct"/>
          </w:tcPr>
          <w:p w14:paraId="0E502D28"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DRB1*13:01</w:t>
            </w:r>
          </w:p>
        </w:tc>
        <w:tc>
          <w:tcPr>
            <w:tcW w:w="1678" w:type="pct"/>
          </w:tcPr>
          <w:p w14:paraId="34E10ADC" w14:textId="1A0AA6DD" w:rsidR="001C07F6" w:rsidRPr="00FB0BD6" w:rsidRDefault="001C07F6" w:rsidP="00FB0BD6">
            <w:pPr>
              <w:snapToGrid w:val="0"/>
              <w:spacing w:after="0" w:line="360" w:lineRule="auto"/>
              <w:jc w:val="center"/>
              <w:rPr>
                <w:rFonts w:ascii="Book Antiqua" w:eastAsia="MS Mincho" w:hAnsi="Book Antiqua" w:cs="Calibri"/>
                <w:sz w:val="24"/>
                <w:szCs w:val="24"/>
                <w:lang w:eastAsia="ja-JP"/>
              </w:rPr>
            </w:pPr>
            <w:r w:rsidRPr="00FB0BD6">
              <w:rPr>
                <w:rFonts w:ascii="Book Antiqua" w:eastAsia="MS Mincho" w:hAnsi="Book Antiqua" w:cs="Calibri"/>
                <w:sz w:val="24"/>
                <w:szCs w:val="24"/>
                <w:lang w:eastAsia="ja-JP"/>
              </w:rPr>
              <w:t>LTESVAILLYLTRKY</w:t>
            </w:r>
            <w:r w:rsidR="00FB0BD6" w:rsidRPr="00FB0BD6">
              <w:rPr>
                <w:rFonts w:ascii="Book Antiqua" w:hAnsi="Book Antiqua" w:cs="Calibri" w:hint="eastAsia"/>
                <w:sz w:val="24"/>
                <w:szCs w:val="24"/>
                <w:vertAlign w:val="superscript"/>
              </w:rPr>
              <w:t>1</w:t>
            </w:r>
          </w:p>
        </w:tc>
        <w:tc>
          <w:tcPr>
            <w:tcW w:w="667" w:type="pct"/>
          </w:tcPr>
          <w:p w14:paraId="386A5DA8"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64-78</w:t>
            </w:r>
          </w:p>
        </w:tc>
        <w:tc>
          <w:tcPr>
            <w:tcW w:w="591" w:type="pct"/>
          </w:tcPr>
          <w:p w14:paraId="6397D7A9"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15</w:t>
            </w:r>
          </w:p>
        </w:tc>
        <w:tc>
          <w:tcPr>
            <w:tcW w:w="1075" w:type="pct"/>
          </w:tcPr>
          <w:p w14:paraId="5339623C"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0.17</w:t>
            </w:r>
          </w:p>
        </w:tc>
      </w:tr>
      <w:tr w:rsidR="00FB0BD6" w:rsidRPr="004B39D6" w14:paraId="03D41DF8" w14:textId="77777777" w:rsidTr="00FB0BD6">
        <w:trPr>
          <w:trHeight w:val="135"/>
        </w:trPr>
        <w:tc>
          <w:tcPr>
            <w:tcW w:w="989" w:type="pct"/>
          </w:tcPr>
          <w:p w14:paraId="0258180C"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DRB1*14:01</w:t>
            </w:r>
          </w:p>
        </w:tc>
        <w:tc>
          <w:tcPr>
            <w:tcW w:w="1678" w:type="pct"/>
          </w:tcPr>
          <w:p w14:paraId="089F3B23" w14:textId="573A88A0" w:rsidR="001C07F6" w:rsidRPr="00FB0BD6" w:rsidRDefault="001C07F6" w:rsidP="00FB0BD6">
            <w:pPr>
              <w:snapToGrid w:val="0"/>
              <w:spacing w:after="0" w:line="360" w:lineRule="auto"/>
              <w:jc w:val="center"/>
              <w:rPr>
                <w:rFonts w:ascii="Book Antiqua" w:eastAsia="MS Mincho" w:hAnsi="Book Antiqua" w:cs="Calibri"/>
                <w:sz w:val="24"/>
                <w:szCs w:val="24"/>
                <w:lang w:eastAsia="ja-JP"/>
              </w:rPr>
            </w:pPr>
            <w:r w:rsidRPr="00FB0BD6">
              <w:rPr>
                <w:rFonts w:ascii="Book Antiqua" w:eastAsia="MS Mincho" w:hAnsi="Book Antiqua" w:cs="Calibri"/>
                <w:sz w:val="24"/>
                <w:szCs w:val="24"/>
                <w:lang w:eastAsia="ja-JP"/>
              </w:rPr>
              <w:t>SVAILLYLTRKYKVP</w:t>
            </w:r>
            <w:r w:rsidR="00FB0BD6" w:rsidRPr="00FB0BD6">
              <w:rPr>
                <w:rFonts w:ascii="Book Antiqua" w:hAnsi="Book Antiqua" w:cs="Calibri" w:hint="eastAsia"/>
                <w:sz w:val="24"/>
                <w:szCs w:val="24"/>
                <w:vertAlign w:val="superscript"/>
              </w:rPr>
              <w:t>1</w:t>
            </w:r>
          </w:p>
        </w:tc>
        <w:tc>
          <w:tcPr>
            <w:tcW w:w="667" w:type="pct"/>
          </w:tcPr>
          <w:p w14:paraId="5FAC58B9"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67-81</w:t>
            </w:r>
          </w:p>
        </w:tc>
        <w:tc>
          <w:tcPr>
            <w:tcW w:w="591" w:type="pct"/>
          </w:tcPr>
          <w:p w14:paraId="71D4AC14"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15</w:t>
            </w:r>
          </w:p>
        </w:tc>
        <w:tc>
          <w:tcPr>
            <w:tcW w:w="1075" w:type="pct"/>
          </w:tcPr>
          <w:p w14:paraId="06DA67FE"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0.48</w:t>
            </w:r>
          </w:p>
        </w:tc>
      </w:tr>
      <w:tr w:rsidR="00FB0BD6" w:rsidRPr="004B39D6" w14:paraId="0C6BC69A" w14:textId="77777777" w:rsidTr="00FB0BD6">
        <w:trPr>
          <w:trHeight w:val="135"/>
        </w:trPr>
        <w:tc>
          <w:tcPr>
            <w:tcW w:w="989" w:type="pct"/>
            <w:tcBorders>
              <w:bottom w:val="single" w:sz="4" w:space="0" w:color="auto"/>
            </w:tcBorders>
          </w:tcPr>
          <w:p w14:paraId="7B8E6A63" w14:textId="77777777" w:rsidR="001C07F6" w:rsidRPr="004B39D6" w:rsidRDefault="001C07F6" w:rsidP="00FB0BD6">
            <w:pPr>
              <w:snapToGrid w:val="0"/>
              <w:spacing w:after="0" w:line="360" w:lineRule="auto"/>
              <w:ind w:left="142"/>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DRB1*15:01</w:t>
            </w:r>
          </w:p>
        </w:tc>
        <w:tc>
          <w:tcPr>
            <w:tcW w:w="1678" w:type="pct"/>
            <w:tcBorders>
              <w:bottom w:val="single" w:sz="4" w:space="0" w:color="auto"/>
            </w:tcBorders>
          </w:tcPr>
          <w:p w14:paraId="21945A1E" w14:textId="73AC248F" w:rsidR="001C07F6" w:rsidRPr="00FB0BD6" w:rsidRDefault="001C07F6" w:rsidP="00FB0BD6">
            <w:pPr>
              <w:snapToGrid w:val="0"/>
              <w:spacing w:after="0" w:line="360" w:lineRule="auto"/>
              <w:jc w:val="center"/>
              <w:rPr>
                <w:rFonts w:ascii="Book Antiqua" w:eastAsia="MS Mincho" w:hAnsi="Book Antiqua" w:cs="Calibri"/>
                <w:sz w:val="24"/>
                <w:szCs w:val="24"/>
                <w:lang w:eastAsia="ja-JP"/>
              </w:rPr>
            </w:pPr>
            <w:r w:rsidRPr="00FB0BD6">
              <w:rPr>
                <w:rFonts w:ascii="Book Antiqua" w:eastAsia="MS Mincho" w:hAnsi="Book Antiqua" w:cs="Calibri"/>
                <w:sz w:val="24"/>
                <w:szCs w:val="24"/>
                <w:lang w:eastAsia="ja-JP"/>
              </w:rPr>
              <w:t>ESVAILLYLTRKYKV</w:t>
            </w:r>
            <w:r w:rsidR="00FB0BD6" w:rsidRPr="00FB0BD6">
              <w:rPr>
                <w:rFonts w:ascii="Book Antiqua" w:hAnsi="Book Antiqua" w:cs="Calibri" w:hint="eastAsia"/>
                <w:sz w:val="24"/>
                <w:szCs w:val="24"/>
                <w:vertAlign w:val="superscript"/>
              </w:rPr>
              <w:t>1</w:t>
            </w:r>
          </w:p>
        </w:tc>
        <w:tc>
          <w:tcPr>
            <w:tcW w:w="667" w:type="pct"/>
            <w:tcBorders>
              <w:bottom w:val="single" w:sz="4" w:space="0" w:color="auto"/>
            </w:tcBorders>
          </w:tcPr>
          <w:p w14:paraId="5351F801"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66-80</w:t>
            </w:r>
          </w:p>
        </w:tc>
        <w:tc>
          <w:tcPr>
            <w:tcW w:w="591" w:type="pct"/>
            <w:tcBorders>
              <w:bottom w:val="single" w:sz="4" w:space="0" w:color="auto"/>
            </w:tcBorders>
          </w:tcPr>
          <w:p w14:paraId="0AA426AB"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15</w:t>
            </w:r>
          </w:p>
        </w:tc>
        <w:tc>
          <w:tcPr>
            <w:tcW w:w="1075" w:type="pct"/>
            <w:tcBorders>
              <w:bottom w:val="single" w:sz="4" w:space="0" w:color="auto"/>
            </w:tcBorders>
          </w:tcPr>
          <w:p w14:paraId="566C1B9A" w14:textId="77777777" w:rsidR="001C07F6" w:rsidRPr="004B39D6" w:rsidRDefault="001C07F6" w:rsidP="00FB0BD6">
            <w:pPr>
              <w:snapToGrid w:val="0"/>
              <w:spacing w:after="0" w:line="360" w:lineRule="auto"/>
              <w:jc w:val="center"/>
              <w:rPr>
                <w:rFonts w:ascii="Book Antiqua" w:eastAsia="MS Mincho" w:hAnsi="Book Antiqua" w:cs="Calibri"/>
                <w:sz w:val="24"/>
                <w:szCs w:val="24"/>
                <w:lang w:eastAsia="ja-JP"/>
              </w:rPr>
            </w:pPr>
            <w:r w:rsidRPr="004B39D6">
              <w:rPr>
                <w:rFonts w:ascii="Book Antiqua" w:eastAsia="MS Mincho" w:hAnsi="Book Antiqua" w:cs="Calibri"/>
                <w:sz w:val="24"/>
                <w:szCs w:val="24"/>
                <w:lang w:eastAsia="ja-JP"/>
              </w:rPr>
              <w:t>0.41</w:t>
            </w:r>
          </w:p>
        </w:tc>
      </w:tr>
    </w:tbl>
    <w:p w14:paraId="1D02B9C4" w14:textId="07E178FC" w:rsidR="004A7557" w:rsidRPr="004B39D6" w:rsidRDefault="00FB0BD6" w:rsidP="0081528B">
      <w:pPr>
        <w:snapToGrid w:val="0"/>
        <w:spacing w:after="0" w:line="360" w:lineRule="auto"/>
        <w:jc w:val="both"/>
        <w:rPr>
          <w:rFonts w:ascii="Book Antiqua" w:hAnsi="Book Antiqua" w:cs="Arial"/>
          <w:sz w:val="24"/>
          <w:szCs w:val="24"/>
          <w:lang w:val="en-US"/>
        </w:rPr>
      </w:pPr>
      <w:r w:rsidRPr="00FB0BD6">
        <w:rPr>
          <w:rFonts w:ascii="Book Antiqua" w:hAnsi="Book Antiqua" w:cs="Calibri" w:hint="eastAsia"/>
          <w:sz w:val="24"/>
          <w:szCs w:val="24"/>
          <w:vertAlign w:val="superscript"/>
          <w:lang w:val="en-US" w:eastAsia="zh-CN"/>
        </w:rPr>
        <w:t>1</w:t>
      </w:r>
      <w:r w:rsidR="00FE2F39" w:rsidRPr="004B39D6">
        <w:rPr>
          <w:rFonts w:ascii="Book Antiqua" w:eastAsia="MS Mincho" w:hAnsi="Book Antiqua" w:cs="Calibri"/>
          <w:sz w:val="24"/>
          <w:szCs w:val="24"/>
          <w:lang w:val="en-US" w:eastAsia="ja-JP"/>
        </w:rPr>
        <w:t>Highly antigenic area</w:t>
      </w:r>
      <w:r w:rsidR="00D35C08" w:rsidRPr="004B39D6">
        <w:rPr>
          <w:rFonts w:ascii="Book Antiqua" w:eastAsia="MS Mincho" w:hAnsi="Book Antiqua" w:cs="Calibri"/>
          <w:sz w:val="24"/>
          <w:szCs w:val="24"/>
          <w:lang w:val="en-US" w:eastAsia="ja-JP"/>
        </w:rPr>
        <w:t>s</w:t>
      </w:r>
      <w:r w:rsidR="00FE2F39" w:rsidRPr="004B39D6">
        <w:rPr>
          <w:rFonts w:ascii="Book Antiqua" w:eastAsia="MS Mincho" w:hAnsi="Book Antiqua" w:cs="Calibri"/>
          <w:sz w:val="24"/>
          <w:szCs w:val="24"/>
          <w:lang w:val="en-US" w:eastAsia="ja-JP"/>
        </w:rPr>
        <w:t xml:space="preserve"> of the GSTT1 protein whose peptides are shared by HLA class </w:t>
      </w:r>
      <w:proofErr w:type="gramStart"/>
      <w:r w:rsidR="00FE2F39" w:rsidRPr="004B39D6">
        <w:rPr>
          <w:rFonts w:ascii="Book Antiqua" w:eastAsia="MS Mincho" w:hAnsi="Book Antiqua" w:cs="Calibri"/>
          <w:sz w:val="24"/>
          <w:szCs w:val="24"/>
          <w:lang w:val="en-US" w:eastAsia="ja-JP"/>
        </w:rPr>
        <w:t>I and II alleles</w:t>
      </w:r>
      <w:proofErr w:type="gramEnd"/>
      <w:r w:rsidR="00FE2F39" w:rsidRPr="004B39D6">
        <w:rPr>
          <w:rFonts w:ascii="Book Antiqua" w:eastAsia="MS Mincho" w:hAnsi="Book Antiqua" w:cs="Calibri"/>
          <w:sz w:val="24"/>
          <w:szCs w:val="24"/>
          <w:lang w:val="en-US" w:eastAsia="ja-JP"/>
        </w:rPr>
        <w:t xml:space="preserve">. </w:t>
      </w:r>
      <w:r>
        <w:rPr>
          <w:rFonts w:ascii="Book Antiqua" w:hAnsi="Book Antiqua" w:cs="Calibri" w:hint="eastAsia"/>
          <w:sz w:val="24"/>
          <w:szCs w:val="24"/>
          <w:lang w:val="en-US" w:eastAsia="zh-CN"/>
        </w:rPr>
        <w:t xml:space="preserve">  </w:t>
      </w:r>
    </w:p>
    <w:sectPr w:rsidR="004A7557" w:rsidRPr="004B39D6" w:rsidSect="001C07F6">
      <w:type w:val="continuous"/>
      <w:pgSz w:w="11906" w:h="16838"/>
      <w:pgMar w:top="1417" w:right="1416" w:bottom="1417"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1EE1F" w14:textId="77777777" w:rsidR="00B0555E" w:rsidRDefault="00B0555E">
      <w:pPr>
        <w:spacing w:after="0" w:line="240" w:lineRule="auto"/>
      </w:pPr>
      <w:r>
        <w:separator/>
      </w:r>
    </w:p>
  </w:endnote>
  <w:endnote w:type="continuationSeparator" w:id="0">
    <w:p w14:paraId="1E61271B" w14:textId="77777777" w:rsidR="00B0555E" w:rsidRDefault="00B0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微软雅黑">
    <w:charset w:val="86"/>
    <w:family w:val="swiss"/>
    <w:pitch w:val="variable"/>
    <w:sig w:usb0="80000287" w:usb1="280F3C52" w:usb2="00000016" w:usb3="00000000" w:csb0="0004001F"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2399D" w14:textId="3704DFDA" w:rsidR="004B6347" w:rsidRDefault="004B6347">
    <w:pPr>
      <w:pStyle w:val="Footer"/>
      <w:jc w:val="center"/>
    </w:pPr>
    <w:r>
      <w:fldChar w:fldCharType="begin"/>
    </w:r>
    <w:r>
      <w:instrText>PAGE   \* MERGEFORMAT</w:instrText>
    </w:r>
    <w:r>
      <w:fldChar w:fldCharType="separate"/>
    </w:r>
    <w:r w:rsidR="00D011A9">
      <w:rPr>
        <w:noProof/>
      </w:rPr>
      <w:t>32</w:t>
    </w:r>
    <w:r>
      <w:fldChar w:fldCharType="end"/>
    </w:r>
  </w:p>
  <w:p w14:paraId="5A292C80" w14:textId="77777777" w:rsidR="004B6347" w:rsidRDefault="004B63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E571C" w14:textId="77777777" w:rsidR="00B0555E" w:rsidRDefault="00B0555E">
      <w:pPr>
        <w:spacing w:after="0" w:line="240" w:lineRule="auto"/>
      </w:pPr>
      <w:r>
        <w:separator/>
      </w:r>
    </w:p>
  </w:footnote>
  <w:footnote w:type="continuationSeparator" w:id="0">
    <w:p w14:paraId="4CC81F69" w14:textId="77777777" w:rsidR="00B0555E" w:rsidRDefault="00B055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3CD"/>
    <w:multiLevelType w:val="hybridMultilevel"/>
    <w:tmpl w:val="8D568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354D98"/>
    <w:multiLevelType w:val="hybridMultilevel"/>
    <w:tmpl w:val="C65415A0"/>
    <w:lvl w:ilvl="0" w:tplc="8AAEC6A6">
      <w:start w:val="1"/>
      <w:numFmt w:val="decimal"/>
      <w:lvlText w:val="%1."/>
      <w:lvlJc w:val="left"/>
      <w:pPr>
        <w:ind w:left="360" w:hanging="360"/>
      </w:pPr>
      <w:rPr>
        <w:rFonts w:hint="default"/>
        <w:b w:val="0"/>
      </w:rPr>
    </w:lvl>
    <w:lvl w:ilvl="1" w:tplc="0C0A0019" w:tentative="1">
      <w:start w:val="1"/>
      <w:numFmt w:val="lowerLetter"/>
      <w:lvlText w:val="%2."/>
      <w:lvlJc w:val="left"/>
      <w:pPr>
        <w:ind w:left="2639" w:hanging="360"/>
      </w:pPr>
    </w:lvl>
    <w:lvl w:ilvl="2" w:tplc="0C0A001B" w:tentative="1">
      <w:start w:val="1"/>
      <w:numFmt w:val="lowerRoman"/>
      <w:lvlText w:val="%3."/>
      <w:lvlJc w:val="right"/>
      <w:pPr>
        <w:ind w:left="3359" w:hanging="180"/>
      </w:pPr>
    </w:lvl>
    <w:lvl w:ilvl="3" w:tplc="0C0A000F" w:tentative="1">
      <w:start w:val="1"/>
      <w:numFmt w:val="decimal"/>
      <w:lvlText w:val="%4."/>
      <w:lvlJc w:val="left"/>
      <w:pPr>
        <w:ind w:left="4079" w:hanging="360"/>
      </w:pPr>
    </w:lvl>
    <w:lvl w:ilvl="4" w:tplc="0C0A0019" w:tentative="1">
      <w:start w:val="1"/>
      <w:numFmt w:val="lowerLetter"/>
      <w:lvlText w:val="%5."/>
      <w:lvlJc w:val="left"/>
      <w:pPr>
        <w:ind w:left="4799" w:hanging="360"/>
      </w:pPr>
    </w:lvl>
    <w:lvl w:ilvl="5" w:tplc="0C0A001B" w:tentative="1">
      <w:start w:val="1"/>
      <w:numFmt w:val="lowerRoman"/>
      <w:lvlText w:val="%6."/>
      <w:lvlJc w:val="right"/>
      <w:pPr>
        <w:ind w:left="5519" w:hanging="180"/>
      </w:pPr>
    </w:lvl>
    <w:lvl w:ilvl="6" w:tplc="0C0A000F" w:tentative="1">
      <w:start w:val="1"/>
      <w:numFmt w:val="decimal"/>
      <w:lvlText w:val="%7."/>
      <w:lvlJc w:val="left"/>
      <w:pPr>
        <w:ind w:left="6239" w:hanging="360"/>
      </w:pPr>
    </w:lvl>
    <w:lvl w:ilvl="7" w:tplc="0C0A0019" w:tentative="1">
      <w:start w:val="1"/>
      <w:numFmt w:val="lowerLetter"/>
      <w:lvlText w:val="%8."/>
      <w:lvlJc w:val="left"/>
      <w:pPr>
        <w:ind w:left="6959" w:hanging="360"/>
      </w:pPr>
    </w:lvl>
    <w:lvl w:ilvl="8" w:tplc="0C0A001B" w:tentative="1">
      <w:start w:val="1"/>
      <w:numFmt w:val="lowerRoman"/>
      <w:lvlText w:val="%9."/>
      <w:lvlJc w:val="right"/>
      <w:pPr>
        <w:ind w:left="7679" w:hanging="180"/>
      </w:pPr>
    </w:lvl>
  </w:abstractNum>
  <w:abstractNum w:abstractNumId="2">
    <w:nsid w:val="45ED536E"/>
    <w:multiLevelType w:val="hybridMultilevel"/>
    <w:tmpl w:val="CE02DB88"/>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E57BCC"/>
    <w:multiLevelType w:val="hybridMultilevel"/>
    <w:tmpl w:val="DF3241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ity Control Editor">
    <w15:presenceInfo w15:providerId="None" w15:userId="Quality Control Editor"/>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62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3tTQzMbK0MDU2NjVX0lEKTi0uzszPAykwrAUAKFXqOCwAAAA="/>
  </w:docVars>
  <w:rsids>
    <w:rsidRoot w:val="00CC338E"/>
    <w:rsid w:val="00005611"/>
    <w:rsid w:val="000121CF"/>
    <w:rsid w:val="000250D5"/>
    <w:rsid w:val="000307AB"/>
    <w:rsid w:val="00034AD8"/>
    <w:rsid w:val="00040A8B"/>
    <w:rsid w:val="00051596"/>
    <w:rsid w:val="0005212E"/>
    <w:rsid w:val="0005336C"/>
    <w:rsid w:val="00055930"/>
    <w:rsid w:val="000764D9"/>
    <w:rsid w:val="00080A74"/>
    <w:rsid w:val="0008711B"/>
    <w:rsid w:val="000A057D"/>
    <w:rsid w:val="000B3091"/>
    <w:rsid w:val="000D2FBB"/>
    <w:rsid w:val="000D3DE9"/>
    <w:rsid w:val="000D7C2F"/>
    <w:rsid w:val="000F1D41"/>
    <w:rsid w:val="000F7404"/>
    <w:rsid w:val="00130B06"/>
    <w:rsid w:val="001312CB"/>
    <w:rsid w:val="001314C9"/>
    <w:rsid w:val="0013238A"/>
    <w:rsid w:val="001430C1"/>
    <w:rsid w:val="00145E54"/>
    <w:rsid w:val="00166370"/>
    <w:rsid w:val="00167EC9"/>
    <w:rsid w:val="00170440"/>
    <w:rsid w:val="0017137B"/>
    <w:rsid w:val="001756AC"/>
    <w:rsid w:val="00181F0B"/>
    <w:rsid w:val="001848D1"/>
    <w:rsid w:val="00187A7C"/>
    <w:rsid w:val="001907D3"/>
    <w:rsid w:val="00192F96"/>
    <w:rsid w:val="001A18EA"/>
    <w:rsid w:val="001B6E00"/>
    <w:rsid w:val="001C07F6"/>
    <w:rsid w:val="001C098E"/>
    <w:rsid w:val="001D15EB"/>
    <w:rsid w:val="001D6D04"/>
    <w:rsid w:val="001E6122"/>
    <w:rsid w:val="001F3CBE"/>
    <w:rsid w:val="001F66EC"/>
    <w:rsid w:val="00200BD2"/>
    <w:rsid w:val="00200FCB"/>
    <w:rsid w:val="0021275B"/>
    <w:rsid w:val="002155E9"/>
    <w:rsid w:val="00234964"/>
    <w:rsid w:val="002372BA"/>
    <w:rsid w:val="00251C2A"/>
    <w:rsid w:val="002532D2"/>
    <w:rsid w:val="00253DFE"/>
    <w:rsid w:val="00253ECA"/>
    <w:rsid w:val="00255FFE"/>
    <w:rsid w:val="002607EA"/>
    <w:rsid w:val="00261953"/>
    <w:rsid w:val="00266E4D"/>
    <w:rsid w:val="00267382"/>
    <w:rsid w:val="002738F5"/>
    <w:rsid w:val="002848FA"/>
    <w:rsid w:val="0028522B"/>
    <w:rsid w:val="00286BDE"/>
    <w:rsid w:val="00287FE4"/>
    <w:rsid w:val="002C0304"/>
    <w:rsid w:val="002C1647"/>
    <w:rsid w:val="002D282B"/>
    <w:rsid w:val="002E0CCF"/>
    <w:rsid w:val="002E6613"/>
    <w:rsid w:val="0030337F"/>
    <w:rsid w:val="00304090"/>
    <w:rsid w:val="00305790"/>
    <w:rsid w:val="00305A6C"/>
    <w:rsid w:val="003175BD"/>
    <w:rsid w:val="00317BE9"/>
    <w:rsid w:val="003408DB"/>
    <w:rsid w:val="003430BE"/>
    <w:rsid w:val="003669CB"/>
    <w:rsid w:val="00370FEF"/>
    <w:rsid w:val="00376DB0"/>
    <w:rsid w:val="00383DD4"/>
    <w:rsid w:val="003842BB"/>
    <w:rsid w:val="00394E75"/>
    <w:rsid w:val="003A5B34"/>
    <w:rsid w:val="003B780A"/>
    <w:rsid w:val="003C2F0C"/>
    <w:rsid w:val="003D25DE"/>
    <w:rsid w:val="003D70D1"/>
    <w:rsid w:val="003D7268"/>
    <w:rsid w:val="003E0E3D"/>
    <w:rsid w:val="003F44FF"/>
    <w:rsid w:val="00411D27"/>
    <w:rsid w:val="00412682"/>
    <w:rsid w:val="00414B23"/>
    <w:rsid w:val="004200BD"/>
    <w:rsid w:val="004326DA"/>
    <w:rsid w:val="004420A3"/>
    <w:rsid w:val="00444D5E"/>
    <w:rsid w:val="00452659"/>
    <w:rsid w:val="00452C5A"/>
    <w:rsid w:val="0047296C"/>
    <w:rsid w:val="004857B9"/>
    <w:rsid w:val="00486ED8"/>
    <w:rsid w:val="00494EE6"/>
    <w:rsid w:val="00496910"/>
    <w:rsid w:val="00497E86"/>
    <w:rsid w:val="004A47C6"/>
    <w:rsid w:val="004A611F"/>
    <w:rsid w:val="004A7557"/>
    <w:rsid w:val="004A77EF"/>
    <w:rsid w:val="004B39D6"/>
    <w:rsid w:val="004B5028"/>
    <w:rsid w:val="004B6347"/>
    <w:rsid w:val="004B74E8"/>
    <w:rsid w:val="004C2140"/>
    <w:rsid w:val="004D2FA2"/>
    <w:rsid w:val="004D58CB"/>
    <w:rsid w:val="004D5A34"/>
    <w:rsid w:val="004D70BF"/>
    <w:rsid w:val="004E3A1B"/>
    <w:rsid w:val="004F75EC"/>
    <w:rsid w:val="0050021B"/>
    <w:rsid w:val="00501C71"/>
    <w:rsid w:val="00502DAA"/>
    <w:rsid w:val="00506091"/>
    <w:rsid w:val="00512F24"/>
    <w:rsid w:val="00520EC7"/>
    <w:rsid w:val="00551E75"/>
    <w:rsid w:val="0056192C"/>
    <w:rsid w:val="00562A96"/>
    <w:rsid w:val="00574DCE"/>
    <w:rsid w:val="005764E0"/>
    <w:rsid w:val="00584F2E"/>
    <w:rsid w:val="005B1669"/>
    <w:rsid w:val="005B673F"/>
    <w:rsid w:val="005E0EBD"/>
    <w:rsid w:val="005F4764"/>
    <w:rsid w:val="00602509"/>
    <w:rsid w:val="006107A1"/>
    <w:rsid w:val="00612E15"/>
    <w:rsid w:val="00613B5C"/>
    <w:rsid w:val="0061437B"/>
    <w:rsid w:val="00617750"/>
    <w:rsid w:val="006241A0"/>
    <w:rsid w:val="006254C9"/>
    <w:rsid w:val="00630D70"/>
    <w:rsid w:val="00633CD6"/>
    <w:rsid w:val="00646445"/>
    <w:rsid w:val="0066136F"/>
    <w:rsid w:val="006625A6"/>
    <w:rsid w:val="0068036D"/>
    <w:rsid w:val="0068253E"/>
    <w:rsid w:val="00684474"/>
    <w:rsid w:val="00694C6A"/>
    <w:rsid w:val="006979C2"/>
    <w:rsid w:val="006A3195"/>
    <w:rsid w:val="006A46CD"/>
    <w:rsid w:val="006A6680"/>
    <w:rsid w:val="006B0EA5"/>
    <w:rsid w:val="006B5F75"/>
    <w:rsid w:val="006B7097"/>
    <w:rsid w:val="006C01D0"/>
    <w:rsid w:val="006C199E"/>
    <w:rsid w:val="006D1498"/>
    <w:rsid w:val="006D6B26"/>
    <w:rsid w:val="006E5324"/>
    <w:rsid w:val="006E7738"/>
    <w:rsid w:val="006F2F40"/>
    <w:rsid w:val="006F3238"/>
    <w:rsid w:val="006F4B9A"/>
    <w:rsid w:val="006F5387"/>
    <w:rsid w:val="006F5BD8"/>
    <w:rsid w:val="007121D9"/>
    <w:rsid w:val="0071496B"/>
    <w:rsid w:val="007256AD"/>
    <w:rsid w:val="007256AF"/>
    <w:rsid w:val="00730266"/>
    <w:rsid w:val="00740116"/>
    <w:rsid w:val="007464D3"/>
    <w:rsid w:val="00753E53"/>
    <w:rsid w:val="00754043"/>
    <w:rsid w:val="00760091"/>
    <w:rsid w:val="00760963"/>
    <w:rsid w:val="00776995"/>
    <w:rsid w:val="007852AD"/>
    <w:rsid w:val="00790E6F"/>
    <w:rsid w:val="007911B2"/>
    <w:rsid w:val="00792F91"/>
    <w:rsid w:val="007961F8"/>
    <w:rsid w:val="007A325B"/>
    <w:rsid w:val="007A56B1"/>
    <w:rsid w:val="007A5E45"/>
    <w:rsid w:val="007B01D2"/>
    <w:rsid w:val="007B2977"/>
    <w:rsid w:val="007B3420"/>
    <w:rsid w:val="007C1D06"/>
    <w:rsid w:val="007C1E59"/>
    <w:rsid w:val="007D3F89"/>
    <w:rsid w:val="007D683C"/>
    <w:rsid w:val="007E2B27"/>
    <w:rsid w:val="007F0333"/>
    <w:rsid w:val="007F22F8"/>
    <w:rsid w:val="007F23B0"/>
    <w:rsid w:val="007F3E52"/>
    <w:rsid w:val="007F6EDC"/>
    <w:rsid w:val="00802842"/>
    <w:rsid w:val="00804FB8"/>
    <w:rsid w:val="008052A5"/>
    <w:rsid w:val="00810F93"/>
    <w:rsid w:val="00813411"/>
    <w:rsid w:val="0081528B"/>
    <w:rsid w:val="00815D96"/>
    <w:rsid w:val="00817CDD"/>
    <w:rsid w:val="0082029B"/>
    <w:rsid w:val="00825935"/>
    <w:rsid w:val="00831899"/>
    <w:rsid w:val="00834C76"/>
    <w:rsid w:val="008458B5"/>
    <w:rsid w:val="00851977"/>
    <w:rsid w:val="008672DB"/>
    <w:rsid w:val="00873EA2"/>
    <w:rsid w:val="00886DD0"/>
    <w:rsid w:val="008903FB"/>
    <w:rsid w:val="00897397"/>
    <w:rsid w:val="008A19AD"/>
    <w:rsid w:val="008A5850"/>
    <w:rsid w:val="008B455B"/>
    <w:rsid w:val="008B5A64"/>
    <w:rsid w:val="008C1160"/>
    <w:rsid w:val="008E2F2D"/>
    <w:rsid w:val="008E4AF1"/>
    <w:rsid w:val="008F7545"/>
    <w:rsid w:val="009011B4"/>
    <w:rsid w:val="00902C8F"/>
    <w:rsid w:val="0090340D"/>
    <w:rsid w:val="0090649F"/>
    <w:rsid w:val="00907538"/>
    <w:rsid w:val="00907997"/>
    <w:rsid w:val="00907DEC"/>
    <w:rsid w:val="0091152A"/>
    <w:rsid w:val="00912B52"/>
    <w:rsid w:val="00915FD8"/>
    <w:rsid w:val="00916BD9"/>
    <w:rsid w:val="0092707A"/>
    <w:rsid w:val="00934A47"/>
    <w:rsid w:val="00941321"/>
    <w:rsid w:val="0095755D"/>
    <w:rsid w:val="00972B62"/>
    <w:rsid w:val="00981483"/>
    <w:rsid w:val="009824EA"/>
    <w:rsid w:val="009A29BC"/>
    <w:rsid w:val="009C17A9"/>
    <w:rsid w:val="009C2839"/>
    <w:rsid w:val="009E1B5B"/>
    <w:rsid w:val="009E338C"/>
    <w:rsid w:val="009F4B76"/>
    <w:rsid w:val="00A0279E"/>
    <w:rsid w:val="00A0471F"/>
    <w:rsid w:val="00A0679B"/>
    <w:rsid w:val="00A06F05"/>
    <w:rsid w:val="00A15AFA"/>
    <w:rsid w:val="00A16BFE"/>
    <w:rsid w:val="00A26C4B"/>
    <w:rsid w:val="00A3161C"/>
    <w:rsid w:val="00A33F3C"/>
    <w:rsid w:val="00A34D54"/>
    <w:rsid w:val="00A61C44"/>
    <w:rsid w:val="00A659AE"/>
    <w:rsid w:val="00A71773"/>
    <w:rsid w:val="00A72D9E"/>
    <w:rsid w:val="00A80118"/>
    <w:rsid w:val="00A80363"/>
    <w:rsid w:val="00A815E7"/>
    <w:rsid w:val="00A81BEE"/>
    <w:rsid w:val="00A930E8"/>
    <w:rsid w:val="00A96B8D"/>
    <w:rsid w:val="00A96BFF"/>
    <w:rsid w:val="00AC0968"/>
    <w:rsid w:val="00AC10BA"/>
    <w:rsid w:val="00AC1AF9"/>
    <w:rsid w:val="00AC6F7B"/>
    <w:rsid w:val="00AD5EDD"/>
    <w:rsid w:val="00AF0565"/>
    <w:rsid w:val="00AF726B"/>
    <w:rsid w:val="00B003E0"/>
    <w:rsid w:val="00B0555E"/>
    <w:rsid w:val="00B408EC"/>
    <w:rsid w:val="00B52C4C"/>
    <w:rsid w:val="00B556B7"/>
    <w:rsid w:val="00B739E8"/>
    <w:rsid w:val="00B85020"/>
    <w:rsid w:val="00B94551"/>
    <w:rsid w:val="00B94F1F"/>
    <w:rsid w:val="00B95EB3"/>
    <w:rsid w:val="00BA64CB"/>
    <w:rsid w:val="00BB47AE"/>
    <w:rsid w:val="00BF07A3"/>
    <w:rsid w:val="00C062DE"/>
    <w:rsid w:val="00C117CC"/>
    <w:rsid w:val="00C13443"/>
    <w:rsid w:val="00C22A77"/>
    <w:rsid w:val="00C378DA"/>
    <w:rsid w:val="00C44817"/>
    <w:rsid w:val="00C4763F"/>
    <w:rsid w:val="00C649E5"/>
    <w:rsid w:val="00C7528C"/>
    <w:rsid w:val="00C81705"/>
    <w:rsid w:val="00C84F2A"/>
    <w:rsid w:val="00C85063"/>
    <w:rsid w:val="00C85AFF"/>
    <w:rsid w:val="00C90BA9"/>
    <w:rsid w:val="00C90E66"/>
    <w:rsid w:val="00C945E5"/>
    <w:rsid w:val="00CA1257"/>
    <w:rsid w:val="00CA5816"/>
    <w:rsid w:val="00CB079A"/>
    <w:rsid w:val="00CB16C5"/>
    <w:rsid w:val="00CB4282"/>
    <w:rsid w:val="00CC1487"/>
    <w:rsid w:val="00CC338E"/>
    <w:rsid w:val="00CD7718"/>
    <w:rsid w:val="00CE7FF0"/>
    <w:rsid w:val="00CF2C9A"/>
    <w:rsid w:val="00CF6A46"/>
    <w:rsid w:val="00CF75C7"/>
    <w:rsid w:val="00D011A9"/>
    <w:rsid w:val="00D12EDE"/>
    <w:rsid w:val="00D14A6D"/>
    <w:rsid w:val="00D15BFA"/>
    <w:rsid w:val="00D2419C"/>
    <w:rsid w:val="00D24B68"/>
    <w:rsid w:val="00D30F10"/>
    <w:rsid w:val="00D35C08"/>
    <w:rsid w:val="00D369BE"/>
    <w:rsid w:val="00D4349C"/>
    <w:rsid w:val="00D46FD0"/>
    <w:rsid w:val="00D6545B"/>
    <w:rsid w:val="00D82814"/>
    <w:rsid w:val="00D97563"/>
    <w:rsid w:val="00DA468E"/>
    <w:rsid w:val="00DB32B1"/>
    <w:rsid w:val="00DB479B"/>
    <w:rsid w:val="00DC23C9"/>
    <w:rsid w:val="00DE1A81"/>
    <w:rsid w:val="00DE388A"/>
    <w:rsid w:val="00E00B42"/>
    <w:rsid w:val="00E10D68"/>
    <w:rsid w:val="00E231CB"/>
    <w:rsid w:val="00E30F87"/>
    <w:rsid w:val="00E37A6C"/>
    <w:rsid w:val="00E424E8"/>
    <w:rsid w:val="00E50D92"/>
    <w:rsid w:val="00E5288A"/>
    <w:rsid w:val="00E53618"/>
    <w:rsid w:val="00E63746"/>
    <w:rsid w:val="00E7604D"/>
    <w:rsid w:val="00E77EAA"/>
    <w:rsid w:val="00E82484"/>
    <w:rsid w:val="00EA2644"/>
    <w:rsid w:val="00EA36D8"/>
    <w:rsid w:val="00EC346C"/>
    <w:rsid w:val="00EC3F07"/>
    <w:rsid w:val="00EC7671"/>
    <w:rsid w:val="00ED5FC2"/>
    <w:rsid w:val="00EF3B9E"/>
    <w:rsid w:val="00EF590B"/>
    <w:rsid w:val="00F0568C"/>
    <w:rsid w:val="00F104FA"/>
    <w:rsid w:val="00F11A5B"/>
    <w:rsid w:val="00F22110"/>
    <w:rsid w:val="00F558AE"/>
    <w:rsid w:val="00F61A22"/>
    <w:rsid w:val="00F672D1"/>
    <w:rsid w:val="00F675F0"/>
    <w:rsid w:val="00F96FF8"/>
    <w:rsid w:val="00FA099E"/>
    <w:rsid w:val="00FA14F4"/>
    <w:rsid w:val="00FA630E"/>
    <w:rsid w:val="00FB0BD6"/>
    <w:rsid w:val="00FB375F"/>
    <w:rsid w:val="00FD1D3D"/>
    <w:rsid w:val="00FE2DB6"/>
    <w:rsid w:val="00FE2F39"/>
    <w:rsid w:val="00FE5E21"/>
    <w:rsid w:val="00FF1B3F"/>
    <w:rsid w:val="00FF5F62"/>
    <w:rsid w:val="00FF6F9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D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1" w:semiHidden="0" w:unhideWhenUsed="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14A6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semiHidden/>
    <w:unhideWhenUsed/>
    <w:pPr>
      <w:spacing w:after="0" w:line="240" w:lineRule="auto"/>
    </w:pPr>
    <w:rPr>
      <w:sz w:val="20"/>
      <w:szCs w:val="20"/>
    </w:rPr>
  </w:style>
  <w:style w:type="character" w:customStyle="1" w:styleId="TextonotaalfinalCar">
    <w:name w:val="Texto nota al final Car"/>
    <w:semiHidden/>
    <w:rPr>
      <w:sz w:val="20"/>
      <w:szCs w:val="20"/>
      <w:lang w:val="en-US"/>
    </w:rPr>
  </w:style>
  <w:style w:type="character" w:styleId="EndnoteReference">
    <w:name w:val="endnote reference"/>
    <w:semiHidden/>
    <w:unhideWhenUsed/>
    <w:rPr>
      <w:vertAlign w:val="superscript"/>
    </w:rPr>
  </w:style>
  <w:style w:type="character" w:styleId="PlaceholderText">
    <w:name w:val="Placeholder Text"/>
    <w:semiHidden/>
    <w:rPr>
      <w:color w:val="808080"/>
    </w:rPr>
  </w:style>
  <w:style w:type="paragraph" w:styleId="BalloonText">
    <w:name w:val="Balloon Text"/>
    <w:basedOn w:val="Normal"/>
    <w:semiHidden/>
    <w:unhideWhenUsed/>
    <w:pPr>
      <w:spacing w:after="0" w:line="240" w:lineRule="auto"/>
    </w:pPr>
    <w:rPr>
      <w:rFonts w:ascii="Tahoma" w:hAnsi="Tahoma" w:cs="Tahoma"/>
      <w:sz w:val="16"/>
      <w:szCs w:val="16"/>
      <w:lang w:val="en-US"/>
    </w:rPr>
  </w:style>
  <w:style w:type="character" w:customStyle="1" w:styleId="TextodegloboCar">
    <w:name w:val="Texto de globo Car"/>
    <w:semiHidden/>
    <w:rPr>
      <w:rFonts w:ascii="Tahoma" w:hAnsi="Tahoma" w:cs="Tahoma"/>
      <w:sz w:val="16"/>
      <w:szCs w:val="16"/>
      <w:lang w:val="en-US"/>
    </w:rPr>
  </w:style>
  <w:style w:type="paragraph" w:styleId="Header">
    <w:name w:val="header"/>
    <w:basedOn w:val="Normal"/>
    <w:unhideWhenUsed/>
    <w:pPr>
      <w:tabs>
        <w:tab w:val="center" w:pos="4252"/>
        <w:tab w:val="right" w:pos="8504"/>
      </w:tabs>
      <w:spacing w:after="0" w:line="240" w:lineRule="auto"/>
    </w:pPr>
  </w:style>
  <w:style w:type="character" w:customStyle="1" w:styleId="EncabezadoCar">
    <w:name w:val="Encabezado Car"/>
    <w:rPr>
      <w:lang w:val="en-US"/>
    </w:rPr>
  </w:style>
  <w:style w:type="paragraph" w:styleId="Footer">
    <w:name w:val="footer"/>
    <w:basedOn w:val="Normal"/>
    <w:unhideWhenUsed/>
    <w:pPr>
      <w:tabs>
        <w:tab w:val="center" w:pos="4252"/>
        <w:tab w:val="right" w:pos="8504"/>
      </w:tabs>
      <w:spacing w:after="0" w:line="240" w:lineRule="auto"/>
    </w:pPr>
  </w:style>
  <w:style w:type="character" w:customStyle="1" w:styleId="PiedepginaCar">
    <w:name w:val="Pie de página Car"/>
    <w:rPr>
      <w:lang w:val="en-US"/>
    </w:rPr>
  </w:style>
  <w:style w:type="paragraph" w:customStyle="1" w:styleId="Title1">
    <w:name w:val="Title1"/>
    <w:basedOn w:val="Normal"/>
    <w:pPr>
      <w:spacing w:before="280" w:after="280" w:line="240" w:lineRule="auto"/>
    </w:pPr>
    <w:rPr>
      <w:rFonts w:ascii="Times New Roman" w:hAnsi="Times New Roman" w:cs="Calibri"/>
      <w:sz w:val="24"/>
      <w:szCs w:val="24"/>
      <w:lang w:eastAsia="ar-SA"/>
    </w:rPr>
  </w:style>
  <w:style w:type="paragraph" w:customStyle="1" w:styleId="Title10">
    <w:name w:val="Title1"/>
    <w:basedOn w:val="Normal"/>
    <w:pPr>
      <w:spacing w:before="280" w:after="280" w:line="240" w:lineRule="auto"/>
    </w:pPr>
    <w:rPr>
      <w:rFonts w:ascii="Times New Roman" w:hAnsi="Times New Roman" w:cs="Calibri"/>
      <w:sz w:val="24"/>
      <w:szCs w:val="24"/>
      <w:lang w:eastAsia="ar-SA"/>
    </w:rPr>
  </w:style>
  <w:style w:type="paragraph" w:customStyle="1" w:styleId="desc">
    <w:name w:val="desc"/>
    <w:basedOn w:val="Normal"/>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pPr>
      <w:spacing w:before="100" w:beforeAutospacing="1" w:after="100" w:afterAutospacing="1" w:line="240" w:lineRule="auto"/>
    </w:pPr>
    <w:rPr>
      <w:rFonts w:ascii="Times New Roman" w:hAnsi="Times New Roman"/>
      <w:sz w:val="24"/>
      <w:szCs w:val="24"/>
    </w:rPr>
  </w:style>
  <w:style w:type="character" w:customStyle="1" w:styleId="jrnl">
    <w:name w:val="jrnl"/>
    <w:basedOn w:val="DefaultParagraphFont"/>
  </w:style>
  <w:style w:type="table" w:customStyle="1" w:styleId="Tablaconcuadrcula1">
    <w:name w:val="Tabla con cuadrícula1"/>
    <w:basedOn w:val="TableNormal"/>
    <w:next w:val="TableGrid"/>
    <w:uiPriority w:val="59"/>
    <w:rsid w:val="00A815E7"/>
    <w:rPr>
      <w:rFonts w:ascii="Cambria" w:eastAsia="Cambria" w:hAnsi="Cambria"/>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81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eNormal"/>
    <w:next w:val="TableGrid"/>
    <w:uiPriority w:val="59"/>
    <w:rsid w:val="0082593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34AD8"/>
    <w:rPr>
      <w:sz w:val="22"/>
      <w:szCs w:val="22"/>
    </w:rPr>
  </w:style>
  <w:style w:type="character" w:styleId="CommentReference">
    <w:name w:val="annotation reference"/>
    <w:basedOn w:val="DefaultParagraphFont"/>
    <w:uiPriority w:val="99"/>
    <w:semiHidden/>
    <w:unhideWhenUsed/>
    <w:rsid w:val="003408DB"/>
    <w:rPr>
      <w:sz w:val="16"/>
      <w:szCs w:val="16"/>
    </w:rPr>
  </w:style>
  <w:style w:type="paragraph" w:styleId="CommentText">
    <w:name w:val="annotation text"/>
    <w:basedOn w:val="Normal"/>
    <w:link w:val="CommentTextChar"/>
    <w:uiPriority w:val="99"/>
    <w:semiHidden/>
    <w:unhideWhenUsed/>
    <w:rsid w:val="003408DB"/>
    <w:pPr>
      <w:spacing w:line="240" w:lineRule="auto"/>
    </w:pPr>
    <w:rPr>
      <w:sz w:val="20"/>
      <w:szCs w:val="20"/>
    </w:rPr>
  </w:style>
  <w:style w:type="character" w:customStyle="1" w:styleId="CommentTextChar">
    <w:name w:val="Comment Text Char"/>
    <w:basedOn w:val="DefaultParagraphFont"/>
    <w:link w:val="CommentText"/>
    <w:uiPriority w:val="99"/>
    <w:semiHidden/>
    <w:rsid w:val="003408DB"/>
  </w:style>
  <w:style w:type="paragraph" w:styleId="CommentSubject">
    <w:name w:val="annotation subject"/>
    <w:basedOn w:val="CommentText"/>
    <w:next w:val="CommentText"/>
    <w:link w:val="CommentSubjectChar"/>
    <w:uiPriority w:val="99"/>
    <w:semiHidden/>
    <w:unhideWhenUsed/>
    <w:rsid w:val="003408DB"/>
    <w:rPr>
      <w:b/>
      <w:bCs/>
    </w:rPr>
  </w:style>
  <w:style w:type="character" w:customStyle="1" w:styleId="CommentSubjectChar">
    <w:name w:val="Comment Subject Char"/>
    <w:basedOn w:val="CommentTextChar"/>
    <w:link w:val="CommentSubject"/>
    <w:uiPriority w:val="99"/>
    <w:semiHidden/>
    <w:rsid w:val="003408DB"/>
    <w:rPr>
      <w:b/>
      <w:bCs/>
    </w:rPr>
  </w:style>
  <w:style w:type="character" w:customStyle="1" w:styleId="Heading1Char">
    <w:name w:val="Heading 1 Char"/>
    <w:basedOn w:val="DefaultParagraphFont"/>
    <w:link w:val="Heading1"/>
    <w:uiPriority w:val="9"/>
    <w:rsid w:val="00D14A6D"/>
    <w:rPr>
      <w:rFonts w:asciiTheme="majorHAnsi" w:eastAsiaTheme="majorEastAsia" w:hAnsiTheme="majorHAnsi" w:cstheme="majorBidi"/>
      <w:b/>
      <w:bCs/>
      <w:color w:val="365F91" w:themeColor="accent1" w:themeShade="BF"/>
      <w:sz w:val="28"/>
      <w:szCs w:val="28"/>
      <w:lang w:eastAsia="en-US"/>
    </w:rPr>
  </w:style>
  <w:style w:type="table" w:customStyle="1" w:styleId="Tablaconcuadrcula3">
    <w:name w:val="Tabla con cuadrícula3"/>
    <w:basedOn w:val="TableNormal"/>
    <w:next w:val="TableGrid"/>
    <w:uiPriority w:val="59"/>
    <w:rsid w:val="00D14A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eNormal"/>
    <w:next w:val="TableGrid"/>
    <w:uiPriority w:val="59"/>
    <w:rsid w:val="00D14A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eNormal"/>
    <w:next w:val="TableGrid"/>
    <w:uiPriority w:val="59"/>
    <w:rsid w:val="001C07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Book Antiqua" w:hAnsi="Book Antiqua"/>
        <w:b/>
        <w:sz w:val="24"/>
      </w:rPr>
      <w:tblPr/>
      <w:tcPr>
        <w:tcBorders>
          <w:top w:val="single" w:sz="4" w:space="0" w:color="auto"/>
          <w:left w:val="nil"/>
          <w:bottom w:val="single" w:sz="4" w:space="0" w:color="auto"/>
          <w:right w:val="nil"/>
          <w:insideH w:val="nil"/>
          <w:insideV w:val="nil"/>
          <w:tl2br w:val="nil"/>
          <w:tr2bl w:val="nil"/>
        </w:tcBorders>
      </w:tcPr>
    </w:tblStylePr>
  </w:style>
  <w:style w:type="character" w:customStyle="1" w:styleId="trans">
    <w:name w:val="trans"/>
    <w:basedOn w:val="DefaultParagraphFont"/>
    <w:rsid w:val="001D15EB"/>
  </w:style>
  <w:style w:type="character" w:customStyle="1" w:styleId="webdict">
    <w:name w:val="webdict"/>
    <w:basedOn w:val="DefaultParagraphFont"/>
    <w:rsid w:val="001D15EB"/>
  </w:style>
  <w:style w:type="paragraph" w:styleId="NormalWeb">
    <w:name w:val="Normal (Web)"/>
    <w:basedOn w:val="Normal"/>
    <w:uiPriority w:val="99"/>
    <w:semiHidden/>
    <w:unhideWhenUsed/>
    <w:rsid w:val="00574DCE"/>
    <w:pPr>
      <w:spacing w:before="100" w:beforeAutospacing="1" w:after="100" w:afterAutospacing="1" w:line="240" w:lineRule="auto"/>
    </w:pPr>
    <w:rPr>
      <w:rFonts w:ascii="Times New Roman" w:hAnsi="Times New Roman"/>
      <w:sz w:val="24"/>
      <w:szCs w:val="24"/>
    </w:rPr>
  </w:style>
  <w:style w:type="table" w:styleId="TableTheme">
    <w:name w:val="Table Theme"/>
    <w:basedOn w:val="TableNormal"/>
    <w:rsid w:val="001C07F6"/>
    <w:pPr>
      <w:widowControl w:val="0"/>
      <w:jc w:val="both"/>
    </w:pPr>
    <w:rPr>
      <w:rFonts w:ascii="Times New Roman" w:eastAsia="宋体" w:hAnsi="Times New Roman"/>
      <w:lang w:val="en-US" w:eastAsia="zh-CN"/>
    </w:rPr>
    <w:tblPr>
      <w:tblInd w:w="0" w:type="dxa"/>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Emphasis">
    <w:name w:val="Emphasis"/>
    <w:qFormat/>
    <w:rsid w:val="00D011A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1" w:semiHidden="0" w:unhideWhenUsed="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14A6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semiHidden/>
    <w:unhideWhenUsed/>
    <w:pPr>
      <w:spacing w:after="0" w:line="240" w:lineRule="auto"/>
    </w:pPr>
    <w:rPr>
      <w:sz w:val="20"/>
      <w:szCs w:val="20"/>
    </w:rPr>
  </w:style>
  <w:style w:type="character" w:customStyle="1" w:styleId="TextonotaalfinalCar">
    <w:name w:val="Texto nota al final Car"/>
    <w:semiHidden/>
    <w:rPr>
      <w:sz w:val="20"/>
      <w:szCs w:val="20"/>
      <w:lang w:val="en-US"/>
    </w:rPr>
  </w:style>
  <w:style w:type="character" w:styleId="EndnoteReference">
    <w:name w:val="endnote reference"/>
    <w:semiHidden/>
    <w:unhideWhenUsed/>
    <w:rPr>
      <w:vertAlign w:val="superscript"/>
    </w:rPr>
  </w:style>
  <w:style w:type="character" w:styleId="PlaceholderText">
    <w:name w:val="Placeholder Text"/>
    <w:semiHidden/>
    <w:rPr>
      <w:color w:val="808080"/>
    </w:rPr>
  </w:style>
  <w:style w:type="paragraph" w:styleId="BalloonText">
    <w:name w:val="Balloon Text"/>
    <w:basedOn w:val="Normal"/>
    <w:semiHidden/>
    <w:unhideWhenUsed/>
    <w:pPr>
      <w:spacing w:after="0" w:line="240" w:lineRule="auto"/>
    </w:pPr>
    <w:rPr>
      <w:rFonts w:ascii="Tahoma" w:hAnsi="Tahoma" w:cs="Tahoma"/>
      <w:sz w:val="16"/>
      <w:szCs w:val="16"/>
      <w:lang w:val="en-US"/>
    </w:rPr>
  </w:style>
  <w:style w:type="character" w:customStyle="1" w:styleId="TextodegloboCar">
    <w:name w:val="Texto de globo Car"/>
    <w:semiHidden/>
    <w:rPr>
      <w:rFonts w:ascii="Tahoma" w:hAnsi="Tahoma" w:cs="Tahoma"/>
      <w:sz w:val="16"/>
      <w:szCs w:val="16"/>
      <w:lang w:val="en-US"/>
    </w:rPr>
  </w:style>
  <w:style w:type="paragraph" w:styleId="Header">
    <w:name w:val="header"/>
    <w:basedOn w:val="Normal"/>
    <w:unhideWhenUsed/>
    <w:pPr>
      <w:tabs>
        <w:tab w:val="center" w:pos="4252"/>
        <w:tab w:val="right" w:pos="8504"/>
      </w:tabs>
      <w:spacing w:after="0" w:line="240" w:lineRule="auto"/>
    </w:pPr>
  </w:style>
  <w:style w:type="character" w:customStyle="1" w:styleId="EncabezadoCar">
    <w:name w:val="Encabezado Car"/>
    <w:rPr>
      <w:lang w:val="en-US"/>
    </w:rPr>
  </w:style>
  <w:style w:type="paragraph" w:styleId="Footer">
    <w:name w:val="footer"/>
    <w:basedOn w:val="Normal"/>
    <w:unhideWhenUsed/>
    <w:pPr>
      <w:tabs>
        <w:tab w:val="center" w:pos="4252"/>
        <w:tab w:val="right" w:pos="8504"/>
      </w:tabs>
      <w:spacing w:after="0" w:line="240" w:lineRule="auto"/>
    </w:pPr>
  </w:style>
  <w:style w:type="character" w:customStyle="1" w:styleId="PiedepginaCar">
    <w:name w:val="Pie de página Car"/>
    <w:rPr>
      <w:lang w:val="en-US"/>
    </w:rPr>
  </w:style>
  <w:style w:type="paragraph" w:customStyle="1" w:styleId="Title1">
    <w:name w:val="Title1"/>
    <w:basedOn w:val="Normal"/>
    <w:pPr>
      <w:spacing w:before="280" w:after="280" w:line="240" w:lineRule="auto"/>
    </w:pPr>
    <w:rPr>
      <w:rFonts w:ascii="Times New Roman" w:hAnsi="Times New Roman" w:cs="Calibri"/>
      <w:sz w:val="24"/>
      <w:szCs w:val="24"/>
      <w:lang w:eastAsia="ar-SA"/>
    </w:rPr>
  </w:style>
  <w:style w:type="paragraph" w:customStyle="1" w:styleId="Title10">
    <w:name w:val="Title1"/>
    <w:basedOn w:val="Normal"/>
    <w:pPr>
      <w:spacing w:before="280" w:after="280" w:line="240" w:lineRule="auto"/>
    </w:pPr>
    <w:rPr>
      <w:rFonts w:ascii="Times New Roman" w:hAnsi="Times New Roman" w:cs="Calibri"/>
      <w:sz w:val="24"/>
      <w:szCs w:val="24"/>
      <w:lang w:eastAsia="ar-SA"/>
    </w:rPr>
  </w:style>
  <w:style w:type="paragraph" w:customStyle="1" w:styleId="desc">
    <w:name w:val="desc"/>
    <w:basedOn w:val="Normal"/>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pPr>
      <w:spacing w:before="100" w:beforeAutospacing="1" w:after="100" w:afterAutospacing="1" w:line="240" w:lineRule="auto"/>
    </w:pPr>
    <w:rPr>
      <w:rFonts w:ascii="Times New Roman" w:hAnsi="Times New Roman"/>
      <w:sz w:val="24"/>
      <w:szCs w:val="24"/>
    </w:rPr>
  </w:style>
  <w:style w:type="character" w:customStyle="1" w:styleId="jrnl">
    <w:name w:val="jrnl"/>
    <w:basedOn w:val="DefaultParagraphFont"/>
  </w:style>
  <w:style w:type="table" w:customStyle="1" w:styleId="Tablaconcuadrcula1">
    <w:name w:val="Tabla con cuadrícula1"/>
    <w:basedOn w:val="TableNormal"/>
    <w:next w:val="TableGrid"/>
    <w:uiPriority w:val="59"/>
    <w:rsid w:val="00A815E7"/>
    <w:rPr>
      <w:rFonts w:ascii="Cambria" w:eastAsia="Cambria" w:hAnsi="Cambria"/>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81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eNormal"/>
    <w:next w:val="TableGrid"/>
    <w:uiPriority w:val="59"/>
    <w:rsid w:val="0082593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34AD8"/>
    <w:rPr>
      <w:sz w:val="22"/>
      <w:szCs w:val="22"/>
    </w:rPr>
  </w:style>
  <w:style w:type="character" w:styleId="CommentReference">
    <w:name w:val="annotation reference"/>
    <w:basedOn w:val="DefaultParagraphFont"/>
    <w:uiPriority w:val="99"/>
    <w:semiHidden/>
    <w:unhideWhenUsed/>
    <w:rsid w:val="003408DB"/>
    <w:rPr>
      <w:sz w:val="16"/>
      <w:szCs w:val="16"/>
    </w:rPr>
  </w:style>
  <w:style w:type="paragraph" w:styleId="CommentText">
    <w:name w:val="annotation text"/>
    <w:basedOn w:val="Normal"/>
    <w:link w:val="CommentTextChar"/>
    <w:uiPriority w:val="99"/>
    <w:semiHidden/>
    <w:unhideWhenUsed/>
    <w:rsid w:val="003408DB"/>
    <w:pPr>
      <w:spacing w:line="240" w:lineRule="auto"/>
    </w:pPr>
    <w:rPr>
      <w:sz w:val="20"/>
      <w:szCs w:val="20"/>
    </w:rPr>
  </w:style>
  <w:style w:type="character" w:customStyle="1" w:styleId="CommentTextChar">
    <w:name w:val="Comment Text Char"/>
    <w:basedOn w:val="DefaultParagraphFont"/>
    <w:link w:val="CommentText"/>
    <w:uiPriority w:val="99"/>
    <w:semiHidden/>
    <w:rsid w:val="003408DB"/>
  </w:style>
  <w:style w:type="paragraph" w:styleId="CommentSubject">
    <w:name w:val="annotation subject"/>
    <w:basedOn w:val="CommentText"/>
    <w:next w:val="CommentText"/>
    <w:link w:val="CommentSubjectChar"/>
    <w:uiPriority w:val="99"/>
    <w:semiHidden/>
    <w:unhideWhenUsed/>
    <w:rsid w:val="003408DB"/>
    <w:rPr>
      <w:b/>
      <w:bCs/>
    </w:rPr>
  </w:style>
  <w:style w:type="character" w:customStyle="1" w:styleId="CommentSubjectChar">
    <w:name w:val="Comment Subject Char"/>
    <w:basedOn w:val="CommentTextChar"/>
    <w:link w:val="CommentSubject"/>
    <w:uiPriority w:val="99"/>
    <w:semiHidden/>
    <w:rsid w:val="003408DB"/>
    <w:rPr>
      <w:b/>
      <w:bCs/>
    </w:rPr>
  </w:style>
  <w:style w:type="character" w:customStyle="1" w:styleId="Heading1Char">
    <w:name w:val="Heading 1 Char"/>
    <w:basedOn w:val="DefaultParagraphFont"/>
    <w:link w:val="Heading1"/>
    <w:uiPriority w:val="9"/>
    <w:rsid w:val="00D14A6D"/>
    <w:rPr>
      <w:rFonts w:asciiTheme="majorHAnsi" w:eastAsiaTheme="majorEastAsia" w:hAnsiTheme="majorHAnsi" w:cstheme="majorBidi"/>
      <w:b/>
      <w:bCs/>
      <w:color w:val="365F91" w:themeColor="accent1" w:themeShade="BF"/>
      <w:sz w:val="28"/>
      <w:szCs w:val="28"/>
      <w:lang w:eastAsia="en-US"/>
    </w:rPr>
  </w:style>
  <w:style w:type="table" w:customStyle="1" w:styleId="Tablaconcuadrcula3">
    <w:name w:val="Tabla con cuadrícula3"/>
    <w:basedOn w:val="TableNormal"/>
    <w:next w:val="TableGrid"/>
    <w:uiPriority w:val="59"/>
    <w:rsid w:val="00D14A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eNormal"/>
    <w:next w:val="TableGrid"/>
    <w:uiPriority w:val="59"/>
    <w:rsid w:val="00D14A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eNormal"/>
    <w:next w:val="TableGrid"/>
    <w:uiPriority w:val="59"/>
    <w:rsid w:val="001C07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Book Antiqua" w:hAnsi="Book Antiqua"/>
        <w:b/>
        <w:sz w:val="24"/>
      </w:rPr>
      <w:tblPr/>
      <w:tcPr>
        <w:tcBorders>
          <w:top w:val="single" w:sz="4" w:space="0" w:color="auto"/>
          <w:left w:val="nil"/>
          <w:bottom w:val="single" w:sz="4" w:space="0" w:color="auto"/>
          <w:right w:val="nil"/>
          <w:insideH w:val="nil"/>
          <w:insideV w:val="nil"/>
          <w:tl2br w:val="nil"/>
          <w:tr2bl w:val="nil"/>
        </w:tcBorders>
      </w:tcPr>
    </w:tblStylePr>
  </w:style>
  <w:style w:type="character" w:customStyle="1" w:styleId="trans">
    <w:name w:val="trans"/>
    <w:basedOn w:val="DefaultParagraphFont"/>
    <w:rsid w:val="001D15EB"/>
  </w:style>
  <w:style w:type="character" w:customStyle="1" w:styleId="webdict">
    <w:name w:val="webdict"/>
    <w:basedOn w:val="DefaultParagraphFont"/>
    <w:rsid w:val="001D15EB"/>
  </w:style>
  <w:style w:type="paragraph" w:styleId="NormalWeb">
    <w:name w:val="Normal (Web)"/>
    <w:basedOn w:val="Normal"/>
    <w:uiPriority w:val="99"/>
    <w:semiHidden/>
    <w:unhideWhenUsed/>
    <w:rsid w:val="00574DCE"/>
    <w:pPr>
      <w:spacing w:before="100" w:beforeAutospacing="1" w:after="100" w:afterAutospacing="1" w:line="240" w:lineRule="auto"/>
    </w:pPr>
    <w:rPr>
      <w:rFonts w:ascii="Times New Roman" w:hAnsi="Times New Roman"/>
      <w:sz w:val="24"/>
      <w:szCs w:val="24"/>
    </w:rPr>
  </w:style>
  <w:style w:type="table" w:styleId="TableTheme">
    <w:name w:val="Table Theme"/>
    <w:basedOn w:val="TableNormal"/>
    <w:rsid w:val="001C07F6"/>
    <w:pPr>
      <w:widowControl w:val="0"/>
      <w:jc w:val="both"/>
    </w:pPr>
    <w:rPr>
      <w:rFonts w:ascii="Times New Roman" w:eastAsia="宋体" w:hAnsi="Times New Roman"/>
      <w:lang w:val="en-US" w:eastAsia="zh-CN"/>
    </w:rPr>
    <w:tblPr>
      <w:tblInd w:w="0" w:type="dxa"/>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Emphasis">
    <w:name w:val="Emphasis"/>
    <w:qFormat/>
    <w:rsid w:val="00D011A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91365">
      <w:bodyDiv w:val="1"/>
      <w:marLeft w:val="0"/>
      <w:marRight w:val="0"/>
      <w:marTop w:val="0"/>
      <w:marBottom w:val="0"/>
      <w:divBdr>
        <w:top w:val="none" w:sz="0" w:space="0" w:color="auto"/>
        <w:left w:val="none" w:sz="0" w:space="0" w:color="auto"/>
        <w:bottom w:val="none" w:sz="0" w:space="0" w:color="auto"/>
        <w:right w:val="none" w:sz="0" w:space="0" w:color="auto"/>
      </w:divBdr>
      <w:divsChild>
        <w:div w:id="1384980813">
          <w:marLeft w:val="0"/>
          <w:marRight w:val="0"/>
          <w:marTop w:val="0"/>
          <w:marBottom w:val="0"/>
          <w:divBdr>
            <w:top w:val="none" w:sz="0" w:space="0" w:color="auto"/>
            <w:left w:val="none" w:sz="0" w:space="0" w:color="auto"/>
            <w:bottom w:val="none" w:sz="0" w:space="0" w:color="auto"/>
            <w:right w:val="none" w:sz="0" w:space="0" w:color="auto"/>
          </w:divBdr>
        </w:div>
        <w:div w:id="345863824">
          <w:marLeft w:val="0"/>
          <w:marRight w:val="0"/>
          <w:marTop w:val="0"/>
          <w:marBottom w:val="0"/>
          <w:divBdr>
            <w:top w:val="none" w:sz="0" w:space="0" w:color="auto"/>
            <w:left w:val="none" w:sz="0" w:space="0" w:color="auto"/>
            <w:bottom w:val="none" w:sz="0" w:space="0" w:color="auto"/>
            <w:right w:val="none" w:sz="0" w:space="0" w:color="auto"/>
          </w:divBdr>
        </w:div>
      </w:divsChild>
    </w:div>
    <w:div w:id="1830633419">
      <w:bodyDiv w:val="1"/>
      <w:marLeft w:val="0"/>
      <w:marRight w:val="0"/>
      <w:marTop w:val="0"/>
      <w:marBottom w:val="0"/>
      <w:divBdr>
        <w:top w:val="none" w:sz="0" w:space="0" w:color="auto"/>
        <w:left w:val="none" w:sz="0" w:space="0" w:color="auto"/>
        <w:bottom w:val="none" w:sz="0" w:space="0" w:color="auto"/>
        <w:right w:val="none" w:sz="0" w:space="0" w:color="auto"/>
      </w:divBdr>
    </w:div>
    <w:div w:id="213683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image" Target="media/image1.tiff"/><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2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400"/>
              <a:t>CD8+ lymphocytes</a:t>
            </a:r>
          </a:p>
        </c:rich>
      </c:tx>
      <c:layout>
        <c:manualLayout>
          <c:xMode val="edge"/>
          <c:yMode val="edge"/>
          <c:x val="0.363387573844518"/>
          <c:y val="0.171428571428571"/>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0750386027215841"/>
          <c:y val="0.162424071991001"/>
          <c:w val="0.800523690714637"/>
          <c:h val="0.57991713535808"/>
        </c:manualLayout>
      </c:layout>
      <c:bar3DChart>
        <c:barDir val="col"/>
        <c:grouping val="standard"/>
        <c:varyColors val="0"/>
        <c:ser>
          <c:idx val="0"/>
          <c:order val="0"/>
          <c:tx>
            <c:strRef>
              <c:f>Hoja1!$B$467</c:f>
              <c:strCache>
                <c:ptCount val="1"/>
                <c:pt idx="0">
                  <c:v>IL-4</c:v>
                </c:pt>
              </c:strCache>
            </c:strRef>
          </c:tx>
          <c:invertIfNegative val="0"/>
          <c:cat>
            <c:multiLvlStrRef>
              <c:f>Hoja1!$C$465:$X$466</c:f>
              <c:multiLvlStrCache>
                <c:ptCount val="22"/>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pt idx="18">
                    <c:v>E</c:v>
                  </c:pt>
                  <c:pt idx="19">
                    <c:v>G</c:v>
                  </c:pt>
                  <c:pt idx="20">
                    <c:v>J</c:v>
                  </c:pt>
                  <c:pt idx="21">
                    <c:v>L</c:v>
                  </c:pt>
                </c:lvl>
                <c:lvl>
                  <c:pt idx="0">
                    <c:v>group 1</c:v>
                  </c:pt>
                  <c:pt idx="7">
                    <c:v>group 2</c:v>
                  </c:pt>
                  <c:pt idx="9">
                    <c:v>group 3</c:v>
                  </c:pt>
                  <c:pt idx="18">
                    <c:v>control</c:v>
                  </c:pt>
                </c:lvl>
              </c:multiLvlStrCache>
            </c:multiLvlStrRef>
          </c:cat>
          <c:val>
            <c:numRef>
              <c:f>Hoja1!$C$467:$X$467</c:f>
              <c:numCache>
                <c:formatCode>General</c:formatCode>
                <c:ptCount val="22"/>
                <c:pt idx="0">
                  <c:v>0.0</c:v>
                </c:pt>
                <c:pt idx="1">
                  <c:v>1.7</c:v>
                </c:pt>
                <c:pt idx="2">
                  <c:v>4.92</c:v>
                </c:pt>
                <c:pt idx="3">
                  <c:v>0.0</c:v>
                </c:pt>
                <c:pt idx="4">
                  <c:v>0.0</c:v>
                </c:pt>
                <c:pt idx="5">
                  <c:v>2.36</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numCache>
            </c:numRef>
          </c:val>
        </c:ser>
        <c:ser>
          <c:idx val="1"/>
          <c:order val="1"/>
          <c:tx>
            <c:strRef>
              <c:f>Hoja1!$B$468</c:f>
              <c:strCache>
                <c:ptCount val="1"/>
                <c:pt idx="0">
                  <c:v>INFγ</c:v>
                </c:pt>
              </c:strCache>
            </c:strRef>
          </c:tx>
          <c:invertIfNegative val="0"/>
          <c:cat>
            <c:multiLvlStrRef>
              <c:f>Hoja1!$C$465:$X$466</c:f>
              <c:multiLvlStrCache>
                <c:ptCount val="22"/>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pt idx="18">
                    <c:v>E</c:v>
                  </c:pt>
                  <c:pt idx="19">
                    <c:v>G</c:v>
                  </c:pt>
                  <c:pt idx="20">
                    <c:v>J</c:v>
                  </c:pt>
                  <c:pt idx="21">
                    <c:v>L</c:v>
                  </c:pt>
                </c:lvl>
                <c:lvl>
                  <c:pt idx="0">
                    <c:v>group 1</c:v>
                  </c:pt>
                  <c:pt idx="7">
                    <c:v>group 2</c:v>
                  </c:pt>
                  <c:pt idx="9">
                    <c:v>group 3</c:v>
                  </c:pt>
                  <c:pt idx="18">
                    <c:v>control</c:v>
                  </c:pt>
                </c:lvl>
              </c:multiLvlStrCache>
            </c:multiLvlStrRef>
          </c:cat>
          <c:val>
            <c:numRef>
              <c:f>Hoja1!$C$468:$X$468</c:f>
              <c:numCache>
                <c:formatCode>General</c:formatCode>
                <c:ptCount val="22"/>
                <c:pt idx="0">
                  <c:v>0.0</c:v>
                </c:pt>
                <c:pt idx="1">
                  <c:v>0.0</c:v>
                </c:pt>
                <c:pt idx="2">
                  <c:v>0.0</c:v>
                </c:pt>
                <c:pt idx="3">
                  <c:v>0.0</c:v>
                </c:pt>
                <c:pt idx="4">
                  <c:v>0.0</c:v>
                </c:pt>
                <c:pt idx="5">
                  <c:v>2.03</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numCache>
            </c:numRef>
          </c:val>
        </c:ser>
        <c:ser>
          <c:idx val="2"/>
          <c:order val="2"/>
          <c:tx>
            <c:strRef>
              <c:f>Hoja1!$B$469</c:f>
              <c:strCache>
                <c:ptCount val="1"/>
                <c:pt idx="0">
                  <c:v>IL-4+INFγ</c:v>
                </c:pt>
              </c:strCache>
            </c:strRef>
          </c:tx>
          <c:invertIfNegative val="0"/>
          <c:cat>
            <c:multiLvlStrRef>
              <c:f>Hoja1!$C$465:$X$466</c:f>
              <c:multiLvlStrCache>
                <c:ptCount val="22"/>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pt idx="18">
                    <c:v>E</c:v>
                  </c:pt>
                  <c:pt idx="19">
                    <c:v>G</c:v>
                  </c:pt>
                  <c:pt idx="20">
                    <c:v>J</c:v>
                  </c:pt>
                  <c:pt idx="21">
                    <c:v>L</c:v>
                  </c:pt>
                </c:lvl>
                <c:lvl>
                  <c:pt idx="0">
                    <c:v>group 1</c:v>
                  </c:pt>
                  <c:pt idx="7">
                    <c:v>group 2</c:v>
                  </c:pt>
                  <c:pt idx="9">
                    <c:v>group 3</c:v>
                  </c:pt>
                  <c:pt idx="18">
                    <c:v>control</c:v>
                  </c:pt>
                </c:lvl>
              </c:multiLvlStrCache>
            </c:multiLvlStrRef>
          </c:cat>
          <c:val>
            <c:numRef>
              <c:f>Hoja1!$C$469:$X$469</c:f>
              <c:numCache>
                <c:formatCode>General</c:formatCode>
                <c:ptCount val="22"/>
                <c:pt idx="0">
                  <c:v>0.0</c:v>
                </c:pt>
                <c:pt idx="1">
                  <c:v>0.0</c:v>
                </c:pt>
                <c:pt idx="2">
                  <c:v>3.54</c:v>
                </c:pt>
                <c:pt idx="3">
                  <c:v>0.0</c:v>
                </c:pt>
                <c:pt idx="4">
                  <c:v>0.0</c:v>
                </c:pt>
                <c:pt idx="5">
                  <c:v>1.15</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numCache>
            </c:numRef>
          </c:val>
        </c:ser>
        <c:dLbls>
          <c:showLegendKey val="0"/>
          <c:showVal val="0"/>
          <c:showCatName val="0"/>
          <c:showSerName val="0"/>
          <c:showPercent val="0"/>
          <c:showBubbleSize val="0"/>
        </c:dLbls>
        <c:gapWidth val="150"/>
        <c:shape val="cylinder"/>
        <c:axId val="2104059576"/>
        <c:axId val="2104073688"/>
        <c:axId val="2039368184"/>
      </c:bar3DChart>
      <c:catAx>
        <c:axId val="2104059576"/>
        <c:scaling>
          <c:orientation val="minMax"/>
        </c:scaling>
        <c:delete val="0"/>
        <c:axPos val="b"/>
        <c:title>
          <c:tx>
            <c:rich>
              <a:bodyPr/>
              <a:lstStyle/>
              <a:p>
                <a:pPr>
                  <a:defRPr/>
                </a:pPr>
                <a:r>
                  <a:rPr lang="en-US"/>
                  <a:t>Patients</a:t>
                </a:r>
              </a:p>
            </c:rich>
          </c:tx>
          <c:layout/>
          <c:overlay val="0"/>
        </c:title>
        <c:majorTickMark val="none"/>
        <c:minorTickMark val="none"/>
        <c:tickLblPos val="nextTo"/>
        <c:txPr>
          <a:bodyPr/>
          <a:lstStyle/>
          <a:p>
            <a:pPr>
              <a:defRPr sz="1000" b="1" i="0" baseline="0"/>
            </a:pPr>
            <a:endParaRPr lang="en-US"/>
          </a:p>
        </c:txPr>
        <c:crossAx val="2104073688"/>
        <c:crosses val="autoZero"/>
        <c:auto val="1"/>
        <c:lblAlgn val="ctr"/>
        <c:lblOffset val="100"/>
        <c:noMultiLvlLbl val="0"/>
      </c:catAx>
      <c:valAx>
        <c:axId val="2104073688"/>
        <c:scaling>
          <c:orientation val="minMax"/>
          <c:max val="8.0"/>
          <c:min val="0.0"/>
        </c:scaling>
        <c:delete val="0"/>
        <c:axPos val="l"/>
        <c:majorGridlines/>
        <c:title>
          <c:tx>
            <c:rich>
              <a:bodyPr/>
              <a:lstStyle/>
              <a:p>
                <a:pPr>
                  <a:defRPr baseline="0"/>
                </a:pPr>
                <a:r>
                  <a:rPr lang="en-US" baseline="0"/>
                  <a:t>% of activated CD8+ cells</a:t>
                </a:r>
              </a:p>
            </c:rich>
          </c:tx>
          <c:layout/>
          <c:overlay val="0"/>
        </c:title>
        <c:numFmt formatCode="General" sourceLinked="1"/>
        <c:majorTickMark val="out"/>
        <c:minorTickMark val="none"/>
        <c:tickLblPos val="nextTo"/>
        <c:crossAx val="2104059576"/>
        <c:crosses val="autoZero"/>
        <c:crossBetween val="between"/>
        <c:majorUnit val="2.0"/>
        <c:minorUnit val="0.2"/>
      </c:valAx>
      <c:serAx>
        <c:axId val="2039368184"/>
        <c:scaling>
          <c:orientation val="minMax"/>
        </c:scaling>
        <c:delete val="1"/>
        <c:axPos val="b"/>
        <c:majorTickMark val="out"/>
        <c:minorTickMark val="none"/>
        <c:tickLblPos val="nextTo"/>
        <c:crossAx val="2104073688"/>
        <c:crosses val="autoZero"/>
      </c:serAx>
    </c:plotArea>
    <c:legend>
      <c:legendPos val="r"/>
      <c:layout>
        <c:manualLayout>
          <c:xMode val="edge"/>
          <c:yMode val="edge"/>
          <c:x val="0.869860982969057"/>
          <c:y val="0.332955380577428"/>
          <c:w val="0.125561048917031"/>
          <c:h val="0.25832733408324"/>
        </c:manualLayout>
      </c:layout>
      <c:overlay val="0"/>
      <c:txPr>
        <a:bodyPr/>
        <a:lstStyle/>
        <a:p>
          <a:pPr>
            <a:defRPr sz="1000" baseline="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CD4+ lymphocytes</a:t>
            </a:r>
          </a:p>
        </c:rich>
      </c:tx>
      <c:layout>
        <c:manualLayout>
          <c:xMode val="edge"/>
          <c:yMode val="edge"/>
          <c:x val="0.325358922558923"/>
          <c:y val="0.0415032679738562"/>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0921719944099051"/>
          <c:y val="0.0383587701273006"/>
          <c:w val="0.818713166875306"/>
          <c:h val="0.620520690097055"/>
        </c:manualLayout>
      </c:layout>
      <c:bar3DChart>
        <c:barDir val="col"/>
        <c:grouping val="standard"/>
        <c:varyColors val="0"/>
        <c:ser>
          <c:idx val="0"/>
          <c:order val="0"/>
          <c:tx>
            <c:strRef>
              <c:f>Hoja1!$B$461</c:f>
              <c:strCache>
                <c:ptCount val="1"/>
                <c:pt idx="0">
                  <c:v>IL-4</c:v>
                </c:pt>
              </c:strCache>
            </c:strRef>
          </c:tx>
          <c:invertIfNegative val="0"/>
          <c:cat>
            <c:multiLvlStrRef>
              <c:f>Hoja1!$C$459:$X$460</c:f>
              <c:multiLvlStrCache>
                <c:ptCount val="22"/>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pt idx="18">
                    <c:v>E</c:v>
                  </c:pt>
                  <c:pt idx="19">
                    <c:v>G</c:v>
                  </c:pt>
                  <c:pt idx="20">
                    <c:v>J</c:v>
                  </c:pt>
                  <c:pt idx="21">
                    <c:v>L</c:v>
                  </c:pt>
                </c:lvl>
                <c:lvl>
                  <c:pt idx="0">
                    <c:v>group 1</c:v>
                  </c:pt>
                  <c:pt idx="7">
                    <c:v>group 2</c:v>
                  </c:pt>
                  <c:pt idx="9">
                    <c:v>group 3</c:v>
                  </c:pt>
                  <c:pt idx="18">
                    <c:v>control</c:v>
                  </c:pt>
                </c:lvl>
              </c:multiLvlStrCache>
            </c:multiLvlStrRef>
          </c:cat>
          <c:val>
            <c:numRef>
              <c:f>Hoja1!$C$461:$X$461</c:f>
              <c:numCache>
                <c:formatCode>General</c:formatCode>
                <c:ptCount val="22"/>
                <c:pt idx="0">
                  <c:v>1.24</c:v>
                </c:pt>
                <c:pt idx="1">
                  <c:v>2.04</c:v>
                </c:pt>
                <c:pt idx="2">
                  <c:v>4.93</c:v>
                </c:pt>
                <c:pt idx="3">
                  <c:v>0.0</c:v>
                </c:pt>
                <c:pt idx="4">
                  <c:v>0.0</c:v>
                </c:pt>
                <c:pt idx="5">
                  <c:v>3.71</c:v>
                </c:pt>
                <c:pt idx="6">
                  <c:v>3.19</c:v>
                </c:pt>
                <c:pt idx="7">
                  <c:v>0.0</c:v>
                </c:pt>
                <c:pt idx="8">
                  <c:v>0.0</c:v>
                </c:pt>
                <c:pt idx="9">
                  <c:v>0.0</c:v>
                </c:pt>
                <c:pt idx="10">
                  <c:v>0.0</c:v>
                </c:pt>
                <c:pt idx="11">
                  <c:v>0.0</c:v>
                </c:pt>
                <c:pt idx="12">
                  <c:v>0.0</c:v>
                </c:pt>
                <c:pt idx="13">
                  <c:v>2.65</c:v>
                </c:pt>
                <c:pt idx="14">
                  <c:v>1.45</c:v>
                </c:pt>
                <c:pt idx="15">
                  <c:v>0.0</c:v>
                </c:pt>
                <c:pt idx="16">
                  <c:v>0.0</c:v>
                </c:pt>
                <c:pt idx="17">
                  <c:v>0.0</c:v>
                </c:pt>
                <c:pt idx="18">
                  <c:v>0.0</c:v>
                </c:pt>
                <c:pt idx="19">
                  <c:v>0.0</c:v>
                </c:pt>
                <c:pt idx="20">
                  <c:v>0.0</c:v>
                </c:pt>
                <c:pt idx="21">
                  <c:v>0.0</c:v>
                </c:pt>
              </c:numCache>
            </c:numRef>
          </c:val>
        </c:ser>
        <c:ser>
          <c:idx val="1"/>
          <c:order val="1"/>
          <c:tx>
            <c:strRef>
              <c:f>Hoja1!$B$462</c:f>
              <c:strCache>
                <c:ptCount val="1"/>
                <c:pt idx="0">
                  <c:v>INFγ</c:v>
                </c:pt>
              </c:strCache>
            </c:strRef>
          </c:tx>
          <c:invertIfNegative val="0"/>
          <c:cat>
            <c:multiLvlStrRef>
              <c:f>Hoja1!$C$459:$X$460</c:f>
              <c:multiLvlStrCache>
                <c:ptCount val="22"/>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pt idx="18">
                    <c:v>E</c:v>
                  </c:pt>
                  <c:pt idx="19">
                    <c:v>G</c:v>
                  </c:pt>
                  <c:pt idx="20">
                    <c:v>J</c:v>
                  </c:pt>
                  <c:pt idx="21">
                    <c:v>L</c:v>
                  </c:pt>
                </c:lvl>
                <c:lvl>
                  <c:pt idx="0">
                    <c:v>group 1</c:v>
                  </c:pt>
                  <c:pt idx="7">
                    <c:v>group 2</c:v>
                  </c:pt>
                  <c:pt idx="9">
                    <c:v>group 3</c:v>
                  </c:pt>
                  <c:pt idx="18">
                    <c:v>control</c:v>
                  </c:pt>
                </c:lvl>
              </c:multiLvlStrCache>
            </c:multiLvlStrRef>
          </c:cat>
          <c:val>
            <c:numRef>
              <c:f>Hoja1!$C$462:$X$462</c:f>
              <c:numCache>
                <c:formatCode>General</c:formatCode>
                <c:ptCount val="22"/>
                <c:pt idx="0">
                  <c:v>1.41</c:v>
                </c:pt>
                <c:pt idx="1">
                  <c:v>0.0</c:v>
                </c:pt>
                <c:pt idx="2">
                  <c:v>0.0</c:v>
                </c:pt>
                <c:pt idx="3">
                  <c:v>0.0</c:v>
                </c:pt>
                <c:pt idx="4">
                  <c:v>0.0</c:v>
                </c:pt>
                <c:pt idx="5">
                  <c:v>2.45</c:v>
                </c:pt>
                <c:pt idx="6">
                  <c:v>2.35</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numCache>
            </c:numRef>
          </c:val>
        </c:ser>
        <c:ser>
          <c:idx val="2"/>
          <c:order val="2"/>
          <c:tx>
            <c:strRef>
              <c:f>Hoja1!$B$463</c:f>
              <c:strCache>
                <c:ptCount val="1"/>
                <c:pt idx="0">
                  <c:v>IL-4+INFγ</c:v>
                </c:pt>
              </c:strCache>
            </c:strRef>
          </c:tx>
          <c:invertIfNegative val="0"/>
          <c:dLbls>
            <c:dLbl>
              <c:idx val="2"/>
              <c:layout/>
              <c:showLegendKey val="0"/>
              <c:showVal val="1"/>
              <c:showCatName val="0"/>
              <c:showSerName val="0"/>
              <c:showPercent val="0"/>
              <c:showBubbleSize val="0"/>
            </c:dLbl>
            <c:showLegendKey val="0"/>
            <c:showVal val="0"/>
            <c:showCatName val="0"/>
            <c:showSerName val="0"/>
            <c:showPercent val="0"/>
            <c:showBubbleSize val="0"/>
          </c:dLbls>
          <c:cat>
            <c:multiLvlStrRef>
              <c:f>Hoja1!$C$459:$X$460</c:f>
              <c:multiLvlStrCache>
                <c:ptCount val="22"/>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pt idx="18">
                    <c:v>E</c:v>
                  </c:pt>
                  <c:pt idx="19">
                    <c:v>G</c:v>
                  </c:pt>
                  <c:pt idx="20">
                    <c:v>J</c:v>
                  </c:pt>
                  <c:pt idx="21">
                    <c:v>L</c:v>
                  </c:pt>
                </c:lvl>
                <c:lvl>
                  <c:pt idx="0">
                    <c:v>group 1</c:v>
                  </c:pt>
                  <c:pt idx="7">
                    <c:v>group 2</c:v>
                  </c:pt>
                  <c:pt idx="9">
                    <c:v>group 3</c:v>
                  </c:pt>
                  <c:pt idx="18">
                    <c:v>control</c:v>
                  </c:pt>
                </c:lvl>
              </c:multiLvlStrCache>
            </c:multiLvlStrRef>
          </c:cat>
          <c:val>
            <c:numRef>
              <c:f>Hoja1!$C$463:$X$463</c:f>
              <c:numCache>
                <c:formatCode>General</c:formatCode>
                <c:ptCount val="22"/>
                <c:pt idx="0">
                  <c:v>0.0</c:v>
                </c:pt>
                <c:pt idx="1">
                  <c:v>0.0</c:v>
                </c:pt>
                <c:pt idx="2">
                  <c:v>31.34</c:v>
                </c:pt>
                <c:pt idx="3">
                  <c:v>0.0</c:v>
                </c:pt>
                <c:pt idx="4">
                  <c:v>0.0</c:v>
                </c:pt>
                <c:pt idx="5">
                  <c:v>2.14</c:v>
                </c:pt>
                <c:pt idx="6">
                  <c:v>5.63</c:v>
                </c:pt>
                <c:pt idx="7">
                  <c:v>0.0</c:v>
                </c:pt>
                <c:pt idx="8">
                  <c:v>0.0</c:v>
                </c:pt>
                <c:pt idx="9">
                  <c:v>0.0</c:v>
                </c:pt>
                <c:pt idx="10">
                  <c:v>0.0</c:v>
                </c:pt>
                <c:pt idx="11">
                  <c:v>0.0</c:v>
                </c:pt>
                <c:pt idx="12">
                  <c:v>0.0</c:v>
                </c:pt>
                <c:pt idx="13">
                  <c:v>4.71</c:v>
                </c:pt>
                <c:pt idx="14">
                  <c:v>5.18</c:v>
                </c:pt>
                <c:pt idx="15">
                  <c:v>0.0</c:v>
                </c:pt>
                <c:pt idx="16">
                  <c:v>0.0</c:v>
                </c:pt>
                <c:pt idx="17">
                  <c:v>0.0</c:v>
                </c:pt>
                <c:pt idx="18">
                  <c:v>0.0</c:v>
                </c:pt>
                <c:pt idx="19">
                  <c:v>0.0</c:v>
                </c:pt>
                <c:pt idx="20">
                  <c:v>0.0</c:v>
                </c:pt>
                <c:pt idx="21">
                  <c:v>0.0</c:v>
                </c:pt>
              </c:numCache>
            </c:numRef>
          </c:val>
        </c:ser>
        <c:dLbls>
          <c:showLegendKey val="0"/>
          <c:showVal val="0"/>
          <c:showCatName val="0"/>
          <c:showSerName val="0"/>
          <c:showPercent val="0"/>
          <c:showBubbleSize val="0"/>
        </c:dLbls>
        <c:gapWidth val="150"/>
        <c:shape val="cylinder"/>
        <c:axId val="2119278104"/>
        <c:axId val="2128225144"/>
        <c:axId val="2119788072"/>
      </c:bar3DChart>
      <c:catAx>
        <c:axId val="2119278104"/>
        <c:scaling>
          <c:orientation val="minMax"/>
        </c:scaling>
        <c:delete val="0"/>
        <c:axPos val="b"/>
        <c:title>
          <c:tx>
            <c:rich>
              <a:bodyPr/>
              <a:lstStyle/>
              <a:p>
                <a:pPr>
                  <a:defRPr/>
                </a:pPr>
                <a:r>
                  <a:rPr lang="en-US"/>
                  <a:t>Patients</a:t>
                </a:r>
              </a:p>
            </c:rich>
          </c:tx>
          <c:layout/>
          <c:overlay val="0"/>
        </c:title>
        <c:majorTickMark val="none"/>
        <c:minorTickMark val="none"/>
        <c:tickLblPos val="nextTo"/>
        <c:txPr>
          <a:bodyPr/>
          <a:lstStyle/>
          <a:p>
            <a:pPr>
              <a:defRPr sz="1000" b="1" i="0" baseline="0"/>
            </a:pPr>
            <a:endParaRPr lang="en-US"/>
          </a:p>
        </c:txPr>
        <c:crossAx val="2128225144"/>
        <c:crosses val="autoZero"/>
        <c:auto val="1"/>
        <c:lblAlgn val="ctr"/>
        <c:lblOffset val="100"/>
        <c:noMultiLvlLbl val="0"/>
      </c:catAx>
      <c:valAx>
        <c:axId val="2128225144"/>
        <c:scaling>
          <c:orientation val="minMax"/>
          <c:max val="8.0"/>
          <c:min val="0.0"/>
        </c:scaling>
        <c:delete val="0"/>
        <c:axPos val="l"/>
        <c:majorGridlines/>
        <c:title>
          <c:tx>
            <c:rich>
              <a:bodyPr/>
              <a:lstStyle/>
              <a:p>
                <a:pPr>
                  <a:defRPr/>
                </a:pPr>
                <a:r>
                  <a:rPr lang="en-US"/>
                  <a:t>% of activated CD4+ cells</a:t>
                </a:r>
              </a:p>
            </c:rich>
          </c:tx>
          <c:layout/>
          <c:overlay val="0"/>
        </c:title>
        <c:numFmt formatCode="General" sourceLinked="1"/>
        <c:majorTickMark val="out"/>
        <c:minorTickMark val="none"/>
        <c:tickLblPos val="nextTo"/>
        <c:crossAx val="2119278104"/>
        <c:crosses val="autoZero"/>
        <c:crossBetween val="between"/>
        <c:majorUnit val="2.0"/>
        <c:minorUnit val="0.2"/>
      </c:valAx>
      <c:serAx>
        <c:axId val="2119788072"/>
        <c:scaling>
          <c:orientation val="minMax"/>
        </c:scaling>
        <c:delete val="1"/>
        <c:axPos val="b"/>
        <c:majorTickMark val="out"/>
        <c:minorTickMark val="none"/>
        <c:tickLblPos val="nextTo"/>
        <c:crossAx val="2128225144"/>
        <c:crosses val="autoZero"/>
      </c:ser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400"/>
              <a:t>CD4+CD8low lymphocytes</a:t>
            </a:r>
          </a:p>
        </c:rich>
      </c:tx>
      <c:layout>
        <c:manualLayout>
          <c:xMode val="edge"/>
          <c:yMode val="edge"/>
          <c:x val="0.350975743928779"/>
          <c:y val="0.0535059825877403"/>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07683657773299"/>
          <c:y val="0.0813434565537292"/>
          <c:w val="0.798538356567317"/>
          <c:h val="0.642098327811062"/>
        </c:manualLayout>
      </c:layout>
      <c:bar3DChart>
        <c:barDir val="col"/>
        <c:grouping val="standard"/>
        <c:varyColors val="0"/>
        <c:ser>
          <c:idx val="0"/>
          <c:order val="0"/>
          <c:tx>
            <c:strRef>
              <c:f>Hoja1!$B$474</c:f>
              <c:strCache>
                <c:ptCount val="1"/>
                <c:pt idx="0">
                  <c:v>IL-4</c:v>
                </c:pt>
              </c:strCache>
            </c:strRef>
          </c:tx>
          <c:invertIfNegative val="0"/>
          <c:dLbls>
            <c:dLbl>
              <c:idx val="2"/>
              <c:layout>
                <c:manualLayout>
                  <c:x val="0.00247100456232996"/>
                  <c:y val="0.0263679072343723"/>
                </c:manualLayout>
              </c:layout>
              <c:showLegendKey val="0"/>
              <c:showVal val="1"/>
              <c:showCatName val="0"/>
              <c:showSerName val="0"/>
              <c:showPercent val="0"/>
              <c:showBubbleSize val="0"/>
            </c:dLbl>
            <c:showLegendKey val="0"/>
            <c:showVal val="0"/>
            <c:showCatName val="0"/>
            <c:showSerName val="0"/>
            <c:showPercent val="0"/>
            <c:showBubbleSize val="0"/>
          </c:dLbls>
          <c:cat>
            <c:multiLvlStrRef>
              <c:f>Hoja1!$C$472:$X$473</c:f>
              <c:multiLvlStrCache>
                <c:ptCount val="22"/>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pt idx="18">
                    <c:v>E</c:v>
                  </c:pt>
                  <c:pt idx="19">
                    <c:v>G</c:v>
                  </c:pt>
                  <c:pt idx="20">
                    <c:v>J</c:v>
                  </c:pt>
                  <c:pt idx="21">
                    <c:v>L</c:v>
                  </c:pt>
                </c:lvl>
                <c:lvl>
                  <c:pt idx="0">
                    <c:v>group 1</c:v>
                  </c:pt>
                  <c:pt idx="7">
                    <c:v>group 2</c:v>
                  </c:pt>
                  <c:pt idx="9">
                    <c:v>group 3</c:v>
                  </c:pt>
                  <c:pt idx="18">
                    <c:v>control</c:v>
                  </c:pt>
                </c:lvl>
              </c:multiLvlStrCache>
            </c:multiLvlStrRef>
          </c:cat>
          <c:val>
            <c:numRef>
              <c:f>Hoja1!$C$474:$X$474</c:f>
              <c:numCache>
                <c:formatCode>General</c:formatCode>
                <c:ptCount val="22"/>
                <c:pt idx="1">
                  <c:v>8.229999999999998</c:v>
                </c:pt>
                <c:pt idx="2">
                  <c:v>10.77</c:v>
                </c:pt>
                <c:pt idx="3">
                  <c:v>0.0</c:v>
                </c:pt>
                <c:pt idx="4">
                  <c:v>0.0</c:v>
                </c:pt>
                <c:pt idx="9">
                  <c:v>0.0</c:v>
                </c:pt>
                <c:pt idx="10">
                  <c:v>0.0</c:v>
                </c:pt>
                <c:pt idx="11">
                  <c:v>0.0</c:v>
                </c:pt>
                <c:pt idx="16">
                  <c:v>1.68</c:v>
                </c:pt>
                <c:pt idx="17">
                  <c:v>2.51</c:v>
                </c:pt>
              </c:numCache>
            </c:numRef>
          </c:val>
        </c:ser>
        <c:ser>
          <c:idx val="1"/>
          <c:order val="1"/>
          <c:tx>
            <c:strRef>
              <c:f>Hoja1!$B$475</c:f>
              <c:strCache>
                <c:ptCount val="1"/>
                <c:pt idx="0">
                  <c:v>INFγ</c:v>
                </c:pt>
              </c:strCache>
            </c:strRef>
          </c:tx>
          <c:invertIfNegative val="0"/>
          <c:cat>
            <c:multiLvlStrRef>
              <c:f>Hoja1!$C$472:$X$473</c:f>
              <c:multiLvlStrCache>
                <c:ptCount val="22"/>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pt idx="18">
                    <c:v>E</c:v>
                  </c:pt>
                  <c:pt idx="19">
                    <c:v>G</c:v>
                  </c:pt>
                  <c:pt idx="20">
                    <c:v>J</c:v>
                  </c:pt>
                  <c:pt idx="21">
                    <c:v>L</c:v>
                  </c:pt>
                </c:lvl>
                <c:lvl>
                  <c:pt idx="0">
                    <c:v>group 1</c:v>
                  </c:pt>
                  <c:pt idx="7">
                    <c:v>group 2</c:v>
                  </c:pt>
                  <c:pt idx="9">
                    <c:v>group 3</c:v>
                  </c:pt>
                  <c:pt idx="18">
                    <c:v>control</c:v>
                  </c:pt>
                </c:lvl>
              </c:multiLvlStrCache>
            </c:multiLvlStrRef>
          </c:cat>
          <c:val>
            <c:numRef>
              <c:f>Hoja1!$C$475:$X$475</c:f>
              <c:numCache>
                <c:formatCode>General</c:formatCode>
                <c:ptCount val="22"/>
                <c:pt idx="1">
                  <c:v>0.0</c:v>
                </c:pt>
                <c:pt idx="2">
                  <c:v>2.25</c:v>
                </c:pt>
                <c:pt idx="3">
                  <c:v>0.0</c:v>
                </c:pt>
                <c:pt idx="4">
                  <c:v>0.0</c:v>
                </c:pt>
                <c:pt idx="9">
                  <c:v>0.0</c:v>
                </c:pt>
                <c:pt idx="10">
                  <c:v>0.0</c:v>
                </c:pt>
                <c:pt idx="11">
                  <c:v>0.0</c:v>
                </c:pt>
                <c:pt idx="16">
                  <c:v>4.6</c:v>
                </c:pt>
                <c:pt idx="17">
                  <c:v>4.13</c:v>
                </c:pt>
              </c:numCache>
            </c:numRef>
          </c:val>
        </c:ser>
        <c:ser>
          <c:idx val="2"/>
          <c:order val="2"/>
          <c:tx>
            <c:strRef>
              <c:f>Hoja1!$B$476</c:f>
              <c:strCache>
                <c:ptCount val="1"/>
                <c:pt idx="0">
                  <c:v>IL-4+INFγ</c:v>
                </c:pt>
              </c:strCache>
            </c:strRef>
          </c:tx>
          <c:invertIfNegative val="0"/>
          <c:dLbls>
            <c:dLbl>
              <c:idx val="2"/>
              <c:layout>
                <c:manualLayout>
                  <c:x val="0.0024495739766519"/>
                  <c:y val="0.0"/>
                </c:manualLayout>
              </c:layout>
              <c:showLegendKey val="0"/>
              <c:showVal val="1"/>
              <c:showCatName val="0"/>
              <c:showSerName val="0"/>
              <c:showPercent val="0"/>
              <c:showBubbleSize val="0"/>
            </c:dLbl>
            <c:dLbl>
              <c:idx val="3"/>
              <c:layout>
                <c:manualLayout>
                  <c:x val="0.0171470178365633"/>
                  <c:y val="-0.0421275182450578"/>
                </c:manualLayout>
              </c:layout>
              <c:showLegendKey val="0"/>
              <c:showVal val="1"/>
              <c:showCatName val="0"/>
              <c:showSerName val="0"/>
              <c:showPercent val="0"/>
              <c:showBubbleSize val="0"/>
            </c:dLbl>
            <c:dLbl>
              <c:idx val="16"/>
              <c:layout>
                <c:manualLayout>
                  <c:x val="-0.0146974438599114"/>
                  <c:y val="0.0210635518041056"/>
                </c:manualLayout>
              </c:layout>
              <c:showLegendKey val="0"/>
              <c:showVal val="1"/>
              <c:showCatName val="0"/>
              <c:showSerName val="0"/>
              <c:showPercent val="0"/>
              <c:showBubbleSize val="0"/>
            </c:dLbl>
            <c:dLbl>
              <c:idx val="17"/>
              <c:layout>
                <c:manualLayout>
                  <c:x val="0.0171470178365633"/>
                  <c:y val="0.00526588795102641"/>
                </c:manualLayout>
              </c:layout>
              <c:showLegendKey val="0"/>
              <c:showVal val="1"/>
              <c:showCatName val="0"/>
              <c:showSerName val="0"/>
              <c:showPercent val="0"/>
              <c:showBubbleSize val="0"/>
            </c:dLbl>
            <c:showLegendKey val="0"/>
            <c:showVal val="0"/>
            <c:showCatName val="0"/>
            <c:showSerName val="0"/>
            <c:showPercent val="0"/>
            <c:showBubbleSize val="0"/>
          </c:dLbls>
          <c:cat>
            <c:multiLvlStrRef>
              <c:f>Hoja1!$C$472:$X$473</c:f>
              <c:multiLvlStrCache>
                <c:ptCount val="22"/>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pt idx="18">
                    <c:v>E</c:v>
                  </c:pt>
                  <c:pt idx="19">
                    <c:v>G</c:v>
                  </c:pt>
                  <c:pt idx="20">
                    <c:v>J</c:v>
                  </c:pt>
                  <c:pt idx="21">
                    <c:v>L</c:v>
                  </c:pt>
                </c:lvl>
                <c:lvl>
                  <c:pt idx="0">
                    <c:v>group 1</c:v>
                  </c:pt>
                  <c:pt idx="7">
                    <c:v>group 2</c:v>
                  </c:pt>
                  <c:pt idx="9">
                    <c:v>group 3</c:v>
                  </c:pt>
                  <c:pt idx="18">
                    <c:v>control</c:v>
                  </c:pt>
                </c:lvl>
              </c:multiLvlStrCache>
            </c:multiLvlStrRef>
          </c:cat>
          <c:val>
            <c:numRef>
              <c:f>Hoja1!$C$476:$X$476</c:f>
              <c:numCache>
                <c:formatCode>General</c:formatCode>
                <c:ptCount val="22"/>
                <c:pt idx="1">
                  <c:v>3.44</c:v>
                </c:pt>
                <c:pt idx="2">
                  <c:v>78.95</c:v>
                </c:pt>
                <c:pt idx="3">
                  <c:v>9.540000000000001</c:v>
                </c:pt>
                <c:pt idx="4">
                  <c:v>4.56</c:v>
                </c:pt>
                <c:pt idx="9">
                  <c:v>6.63</c:v>
                </c:pt>
                <c:pt idx="10">
                  <c:v>0.0</c:v>
                </c:pt>
                <c:pt idx="11">
                  <c:v>0.0</c:v>
                </c:pt>
                <c:pt idx="16">
                  <c:v>29.58</c:v>
                </c:pt>
                <c:pt idx="17">
                  <c:v>43.05</c:v>
                </c:pt>
              </c:numCache>
            </c:numRef>
          </c:val>
        </c:ser>
        <c:dLbls>
          <c:showLegendKey val="0"/>
          <c:showVal val="0"/>
          <c:showCatName val="0"/>
          <c:showSerName val="0"/>
          <c:showPercent val="0"/>
          <c:showBubbleSize val="0"/>
        </c:dLbls>
        <c:gapWidth val="150"/>
        <c:shape val="cylinder"/>
        <c:axId val="2119521336"/>
        <c:axId val="2128423896"/>
        <c:axId val="2119599704"/>
      </c:bar3DChart>
      <c:catAx>
        <c:axId val="2119521336"/>
        <c:scaling>
          <c:orientation val="minMax"/>
        </c:scaling>
        <c:delete val="0"/>
        <c:axPos val="b"/>
        <c:title>
          <c:tx>
            <c:rich>
              <a:bodyPr/>
              <a:lstStyle/>
              <a:p>
                <a:pPr>
                  <a:defRPr/>
                </a:pPr>
                <a:r>
                  <a:rPr lang="en-US"/>
                  <a:t>Patients</a:t>
                </a:r>
              </a:p>
            </c:rich>
          </c:tx>
          <c:layout/>
          <c:overlay val="0"/>
        </c:title>
        <c:majorTickMark val="none"/>
        <c:minorTickMark val="none"/>
        <c:tickLblPos val="nextTo"/>
        <c:txPr>
          <a:bodyPr/>
          <a:lstStyle/>
          <a:p>
            <a:pPr>
              <a:defRPr sz="1000" b="1" i="0" baseline="0"/>
            </a:pPr>
            <a:endParaRPr lang="en-US"/>
          </a:p>
        </c:txPr>
        <c:crossAx val="2128423896"/>
        <c:crosses val="autoZero"/>
        <c:auto val="1"/>
        <c:lblAlgn val="ctr"/>
        <c:lblOffset val="100"/>
        <c:noMultiLvlLbl val="0"/>
      </c:catAx>
      <c:valAx>
        <c:axId val="2128423896"/>
        <c:scaling>
          <c:orientation val="minMax"/>
          <c:max val="8.0"/>
          <c:min val="0.0"/>
        </c:scaling>
        <c:delete val="0"/>
        <c:axPos val="l"/>
        <c:majorGridlines/>
        <c:title>
          <c:tx>
            <c:rich>
              <a:bodyPr/>
              <a:lstStyle/>
              <a:p>
                <a:pPr>
                  <a:defRPr/>
                </a:pPr>
                <a:r>
                  <a:rPr lang="en-US"/>
                  <a:t>% of</a:t>
                </a:r>
                <a:r>
                  <a:rPr lang="en-US" baseline="0"/>
                  <a:t> </a:t>
                </a:r>
                <a:r>
                  <a:rPr lang="en-US"/>
                  <a:t>activated CD4+CD8low cells</a:t>
                </a:r>
              </a:p>
            </c:rich>
          </c:tx>
          <c:layout>
            <c:manualLayout>
              <c:xMode val="edge"/>
              <c:yMode val="edge"/>
              <c:x val="0.0288748836693461"/>
              <c:y val="0.06554579270065"/>
            </c:manualLayout>
          </c:layout>
          <c:overlay val="0"/>
        </c:title>
        <c:numFmt formatCode="General" sourceLinked="1"/>
        <c:majorTickMark val="out"/>
        <c:minorTickMark val="none"/>
        <c:tickLblPos val="nextTo"/>
        <c:crossAx val="2119521336"/>
        <c:crosses val="autoZero"/>
        <c:crossBetween val="between"/>
        <c:majorUnit val="2.0"/>
        <c:minorUnit val="0.2"/>
      </c:valAx>
      <c:serAx>
        <c:axId val="2119599704"/>
        <c:scaling>
          <c:orientation val="minMax"/>
        </c:scaling>
        <c:delete val="1"/>
        <c:axPos val="b"/>
        <c:majorTickMark val="out"/>
        <c:minorTickMark val="none"/>
        <c:tickLblPos val="nextTo"/>
        <c:crossAx val="2128423896"/>
        <c:crosses val="autoZero"/>
      </c:ser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dirty="0"/>
              <a:t>CD4+ lymphocytes</a:t>
            </a:r>
          </a:p>
        </c:rich>
      </c:tx>
      <c:layout>
        <c:manualLayout>
          <c:xMode val="edge"/>
          <c:yMode val="edge"/>
          <c:x val="0.295213845971137"/>
          <c:y val="0.0"/>
        </c:manualLayout>
      </c:layout>
      <c:overlay val="0"/>
    </c:title>
    <c:autoTitleDeleted val="0"/>
    <c:plotArea>
      <c:layout>
        <c:manualLayout>
          <c:layoutTarget val="inner"/>
          <c:xMode val="edge"/>
          <c:yMode val="edge"/>
          <c:x val="0.123142607809252"/>
          <c:y val="0.142560052851271"/>
          <c:w val="0.705384487451028"/>
          <c:h val="0.51083987868038"/>
        </c:manualLayout>
      </c:layout>
      <c:barChart>
        <c:barDir val="col"/>
        <c:grouping val="percentStacked"/>
        <c:varyColors val="0"/>
        <c:ser>
          <c:idx val="0"/>
          <c:order val="0"/>
          <c:tx>
            <c:strRef>
              <c:f>Hoja1!$A$208</c:f>
              <c:strCache>
                <c:ptCount val="1"/>
                <c:pt idx="0">
                  <c:v>pool 1</c:v>
                </c:pt>
              </c:strCache>
            </c:strRef>
          </c:tx>
          <c:invertIfNegative val="0"/>
          <c:cat>
            <c:multiLvlStrRef>
              <c:f>Hoja1!$B$206:$S$207</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Hoja1!$B$208:$S$208</c:f>
              <c:numCache>
                <c:formatCode>General</c:formatCode>
                <c:ptCount val="18"/>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numCache>
            </c:numRef>
          </c:val>
        </c:ser>
        <c:ser>
          <c:idx val="1"/>
          <c:order val="1"/>
          <c:tx>
            <c:strRef>
              <c:f>Hoja1!$A$209</c:f>
              <c:strCache>
                <c:ptCount val="1"/>
                <c:pt idx="0">
                  <c:v>pool 2</c:v>
                </c:pt>
              </c:strCache>
            </c:strRef>
          </c:tx>
          <c:invertIfNegative val="0"/>
          <c:cat>
            <c:multiLvlStrRef>
              <c:f>Hoja1!$B$206:$S$207</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Hoja1!$B$209:$S$209</c:f>
              <c:numCache>
                <c:formatCode>General</c:formatCode>
                <c:ptCount val="18"/>
                <c:pt idx="0">
                  <c:v>0.0</c:v>
                </c:pt>
                <c:pt idx="1">
                  <c:v>0.0</c:v>
                </c:pt>
                <c:pt idx="2">
                  <c:v>3.88</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numCache>
            </c:numRef>
          </c:val>
        </c:ser>
        <c:ser>
          <c:idx val="2"/>
          <c:order val="2"/>
          <c:tx>
            <c:strRef>
              <c:f>Hoja1!$A$210</c:f>
              <c:strCache>
                <c:ptCount val="1"/>
                <c:pt idx="0">
                  <c:v>pool 3</c:v>
                </c:pt>
              </c:strCache>
            </c:strRef>
          </c:tx>
          <c:invertIfNegative val="0"/>
          <c:cat>
            <c:multiLvlStrRef>
              <c:f>Hoja1!$B$206:$S$207</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Hoja1!$B$210:$S$210</c:f>
              <c:numCache>
                <c:formatCode>General</c:formatCode>
                <c:ptCount val="18"/>
                <c:pt idx="0">
                  <c:v>0.0</c:v>
                </c:pt>
                <c:pt idx="1">
                  <c:v>0.0</c:v>
                </c:pt>
                <c:pt idx="2">
                  <c:v>34.06</c:v>
                </c:pt>
                <c:pt idx="3">
                  <c:v>0.0</c:v>
                </c:pt>
                <c:pt idx="4">
                  <c:v>0.0</c:v>
                </c:pt>
                <c:pt idx="5">
                  <c:v>2.14</c:v>
                </c:pt>
                <c:pt idx="6">
                  <c:v>5.63</c:v>
                </c:pt>
                <c:pt idx="7">
                  <c:v>0.0</c:v>
                </c:pt>
                <c:pt idx="8">
                  <c:v>0.0</c:v>
                </c:pt>
                <c:pt idx="9">
                  <c:v>0.0</c:v>
                </c:pt>
                <c:pt idx="10">
                  <c:v>0.0</c:v>
                </c:pt>
                <c:pt idx="11">
                  <c:v>0.0</c:v>
                </c:pt>
                <c:pt idx="12">
                  <c:v>0.0</c:v>
                </c:pt>
                <c:pt idx="13">
                  <c:v>6.33</c:v>
                </c:pt>
                <c:pt idx="14">
                  <c:v>6.63</c:v>
                </c:pt>
                <c:pt idx="15">
                  <c:v>0.0</c:v>
                </c:pt>
                <c:pt idx="16">
                  <c:v>0.0</c:v>
                </c:pt>
                <c:pt idx="17">
                  <c:v>0.0</c:v>
                </c:pt>
              </c:numCache>
            </c:numRef>
          </c:val>
        </c:ser>
        <c:ser>
          <c:idx val="3"/>
          <c:order val="3"/>
          <c:tx>
            <c:strRef>
              <c:f>Hoja1!$A$211</c:f>
              <c:strCache>
                <c:ptCount val="1"/>
                <c:pt idx="0">
                  <c:v>pool 4</c:v>
                </c:pt>
              </c:strCache>
            </c:strRef>
          </c:tx>
          <c:invertIfNegative val="0"/>
          <c:cat>
            <c:multiLvlStrRef>
              <c:f>Hoja1!$B$206:$S$207</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Hoja1!$B$211:$S$211</c:f>
              <c:numCache>
                <c:formatCode>General</c:formatCode>
                <c:ptCount val="18"/>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numCache>
            </c:numRef>
          </c:val>
        </c:ser>
        <c:ser>
          <c:idx val="4"/>
          <c:order val="4"/>
          <c:tx>
            <c:strRef>
              <c:f>Hoja1!$A$212</c:f>
              <c:strCache>
                <c:ptCount val="1"/>
                <c:pt idx="0">
                  <c:v>pool 5</c:v>
                </c:pt>
              </c:strCache>
            </c:strRef>
          </c:tx>
          <c:invertIfNegative val="0"/>
          <c:cat>
            <c:multiLvlStrRef>
              <c:f>Hoja1!$B$206:$S$207</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Hoja1!$B$212:$S$212</c:f>
              <c:numCache>
                <c:formatCode>General</c:formatCode>
                <c:ptCount val="18"/>
                <c:pt idx="0">
                  <c:v>2.65</c:v>
                </c:pt>
                <c:pt idx="1">
                  <c:v>1.57</c:v>
                </c:pt>
                <c:pt idx="2">
                  <c:v>4.44</c:v>
                </c:pt>
                <c:pt idx="3">
                  <c:v>0.0</c:v>
                </c:pt>
                <c:pt idx="4">
                  <c:v>0.0</c:v>
                </c:pt>
                <c:pt idx="5">
                  <c:v>6.85</c:v>
                </c:pt>
                <c:pt idx="6">
                  <c:v>8.49</c:v>
                </c:pt>
                <c:pt idx="7">
                  <c:v>0.0</c:v>
                </c:pt>
                <c:pt idx="8">
                  <c:v>0.0</c:v>
                </c:pt>
                <c:pt idx="9">
                  <c:v>0.0</c:v>
                </c:pt>
                <c:pt idx="10">
                  <c:v>0.0</c:v>
                </c:pt>
                <c:pt idx="11">
                  <c:v>0.0</c:v>
                </c:pt>
                <c:pt idx="12">
                  <c:v>0.0</c:v>
                </c:pt>
                <c:pt idx="13">
                  <c:v>4.85</c:v>
                </c:pt>
                <c:pt idx="14">
                  <c:v>0.0</c:v>
                </c:pt>
                <c:pt idx="15">
                  <c:v>0.0</c:v>
                </c:pt>
                <c:pt idx="16">
                  <c:v>0.0</c:v>
                </c:pt>
                <c:pt idx="17">
                  <c:v>0.0</c:v>
                </c:pt>
              </c:numCache>
            </c:numRef>
          </c:val>
        </c:ser>
        <c:ser>
          <c:idx val="5"/>
          <c:order val="5"/>
          <c:tx>
            <c:strRef>
              <c:f>Hoja1!$A$213</c:f>
              <c:strCache>
                <c:ptCount val="1"/>
                <c:pt idx="0">
                  <c:v>pool 6</c:v>
                </c:pt>
              </c:strCache>
            </c:strRef>
          </c:tx>
          <c:invertIfNegative val="0"/>
          <c:cat>
            <c:multiLvlStrRef>
              <c:f>Hoja1!$B$206:$S$207</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Hoja1!$B$213:$S$213</c:f>
              <c:numCache>
                <c:formatCode>General</c:formatCode>
                <c:ptCount val="18"/>
                <c:pt idx="0">
                  <c:v>0.0</c:v>
                </c:pt>
                <c:pt idx="1">
                  <c:v>1.42</c:v>
                </c:pt>
                <c:pt idx="2">
                  <c:v>0.0</c:v>
                </c:pt>
                <c:pt idx="3">
                  <c:v>0.0</c:v>
                </c:pt>
                <c:pt idx="4">
                  <c:v>0.0</c:v>
                </c:pt>
                <c:pt idx="5">
                  <c:v>7.1</c:v>
                </c:pt>
                <c:pt idx="6">
                  <c:v>0.0</c:v>
                </c:pt>
                <c:pt idx="7">
                  <c:v>0.0</c:v>
                </c:pt>
                <c:pt idx="8">
                  <c:v>0.0</c:v>
                </c:pt>
                <c:pt idx="9">
                  <c:v>0.0</c:v>
                </c:pt>
                <c:pt idx="10">
                  <c:v>0.0</c:v>
                </c:pt>
                <c:pt idx="11">
                  <c:v>0.0</c:v>
                </c:pt>
                <c:pt idx="12">
                  <c:v>0.0</c:v>
                </c:pt>
                <c:pt idx="13">
                  <c:v>0.0</c:v>
                </c:pt>
                <c:pt idx="14">
                  <c:v>2.15</c:v>
                </c:pt>
                <c:pt idx="15">
                  <c:v>0.0</c:v>
                </c:pt>
                <c:pt idx="16">
                  <c:v>0.0</c:v>
                </c:pt>
                <c:pt idx="17">
                  <c:v>0.0</c:v>
                </c:pt>
              </c:numCache>
            </c:numRef>
          </c:val>
        </c:ser>
        <c:ser>
          <c:idx val="6"/>
          <c:order val="6"/>
          <c:tx>
            <c:strRef>
              <c:f>Hoja1!$A$214</c:f>
              <c:strCache>
                <c:ptCount val="1"/>
                <c:pt idx="0">
                  <c:v>pool 7</c:v>
                </c:pt>
              </c:strCache>
            </c:strRef>
          </c:tx>
          <c:invertIfNegative val="0"/>
          <c:cat>
            <c:multiLvlStrRef>
              <c:f>Hoja1!$B$206:$S$207</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Hoja1!$B$214:$S$214</c:f>
              <c:numCache>
                <c:formatCode>General</c:formatCode>
                <c:ptCount val="18"/>
                <c:pt idx="0">
                  <c:v>0.0</c:v>
                </c:pt>
                <c:pt idx="1">
                  <c:v>1.16</c:v>
                </c:pt>
                <c:pt idx="2">
                  <c:v>2.65</c:v>
                </c:pt>
                <c:pt idx="3">
                  <c:v>0.0</c:v>
                </c:pt>
                <c:pt idx="4">
                  <c:v>0.0</c:v>
                </c:pt>
                <c:pt idx="5">
                  <c:v>5.72</c:v>
                </c:pt>
                <c:pt idx="6">
                  <c:v>1.43</c:v>
                </c:pt>
                <c:pt idx="7">
                  <c:v>0.0</c:v>
                </c:pt>
                <c:pt idx="8">
                  <c:v>0.0</c:v>
                </c:pt>
                <c:pt idx="9">
                  <c:v>0.0</c:v>
                </c:pt>
                <c:pt idx="10">
                  <c:v>0.0</c:v>
                </c:pt>
                <c:pt idx="11">
                  <c:v>0.0</c:v>
                </c:pt>
                <c:pt idx="12">
                  <c:v>0.0</c:v>
                </c:pt>
                <c:pt idx="13">
                  <c:v>3.24</c:v>
                </c:pt>
                <c:pt idx="14">
                  <c:v>0.0</c:v>
                </c:pt>
                <c:pt idx="15">
                  <c:v>0.0</c:v>
                </c:pt>
                <c:pt idx="16">
                  <c:v>0.0</c:v>
                </c:pt>
                <c:pt idx="17">
                  <c:v>0.0</c:v>
                </c:pt>
              </c:numCache>
            </c:numRef>
          </c:val>
        </c:ser>
        <c:ser>
          <c:idx val="7"/>
          <c:order val="7"/>
          <c:tx>
            <c:strRef>
              <c:f>Hoja1!$A$215</c:f>
              <c:strCache>
                <c:ptCount val="1"/>
                <c:pt idx="0">
                  <c:v>pool 8</c:v>
                </c:pt>
              </c:strCache>
            </c:strRef>
          </c:tx>
          <c:invertIfNegative val="0"/>
          <c:cat>
            <c:multiLvlStrRef>
              <c:f>Hoja1!$B$206:$S$207</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Hoja1!$B$215:$S$215</c:f>
              <c:numCache>
                <c:formatCode>General</c:formatCode>
                <c:ptCount val="18"/>
                <c:pt idx="0">
                  <c:v>1.23</c:v>
                </c:pt>
                <c:pt idx="1">
                  <c:v>2.04</c:v>
                </c:pt>
                <c:pt idx="2">
                  <c:v>4.93</c:v>
                </c:pt>
                <c:pt idx="3">
                  <c:v>0.0</c:v>
                </c:pt>
                <c:pt idx="4">
                  <c:v>0.0</c:v>
                </c:pt>
                <c:pt idx="5">
                  <c:v>2.09</c:v>
                </c:pt>
                <c:pt idx="6">
                  <c:v>0.0</c:v>
                </c:pt>
                <c:pt idx="7">
                  <c:v>0.0</c:v>
                </c:pt>
                <c:pt idx="8">
                  <c:v>0.0</c:v>
                </c:pt>
                <c:pt idx="9">
                  <c:v>0.0</c:v>
                </c:pt>
                <c:pt idx="10">
                  <c:v>0.0</c:v>
                </c:pt>
                <c:pt idx="11">
                  <c:v>0.0</c:v>
                </c:pt>
                <c:pt idx="12">
                  <c:v>0.0</c:v>
                </c:pt>
                <c:pt idx="13">
                  <c:v>4.02</c:v>
                </c:pt>
                <c:pt idx="14">
                  <c:v>0.0</c:v>
                </c:pt>
                <c:pt idx="15">
                  <c:v>0.0</c:v>
                </c:pt>
                <c:pt idx="16">
                  <c:v>0.0</c:v>
                </c:pt>
                <c:pt idx="17">
                  <c:v>0.0</c:v>
                </c:pt>
              </c:numCache>
            </c:numRef>
          </c:val>
        </c:ser>
        <c:dLbls>
          <c:showLegendKey val="0"/>
          <c:showVal val="0"/>
          <c:showCatName val="0"/>
          <c:showSerName val="0"/>
          <c:showPercent val="0"/>
          <c:showBubbleSize val="0"/>
        </c:dLbls>
        <c:gapWidth val="55"/>
        <c:overlap val="100"/>
        <c:axId val="2120087752"/>
        <c:axId val="2118993416"/>
      </c:barChart>
      <c:catAx>
        <c:axId val="2120087752"/>
        <c:scaling>
          <c:orientation val="minMax"/>
        </c:scaling>
        <c:delete val="0"/>
        <c:axPos val="b"/>
        <c:majorTickMark val="none"/>
        <c:minorTickMark val="none"/>
        <c:tickLblPos val="nextTo"/>
        <c:txPr>
          <a:bodyPr/>
          <a:lstStyle/>
          <a:p>
            <a:pPr>
              <a:defRPr b="1" i="0" baseline="0"/>
            </a:pPr>
            <a:endParaRPr lang="en-US"/>
          </a:p>
        </c:txPr>
        <c:crossAx val="2118993416"/>
        <c:crosses val="autoZero"/>
        <c:auto val="1"/>
        <c:lblAlgn val="ctr"/>
        <c:lblOffset val="100"/>
        <c:noMultiLvlLbl val="0"/>
      </c:catAx>
      <c:valAx>
        <c:axId val="2118993416"/>
        <c:scaling>
          <c:orientation val="minMax"/>
        </c:scaling>
        <c:delete val="0"/>
        <c:axPos val="l"/>
        <c:majorGridlines/>
        <c:numFmt formatCode="0%" sourceLinked="1"/>
        <c:majorTickMark val="none"/>
        <c:minorTickMark val="none"/>
        <c:tickLblPos val="nextTo"/>
        <c:txPr>
          <a:bodyPr/>
          <a:lstStyle/>
          <a:p>
            <a:pPr>
              <a:defRPr b="1" i="0" baseline="0"/>
            </a:pPr>
            <a:endParaRPr lang="en-US"/>
          </a:p>
        </c:txPr>
        <c:crossAx val="2120087752"/>
        <c:crosses val="autoZero"/>
        <c:crossBetween val="between"/>
      </c:valAx>
    </c:plotArea>
    <c:legend>
      <c:legendPos val="r"/>
      <c:layout>
        <c:manualLayout>
          <c:xMode val="edge"/>
          <c:yMode val="edge"/>
          <c:x val="0.846696631408771"/>
          <c:y val="0.147363586585617"/>
          <c:w val="0.12897656965318"/>
          <c:h val="0.683415136413414"/>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dirty="0"/>
              <a:t>CD4+CD8low lymphocytes</a:t>
            </a:r>
            <a:endParaRPr lang="es-ES" sz="1400" dirty="0"/>
          </a:p>
        </c:rich>
      </c:tx>
      <c:layout>
        <c:manualLayout>
          <c:xMode val="edge"/>
          <c:yMode val="edge"/>
          <c:x val="0.277275885557342"/>
          <c:y val="0.0"/>
        </c:manualLayout>
      </c:layout>
      <c:overlay val="0"/>
    </c:title>
    <c:autoTitleDeleted val="0"/>
    <c:plotArea>
      <c:layout>
        <c:manualLayout>
          <c:layoutTarget val="inner"/>
          <c:xMode val="edge"/>
          <c:yMode val="edge"/>
          <c:x val="0.127506848047687"/>
          <c:y val="0.128966191203815"/>
          <c:w val="0.714501339871333"/>
          <c:h val="0.538553920314278"/>
        </c:manualLayout>
      </c:layout>
      <c:barChart>
        <c:barDir val="col"/>
        <c:grouping val="percentStacked"/>
        <c:varyColors val="0"/>
        <c:ser>
          <c:idx val="0"/>
          <c:order val="0"/>
          <c:tx>
            <c:strRef>
              <c:f>Hoja1!$A$397</c:f>
              <c:strCache>
                <c:ptCount val="1"/>
                <c:pt idx="0">
                  <c:v>pool 1</c:v>
                </c:pt>
              </c:strCache>
            </c:strRef>
          </c:tx>
          <c:invertIfNegative val="0"/>
          <c:cat>
            <c:multiLvlStrRef>
              <c:f>Hoja1!$B$395:$S$396</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Hoja1!$B$397:$S$397</c:f>
              <c:numCache>
                <c:formatCode>General</c:formatCode>
                <c:ptCount val="18"/>
                <c:pt idx="1">
                  <c:v>0.0</c:v>
                </c:pt>
                <c:pt idx="2">
                  <c:v>16.82999999999999</c:v>
                </c:pt>
                <c:pt idx="3">
                  <c:v>0.0</c:v>
                </c:pt>
                <c:pt idx="4">
                  <c:v>0.0</c:v>
                </c:pt>
                <c:pt idx="9">
                  <c:v>0.0</c:v>
                </c:pt>
                <c:pt idx="10">
                  <c:v>0.0</c:v>
                </c:pt>
                <c:pt idx="11">
                  <c:v>0.0</c:v>
                </c:pt>
                <c:pt idx="16">
                  <c:v>13.67</c:v>
                </c:pt>
                <c:pt idx="17">
                  <c:v>0.0</c:v>
                </c:pt>
              </c:numCache>
            </c:numRef>
          </c:val>
        </c:ser>
        <c:ser>
          <c:idx val="1"/>
          <c:order val="1"/>
          <c:tx>
            <c:strRef>
              <c:f>Hoja1!$A$398</c:f>
              <c:strCache>
                <c:ptCount val="1"/>
                <c:pt idx="0">
                  <c:v>pool 2</c:v>
                </c:pt>
              </c:strCache>
            </c:strRef>
          </c:tx>
          <c:invertIfNegative val="0"/>
          <c:cat>
            <c:multiLvlStrRef>
              <c:f>Hoja1!$B$395:$S$396</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Hoja1!$B$398:$S$398</c:f>
              <c:numCache>
                <c:formatCode>General</c:formatCode>
                <c:ptCount val="18"/>
                <c:pt idx="1">
                  <c:v>0.0</c:v>
                </c:pt>
                <c:pt idx="2">
                  <c:v>3.78</c:v>
                </c:pt>
                <c:pt idx="3">
                  <c:v>0.0</c:v>
                </c:pt>
                <c:pt idx="4">
                  <c:v>0.0</c:v>
                </c:pt>
                <c:pt idx="9">
                  <c:v>0.0</c:v>
                </c:pt>
                <c:pt idx="10">
                  <c:v>0.0</c:v>
                </c:pt>
                <c:pt idx="11">
                  <c:v>0.0</c:v>
                </c:pt>
                <c:pt idx="16">
                  <c:v>0.0</c:v>
                </c:pt>
                <c:pt idx="17">
                  <c:v>0.0</c:v>
                </c:pt>
              </c:numCache>
            </c:numRef>
          </c:val>
        </c:ser>
        <c:ser>
          <c:idx val="2"/>
          <c:order val="2"/>
          <c:tx>
            <c:strRef>
              <c:f>Hoja1!$A$399</c:f>
              <c:strCache>
                <c:ptCount val="1"/>
                <c:pt idx="0">
                  <c:v>pool 3</c:v>
                </c:pt>
              </c:strCache>
            </c:strRef>
          </c:tx>
          <c:invertIfNegative val="0"/>
          <c:cat>
            <c:multiLvlStrRef>
              <c:f>Hoja1!$B$395:$S$396</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Hoja1!$B$399:$S$399</c:f>
              <c:numCache>
                <c:formatCode>General</c:formatCode>
                <c:ptCount val="18"/>
                <c:pt idx="1">
                  <c:v>3.44</c:v>
                </c:pt>
                <c:pt idx="2">
                  <c:v>80.54</c:v>
                </c:pt>
                <c:pt idx="3">
                  <c:v>6.05</c:v>
                </c:pt>
                <c:pt idx="4">
                  <c:v>3.72</c:v>
                </c:pt>
                <c:pt idx="9">
                  <c:v>2.35</c:v>
                </c:pt>
                <c:pt idx="10">
                  <c:v>0.0</c:v>
                </c:pt>
                <c:pt idx="11">
                  <c:v>0.0</c:v>
                </c:pt>
                <c:pt idx="16">
                  <c:v>24.54</c:v>
                </c:pt>
                <c:pt idx="17">
                  <c:v>29.58</c:v>
                </c:pt>
              </c:numCache>
            </c:numRef>
          </c:val>
        </c:ser>
        <c:ser>
          <c:idx val="3"/>
          <c:order val="3"/>
          <c:tx>
            <c:strRef>
              <c:f>Hoja1!$A$400</c:f>
              <c:strCache>
                <c:ptCount val="1"/>
                <c:pt idx="0">
                  <c:v>pool 4</c:v>
                </c:pt>
              </c:strCache>
            </c:strRef>
          </c:tx>
          <c:invertIfNegative val="0"/>
          <c:cat>
            <c:multiLvlStrRef>
              <c:f>Hoja1!$B$395:$S$396</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Hoja1!$B$400:$S$400</c:f>
              <c:numCache>
                <c:formatCode>General</c:formatCode>
                <c:ptCount val="18"/>
                <c:pt idx="1">
                  <c:v>0.0</c:v>
                </c:pt>
                <c:pt idx="2">
                  <c:v>44.01</c:v>
                </c:pt>
                <c:pt idx="3">
                  <c:v>9.540000000000001</c:v>
                </c:pt>
                <c:pt idx="4">
                  <c:v>4.56</c:v>
                </c:pt>
                <c:pt idx="9">
                  <c:v>6.63</c:v>
                </c:pt>
                <c:pt idx="10">
                  <c:v>0.0</c:v>
                </c:pt>
                <c:pt idx="11">
                  <c:v>0.0</c:v>
                </c:pt>
                <c:pt idx="16">
                  <c:v>33.86</c:v>
                </c:pt>
                <c:pt idx="17">
                  <c:v>45.16</c:v>
                </c:pt>
              </c:numCache>
            </c:numRef>
          </c:val>
        </c:ser>
        <c:ser>
          <c:idx val="4"/>
          <c:order val="4"/>
          <c:tx>
            <c:strRef>
              <c:f>Hoja1!$A$401</c:f>
              <c:strCache>
                <c:ptCount val="1"/>
                <c:pt idx="0">
                  <c:v>pool 5</c:v>
                </c:pt>
              </c:strCache>
            </c:strRef>
          </c:tx>
          <c:invertIfNegative val="0"/>
          <c:cat>
            <c:multiLvlStrRef>
              <c:f>Hoja1!$B$395:$S$396</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Hoja1!$B$401:$S$401</c:f>
              <c:numCache>
                <c:formatCode>General</c:formatCode>
                <c:ptCount val="18"/>
                <c:pt idx="1">
                  <c:v>8.229999999999998</c:v>
                </c:pt>
                <c:pt idx="2">
                  <c:v>9.530000000000001</c:v>
                </c:pt>
                <c:pt idx="3">
                  <c:v>0.0</c:v>
                </c:pt>
                <c:pt idx="4">
                  <c:v>0.0</c:v>
                </c:pt>
                <c:pt idx="9">
                  <c:v>0.0</c:v>
                </c:pt>
                <c:pt idx="10">
                  <c:v>0.0</c:v>
                </c:pt>
                <c:pt idx="11">
                  <c:v>0.0</c:v>
                </c:pt>
                <c:pt idx="16">
                  <c:v>0.0</c:v>
                </c:pt>
                <c:pt idx="17">
                  <c:v>5.2</c:v>
                </c:pt>
              </c:numCache>
            </c:numRef>
          </c:val>
        </c:ser>
        <c:ser>
          <c:idx val="5"/>
          <c:order val="5"/>
          <c:tx>
            <c:strRef>
              <c:f>Hoja1!$A$402</c:f>
              <c:strCache>
                <c:ptCount val="1"/>
                <c:pt idx="0">
                  <c:v>pool 6</c:v>
                </c:pt>
              </c:strCache>
            </c:strRef>
          </c:tx>
          <c:invertIfNegative val="0"/>
          <c:cat>
            <c:multiLvlStrRef>
              <c:f>Hoja1!$B$395:$S$396</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Hoja1!$B$402:$S$402</c:f>
              <c:numCache>
                <c:formatCode>General</c:formatCode>
                <c:ptCount val="18"/>
                <c:pt idx="1">
                  <c:v>0.0</c:v>
                </c:pt>
                <c:pt idx="2">
                  <c:v>2.94</c:v>
                </c:pt>
                <c:pt idx="3">
                  <c:v>0.0</c:v>
                </c:pt>
                <c:pt idx="4">
                  <c:v>0.0</c:v>
                </c:pt>
                <c:pt idx="9">
                  <c:v>0.0</c:v>
                </c:pt>
                <c:pt idx="10">
                  <c:v>0.0</c:v>
                </c:pt>
                <c:pt idx="11">
                  <c:v>0.0</c:v>
                </c:pt>
                <c:pt idx="16">
                  <c:v>8.34</c:v>
                </c:pt>
                <c:pt idx="17">
                  <c:v>8.700000000000001</c:v>
                </c:pt>
              </c:numCache>
            </c:numRef>
          </c:val>
        </c:ser>
        <c:ser>
          <c:idx val="6"/>
          <c:order val="6"/>
          <c:tx>
            <c:strRef>
              <c:f>Hoja1!$A$403</c:f>
              <c:strCache>
                <c:ptCount val="1"/>
                <c:pt idx="0">
                  <c:v>pool 7</c:v>
                </c:pt>
              </c:strCache>
            </c:strRef>
          </c:tx>
          <c:invertIfNegative val="0"/>
          <c:cat>
            <c:multiLvlStrRef>
              <c:f>Hoja1!$B$395:$S$396</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Hoja1!$B$403:$S$403</c:f>
              <c:numCache>
                <c:formatCode>General</c:formatCode>
                <c:ptCount val="18"/>
                <c:pt idx="1">
                  <c:v>0.0</c:v>
                </c:pt>
                <c:pt idx="2">
                  <c:v>0.0</c:v>
                </c:pt>
                <c:pt idx="3">
                  <c:v>0.0</c:v>
                </c:pt>
                <c:pt idx="4">
                  <c:v>0.0</c:v>
                </c:pt>
                <c:pt idx="9">
                  <c:v>0.0</c:v>
                </c:pt>
                <c:pt idx="10">
                  <c:v>0.0</c:v>
                </c:pt>
                <c:pt idx="11">
                  <c:v>0.0</c:v>
                </c:pt>
                <c:pt idx="16">
                  <c:v>6.77</c:v>
                </c:pt>
                <c:pt idx="17">
                  <c:v>12.77</c:v>
                </c:pt>
              </c:numCache>
            </c:numRef>
          </c:val>
        </c:ser>
        <c:ser>
          <c:idx val="7"/>
          <c:order val="7"/>
          <c:tx>
            <c:strRef>
              <c:f>Hoja1!$A$404</c:f>
              <c:strCache>
                <c:ptCount val="1"/>
                <c:pt idx="0">
                  <c:v>pool 8</c:v>
                </c:pt>
              </c:strCache>
            </c:strRef>
          </c:tx>
          <c:invertIfNegative val="0"/>
          <c:cat>
            <c:multiLvlStrRef>
              <c:f>Hoja1!$B$395:$S$396</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Hoja1!$B$404:$S$404</c:f>
              <c:numCache>
                <c:formatCode>General</c:formatCode>
                <c:ptCount val="18"/>
                <c:pt idx="1">
                  <c:v>0.0</c:v>
                </c:pt>
                <c:pt idx="2">
                  <c:v>0.0</c:v>
                </c:pt>
                <c:pt idx="3">
                  <c:v>0.0</c:v>
                </c:pt>
                <c:pt idx="4">
                  <c:v>0.0</c:v>
                </c:pt>
                <c:pt idx="9">
                  <c:v>0.0</c:v>
                </c:pt>
                <c:pt idx="10">
                  <c:v>0.0</c:v>
                </c:pt>
                <c:pt idx="11">
                  <c:v>0.0</c:v>
                </c:pt>
                <c:pt idx="16">
                  <c:v>0.0</c:v>
                </c:pt>
                <c:pt idx="17">
                  <c:v>3.96</c:v>
                </c:pt>
              </c:numCache>
            </c:numRef>
          </c:val>
        </c:ser>
        <c:dLbls>
          <c:showLegendKey val="0"/>
          <c:showVal val="0"/>
          <c:showCatName val="0"/>
          <c:showSerName val="0"/>
          <c:showPercent val="0"/>
          <c:showBubbleSize val="0"/>
        </c:dLbls>
        <c:gapWidth val="55"/>
        <c:overlap val="100"/>
        <c:axId val="2123520328"/>
        <c:axId val="2105272136"/>
      </c:barChart>
      <c:catAx>
        <c:axId val="2123520328"/>
        <c:scaling>
          <c:orientation val="minMax"/>
        </c:scaling>
        <c:delete val="0"/>
        <c:axPos val="b"/>
        <c:majorTickMark val="none"/>
        <c:minorTickMark val="none"/>
        <c:tickLblPos val="nextTo"/>
        <c:txPr>
          <a:bodyPr/>
          <a:lstStyle/>
          <a:p>
            <a:pPr>
              <a:defRPr b="1" i="0" baseline="0"/>
            </a:pPr>
            <a:endParaRPr lang="en-US"/>
          </a:p>
        </c:txPr>
        <c:crossAx val="2105272136"/>
        <c:crosses val="autoZero"/>
        <c:auto val="1"/>
        <c:lblAlgn val="ctr"/>
        <c:lblOffset val="100"/>
        <c:noMultiLvlLbl val="0"/>
      </c:catAx>
      <c:valAx>
        <c:axId val="2105272136"/>
        <c:scaling>
          <c:orientation val="minMax"/>
        </c:scaling>
        <c:delete val="0"/>
        <c:axPos val="l"/>
        <c:majorGridlines/>
        <c:numFmt formatCode="0%" sourceLinked="1"/>
        <c:majorTickMark val="none"/>
        <c:minorTickMark val="none"/>
        <c:tickLblPos val="nextTo"/>
        <c:txPr>
          <a:bodyPr/>
          <a:lstStyle/>
          <a:p>
            <a:pPr>
              <a:defRPr b="1" i="0" baseline="0"/>
            </a:pPr>
            <a:endParaRPr lang="en-US"/>
          </a:p>
        </c:txPr>
        <c:crossAx val="212352032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dirty="0"/>
              <a:t>CD8+ lymphocytes</a:t>
            </a:r>
          </a:p>
        </c:rich>
      </c:tx>
      <c:layout/>
      <c:overlay val="0"/>
    </c:title>
    <c:autoTitleDeleted val="0"/>
    <c:plotArea>
      <c:layout>
        <c:manualLayout>
          <c:layoutTarget val="inner"/>
          <c:xMode val="edge"/>
          <c:yMode val="edge"/>
          <c:x val="0.124269294152502"/>
          <c:y val="0.13864213087987"/>
          <c:w val="0.7111193663667"/>
          <c:h val="0.555355886196843"/>
        </c:manualLayout>
      </c:layout>
      <c:barChart>
        <c:barDir val="col"/>
        <c:grouping val="percentStacked"/>
        <c:varyColors val="0"/>
        <c:ser>
          <c:idx val="0"/>
          <c:order val="0"/>
          <c:tx>
            <c:strRef>
              <c:f>Hoja1!$A$245</c:f>
              <c:strCache>
                <c:ptCount val="1"/>
                <c:pt idx="0">
                  <c:v>pool 1</c:v>
                </c:pt>
              </c:strCache>
            </c:strRef>
          </c:tx>
          <c:invertIfNegative val="0"/>
          <c:cat>
            <c:multiLvlStrRef>
              <c:f>Hoja1!$B$243:$S$244</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Hoja1!$B$245:$S$245</c:f>
              <c:numCache>
                <c:formatCode>General</c:formatCode>
                <c:ptCount val="18"/>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numCache>
            </c:numRef>
          </c:val>
        </c:ser>
        <c:ser>
          <c:idx val="1"/>
          <c:order val="1"/>
          <c:tx>
            <c:strRef>
              <c:f>Hoja1!$A$246</c:f>
              <c:strCache>
                <c:ptCount val="1"/>
                <c:pt idx="0">
                  <c:v>pool 2</c:v>
                </c:pt>
              </c:strCache>
            </c:strRef>
          </c:tx>
          <c:invertIfNegative val="0"/>
          <c:cat>
            <c:multiLvlStrRef>
              <c:f>Hoja1!$B$243:$S$244</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Hoja1!$B$246:$S$246</c:f>
              <c:numCache>
                <c:formatCode>General</c:formatCode>
                <c:ptCount val="18"/>
                <c:pt idx="0">
                  <c:v>0.0</c:v>
                </c:pt>
                <c:pt idx="1">
                  <c:v>0.0</c:v>
                </c:pt>
                <c:pt idx="2">
                  <c:v>3.19</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numCache>
            </c:numRef>
          </c:val>
        </c:ser>
        <c:ser>
          <c:idx val="2"/>
          <c:order val="2"/>
          <c:tx>
            <c:strRef>
              <c:f>Hoja1!$A$247</c:f>
              <c:strCache>
                <c:ptCount val="1"/>
                <c:pt idx="0">
                  <c:v>pool 3</c:v>
                </c:pt>
              </c:strCache>
            </c:strRef>
          </c:tx>
          <c:invertIfNegative val="0"/>
          <c:cat>
            <c:multiLvlStrRef>
              <c:f>Hoja1!$B$243:$S$244</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Hoja1!$B$247:$S$247</c:f>
              <c:numCache>
                <c:formatCode>General</c:formatCode>
                <c:ptCount val="18"/>
                <c:pt idx="0">
                  <c:v>0.0</c:v>
                </c:pt>
                <c:pt idx="1">
                  <c:v>0.0</c:v>
                </c:pt>
                <c:pt idx="2">
                  <c:v>8.460000000000002</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numCache>
            </c:numRef>
          </c:val>
        </c:ser>
        <c:ser>
          <c:idx val="3"/>
          <c:order val="3"/>
          <c:tx>
            <c:strRef>
              <c:f>Hoja1!$A$248</c:f>
              <c:strCache>
                <c:ptCount val="1"/>
                <c:pt idx="0">
                  <c:v>pool 4</c:v>
                </c:pt>
              </c:strCache>
            </c:strRef>
          </c:tx>
          <c:invertIfNegative val="0"/>
          <c:cat>
            <c:multiLvlStrRef>
              <c:f>Hoja1!$B$243:$S$244</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Hoja1!$B$248:$S$248</c:f>
              <c:numCache>
                <c:formatCode>General</c:formatCode>
                <c:ptCount val="18"/>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numCache>
            </c:numRef>
          </c:val>
        </c:ser>
        <c:ser>
          <c:idx val="4"/>
          <c:order val="4"/>
          <c:tx>
            <c:strRef>
              <c:f>Hoja1!$A$249</c:f>
              <c:strCache>
                <c:ptCount val="1"/>
                <c:pt idx="0">
                  <c:v>pool 5</c:v>
                </c:pt>
              </c:strCache>
            </c:strRef>
          </c:tx>
          <c:invertIfNegative val="0"/>
          <c:cat>
            <c:multiLvlStrRef>
              <c:f>Hoja1!$B$243:$S$244</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Hoja1!$B$249:$S$249</c:f>
              <c:numCache>
                <c:formatCode>General</c:formatCode>
                <c:ptCount val="18"/>
                <c:pt idx="0">
                  <c:v>0.0</c:v>
                </c:pt>
                <c:pt idx="1">
                  <c:v>1.7</c:v>
                </c:pt>
                <c:pt idx="2">
                  <c:v>1.42</c:v>
                </c:pt>
                <c:pt idx="3">
                  <c:v>0.0</c:v>
                </c:pt>
                <c:pt idx="4">
                  <c:v>0.0</c:v>
                </c:pt>
                <c:pt idx="5">
                  <c:v>2.13</c:v>
                </c:pt>
                <c:pt idx="6">
                  <c:v>0.0</c:v>
                </c:pt>
                <c:pt idx="7">
                  <c:v>0.0</c:v>
                </c:pt>
                <c:pt idx="8">
                  <c:v>0.0</c:v>
                </c:pt>
                <c:pt idx="9">
                  <c:v>0.0</c:v>
                </c:pt>
                <c:pt idx="10">
                  <c:v>0.0</c:v>
                </c:pt>
                <c:pt idx="11">
                  <c:v>0.0</c:v>
                </c:pt>
                <c:pt idx="12">
                  <c:v>0.0</c:v>
                </c:pt>
                <c:pt idx="13">
                  <c:v>0.0</c:v>
                </c:pt>
                <c:pt idx="14">
                  <c:v>0.0</c:v>
                </c:pt>
                <c:pt idx="15">
                  <c:v>0.0</c:v>
                </c:pt>
                <c:pt idx="16">
                  <c:v>0.0</c:v>
                </c:pt>
                <c:pt idx="17">
                  <c:v>0.0</c:v>
                </c:pt>
              </c:numCache>
            </c:numRef>
          </c:val>
        </c:ser>
        <c:ser>
          <c:idx val="5"/>
          <c:order val="5"/>
          <c:tx>
            <c:strRef>
              <c:f>Hoja1!$A$250</c:f>
              <c:strCache>
                <c:ptCount val="1"/>
                <c:pt idx="0">
                  <c:v>pool 6</c:v>
                </c:pt>
              </c:strCache>
            </c:strRef>
          </c:tx>
          <c:invertIfNegative val="0"/>
          <c:cat>
            <c:multiLvlStrRef>
              <c:f>Hoja1!$B$243:$S$244</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Hoja1!$B$250:$S$250</c:f>
              <c:numCache>
                <c:formatCode>General</c:formatCode>
                <c:ptCount val="18"/>
                <c:pt idx="0">
                  <c:v>0.0</c:v>
                </c:pt>
                <c:pt idx="1">
                  <c:v>1.25</c:v>
                </c:pt>
                <c:pt idx="2">
                  <c:v>0.0</c:v>
                </c:pt>
                <c:pt idx="3">
                  <c:v>0.0</c:v>
                </c:pt>
                <c:pt idx="4">
                  <c:v>0.0</c:v>
                </c:pt>
                <c:pt idx="5">
                  <c:v>4.39</c:v>
                </c:pt>
                <c:pt idx="6">
                  <c:v>0.0</c:v>
                </c:pt>
                <c:pt idx="7">
                  <c:v>0.0</c:v>
                </c:pt>
                <c:pt idx="8">
                  <c:v>0.0</c:v>
                </c:pt>
                <c:pt idx="9">
                  <c:v>0.0</c:v>
                </c:pt>
                <c:pt idx="10">
                  <c:v>0.0</c:v>
                </c:pt>
                <c:pt idx="11">
                  <c:v>0.0</c:v>
                </c:pt>
                <c:pt idx="12">
                  <c:v>0.0</c:v>
                </c:pt>
                <c:pt idx="13">
                  <c:v>0.0</c:v>
                </c:pt>
                <c:pt idx="14">
                  <c:v>0.0</c:v>
                </c:pt>
                <c:pt idx="15">
                  <c:v>0.0</c:v>
                </c:pt>
                <c:pt idx="16">
                  <c:v>0.0</c:v>
                </c:pt>
                <c:pt idx="17">
                  <c:v>0.0</c:v>
                </c:pt>
              </c:numCache>
            </c:numRef>
          </c:val>
        </c:ser>
        <c:ser>
          <c:idx val="6"/>
          <c:order val="6"/>
          <c:tx>
            <c:strRef>
              <c:f>Hoja1!$A$251</c:f>
              <c:strCache>
                <c:ptCount val="1"/>
                <c:pt idx="0">
                  <c:v>pool 7</c:v>
                </c:pt>
              </c:strCache>
            </c:strRef>
          </c:tx>
          <c:invertIfNegative val="0"/>
          <c:cat>
            <c:multiLvlStrRef>
              <c:f>Hoja1!$B$243:$S$244</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Hoja1!$B$251:$S$251</c:f>
              <c:numCache>
                <c:formatCode>General</c:formatCode>
                <c:ptCount val="18"/>
                <c:pt idx="0">
                  <c:v>0.0</c:v>
                </c:pt>
                <c:pt idx="1">
                  <c:v>1.0</c:v>
                </c:pt>
                <c:pt idx="2">
                  <c:v>1.1</c:v>
                </c:pt>
                <c:pt idx="3">
                  <c:v>0.0</c:v>
                </c:pt>
                <c:pt idx="4">
                  <c:v>0.0</c:v>
                </c:pt>
                <c:pt idx="5">
                  <c:v>3.67</c:v>
                </c:pt>
                <c:pt idx="6">
                  <c:v>0.0</c:v>
                </c:pt>
                <c:pt idx="7">
                  <c:v>0.0</c:v>
                </c:pt>
                <c:pt idx="8">
                  <c:v>0.0</c:v>
                </c:pt>
                <c:pt idx="9">
                  <c:v>0.0</c:v>
                </c:pt>
                <c:pt idx="10">
                  <c:v>0.0</c:v>
                </c:pt>
                <c:pt idx="11">
                  <c:v>0.0</c:v>
                </c:pt>
                <c:pt idx="12">
                  <c:v>0.0</c:v>
                </c:pt>
                <c:pt idx="13">
                  <c:v>0.0</c:v>
                </c:pt>
                <c:pt idx="14">
                  <c:v>0.0</c:v>
                </c:pt>
                <c:pt idx="15">
                  <c:v>0.0</c:v>
                </c:pt>
                <c:pt idx="16">
                  <c:v>0.0</c:v>
                </c:pt>
                <c:pt idx="17">
                  <c:v>0.0</c:v>
                </c:pt>
              </c:numCache>
            </c:numRef>
          </c:val>
        </c:ser>
        <c:ser>
          <c:idx val="7"/>
          <c:order val="7"/>
          <c:tx>
            <c:strRef>
              <c:f>Hoja1!$A$252</c:f>
              <c:strCache>
                <c:ptCount val="1"/>
                <c:pt idx="0">
                  <c:v>pool 8</c:v>
                </c:pt>
              </c:strCache>
            </c:strRef>
          </c:tx>
          <c:invertIfNegative val="0"/>
          <c:cat>
            <c:multiLvlStrRef>
              <c:f>Hoja1!$B$243:$S$244</c:f>
              <c:multiLvlStrCache>
                <c:ptCount val="18"/>
                <c:lvl>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lvl>
                <c:lvl>
                  <c:pt idx="0">
                    <c:v>group 1</c:v>
                  </c:pt>
                  <c:pt idx="7">
                    <c:v>group 2</c:v>
                  </c:pt>
                  <c:pt idx="9">
                    <c:v>group 3</c:v>
                  </c:pt>
                </c:lvl>
              </c:multiLvlStrCache>
            </c:multiLvlStrRef>
          </c:cat>
          <c:val>
            <c:numRef>
              <c:f>Hoja1!$B$252:$S$252</c:f>
              <c:numCache>
                <c:formatCode>General</c:formatCode>
                <c:ptCount val="18"/>
                <c:pt idx="0">
                  <c:v>0.0</c:v>
                </c:pt>
                <c:pt idx="1">
                  <c:v>1.43</c:v>
                </c:pt>
                <c:pt idx="2">
                  <c:v>2.08</c:v>
                </c:pt>
                <c:pt idx="3">
                  <c:v>0.0</c:v>
                </c:pt>
                <c:pt idx="4">
                  <c:v>0.0</c:v>
                </c:pt>
                <c:pt idx="5">
                  <c:v>2.66</c:v>
                </c:pt>
                <c:pt idx="6">
                  <c:v>0.0</c:v>
                </c:pt>
                <c:pt idx="7">
                  <c:v>0.0</c:v>
                </c:pt>
                <c:pt idx="8">
                  <c:v>0.0</c:v>
                </c:pt>
                <c:pt idx="9">
                  <c:v>0.0</c:v>
                </c:pt>
                <c:pt idx="10">
                  <c:v>0.0</c:v>
                </c:pt>
                <c:pt idx="11">
                  <c:v>0.0</c:v>
                </c:pt>
                <c:pt idx="12">
                  <c:v>0.0</c:v>
                </c:pt>
                <c:pt idx="13">
                  <c:v>0.0</c:v>
                </c:pt>
                <c:pt idx="14">
                  <c:v>0.0</c:v>
                </c:pt>
                <c:pt idx="15">
                  <c:v>0.0</c:v>
                </c:pt>
                <c:pt idx="16">
                  <c:v>0.0</c:v>
                </c:pt>
                <c:pt idx="17">
                  <c:v>0.0</c:v>
                </c:pt>
              </c:numCache>
            </c:numRef>
          </c:val>
        </c:ser>
        <c:dLbls>
          <c:showLegendKey val="0"/>
          <c:showVal val="0"/>
          <c:showCatName val="0"/>
          <c:showSerName val="0"/>
          <c:showPercent val="0"/>
          <c:showBubbleSize val="0"/>
        </c:dLbls>
        <c:gapWidth val="55"/>
        <c:overlap val="100"/>
        <c:axId val="2119684248"/>
        <c:axId val="2118976424"/>
      </c:barChart>
      <c:catAx>
        <c:axId val="2119684248"/>
        <c:scaling>
          <c:orientation val="minMax"/>
        </c:scaling>
        <c:delete val="0"/>
        <c:axPos val="b"/>
        <c:majorTickMark val="none"/>
        <c:minorTickMark val="none"/>
        <c:tickLblPos val="nextTo"/>
        <c:txPr>
          <a:bodyPr/>
          <a:lstStyle/>
          <a:p>
            <a:pPr>
              <a:defRPr b="1" i="0" baseline="0"/>
            </a:pPr>
            <a:endParaRPr lang="en-US"/>
          </a:p>
        </c:txPr>
        <c:crossAx val="2118976424"/>
        <c:crosses val="autoZero"/>
        <c:auto val="1"/>
        <c:lblAlgn val="ctr"/>
        <c:lblOffset val="100"/>
        <c:noMultiLvlLbl val="0"/>
      </c:catAx>
      <c:valAx>
        <c:axId val="2118976424"/>
        <c:scaling>
          <c:orientation val="minMax"/>
        </c:scaling>
        <c:delete val="0"/>
        <c:axPos val="l"/>
        <c:majorGridlines/>
        <c:numFmt formatCode="0%" sourceLinked="1"/>
        <c:majorTickMark val="none"/>
        <c:minorTickMark val="none"/>
        <c:tickLblPos val="nextTo"/>
        <c:txPr>
          <a:bodyPr/>
          <a:lstStyle/>
          <a:p>
            <a:pPr>
              <a:defRPr b="1" i="0" baseline="0"/>
            </a:pPr>
            <a:endParaRPr lang="en-US"/>
          </a:p>
        </c:txPr>
        <c:crossAx val="21196842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6618</Words>
  <Characters>37726</Characters>
  <Application>Microsoft Macintosh Word</Application>
  <DocSecurity>0</DocSecurity>
  <Lines>314</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Title page</vt:lpstr>
      <vt:lpstr>Title page</vt:lpstr>
    </vt:vector>
  </TitlesOfParts>
  <Company>IoP King's College</Company>
  <LinksUpToDate>false</LinksUpToDate>
  <CharactersWithSpaces>44256</CharactersWithSpaces>
  <SharedDoc>false</SharedDoc>
  <HLinks>
    <vt:vector size="12" baseType="variant">
      <vt:variant>
        <vt:i4>3866670</vt:i4>
      </vt:variant>
      <vt:variant>
        <vt:i4>3</vt:i4>
      </vt:variant>
      <vt:variant>
        <vt:i4>0</vt:i4>
      </vt:variant>
      <vt:variant>
        <vt:i4>5</vt:i4>
      </vt:variant>
      <vt:variant>
        <vt:lpwstr>http://www.ncbi.nlm.nih.gov/pubmed/24844856</vt:lpwstr>
      </vt:variant>
      <vt:variant>
        <vt:lpwstr/>
      </vt:variant>
      <vt:variant>
        <vt:i4>5701671</vt:i4>
      </vt:variant>
      <vt:variant>
        <vt:i4>0</vt:i4>
      </vt:variant>
      <vt:variant>
        <vt:i4>0</vt:i4>
      </vt:variant>
      <vt:variant>
        <vt:i4>5</vt:i4>
      </vt:variant>
      <vt:variant>
        <vt:lpwstr>mailto:iaguilera-ibis@us.es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Propietario</dc:creator>
  <cp:lastModifiedBy>Na Ma</cp:lastModifiedBy>
  <cp:revision>2</cp:revision>
  <cp:lastPrinted>2017-01-26T12:40:00Z</cp:lastPrinted>
  <dcterms:created xsi:type="dcterms:W3CDTF">2017-06-12T19:09:00Z</dcterms:created>
  <dcterms:modified xsi:type="dcterms:W3CDTF">2017-06-12T19:09:00Z</dcterms:modified>
</cp:coreProperties>
</file>