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3303270" cy="696595"/>
            <wp:effectExtent l="0" t="0" r="0" b="0"/>
            <wp:docPr id="1" name="logo" descr="eeting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eeting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Published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on </w:t>
      </w:r>
      <w:r w:rsidRPr="000E5766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Meeting Library</w:t>
      </w:r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 (</w:t>
      </w:r>
      <w:hyperlink r:id="rId6" w:history="1">
        <w:r w:rsidRPr="000E5766">
          <w:rPr>
            <w:rFonts w:ascii="Times" w:eastAsia="Times New Roman" w:hAnsi="Times" w:cs="Times New Roman"/>
            <w:color w:val="0000FF"/>
            <w:sz w:val="27"/>
            <w:szCs w:val="27"/>
            <w:u w:val="single"/>
          </w:rPr>
          <w:t>http://meetinglibrary.asco.org</w:t>
        </w:r>
      </w:hyperlink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hyperlink r:id="rId7" w:history="1">
        <w:r w:rsidRPr="000E5766">
          <w:rPr>
            <w:rFonts w:ascii="Times" w:eastAsia="Times New Roman" w:hAnsi="Times" w:cs="Times New Roman"/>
            <w:color w:val="0000FF"/>
            <w:sz w:val="27"/>
            <w:szCs w:val="27"/>
            <w:u w:val="single"/>
          </w:rPr>
          <w:t>Home</w:t>
        </w:r>
      </w:hyperlink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 &gt; 166455-176</w:t>
      </w:r>
    </w:p>
    <w:p w:rsidR="000E5766" w:rsidRPr="000E5766" w:rsidRDefault="000E5766" w:rsidP="000E5766">
      <w:pPr>
        <w:rPr>
          <w:rFonts w:ascii="Times" w:eastAsia="Times New Roman" w:hAnsi="Times" w:cs="Times New Roman"/>
          <w:sz w:val="20"/>
          <w:szCs w:val="20"/>
        </w:rPr>
      </w:pPr>
      <w:r w:rsidRPr="000E5766">
        <w:rPr>
          <w:rFonts w:ascii="Times" w:eastAsia="Times New Roman" w:hAnsi="Times" w:cs="Times New Roman"/>
          <w:sz w:val="20"/>
          <w:szCs w:val="20"/>
        </w:rPr>
        <w:pict>
          <v:rect id="_x0000_i1026" style="width:0;height:.75pt" o:hralign="center" o:hrstd="t" o:hrnoshade="t" o:hr="t" fillcolor="black" stroked="f"/>
        </w:pict>
      </w:r>
    </w:p>
    <w:p w:rsidR="000E5766" w:rsidRPr="000E5766" w:rsidRDefault="000E5766" w:rsidP="000E576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E5766">
        <w:rPr>
          <w:rFonts w:ascii="Arial" w:hAnsi="Arial" w:cs="Arial"/>
          <w:vanish/>
          <w:sz w:val="16"/>
          <w:szCs w:val="16"/>
        </w:rPr>
        <w:t>Inizio modulo</w:t>
      </w:r>
    </w:p>
    <w:p w:rsidR="000E5766" w:rsidRPr="000E5766" w:rsidRDefault="000E5766" w:rsidP="000E576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E5766">
        <w:rPr>
          <w:rFonts w:ascii="Arial" w:hAnsi="Arial" w:cs="Arial"/>
          <w:vanish/>
          <w:sz w:val="16"/>
          <w:szCs w:val="16"/>
        </w:rPr>
        <w:t>Fine modulo</w:t>
      </w:r>
    </w:p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Nivolumab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±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ipilimumab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in treatment (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tx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) of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patients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) with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metastatic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colorectal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cancer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mCRC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) with and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without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high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microsatellite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instability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(MSI-H): CheckMate-142 interim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results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:rsidR="000E5766" w:rsidRPr="000E5766" w:rsidRDefault="000E5766" w:rsidP="000E576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Meeting:</w:t>
      </w:r>
    </w:p>
    <w:p w:rsidR="000E5766" w:rsidRPr="000E5766" w:rsidRDefault="000E5766" w:rsidP="000E5766">
      <w:pPr>
        <w:rPr>
          <w:rFonts w:ascii="Times" w:hAnsi="Times" w:cs="Times New Roman"/>
          <w:color w:val="000000"/>
          <w:sz w:val="27"/>
          <w:szCs w:val="27"/>
        </w:rPr>
      </w:pPr>
      <w:r w:rsidRPr="000E5766">
        <w:rPr>
          <w:rFonts w:ascii="Times" w:hAnsi="Times" w:cs="Times New Roman"/>
          <w:color w:val="000000"/>
          <w:sz w:val="27"/>
          <w:szCs w:val="27"/>
        </w:rPr>
        <w:t xml:space="preserve">2016 ASCO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Annual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Meeting</w:t>
      </w:r>
    </w:p>
    <w:p w:rsidR="000E5766" w:rsidRPr="000E5766" w:rsidRDefault="000E5766" w:rsidP="000E576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proofErr w:type="spellStart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Category</w:t>
      </w:r>
      <w:proofErr w:type="spellEnd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:</w:t>
      </w:r>
    </w:p>
    <w:p w:rsidR="000E5766" w:rsidRPr="000E5766" w:rsidRDefault="000E5766" w:rsidP="000E5766">
      <w:pPr>
        <w:rPr>
          <w:rFonts w:ascii="Times" w:hAnsi="Times" w:cs="Times New Roman"/>
          <w:color w:val="000000"/>
          <w:sz w:val="27"/>
          <w:szCs w:val="27"/>
        </w:rPr>
      </w:pP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Gastrointestinal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Colorectal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)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Cancer</w:t>
      </w:r>
      <w:proofErr w:type="spellEnd"/>
    </w:p>
    <w:p w:rsidR="000E5766" w:rsidRPr="000E5766" w:rsidRDefault="000E5766" w:rsidP="000E576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proofErr w:type="spellStart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Subcategory</w:t>
      </w:r>
      <w:proofErr w:type="spellEnd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: </w:t>
      </w:r>
    </w:p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Advanced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Disease</w:t>
      </w:r>
      <w:proofErr w:type="spellEnd"/>
    </w:p>
    <w:p w:rsidR="000E5766" w:rsidRPr="000E5766" w:rsidRDefault="000E5766" w:rsidP="000E576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Session </w:t>
      </w:r>
      <w:proofErr w:type="spellStart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Type</w:t>
      </w:r>
      <w:proofErr w:type="spellEnd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and Session Title: </w:t>
      </w:r>
    </w:p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Oral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Abstract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Session,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Gastrointestinal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Colorectal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)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Cancer</w:t>
      </w:r>
      <w:proofErr w:type="spellEnd"/>
    </w:p>
    <w:p w:rsidR="000E5766" w:rsidRPr="000E5766" w:rsidRDefault="000E5766" w:rsidP="000E576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proofErr w:type="spellStart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Abstract</w:t>
      </w:r>
      <w:proofErr w:type="spellEnd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Number</w:t>
      </w:r>
      <w:proofErr w:type="spellEnd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: </w:t>
      </w:r>
    </w:p>
    <w:p w:rsidR="000E5766" w:rsidRPr="000E5766" w:rsidRDefault="000E5766" w:rsidP="000E5766">
      <w:pPr>
        <w:rPr>
          <w:rFonts w:ascii="Times" w:hAnsi="Times" w:cs="Times New Roman"/>
          <w:color w:val="000000"/>
          <w:sz w:val="27"/>
          <w:szCs w:val="27"/>
        </w:rPr>
      </w:pPr>
      <w:r w:rsidRPr="000E5766">
        <w:rPr>
          <w:rFonts w:ascii="Times" w:hAnsi="Times" w:cs="Times New Roman"/>
          <w:color w:val="000000"/>
          <w:sz w:val="27"/>
          <w:szCs w:val="27"/>
        </w:rPr>
        <w:t>3501</w:t>
      </w:r>
    </w:p>
    <w:p w:rsidR="000E5766" w:rsidRPr="000E5766" w:rsidRDefault="000E5766" w:rsidP="000E576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proofErr w:type="spellStart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Citation</w:t>
      </w:r>
      <w:proofErr w:type="spellEnd"/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: </w:t>
      </w:r>
    </w:p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J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Clin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Oncol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34, 2016 (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suppl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;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abstr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3501)</w:t>
      </w:r>
    </w:p>
    <w:p w:rsidR="000E5766" w:rsidRPr="000E5766" w:rsidRDefault="000E5766" w:rsidP="000E576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Author(s): </w:t>
      </w:r>
    </w:p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Michael J.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Overman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Scott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Kopetz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Raymond S.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McDermott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Joseph Leach, Sara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Lonardi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Heinz-Josef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Lenz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Michael A. Morse,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Jayesh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Desai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Andrew Hill, Michael D.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Axelson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, Rebecca Anne Moss, Chen-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Sheng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Lin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Monica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Goldberg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Thierry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Andre; The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University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of Texas MD Anderson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Cancer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Center, Houston, TX; St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Vincent's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University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Hospital,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Dublin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Ireland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;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Allina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Health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System, Minneapolis, MN; Istituto Oncologico Veneto IOV-IRCSS, Padova,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Italy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;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University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of Southern California, Los Angeles, CA; Duke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University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Office of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Research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Administration, Durham, NC;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Royal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Melbourne Hospital, Melbourne, Australia; Tasman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Oncology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Research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Pty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Ltd,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Southport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Queensland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, Australia; Bristol-Myers Squibb, Princeton, NJ; </w:t>
      </w:r>
      <w:proofErr w:type="spellStart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Hôpital</w:t>
      </w:r>
      <w:proofErr w:type="spellEnd"/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 xml:space="preserve"> Saint Antoine, Paris, France</w:t>
      </w:r>
    </w:p>
    <w:p w:rsidR="000E5766" w:rsidRPr="000E5766" w:rsidRDefault="000E5766" w:rsidP="000E5766">
      <w:pPr>
        <w:rPr>
          <w:rFonts w:ascii="Times" w:hAnsi="Times" w:cs="Times New Roman"/>
          <w:color w:val="000000"/>
          <w:sz w:val="27"/>
          <w:szCs w:val="27"/>
        </w:rPr>
      </w:pPr>
      <w:r w:rsidRPr="000E5766">
        <w:rPr>
          <w:rFonts w:ascii="Times" w:hAnsi="Times" w:cs="Times New Roman"/>
          <w:b/>
          <w:bCs/>
          <w:color w:val="000000"/>
          <w:sz w:val="27"/>
          <w:szCs w:val="27"/>
        </w:rPr>
        <w:t>Background:</w:t>
      </w:r>
      <w:r w:rsidRPr="000E5766">
        <w:rPr>
          <w:rFonts w:ascii="Times" w:hAnsi="Times" w:cs="Times New Roman"/>
          <w:color w:val="000000"/>
          <w:sz w:val="27"/>
          <w:szCs w:val="27"/>
        </w:rPr>
        <w:t> 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Evidence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supports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use of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nivolumab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(N) in 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mCRC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N, a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fully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human anti-PD-1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mAb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and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ipilimumab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(I), a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humanized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anti-CTLA-4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mAb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,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have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favorable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safety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&amp;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efficacy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in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other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tumors. CheckMate-142, a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phase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2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study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,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evaluates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N ± I in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with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mCRC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>, MSI-H and non-MSI-H. </w:t>
      </w:r>
      <w:proofErr w:type="spellStart"/>
      <w:r w:rsidRPr="000E5766">
        <w:rPr>
          <w:rFonts w:ascii="Times" w:hAnsi="Times" w:cs="Times New Roman"/>
          <w:b/>
          <w:bCs/>
          <w:color w:val="000000"/>
          <w:sz w:val="27"/>
          <w:szCs w:val="27"/>
        </w:rPr>
        <w:t>Methods</w:t>
      </w:r>
      <w:proofErr w:type="spellEnd"/>
      <w:r w:rsidRPr="000E5766">
        <w:rPr>
          <w:rFonts w:ascii="Times" w:hAnsi="Times" w:cs="Times New Roman"/>
          <w:b/>
          <w:bCs/>
          <w:color w:val="000000"/>
          <w:sz w:val="27"/>
          <w:szCs w:val="27"/>
        </w:rPr>
        <w:t>:</w:t>
      </w:r>
      <w:r w:rsidRPr="000E5766">
        <w:rPr>
          <w:rFonts w:ascii="Times" w:hAnsi="Times" w:cs="Times New Roman"/>
          <w:color w:val="000000"/>
          <w:sz w:val="27"/>
          <w:szCs w:val="27"/>
        </w:rPr>
        <w:t> 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had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ECOG PS 0–1, and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intolerance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>/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progression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on ≥ 1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tx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received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N 3 mg/kg q2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wk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(N3) or N 3 mg/kg + I 1 mg/kg q3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wk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(N3+I1) x 4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doses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followed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by N3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until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disease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progression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(PD) or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other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discontinuation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Initial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evaluation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of N+I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at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3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doses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was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completed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in non-MSI-H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Primary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endpoint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was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investigator-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reported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ORR by RECIST 1.1;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other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endpoints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were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safety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>, OS, and PFS. </w:t>
      </w:r>
      <w:proofErr w:type="spellStart"/>
      <w:r w:rsidRPr="000E5766">
        <w:rPr>
          <w:rFonts w:ascii="Times" w:hAnsi="Times" w:cs="Times New Roman"/>
          <w:b/>
          <w:bCs/>
          <w:color w:val="000000"/>
          <w:sz w:val="27"/>
          <w:szCs w:val="27"/>
        </w:rPr>
        <w:t>Results</w:t>
      </w:r>
      <w:proofErr w:type="spellEnd"/>
      <w:r w:rsidRPr="000E5766">
        <w:rPr>
          <w:rFonts w:ascii="Times" w:hAnsi="Times" w:cs="Times New Roman"/>
          <w:b/>
          <w:bCs/>
          <w:color w:val="000000"/>
          <w:sz w:val="27"/>
          <w:szCs w:val="27"/>
        </w:rPr>
        <w:t>:</w:t>
      </w:r>
      <w:r w:rsidRPr="000E5766">
        <w:rPr>
          <w:rFonts w:ascii="Times" w:hAnsi="Times" w:cs="Times New Roman"/>
          <w:color w:val="000000"/>
          <w:sz w:val="27"/>
          <w:szCs w:val="27"/>
        </w:rPr>
        <w:t xml:space="preserve"> 33 (N3) and 26 (N3+I1) 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, and 3 (N1+I1), 10 (N1+I3), and 10 (N3+I1) non-MSI-H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were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enrolled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82% (N3) and 92% (N3+I1) of MSI-H and 100% of non-MSI-H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had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≥ 2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prior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regimens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15% (N3) and 25% (N3+I1) of 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had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known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BRAF V600E. 17 (52%; N3) and 19 (73%; N3+I1) 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remain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on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tx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Efficacy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results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are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shown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in the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Table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In 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,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lastRenderedPageBreak/>
        <w:t>tx-related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adverse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events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TRAEs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)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occurred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in 26 (79%; N3) and 22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(85%; N3+I1);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most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common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were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diarrhea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and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fatigue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(27%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each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; N3) and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diarrhea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(46%; N3+I1). Grade 3–4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TRAEs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occurred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in 7 (N3) and 8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(N3+I1).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One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on N3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had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a Grade 5 TRAE (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sudden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death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). In non-MSI-H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median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(95% CI) PFS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was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1.4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mo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(1.2–1.9;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pooled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N+I). </w:t>
      </w:r>
      <w:proofErr w:type="spellStart"/>
      <w:r w:rsidRPr="000E5766">
        <w:rPr>
          <w:rFonts w:ascii="Times" w:hAnsi="Times" w:cs="Times New Roman"/>
          <w:b/>
          <w:bCs/>
          <w:color w:val="000000"/>
          <w:sz w:val="27"/>
          <w:szCs w:val="27"/>
        </w:rPr>
        <w:t>Conclusions</w:t>
      </w:r>
      <w:proofErr w:type="spellEnd"/>
      <w:r w:rsidRPr="000E5766">
        <w:rPr>
          <w:rFonts w:ascii="Times" w:hAnsi="Times" w:cs="Times New Roman"/>
          <w:b/>
          <w:bCs/>
          <w:color w:val="000000"/>
          <w:sz w:val="27"/>
          <w:szCs w:val="27"/>
        </w:rPr>
        <w:t>:</w:t>
      </w:r>
      <w:r w:rsidRPr="000E5766">
        <w:rPr>
          <w:rFonts w:ascii="Times" w:hAnsi="Times" w:cs="Times New Roman"/>
          <w:color w:val="000000"/>
          <w:sz w:val="27"/>
          <w:szCs w:val="27"/>
        </w:rPr>
        <w:t xml:space="preserve"> N and N+I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were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well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tolerated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in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most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pts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and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demonstrated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encouraging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clinical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activity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and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survival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in MSI-H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mCRC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This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study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is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ongoing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.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Clinical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trial information: </w:t>
      </w:r>
      <w:hyperlink r:id="rId8" w:history="1">
        <w:r w:rsidRPr="000E5766">
          <w:rPr>
            <w:rFonts w:ascii="Times" w:hAnsi="Times" w:cs="Times New Roman"/>
            <w:color w:val="0000FF"/>
            <w:sz w:val="27"/>
            <w:szCs w:val="27"/>
            <w:u w:val="single"/>
          </w:rPr>
          <w:t>NCT02060188</w:t>
        </w:r>
      </w:hyperlink>
    </w:p>
    <w:tbl>
      <w:tblPr>
        <w:tblW w:w="17010" w:type="dxa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7"/>
        <w:gridCol w:w="3302"/>
        <w:gridCol w:w="3141"/>
      </w:tblGrid>
      <w:tr w:rsidR="000E5766" w:rsidRPr="000E5766" w:rsidTr="000E5766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766" w:rsidRPr="000E5766" w:rsidRDefault="000E5766" w:rsidP="000E5766">
            <w:pPr>
              <w:pBdr>
                <w:top w:val="single" w:sz="6" w:space="0" w:color="000000"/>
              </w:pBd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hAnsi="Times" w:cs="Times New Roman"/>
                <w:b/>
                <w:bCs/>
                <w:sz w:val="20"/>
                <w:szCs w:val="20"/>
              </w:rPr>
              <w:t>MSI-H</w:t>
            </w:r>
            <w:r w:rsidRPr="000E5766">
              <w:rPr>
                <w:rFonts w:ascii="Times" w:hAnsi="Times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r w:rsidRPr="000E5766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0E5766">
              <w:rPr>
                <w:rFonts w:ascii="Times" w:hAnsi="Times" w:cs="Times New Roman"/>
                <w:b/>
                <w:bCs/>
                <w:sz w:val="20"/>
                <w:szCs w:val="20"/>
              </w:rPr>
              <w:t>efficacy</w:t>
            </w:r>
            <w:proofErr w:type="spellEnd"/>
            <w:r w:rsidRPr="000E5766">
              <w:rPr>
                <w:rFonts w:ascii="Times" w:hAnsi="Times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E5766" w:rsidRPr="000E5766" w:rsidTr="000E5766">
        <w:trPr>
          <w:tblHeader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E5766" w:rsidRPr="000E5766" w:rsidRDefault="000E5766" w:rsidP="000E576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N3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(n = 33)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N3+I1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(n = 26)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ind w:hanging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ORR, n (%)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9 (27)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4 (15)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ind w:hanging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Confirmed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PR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9 (27)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4 (15)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8 (24)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17 (65)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11 (33)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3 (12)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 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Not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determined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not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reported</w:t>
            </w:r>
            <w:proofErr w:type="spellEnd"/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5 (15)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2 (8)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ind w:hanging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Median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duration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response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(95% CI),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NR (4.2–NE)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NR (NE–NE)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ind w:hanging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Median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PFS (95% CI),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5.3 (1.4–NE)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NR (NE–NE)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ind w:hanging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4-mo PFS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rate,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%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80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ind w:hanging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Median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OS (95% CI),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16.3 (8.3–NE)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NR (NE–NE)</w:t>
            </w:r>
          </w:p>
        </w:tc>
      </w:tr>
      <w:tr w:rsidR="000E5766" w:rsidRPr="000E5766" w:rsidTr="000E5766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ind w:hanging="150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5-mo OS </w:t>
            </w:r>
            <w:proofErr w:type="spellStart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rate,</w:t>
            </w:r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  <w:r w:rsidRPr="000E576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%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5766" w:rsidRPr="000E5766" w:rsidRDefault="000E5766" w:rsidP="000E5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E5766">
              <w:rPr>
                <w:rFonts w:ascii="Times" w:eastAsia="Times New Roman" w:hAnsi="Times" w:cs="Times New Roman"/>
                <w:sz w:val="20"/>
                <w:szCs w:val="20"/>
              </w:rPr>
              <w:t>100</w:t>
            </w:r>
          </w:p>
        </w:tc>
      </w:tr>
    </w:tbl>
    <w:p w:rsidR="000E5766" w:rsidRPr="000E5766" w:rsidRDefault="000E5766" w:rsidP="000E5766">
      <w:pPr>
        <w:spacing w:before="30"/>
        <w:rPr>
          <w:rFonts w:ascii="Times" w:hAnsi="Times" w:cs="Times New Roman"/>
          <w:color w:val="000000"/>
          <w:sz w:val="27"/>
          <w:szCs w:val="27"/>
        </w:rPr>
      </w:pPr>
      <w:r w:rsidRPr="000E5766">
        <w:rPr>
          <w:rFonts w:ascii="Times" w:hAnsi="Times" w:cs="Times New Roman"/>
          <w:color w:val="000000"/>
          <w:sz w:val="27"/>
          <w:szCs w:val="27"/>
        </w:rPr>
        <w:t xml:space="preserve">NR,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not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reached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; NE,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not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estimable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> 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  <w:vertAlign w:val="superscript"/>
        </w:rPr>
        <w:t>a</w:t>
      </w:r>
      <w:r w:rsidRPr="000E5766">
        <w:rPr>
          <w:rFonts w:ascii="Times" w:hAnsi="Times" w:cs="Times New Roman"/>
          <w:color w:val="000000"/>
          <w:sz w:val="27"/>
          <w:szCs w:val="27"/>
        </w:rPr>
        <w:t>By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local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screen 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  <w:vertAlign w:val="superscript"/>
        </w:rPr>
        <w:t>b</w:t>
      </w:r>
      <w:r w:rsidRPr="000E5766">
        <w:rPr>
          <w:rFonts w:ascii="Times" w:hAnsi="Times" w:cs="Times New Roman"/>
          <w:color w:val="000000"/>
          <w:sz w:val="27"/>
          <w:szCs w:val="27"/>
        </w:rPr>
        <w:t>PFS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Kaplan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-Meier plot estimate, N3 = 17/33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events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, N3+I1 = 4/26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events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> 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  <w:vertAlign w:val="superscript"/>
        </w:rPr>
        <w:t>c</w:t>
      </w:r>
      <w:r w:rsidRPr="000E5766">
        <w:rPr>
          <w:rFonts w:ascii="Times" w:hAnsi="Times" w:cs="Times New Roman"/>
          <w:color w:val="000000"/>
          <w:sz w:val="27"/>
          <w:szCs w:val="27"/>
        </w:rPr>
        <w:t>PFS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Kaplan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-Meier plot estimate, N3 = 11/33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events</w:t>
      </w:r>
      <w:proofErr w:type="spellEnd"/>
      <w:r w:rsidRPr="000E5766">
        <w:rPr>
          <w:rFonts w:ascii="Times" w:hAnsi="Times" w:cs="Times New Roman"/>
          <w:color w:val="000000"/>
          <w:sz w:val="27"/>
          <w:szCs w:val="27"/>
        </w:rPr>
        <w:t xml:space="preserve">, N3+I1 = 0/26 </w:t>
      </w:r>
      <w:proofErr w:type="spellStart"/>
      <w:r w:rsidRPr="000E5766">
        <w:rPr>
          <w:rFonts w:ascii="Times" w:hAnsi="Times" w:cs="Times New Roman"/>
          <w:color w:val="000000"/>
          <w:sz w:val="27"/>
          <w:szCs w:val="27"/>
        </w:rPr>
        <w:t>events</w:t>
      </w:r>
      <w:proofErr w:type="spellEnd"/>
    </w:p>
    <w:p w:rsidR="000E5766" w:rsidRPr="000E5766" w:rsidRDefault="000E5766" w:rsidP="000E5766">
      <w:pPr>
        <w:rPr>
          <w:rFonts w:ascii="Times" w:eastAsia="Times New Roman" w:hAnsi="Times" w:cs="Times New Roman"/>
          <w:sz w:val="20"/>
          <w:szCs w:val="20"/>
        </w:rPr>
      </w:pPr>
      <w:r w:rsidRPr="000E5766">
        <w:rPr>
          <w:rFonts w:ascii="Times" w:eastAsia="Times New Roman" w:hAnsi="Times" w:cs="Times New Roman"/>
          <w:sz w:val="20"/>
          <w:szCs w:val="20"/>
        </w:rPr>
        <w:pict>
          <v:rect id="_x0000_i1027" style="width:0;height:.75pt" o:hralign="center" o:hrstd="t" o:hrnoshade="t" o:hr="t" fillcolor="black" stroked="f"/>
        </w:pict>
      </w:r>
    </w:p>
    <w:p w:rsidR="000E5766" w:rsidRPr="000E5766" w:rsidRDefault="000E5766" w:rsidP="000E5766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0E576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Source URL:</w:t>
      </w:r>
      <w:r w:rsidRPr="000E5766">
        <w:rPr>
          <w:rFonts w:ascii="Times" w:eastAsia="Times New Roman" w:hAnsi="Times" w:cs="Times New Roman"/>
          <w:color w:val="000000"/>
          <w:sz w:val="27"/>
          <w:szCs w:val="27"/>
        </w:rPr>
        <w:t> http://meetinglibrary.asco.org/content/166455-176</w:t>
      </w:r>
    </w:p>
    <w:p w:rsidR="006B253F" w:rsidRDefault="006B253F">
      <w:bookmarkStart w:id="0" w:name="_GoBack"/>
      <w:bookmarkEnd w:id="0"/>
    </w:p>
    <w:sectPr w:rsidR="006B253F" w:rsidSect="006B25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6"/>
    <w:rsid w:val="000E5766"/>
    <w:rsid w:val="006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2E0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E5766"/>
  </w:style>
  <w:style w:type="character" w:styleId="Enfasicorsivo">
    <w:name w:val="Emphasis"/>
    <w:basedOn w:val="Caratterepredefinitoparagrafo"/>
    <w:uiPriority w:val="20"/>
    <w:qFormat/>
    <w:rsid w:val="000E5766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E576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E57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E57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0E5766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E57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0E5766"/>
    <w:rPr>
      <w:rFonts w:ascii="Arial" w:hAnsi="Arial" w:cs="Arial"/>
      <w:vanish/>
      <w:sz w:val="16"/>
      <w:szCs w:val="16"/>
    </w:rPr>
  </w:style>
  <w:style w:type="paragraph" w:customStyle="1" w:styleId="mtgabstract-table-fn">
    <w:name w:val="mtgabstract-table-fn"/>
    <w:basedOn w:val="Normale"/>
    <w:rsid w:val="000E5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E57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57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E5766"/>
  </w:style>
  <w:style w:type="character" w:styleId="Enfasicorsivo">
    <w:name w:val="Emphasis"/>
    <w:basedOn w:val="Caratterepredefinitoparagrafo"/>
    <w:uiPriority w:val="20"/>
    <w:qFormat/>
    <w:rsid w:val="000E5766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E576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E57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E57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0E5766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E57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0E5766"/>
    <w:rPr>
      <w:rFonts w:ascii="Arial" w:hAnsi="Arial" w:cs="Arial"/>
      <w:vanish/>
      <w:sz w:val="16"/>
      <w:szCs w:val="16"/>
    </w:rPr>
  </w:style>
  <w:style w:type="paragraph" w:customStyle="1" w:styleId="mtgabstract-table-fn">
    <w:name w:val="mtgabstract-table-fn"/>
    <w:basedOn w:val="Normale"/>
    <w:rsid w:val="000E5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E57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57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62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7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8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538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03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78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3778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6728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eetinglibrary.asco.org/" TargetMode="External"/><Relationship Id="rId7" Type="http://schemas.openxmlformats.org/officeDocument/2006/relationships/hyperlink" Target="http://meetinglibrary.asco.org/" TargetMode="External"/><Relationship Id="rId8" Type="http://schemas.openxmlformats.org/officeDocument/2006/relationships/hyperlink" Target="http://clinicaltrials.gov/show/NCT0206018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Macintosh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Martini</dc:creator>
  <cp:keywords/>
  <dc:description/>
  <cp:lastModifiedBy>Giulia Martini</cp:lastModifiedBy>
  <cp:revision>1</cp:revision>
  <dcterms:created xsi:type="dcterms:W3CDTF">2017-03-27T18:13:00Z</dcterms:created>
  <dcterms:modified xsi:type="dcterms:W3CDTF">2017-03-27T18:14:00Z</dcterms:modified>
</cp:coreProperties>
</file>