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2E514" w14:textId="089BA0A6" w:rsidR="00EF5A40" w:rsidRPr="00843662" w:rsidRDefault="00EF5A40"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 xml:space="preserve">Name of </w:t>
      </w:r>
      <w:r w:rsidR="00843662">
        <w:rPr>
          <w:rFonts w:ascii="Book Antiqua" w:hAnsi="Book Antiqua" w:cs="Times New Roman" w:hint="eastAsia"/>
          <w:b/>
          <w:sz w:val="24"/>
          <w:szCs w:val="24"/>
        </w:rPr>
        <w:t>J</w:t>
      </w:r>
      <w:r w:rsidRPr="00843662">
        <w:rPr>
          <w:rFonts w:ascii="Book Antiqua" w:hAnsi="Book Antiqua" w:cs="Times New Roman"/>
          <w:b/>
          <w:sz w:val="24"/>
          <w:szCs w:val="24"/>
        </w:rPr>
        <w:t>ournal:</w:t>
      </w:r>
      <w:r w:rsidRPr="00843662">
        <w:rPr>
          <w:rFonts w:ascii="Book Antiqua" w:hAnsi="Book Antiqua" w:cs="Times New Roman"/>
          <w:b/>
          <w:i/>
          <w:sz w:val="24"/>
          <w:szCs w:val="24"/>
        </w:rPr>
        <w:t xml:space="preserve"> World Journal of Hepatology</w:t>
      </w:r>
    </w:p>
    <w:p w14:paraId="6115FF4B" w14:textId="55E237A5" w:rsidR="00EF5A40" w:rsidRPr="00843662" w:rsidRDefault="00EF5A40"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Manuscript NO: 33929</w:t>
      </w:r>
    </w:p>
    <w:p w14:paraId="556EA71E" w14:textId="64267CCE" w:rsidR="00843662" w:rsidRDefault="00EF5A40"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 xml:space="preserve">Manuscript Type: </w:t>
      </w:r>
      <w:r w:rsidR="00843662" w:rsidRPr="00843662">
        <w:rPr>
          <w:rFonts w:ascii="Book Antiqua" w:hAnsi="Book Antiqua" w:cs="Times New Roman"/>
          <w:b/>
          <w:sz w:val="24"/>
          <w:szCs w:val="24"/>
        </w:rPr>
        <w:t>Original Article</w:t>
      </w:r>
    </w:p>
    <w:p w14:paraId="62367562" w14:textId="77777777" w:rsidR="00843662" w:rsidRDefault="00843662" w:rsidP="00843662">
      <w:pPr>
        <w:spacing w:after="0" w:line="360" w:lineRule="auto"/>
        <w:jc w:val="both"/>
        <w:rPr>
          <w:rFonts w:ascii="Book Antiqua" w:hAnsi="Book Antiqua" w:cs="Times New Roman"/>
          <w:b/>
          <w:sz w:val="24"/>
          <w:szCs w:val="24"/>
        </w:rPr>
      </w:pPr>
    </w:p>
    <w:p w14:paraId="1FF47E5B" w14:textId="110E0730" w:rsidR="00EF5A40" w:rsidRPr="004A125C" w:rsidRDefault="00EF5A40" w:rsidP="00843662">
      <w:pPr>
        <w:spacing w:after="0" w:line="360" w:lineRule="auto"/>
        <w:jc w:val="both"/>
        <w:rPr>
          <w:rFonts w:ascii="Book Antiqua" w:hAnsi="Book Antiqua" w:cs="Times New Roman"/>
          <w:b/>
          <w:i/>
          <w:sz w:val="24"/>
          <w:szCs w:val="24"/>
        </w:rPr>
      </w:pPr>
      <w:r w:rsidRPr="004A125C">
        <w:rPr>
          <w:rFonts w:ascii="Book Antiqua" w:hAnsi="Book Antiqua" w:cs="Times New Roman"/>
          <w:b/>
          <w:i/>
          <w:sz w:val="24"/>
          <w:szCs w:val="24"/>
        </w:rPr>
        <w:t>Retrospective Cohort Study</w:t>
      </w:r>
    </w:p>
    <w:p w14:paraId="0AE08734" w14:textId="77777777" w:rsidR="00EF5A40" w:rsidRPr="00843662" w:rsidRDefault="00EF5A40" w:rsidP="00843662">
      <w:pPr>
        <w:spacing w:after="0" w:line="360" w:lineRule="auto"/>
        <w:jc w:val="both"/>
        <w:rPr>
          <w:rFonts w:ascii="Book Antiqua" w:hAnsi="Book Antiqua" w:cs="Times New Roman"/>
          <w:sz w:val="24"/>
          <w:szCs w:val="24"/>
        </w:rPr>
      </w:pPr>
    </w:p>
    <w:p w14:paraId="26E1C122" w14:textId="26C66408" w:rsidR="00EF5A40" w:rsidRPr="00843662" w:rsidRDefault="00EF5A40"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 xml:space="preserve">Improved </w:t>
      </w:r>
      <w:proofErr w:type="spellStart"/>
      <w:r w:rsidR="00B94EF0">
        <w:rPr>
          <w:rFonts w:ascii="Book Antiqua" w:hAnsi="Book Antiqua" w:cs="Times New Roman" w:hint="eastAsia"/>
          <w:b/>
          <w:sz w:val="24"/>
          <w:szCs w:val="24"/>
        </w:rPr>
        <w:t>H</w:t>
      </w:r>
      <w:r w:rsidR="004A125C" w:rsidRPr="00843662">
        <w:rPr>
          <w:rFonts w:ascii="Book Antiqua" w:hAnsi="Book Antiqua" w:cs="Times New Roman"/>
          <w:b/>
          <w:sz w:val="24"/>
          <w:szCs w:val="24"/>
        </w:rPr>
        <w:t>epascore</w:t>
      </w:r>
      <w:proofErr w:type="spellEnd"/>
      <w:r w:rsidR="004A125C" w:rsidRPr="00843662">
        <w:rPr>
          <w:rFonts w:ascii="Book Antiqua" w:hAnsi="Book Antiqua" w:cs="Times New Roman"/>
          <w:b/>
          <w:sz w:val="24"/>
          <w:szCs w:val="24"/>
        </w:rPr>
        <w:t xml:space="preserve"> in hepati</w:t>
      </w:r>
      <w:r w:rsidR="00BA6401" w:rsidRPr="00843662">
        <w:rPr>
          <w:rFonts w:ascii="Book Antiqua" w:hAnsi="Book Antiqua" w:cs="Times New Roman"/>
          <w:b/>
          <w:sz w:val="24"/>
          <w:szCs w:val="24"/>
        </w:rPr>
        <w:t>tis C</w:t>
      </w:r>
      <w:r w:rsidRPr="00843662">
        <w:rPr>
          <w:rFonts w:ascii="Book Antiqua" w:hAnsi="Book Antiqua" w:cs="Times New Roman"/>
          <w:b/>
          <w:sz w:val="24"/>
          <w:szCs w:val="24"/>
        </w:rPr>
        <w:t xml:space="preserve"> predicts reversal in risk of adverse outcome</w:t>
      </w:r>
    </w:p>
    <w:p w14:paraId="150F12FF" w14:textId="77777777" w:rsidR="004A125C" w:rsidRDefault="004A125C" w:rsidP="00843662">
      <w:pPr>
        <w:spacing w:after="0" w:line="360" w:lineRule="auto"/>
        <w:jc w:val="both"/>
        <w:rPr>
          <w:rFonts w:ascii="Book Antiqua" w:hAnsi="Book Antiqua" w:cs="Times New Roman"/>
          <w:sz w:val="24"/>
          <w:szCs w:val="24"/>
        </w:rPr>
      </w:pPr>
      <w:bookmarkStart w:id="0" w:name="_Hlk480817826"/>
    </w:p>
    <w:p w14:paraId="3BF55533" w14:textId="54C8B3FE" w:rsidR="00EF5A40" w:rsidRPr="00843662" w:rsidRDefault="004B7B84"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Jeffrey AW</w:t>
      </w:r>
      <w:r w:rsidR="00EF5A40" w:rsidRPr="00843662">
        <w:rPr>
          <w:rFonts w:ascii="Book Antiqua" w:hAnsi="Book Antiqua" w:cs="Times New Roman"/>
          <w:sz w:val="24"/>
          <w:szCs w:val="24"/>
        </w:rPr>
        <w:t xml:space="preserve"> </w:t>
      </w:r>
      <w:r w:rsidR="00EF5A40" w:rsidRPr="004A125C">
        <w:rPr>
          <w:rFonts w:ascii="Book Antiqua" w:hAnsi="Book Antiqua" w:cs="Times New Roman"/>
          <w:i/>
          <w:sz w:val="24"/>
          <w:szCs w:val="24"/>
        </w:rPr>
        <w:t>et al</w:t>
      </w:r>
      <w:r w:rsidR="00EF5A40" w:rsidRPr="00843662">
        <w:rPr>
          <w:rFonts w:ascii="Book Antiqua" w:hAnsi="Book Antiqua" w:cs="Times New Roman"/>
          <w:sz w:val="24"/>
          <w:szCs w:val="24"/>
        </w:rPr>
        <w:t xml:space="preserve">. </w:t>
      </w:r>
      <w:proofErr w:type="spellStart"/>
      <w:r w:rsidR="00BA6401" w:rsidRPr="00843662">
        <w:rPr>
          <w:rFonts w:ascii="Book Antiqua" w:hAnsi="Book Antiqua" w:cs="Times New Roman"/>
          <w:sz w:val="24"/>
          <w:szCs w:val="24"/>
        </w:rPr>
        <w:t>Hepascore</w:t>
      </w:r>
      <w:proofErr w:type="spellEnd"/>
      <w:r w:rsidR="00BA6401" w:rsidRPr="00843662">
        <w:rPr>
          <w:rFonts w:ascii="Book Antiqua" w:hAnsi="Book Antiqua" w:cs="Times New Roman"/>
          <w:sz w:val="24"/>
          <w:szCs w:val="24"/>
        </w:rPr>
        <w:t xml:space="preserve"> in </w:t>
      </w:r>
      <w:r w:rsidR="004A125C">
        <w:rPr>
          <w:rFonts w:ascii="Book Antiqua" w:hAnsi="Book Antiqua" w:cs="Times New Roman" w:hint="eastAsia"/>
          <w:sz w:val="24"/>
          <w:szCs w:val="24"/>
        </w:rPr>
        <w:t>h</w:t>
      </w:r>
      <w:r w:rsidR="00BA6401" w:rsidRPr="00843662">
        <w:rPr>
          <w:rFonts w:ascii="Book Antiqua" w:hAnsi="Book Antiqua" w:cs="Times New Roman"/>
          <w:sz w:val="24"/>
          <w:szCs w:val="24"/>
        </w:rPr>
        <w:t>epatitis C</w:t>
      </w:r>
    </w:p>
    <w:bookmarkEnd w:id="0"/>
    <w:p w14:paraId="56F3374F" w14:textId="77777777" w:rsidR="00EF5A40" w:rsidRPr="00843662" w:rsidRDefault="00EF5A40" w:rsidP="00843662">
      <w:pPr>
        <w:spacing w:after="0" w:line="360" w:lineRule="auto"/>
        <w:jc w:val="both"/>
        <w:rPr>
          <w:rFonts w:ascii="Book Antiqua" w:hAnsi="Book Antiqua" w:cs="Times New Roman"/>
          <w:sz w:val="24"/>
          <w:szCs w:val="24"/>
        </w:rPr>
      </w:pPr>
    </w:p>
    <w:p w14:paraId="67CE61D9" w14:textId="7B787493" w:rsidR="00BA6401" w:rsidRPr="00843662" w:rsidRDefault="00BA6401"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 xml:space="preserve">Angus W Jeffrey, Yi Huang, W </w:t>
      </w:r>
      <w:proofErr w:type="spellStart"/>
      <w:r w:rsidRPr="00843662">
        <w:rPr>
          <w:rFonts w:ascii="Book Antiqua" w:hAnsi="Book Antiqua" w:cs="Times New Roman"/>
          <w:b/>
          <w:sz w:val="24"/>
          <w:szCs w:val="24"/>
        </w:rPr>
        <w:t>Bastiaan</w:t>
      </w:r>
      <w:proofErr w:type="spellEnd"/>
      <w:r w:rsidRPr="00843662">
        <w:rPr>
          <w:rFonts w:ascii="Book Antiqua" w:hAnsi="Book Antiqua" w:cs="Times New Roman"/>
          <w:b/>
          <w:sz w:val="24"/>
          <w:szCs w:val="24"/>
        </w:rPr>
        <w:t xml:space="preserve"> de Boer, Leon A Adams, Gerry </w:t>
      </w:r>
      <w:proofErr w:type="spellStart"/>
      <w:r w:rsidRPr="00843662">
        <w:rPr>
          <w:rFonts w:ascii="Book Antiqua" w:hAnsi="Book Antiqua" w:cs="Times New Roman"/>
          <w:b/>
          <w:sz w:val="24"/>
          <w:szCs w:val="24"/>
        </w:rPr>
        <w:t>MacQuillan</w:t>
      </w:r>
      <w:proofErr w:type="spellEnd"/>
      <w:r w:rsidRPr="00843662">
        <w:rPr>
          <w:rFonts w:ascii="Book Antiqua" w:hAnsi="Book Antiqua" w:cs="Times New Roman"/>
          <w:b/>
          <w:sz w:val="24"/>
          <w:szCs w:val="24"/>
        </w:rPr>
        <w:t xml:space="preserve">, David Speers, </w:t>
      </w:r>
      <w:r w:rsidR="007215D0">
        <w:rPr>
          <w:rFonts w:ascii="Book Antiqua" w:hAnsi="Book Antiqua" w:cs="Times New Roman"/>
          <w:b/>
          <w:sz w:val="24"/>
          <w:szCs w:val="24"/>
        </w:rPr>
        <w:t>John Joseph, Gary P Jeffrey</w:t>
      </w:r>
    </w:p>
    <w:p w14:paraId="311E5A78" w14:textId="475B61D9" w:rsidR="008C30E3" w:rsidRPr="00843662" w:rsidRDefault="008C30E3" w:rsidP="00843662">
      <w:pPr>
        <w:spacing w:after="0" w:line="360" w:lineRule="auto"/>
        <w:jc w:val="both"/>
        <w:rPr>
          <w:rFonts w:ascii="Book Antiqua" w:hAnsi="Book Antiqua" w:cs="Times New Roman"/>
          <w:sz w:val="24"/>
          <w:szCs w:val="24"/>
        </w:rPr>
      </w:pPr>
    </w:p>
    <w:p w14:paraId="057E6D76" w14:textId="4E0DF90F" w:rsidR="008C30E3" w:rsidRDefault="008C30E3" w:rsidP="00843662">
      <w:pPr>
        <w:spacing w:after="0" w:line="360" w:lineRule="auto"/>
        <w:jc w:val="both"/>
        <w:rPr>
          <w:rFonts w:ascii="Book Antiqua" w:hAnsi="Book Antiqua" w:cs="Times New Roman"/>
          <w:sz w:val="24"/>
          <w:szCs w:val="24"/>
        </w:rPr>
      </w:pPr>
      <w:r w:rsidRPr="00843662">
        <w:rPr>
          <w:rFonts w:ascii="Book Antiqua" w:hAnsi="Book Antiqua" w:cs="Times New Roman"/>
          <w:b/>
          <w:sz w:val="24"/>
          <w:szCs w:val="24"/>
        </w:rPr>
        <w:t>Angus W Jeffrey</w:t>
      </w:r>
      <w:r w:rsidR="00C31628" w:rsidRPr="00843662">
        <w:rPr>
          <w:rFonts w:ascii="Book Antiqua" w:hAnsi="Book Antiqua" w:cs="Times New Roman"/>
          <w:b/>
          <w:sz w:val="24"/>
          <w:szCs w:val="24"/>
        </w:rPr>
        <w:t>,</w:t>
      </w:r>
      <w:r w:rsidRPr="00843662">
        <w:rPr>
          <w:rFonts w:ascii="Book Antiqua" w:hAnsi="Book Antiqua" w:cs="Times New Roman"/>
          <w:sz w:val="24"/>
          <w:szCs w:val="24"/>
        </w:rPr>
        <w:t xml:space="preserve"> School of Medicine, University of Notre Dame, </w:t>
      </w:r>
      <w:r w:rsidR="00C15A3A" w:rsidRPr="00C15A3A">
        <w:rPr>
          <w:rFonts w:ascii="Book Antiqua" w:hAnsi="Book Antiqua" w:cs="Times New Roman"/>
          <w:sz w:val="24"/>
          <w:szCs w:val="24"/>
        </w:rPr>
        <w:t>Fremantle</w:t>
      </w:r>
      <w:r w:rsidR="00C15A3A">
        <w:rPr>
          <w:rFonts w:ascii="Book Antiqua" w:hAnsi="Book Antiqua" w:cs="Times New Roman" w:hint="eastAsia"/>
          <w:sz w:val="24"/>
          <w:szCs w:val="24"/>
        </w:rPr>
        <w:t xml:space="preserve">, </w:t>
      </w:r>
      <w:r w:rsidRPr="00843662">
        <w:rPr>
          <w:rFonts w:ascii="Book Antiqua" w:hAnsi="Book Antiqua" w:cs="Times New Roman"/>
          <w:sz w:val="24"/>
          <w:szCs w:val="24"/>
        </w:rPr>
        <w:t>WA</w:t>
      </w:r>
      <w:r w:rsidR="00F326AA" w:rsidRPr="00843662">
        <w:rPr>
          <w:rFonts w:ascii="Book Antiqua" w:hAnsi="Book Antiqua" w:cs="Times New Roman"/>
          <w:sz w:val="24"/>
          <w:szCs w:val="24"/>
        </w:rPr>
        <w:t xml:space="preserve"> </w:t>
      </w:r>
      <w:r w:rsidR="005341EF" w:rsidRPr="00843662">
        <w:rPr>
          <w:rFonts w:ascii="Book Antiqua" w:hAnsi="Book Antiqua" w:cs="Times New Roman"/>
          <w:sz w:val="24"/>
          <w:szCs w:val="24"/>
        </w:rPr>
        <w:t xml:space="preserve">6160, </w:t>
      </w:r>
      <w:r w:rsidR="00F326AA" w:rsidRPr="00843662">
        <w:rPr>
          <w:rFonts w:ascii="Book Antiqua" w:hAnsi="Book Antiqua" w:cs="Times New Roman"/>
          <w:sz w:val="24"/>
          <w:szCs w:val="24"/>
        </w:rPr>
        <w:t>Australia</w:t>
      </w:r>
    </w:p>
    <w:p w14:paraId="571D2D1A" w14:textId="77777777" w:rsidR="007215D0" w:rsidRPr="00843662" w:rsidRDefault="007215D0" w:rsidP="00843662">
      <w:pPr>
        <w:spacing w:after="0" w:line="360" w:lineRule="auto"/>
        <w:jc w:val="both"/>
        <w:rPr>
          <w:rFonts w:ascii="Book Antiqua" w:hAnsi="Book Antiqua" w:cs="Times New Roman"/>
          <w:sz w:val="24"/>
          <w:szCs w:val="24"/>
        </w:rPr>
      </w:pPr>
    </w:p>
    <w:p w14:paraId="32F60FA5" w14:textId="09188500" w:rsidR="008C30E3" w:rsidRPr="00843662" w:rsidRDefault="00C31628" w:rsidP="00843662">
      <w:pPr>
        <w:spacing w:after="0" w:line="360" w:lineRule="auto"/>
        <w:jc w:val="both"/>
        <w:rPr>
          <w:rFonts w:ascii="Book Antiqua" w:hAnsi="Book Antiqua" w:cs="Times New Roman"/>
          <w:sz w:val="24"/>
          <w:szCs w:val="24"/>
        </w:rPr>
      </w:pPr>
      <w:r w:rsidRPr="00843662">
        <w:rPr>
          <w:rFonts w:ascii="Book Antiqua" w:hAnsi="Book Antiqua" w:cs="Times New Roman"/>
          <w:b/>
          <w:sz w:val="24"/>
          <w:szCs w:val="24"/>
        </w:rPr>
        <w:t>Yi Huang</w:t>
      </w:r>
      <w:r w:rsidRPr="00843662">
        <w:rPr>
          <w:rFonts w:ascii="Book Antiqua" w:hAnsi="Book Antiqua" w:cs="Times New Roman"/>
          <w:sz w:val="24"/>
          <w:szCs w:val="24"/>
        </w:rPr>
        <w:t xml:space="preserve">, </w:t>
      </w:r>
      <w:r w:rsidRPr="00843662">
        <w:rPr>
          <w:rFonts w:ascii="Book Antiqua" w:hAnsi="Book Antiqua" w:cs="Times New Roman"/>
          <w:b/>
          <w:sz w:val="24"/>
          <w:szCs w:val="24"/>
        </w:rPr>
        <w:t>Leon A Adams</w:t>
      </w:r>
      <w:r w:rsidRPr="00843662">
        <w:rPr>
          <w:rFonts w:ascii="Book Antiqua" w:hAnsi="Book Antiqua" w:cs="Times New Roman"/>
          <w:sz w:val="24"/>
          <w:szCs w:val="24"/>
        </w:rPr>
        <w:t xml:space="preserve">, </w:t>
      </w:r>
      <w:r w:rsidRPr="00843662">
        <w:rPr>
          <w:rFonts w:ascii="Book Antiqua" w:hAnsi="Book Antiqua" w:cs="Times New Roman"/>
          <w:b/>
          <w:sz w:val="24"/>
          <w:szCs w:val="24"/>
        </w:rPr>
        <w:t xml:space="preserve">Gerry </w:t>
      </w:r>
      <w:proofErr w:type="spellStart"/>
      <w:r w:rsidRPr="00843662">
        <w:rPr>
          <w:rFonts w:ascii="Book Antiqua" w:hAnsi="Book Antiqua" w:cs="Times New Roman"/>
          <w:b/>
          <w:sz w:val="24"/>
          <w:szCs w:val="24"/>
        </w:rPr>
        <w:t>MacQuillan</w:t>
      </w:r>
      <w:proofErr w:type="spellEnd"/>
      <w:r w:rsidRPr="00843662">
        <w:rPr>
          <w:rFonts w:ascii="Book Antiqua" w:hAnsi="Book Antiqua" w:cs="Times New Roman"/>
          <w:sz w:val="24"/>
          <w:szCs w:val="24"/>
        </w:rPr>
        <w:t xml:space="preserve">, </w:t>
      </w:r>
      <w:r w:rsidRPr="00843662">
        <w:rPr>
          <w:rFonts w:ascii="Book Antiqua" w:hAnsi="Book Antiqua" w:cs="Times New Roman"/>
          <w:b/>
          <w:sz w:val="24"/>
          <w:szCs w:val="24"/>
        </w:rPr>
        <w:t>Gary P Jeffrey</w:t>
      </w:r>
      <w:r w:rsidRPr="00843662">
        <w:rPr>
          <w:rFonts w:ascii="Book Antiqua" w:hAnsi="Book Antiqua" w:cs="Times New Roman"/>
          <w:sz w:val="24"/>
          <w:szCs w:val="24"/>
        </w:rPr>
        <w:t xml:space="preserve">, </w:t>
      </w:r>
      <w:r w:rsidR="008C30E3" w:rsidRPr="00843662">
        <w:rPr>
          <w:rFonts w:ascii="Book Antiqua" w:hAnsi="Book Antiqua" w:cs="Times New Roman"/>
          <w:sz w:val="24"/>
          <w:szCs w:val="24"/>
        </w:rPr>
        <w:t>School of Medicine and Pharmacology, Universi</w:t>
      </w:r>
      <w:r w:rsidR="00F326AA" w:rsidRPr="00843662">
        <w:rPr>
          <w:rFonts w:ascii="Book Antiqua" w:hAnsi="Book Antiqua" w:cs="Times New Roman"/>
          <w:sz w:val="24"/>
          <w:szCs w:val="24"/>
        </w:rPr>
        <w:t xml:space="preserve">ty of Western Australia, </w:t>
      </w:r>
      <w:r w:rsidR="005057F4" w:rsidRPr="00843662">
        <w:rPr>
          <w:rFonts w:ascii="Book Antiqua" w:hAnsi="Book Antiqua" w:cs="Times New Roman"/>
          <w:sz w:val="24"/>
          <w:szCs w:val="24"/>
        </w:rPr>
        <w:t xml:space="preserve">Perth, </w:t>
      </w:r>
      <w:r w:rsidR="00F326AA" w:rsidRPr="00843662">
        <w:rPr>
          <w:rFonts w:ascii="Book Antiqua" w:hAnsi="Book Antiqua" w:cs="Times New Roman"/>
          <w:sz w:val="24"/>
          <w:szCs w:val="24"/>
        </w:rPr>
        <w:t>WA</w:t>
      </w:r>
      <w:r w:rsidR="00F34C8D" w:rsidRPr="00843662">
        <w:rPr>
          <w:rFonts w:ascii="Book Antiqua" w:hAnsi="Book Antiqua" w:cs="Times New Roman"/>
          <w:sz w:val="24"/>
          <w:szCs w:val="24"/>
        </w:rPr>
        <w:t xml:space="preserve"> 6009, Australia</w:t>
      </w:r>
    </w:p>
    <w:p w14:paraId="15582879" w14:textId="77777777" w:rsidR="007215D0" w:rsidRDefault="007215D0" w:rsidP="00843662">
      <w:pPr>
        <w:spacing w:after="0" w:line="360" w:lineRule="auto"/>
        <w:jc w:val="both"/>
        <w:rPr>
          <w:rFonts w:ascii="Book Antiqua" w:hAnsi="Book Antiqua" w:cs="Times New Roman"/>
          <w:b/>
          <w:sz w:val="24"/>
          <w:szCs w:val="24"/>
        </w:rPr>
      </w:pPr>
    </w:p>
    <w:p w14:paraId="310DA377" w14:textId="0CB30E98" w:rsidR="008C30E3" w:rsidRPr="00843662" w:rsidRDefault="0044727A" w:rsidP="00843662">
      <w:pPr>
        <w:spacing w:after="0" w:line="360" w:lineRule="auto"/>
        <w:jc w:val="both"/>
        <w:rPr>
          <w:rFonts w:ascii="Book Antiqua" w:hAnsi="Book Antiqua" w:cs="Times New Roman"/>
          <w:sz w:val="24"/>
          <w:szCs w:val="24"/>
        </w:rPr>
      </w:pPr>
      <w:r w:rsidRPr="00843662">
        <w:rPr>
          <w:rFonts w:ascii="Book Antiqua" w:hAnsi="Book Antiqua" w:cs="Times New Roman"/>
          <w:b/>
          <w:sz w:val="24"/>
          <w:szCs w:val="24"/>
        </w:rPr>
        <w:t>Yi Huang</w:t>
      </w:r>
      <w:r w:rsidRPr="00843662">
        <w:rPr>
          <w:rFonts w:ascii="Book Antiqua" w:hAnsi="Book Antiqua" w:cs="Times New Roman"/>
          <w:sz w:val="24"/>
          <w:szCs w:val="24"/>
        </w:rPr>
        <w:t xml:space="preserve">, </w:t>
      </w:r>
      <w:r w:rsidRPr="00843662">
        <w:rPr>
          <w:rFonts w:ascii="Book Antiqua" w:hAnsi="Book Antiqua" w:cs="Times New Roman"/>
          <w:b/>
          <w:sz w:val="24"/>
          <w:szCs w:val="24"/>
        </w:rPr>
        <w:t xml:space="preserve">Leon A Adams, Gerry </w:t>
      </w:r>
      <w:proofErr w:type="spellStart"/>
      <w:r w:rsidRPr="00843662">
        <w:rPr>
          <w:rFonts w:ascii="Book Antiqua" w:hAnsi="Book Antiqua" w:cs="Times New Roman"/>
          <w:b/>
          <w:sz w:val="24"/>
          <w:szCs w:val="24"/>
        </w:rPr>
        <w:t>MacQuillan</w:t>
      </w:r>
      <w:proofErr w:type="spellEnd"/>
      <w:r w:rsidRPr="00843662">
        <w:rPr>
          <w:rFonts w:ascii="Book Antiqua" w:hAnsi="Book Antiqua" w:cs="Times New Roman"/>
          <w:b/>
          <w:sz w:val="24"/>
          <w:szCs w:val="24"/>
        </w:rPr>
        <w:t>,</w:t>
      </w:r>
      <w:r w:rsidRPr="00843662">
        <w:rPr>
          <w:rFonts w:ascii="Book Antiqua" w:hAnsi="Book Antiqua" w:cs="Times New Roman"/>
          <w:sz w:val="24"/>
          <w:szCs w:val="24"/>
        </w:rPr>
        <w:t xml:space="preserve"> </w:t>
      </w:r>
      <w:r w:rsidRPr="00843662">
        <w:rPr>
          <w:rFonts w:ascii="Book Antiqua" w:hAnsi="Book Antiqua" w:cs="Times New Roman"/>
          <w:b/>
          <w:sz w:val="24"/>
          <w:szCs w:val="24"/>
        </w:rPr>
        <w:t>Gary P Jeffrey</w:t>
      </w:r>
      <w:r w:rsidRPr="00843662">
        <w:rPr>
          <w:rFonts w:ascii="Book Antiqua" w:hAnsi="Book Antiqua" w:cs="Times New Roman"/>
          <w:sz w:val="24"/>
          <w:szCs w:val="24"/>
        </w:rPr>
        <w:t xml:space="preserve">, </w:t>
      </w:r>
      <w:r w:rsidR="008C30E3" w:rsidRPr="00843662">
        <w:rPr>
          <w:rFonts w:ascii="Book Antiqua" w:hAnsi="Book Antiqua" w:cs="Times New Roman"/>
          <w:sz w:val="24"/>
          <w:szCs w:val="24"/>
        </w:rPr>
        <w:t>Department of Hepatology, Sir Ch</w:t>
      </w:r>
      <w:r w:rsidR="00F326AA" w:rsidRPr="00843662">
        <w:rPr>
          <w:rFonts w:ascii="Book Antiqua" w:hAnsi="Book Antiqua" w:cs="Times New Roman"/>
          <w:sz w:val="24"/>
          <w:szCs w:val="24"/>
        </w:rPr>
        <w:t xml:space="preserve">arles Gairdner Hospital, </w:t>
      </w:r>
      <w:r w:rsidR="005057F4" w:rsidRPr="00843662">
        <w:rPr>
          <w:rFonts w:ascii="Book Antiqua" w:hAnsi="Book Antiqua" w:cs="Times New Roman"/>
          <w:sz w:val="24"/>
          <w:szCs w:val="24"/>
        </w:rPr>
        <w:t xml:space="preserve">Perth </w:t>
      </w:r>
      <w:r w:rsidR="00F326AA" w:rsidRPr="00843662">
        <w:rPr>
          <w:rFonts w:ascii="Book Antiqua" w:hAnsi="Book Antiqua" w:cs="Times New Roman"/>
          <w:sz w:val="24"/>
          <w:szCs w:val="24"/>
        </w:rPr>
        <w:t xml:space="preserve">WA, </w:t>
      </w:r>
      <w:r w:rsidR="00F34C8D" w:rsidRPr="00843662">
        <w:rPr>
          <w:rFonts w:ascii="Book Antiqua" w:hAnsi="Book Antiqua" w:cs="Times New Roman"/>
          <w:sz w:val="24"/>
          <w:szCs w:val="24"/>
        </w:rPr>
        <w:t xml:space="preserve">6009, </w:t>
      </w:r>
      <w:r w:rsidR="00F326AA" w:rsidRPr="00843662">
        <w:rPr>
          <w:rFonts w:ascii="Book Antiqua" w:hAnsi="Book Antiqua" w:cs="Times New Roman"/>
          <w:sz w:val="24"/>
          <w:szCs w:val="24"/>
        </w:rPr>
        <w:t>Australia</w:t>
      </w:r>
    </w:p>
    <w:p w14:paraId="72155E41" w14:textId="77777777" w:rsidR="007215D0" w:rsidRDefault="007215D0" w:rsidP="00843662">
      <w:pPr>
        <w:spacing w:after="0" w:line="360" w:lineRule="auto"/>
        <w:jc w:val="both"/>
        <w:rPr>
          <w:rFonts w:ascii="Book Antiqua" w:hAnsi="Book Antiqua" w:cs="Times New Roman"/>
          <w:b/>
          <w:sz w:val="24"/>
          <w:szCs w:val="24"/>
        </w:rPr>
      </w:pPr>
    </w:p>
    <w:p w14:paraId="468BE047" w14:textId="58D8F9E7" w:rsidR="008C30E3" w:rsidRPr="00843662" w:rsidRDefault="009D1659" w:rsidP="00843662">
      <w:pPr>
        <w:spacing w:after="0" w:line="360" w:lineRule="auto"/>
        <w:jc w:val="both"/>
        <w:rPr>
          <w:rFonts w:ascii="Book Antiqua" w:hAnsi="Book Antiqua" w:cs="Times New Roman"/>
          <w:sz w:val="24"/>
          <w:szCs w:val="24"/>
        </w:rPr>
      </w:pPr>
      <w:r w:rsidRPr="00843662">
        <w:rPr>
          <w:rFonts w:ascii="Book Antiqua" w:hAnsi="Book Antiqua" w:cs="Times New Roman"/>
          <w:b/>
          <w:sz w:val="24"/>
          <w:szCs w:val="24"/>
        </w:rPr>
        <w:t xml:space="preserve">W </w:t>
      </w:r>
      <w:proofErr w:type="spellStart"/>
      <w:r w:rsidRPr="00843662">
        <w:rPr>
          <w:rFonts w:ascii="Book Antiqua" w:hAnsi="Book Antiqua" w:cs="Times New Roman"/>
          <w:b/>
          <w:sz w:val="24"/>
          <w:szCs w:val="24"/>
        </w:rPr>
        <w:t>Bastiaan</w:t>
      </w:r>
      <w:proofErr w:type="spellEnd"/>
      <w:r w:rsidRPr="00843662">
        <w:rPr>
          <w:rFonts w:ascii="Book Antiqua" w:hAnsi="Book Antiqua" w:cs="Times New Roman"/>
          <w:b/>
          <w:sz w:val="24"/>
          <w:szCs w:val="24"/>
        </w:rPr>
        <w:t xml:space="preserve"> de Boer</w:t>
      </w:r>
      <w:r w:rsidRPr="00843662">
        <w:rPr>
          <w:rFonts w:ascii="Book Antiqua" w:hAnsi="Book Antiqua" w:cs="Times New Roman"/>
          <w:sz w:val="24"/>
          <w:szCs w:val="24"/>
        </w:rPr>
        <w:t xml:space="preserve">, </w:t>
      </w:r>
      <w:r w:rsidR="008C30E3" w:rsidRPr="00843662">
        <w:rPr>
          <w:rFonts w:ascii="Book Antiqua" w:hAnsi="Book Antiqua" w:cs="Times New Roman"/>
          <w:sz w:val="24"/>
          <w:szCs w:val="24"/>
        </w:rPr>
        <w:t xml:space="preserve">Department of Anatomical Pathology, </w:t>
      </w:r>
      <w:proofErr w:type="spellStart"/>
      <w:r w:rsidR="008C30E3" w:rsidRPr="00843662">
        <w:rPr>
          <w:rFonts w:ascii="Book Antiqua" w:hAnsi="Book Antiqua" w:cs="Times New Roman"/>
          <w:sz w:val="24"/>
          <w:szCs w:val="24"/>
        </w:rPr>
        <w:t>PathWest</w:t>
      </w:r>
      <w:proofErr w:type="spellEnd"/>
      <w:r w:rsidR="008C30E3" w:rsidRPr="00843662">
        <w:rPr>
          <w:rFonts w:ascii="Book Antiqua" w:hAnsi="Book Antiqua" w:cs="Times New Roman"/>
          <w:sz w:val="24"/>
          <w:szCs w:val="24"/>
        </w:rPr>
        <w:t>, QEII Medical C</w:t>
      </w:r>
      <w:r w:rsidR="00F326AA" w:rsidRPr="00843662">
        <w:rPr>
          <w:rFonts w:ascii="Book Antiqua" w:hAnsi="Book Antiqua" w:cs="Times New Roman"/>
          <w:sz w:val="24"/>
          <w:szCs w:val="24"/>
        </w:rPr>
        <w:t xml:space="preserve">entre, </w:t>
      </w:r>
      <w:r w:rsidR="005057F4" w:rsidRPr="00843662">
        <w:rPr>
          <w:rFonts w:ascii="Book Antiqua" w:hAnsi="Book Antiqua" w:cs="Times New Roman"/>
          <w:sz w:val="24"/>
          <w:szCs w:val="24"/>
        </w:rPr>
        <w:t xml:space="preserve">Perth, </w:t>
      </w:r>
      <w:r w:rsidR="00F326AA" w:rsidRPr="00843662">
        <w:rPr>
          <w:rFonts w:ascii="Book Antiqua" w:hAnsi="Book Antiqua" w:cs="Times New Roman"/>
          <w:sz w:val="24"/>
          <w:szCs w:val="24"/>
        </w:rPr>
        <w:t>WA</w:t>
      </w:r>
      <w:r w:rsidR="00F34C8D" w:rsidRPr="00843662">
        <w:rPr>
          <w:rFonts w:ascii="Book Antiqua" w:hAnsi="Book Antiqua" w:cs="Times New Roman"/>
          <w:sz w:val="24"/>
          <w:szCs w:val="24"/>
        </w:rPr>
        <w:t xml:space="preserve"> 6009, Australia</w:t>
      </w:r>
    </w:p>
    <w:p w14:paraId="38CDDB93" w14:textId="77777777" w:rsidR="007215D0" w:rsidRDefault="007215D0" w:rsidP="00843662">
      <w:pPr>
        <w:spacing w:after="0" w:line="360" w:lineRule="auto"/>
        <w:jc w:val="both"/>
        <w:rPr>
          <w:rFonts w:ascii="Book Antiqua" w:hAnsi="Book Antiqua" w:cs="Times New Roman"/>
          <w:b/>
          <w:sz w:val="24"/>
          <w:szCs w:val="24"/>
        </w:rPr>
      </w:pPr>
    </w:p>
    <w:p w14:paraId="34D810BF" w14:textId="16F7ED5C" w:rsidR="008C30E3" w:rsidRPr="00843662" w:rsidRDefault="00C46EC5" w:rsidP="00843662">
      <w:pPr>
        <w:spacing w:after="0" w:line="360" w:lineRule="auto"/>
        <w:jc w:val="both"/>
        <w:rPr>
          <w:rFonts w:ascii="Book Antiqua" w:hAnsi="Book Antiqua" w:cs="Times New Roman"/>
          <w:sz w:val="24"/>
          <w:szCs w:val="24"/>
        </w:rPr>
      </w:pPr>
      <w:r w:rsidRPr="00843662">
        <w:rPr>
          <w:rFonts w:ascii="Book Antiqua" w:hAnsi="Book Antiqua" w:cs="Times New Roman"/>
          <w:b/>
          <w:sz w:val="24"/>
          <w:szCs w:val="24"/>
        </w:rPr>
        <w:t>David Speers</w:t>
      </w:r>
      <w:r w:rsidRPr="00843662">
        <w:rPr>
          <w:rFonts w:ascii="Book Antiqua" w:hAnsi="Book Antiqua" w:cs="Times New Roman"/>
          <w:sz w:val="24"/>
          <w:szCs w:val="24"/>
        </w:rPr>
        <w:t xml:space="preserve">, </w:t>
      </w:r>
      <w:r w:rsidR="008C30E3" w:rsidRPr="00843662">
        <w:rPr>
          <w:rFonts w:ascii="Book Antiqua" w:hAnsi="Book Antiqua" w:cs="Times New Roman"/>
          <w:sz w:val="24"/>
          <w:szCs w:val="24"/>
        </w:rPr>
        <w:t xml:space="preserve">Department of Microbiology, </w:t>
      </w:r>
      <w:proofErr w:type="spellStart"/>
      <w:r w:rsidR="008C30E3" w:rsidRPr="00843662">
        <w:rPr>
          <w:rFonts w:ascii="Book Antiqua" w:hAnsi="Book Antiqua" w:cs="Times New Roman"/>
          <w:sz w:val="24"/>
          <w:szCs w:val="24"/>
        </w:rPr>
        <w:t>PathWest</w:t>
      </w:r>
      <w:proofErr w:type="spellEnd"/>
      <w:r w:rsidR="008C30E3" w:rsidRPr="00843662">
        <w:rPr>
          <w:rFonts w:ascii="Book Antiqua" w:hAnsi="Book Antiqua" w:cs="Times New Roman"/>
          <w:sz w:val="24"/>
          <w:szCs w:val="24"/>
        </w:rPr>
        <w:t>, QEII Medical Centre, Perth, WA</w:t>
      </w:r>
      <w:r w:rsidR="00F34C8D" w:rsidRPr="00843662">
        <w:rPr>
          <w:rFonts w:ascii="Book Antiqua" w:hAnsi="Book Antiqua" w:cs="Times New Roman"/>
          <w:sz w:val="24"/>
          <w:szCs w:val="24"/>
        </w:rPr>
        <w:t xml:space="preserve"> 6009, Australia</w:t>
      </w:r>
    </w:p>
    <w:p w14:paraId="4C6D68E6" w14:textId="77777777" w:rsidR="007215D0" w:rsidRDefault="007215D0" w:rsidP="00843662">
      <w:pPr>
        <w:spacing w:after="0" w:line="360" w:lineRule="auto"/>
        <w:jc w:val="both"/>
        <w:rPr>
          <w:rFonts w:ascii="Book Antiqua" w:hAnsi="Book Antiqua" w:cs="Times New Roman"/>
          <w:b/>
          <w:sz w:val="24"/>
          <w:szCs w:val="24"/>
        </w:rPr>
      </w:pPr>
    </w:p>
    <w:p w14:paraId="1C5E18DF" w14:textId="77777777" w:rsidR="007215D0" w:rsidRDefault="007215D0" w:rsidP="00843662">
      <w:pPr>
        <w:spacing w:after="0" w:line="360" w:lineRule="auto"/>
        <w:jc w:val="both"/>
        <w:rPr>
          <w:rFonts w:ascii="Book Antiqua" w:hAnsi="Book Antiqua" w:cs="Times New Roman"/>
          <w:b/>
          <w:sz w:val="24"/>
          <w:szCs w:val="24"/>
        </w:rPr>
      </w:pPr>
    </w:p>
    <w:p w14:paraId="39E1ED49" w14:textId="40599F1D" w:rsidR="008C30E3" w:rsidRPr="00843662" w:rsidRDefault="00C46EC5" w:rsidP="00843662">
      <w:pPr>
        <w:spacing w:after="0" w:line="360" w:lineRule="auto"/>
        <w:jc w:val="both"/>
        <w:rPr>
          <w:rFonts w:ascii="Book Antiqua" w:hAnsi="Book Antiqua" w:cs="Times New Roman"/>
          <w:sz w:val="24"/>
          <w:szCs w:val="24"/>
        </w:rPr>
      </w:pPr>
      <w:r w:rsidRPr="00843662">
        <w:rPr>
          <w:rFonts w:ascii="Book Antiqua" w:hAnsi="Book Antiqua" w:cs="Times New Roman"/>
          <w:b/>
          <w:sz w:val="24"/>
          <w:szCs w:val="24"/>
        </w:rPr>
        <w:lastRenderedPageBreak/>
        <w:t>John Joseph</w:t>
      </w:r>
      <w:r w:rsidRPr="00843662">
        <w:rPr>
          <w:rFonts w:ascii="Book Antiqua" w:hAnsi="Book Antiqua" w:cs="Times New Roman"/>
          <w:sz w:val="24"/>
          <w:szCs w:val="24"/>
        </w:rPr>
        <w:t xml:space="preserve">, </w:t>
      </w:r>
      <w:r w:rsidR="008C30E3" w:rsidRPr="00843662">
        <w:rPr>
          <w:rFonts w:ascii="Book Antiqua" w:hAnsi="Book Antiqua" w:cs="Times New Roman"/>
          <w:sz w:val="24"/>
          <w:szCs w:val="24"/>
        </w:rPr>
        <w:t xml:space="preserve">Department of Biochemistry, </w:t>
      </w:r>
      <w:proofErr w:type="spellStart"/>
      <w:r w:rsidR="008C30E3" w:rsidRPr="00843662">
        <w:rPr>
          <w:rFonts w:ascii="Book Antiqua" w:hAnsi="Book Antiqua" w:cs="Times New Roman"/>
          <w:sz w:val="24"/>
          <w:szCs w:val="24"/>
        </w:rPr>
        <w:t>PathWest</w:t>
      </w:r>
      <w:proofErr w:type="spellEnd"/>
      <w:r w:rsidR="008C30E3" w:rsidRPr="00843662">
        <w:rPr>
          <w:rFonts w:ascii="Book Antiqua" w:hAnsi="Book Antiqua" w:cs="Times New Roman"/>
          <w:sz w:val="24"/>
          <w:szCs w:val="24"/>
        </w:rPr>
        <w:t xml:space="preserve">, </w:t>
      </w:r>
      <w:r w:rsidR="00F326AA" w:rsidRPr="00843662">
        <w:rPr>
          <w:rFonts w:ascii="Book Antiqua" w:hAnsi="Book Antiqua" w:cs="Times New Roman"/>
          <w:sz w:val="24"/>
          <w:szCs w:val="24"/>
        </w:rPr>
        <w:t>QEII Medical Centre, Perth, WA</w:t>
      </w:r>
      <w:r w:rsidR="00F34C8D" w:rsidRPr="00843662">
        <w:rPr>
          <w:rFonts w:ascii="Book Antiqua" w:hAnsi="Book Antiqua" w:cs="Times New Roman"/>
          <w:sz w:val="24"/>
          <w:szCs w:val="24"/>
        </w:rPr>
        <w:t xml:space="preserve"> 6009, Australia</w:t>
      </w:r>
    </w:p>
    <w:p w14:paraId="17C59BF9" w14:textId="77777777" w:rsidR="008C30E3" w:rsidRPr="00843662" w:rsidRDefault="008C30E3" w:rsidP="00843662">
      <w:pPr>
        <w:spacing w:after="0" w:line="360" w:lineRule="auto"/>
        <w:jc w:val="both"/>
        <w:rPr>
          <w:rFonts w:ascii="Book Antiqua" w:hAnsi="Book Antiqua" w:cs="Times New Roman"/>
          <w:sz w:val="24"/>
          <w:szCs w:val="24"/>
        </w:rPr>
      </w:pPr>
    </w:p>
    <w:p w14:paraId="60BDEA8A" w14:textId="49408A0A" w:rsidR="00D671DD" w:rsidRPr="00843662" w:rsidRDefault="00EF5A40" w:rsidP="00843662">
      <w:pPr>
        <w:spacing w:after="0" w:line="360" w:lineRule="auto"/>
        <w:jc w:val="both"/>
        <w:rPr>
          <w:rFonts w:ascii="Book Antiqua" w:hAnsi="Book Antiqua" w:cs="Times New Roman"/>
          <w:sz w:val="24"/>
          <w:szCs w:val="24"/>
        </w:rPr>
      </w:pPr>
      <w:r w:rsidRPr="00843662">
        <w:rPr>
          <w:rFonts w:ascii="Book Antiqua" w:hAnsi="Book Antiqua" w:cs="Times New Roman"/>
          <w:b/>
          <w:sz w:val="24"/>
          <w:szCs w:val="24"/>
        </w:rPr>
        <w:t>Author contributions:</w:t>
      </w:r>
      <w:r w:rsidRPr="00843662">
        <w:rPr>
          <w:rFonts w:ascii="Book Antiqua" w:hAnsi="Book Antiqua" w:cs="Times New Roman"/>
          <w:sz w:val="24"/>
          <w:szCs w:val="24"/>
        </w:rPr>
        <w:t xml:space="preserve"> </w:t>
      </w:r>
      <w:r w:rsidR="00250630" w:rsidRPr="00843662">
        <w:rPr>
          <w:rFonts w:ascii="Book Antiqua" w:hAnsi="Book Antiqua" w:cs="Times New Roman"/>
          <w:sz w:val="24"/>
          <w:szCs w:val="24"/>
        </w:rPr>
        <w:t>Jeffrey</w:t>
      </w:r>
      <w:r w:rsidR="00C15A3A">
        <w:rPr>
          <w:rFonts w:ascii="Book Antiqua" w:hAnsi="Book Antiqua" w:cs="Times New Roman" w:hint="eastAsia"/>
          <w:sz w:val="24"/>
          <w:szCs w:val="24"/>
        </w:rPr>
        <w:t xml:space="preserve"> AW</w:t>
      </w:r>
      <w:r w:rsidR="0084703D" w:rsidRPr="00843662">
        <w:rPr>
          <w:rFonts w:ascii="Book Antiqua" w:hAnsi="Book Antiqua" w:cs="Times New Roman"/>
          <w:sz w:val="24"/>
          <w:szCs w:val="24"/>
        </w:rPr>
        <w:t>, Huang</w:t>
      </w:r>
      <w:r w:rsidR="00C15A3A">
        <w:rPr>
          <w:rFonts w:ascii="Book Antiqua" w:hAnsi="Book Antiqua" w:cs="Times New Roman" w:hint="eastAsia"/>
          <w:sz w:val="24"/>
          <w:szCs w:val="24"/>
        </w:rPr>
        <w:t xml:space="preserve"> Y</w:t>
      </w:r>
      <w:r w:rsidR="0084703D" w:rsidRPr="00843662">
        <w:rPr>
          <w:rFonts w:ascii="Book Antiqua" w:hAnsi="Book Antiqua" w:cs="Times New Roman"/>
          <w:sz w:val="24"/>
          <w:szCs w:val="24"/>
        </w:rPr>
        <w:t xml:space="preserve"> and Jeffrey</w:t>
      </w:r>
      <w:r w:rsidR="00C15A3A">
        <w:rPr>
          <w:rFonts w:ascii="Book Antiqua" w:hAnsi="Book Antiqua" w:cs="Times New Roman" w:hint="eastAsia"/>
          <w:sz w:val="24"/>
          <w:szCs w:val="24"/>
        </w:rPr>
        <w:t xml:space="preserve"> GP</w:t>
      </w:r>
      <w:r w:rsidR="0084703D" w:rsidRPr="00843662">
        <w:rPr>
          <w:rFonts w:ascii="Book Antiqua" w:hAnsi="Book Antiqua" w:cs="Times New Roman"/>
          <w:sz w:val="24"/>
          <w:szCs w:val="24"/>
        </w:rPr>
        <w:t xml:space="preserve"> were responsible for study design, data collection and analysis and manuscript preparation</w:t>
      </w:r>
      <w:r w:rsidR="00C15A3A">
        <w:rPr>
          <w:rFonts w:ascii="Book Antiqua" w:hAnsi="Book Antiqua" w:cs="Times New Roman" w:hint="eastAsia"/>
          <w:sz w:val="24"/>
          <w:szCs w:val="24"/>
        </w:rPr>
        <w:t>;</w:t>
      </w:r>
      <w:r w:rsidR="00250630" w:rsidRPr="00843662">
        <w:rPr>
          <w:rFonts w:ascii="Book Antiqua" w:hAnsi="Book Antiqua" w:cs="Times New Roman"/>
          <w:sz w:val="24"/>
          <w:szCs w:val="24"/>
        </w:rPr>
        <w:t xml:space="preserve"> de Boer</w:t>
      </w:r>
      <w:r w:rsidR="00C15A3A">
        <w:rPr>
          <w:rFonts w:ascii="Book Antiqua" w:hAnsi="Book Antiqua" w:cs="Times New Roman" w:hint="eastAsia"/>
          <w:sz w:val="24"/>
          <w:szCs w:val="24"/>
        </w:rPr>
        <w:t xml:space="preserve"> WB</w:t>
      </w:r>
      <w:r w:rsidR="00250630" w:rsidRPr="00843662">
        <w:rPr>
          <w:rFonts w:ascii="Book Antiqua" w:hAnsi="Book Antiqua" w:cs="Times New Roman"/>
          <w:sz w:val="24"/>
          <w:szCs w:val="24"/>
        </w:rPr>
        <w:t>, Adams</w:t>
      </w:r>
      <w:r w:rsidR="00C15A3A">
        <w:rPr>
          <w:rFonts w:ascii="Book Antiqua" w:hAnsi="Book Antiqua" w:cs="Times New Roman" w:hint="eastAsia"/>
          <w:sz w:val="24"/>
          <w:szCs w:val="24"/>
        </w:rPr>
        <w:t xml:space="preserve"> LA</w:t>
      </w:r>
      <w:r w:rsidR="00250630" w:rsidRPr="00843662">
        <w:rPr>
          <w:rFonts w:ascii="Book Antiqua" w:hAnsi="Book Antiqua" w:cs="Times New Roman"/>
          <w:sz w:val="24"/>
          <w:szCs w:val="24"/>
        </w:rPr>
        <w:t xml:space="preserve">, </w:t>
      </w:r>
      <w:proofErr w:type="spellStart"/>
      <w:r w:rsidR="00250630" w:rsidRPr="00843662">
        <w:rPr>
          <w:rFonts w:ascii="Book Antiqua" w:hAnsi="Book Antiqua" w:cs="Times New Roman"/>
          <w:sz w:val="24"/>
          <w:szCs w:val="24"/>
        </w:rPr>
        <w:t>MacQuillan</w:t>
      </w:r>
      <w:proofErr w:type="spellEnd"/>
      <w:r w:rsidR="00C15A3A">
        <w:rPr>
          <w:rFonts w:ascii="Book Antiqua" w:hAnsi="Book Antiqua" w:cs="Times New Roman" w:hint="eastAsia"/>
          <w:sz w:val="24"/>
          <w:szCs w:val="24"/>
        </w:rPr>
        <w:t xml:space="preserve"> G</w:t>
      </w:r>
      <w:r w:rsidR="00250630" w:rsidRPr="00843662">
        <w:rPr>
          <w:rFonts w:ascii="Book Antiqua" w:hAnsi="Book Antiqua" w:cs="Times New Roman"/>
          <w:sz w:val="24"/>
          <w:szCs w:val="24"/>
        </w:rPr>
        <w:t>, Speers</w:t>
      </w:r>
      <w:r w:rsidR="00C15A3A">
        <w:rPr>
          <w:rFonts w:ascii="Book Antiqua" w:hAnsi="Book Antiqua" w:cs="Times New Roman" w:hint="eastAsia"/>
          <w:sz w:val="24"/>
          <w:szCs w:val="24"/>
        </w:rPr>
        <w:t xml:space="preserve"> D</w:t>
      </w:r>
      <w:r w:rsidR="00250630" w:rsidRPr="00843662">
        <w:rPr>
          <w:rFonts w:ascii="Book Antiqua" w:hAnsi="Book Antiqua" w:cs="Times New Roman"/>
          <w:sz w:val="24"/>
          <w:szCs w:val="24"/>
        </w:rPr>
        <w:t xml:space="preserve">, </w:t>
      </w:r>
      <w:r w:rsidR="0084703D" w:rsidRPr="00843662">
        <w:rPr>
          <w:rFonts w:ascii="Book Antiqua" w:hAnsi="Book Antiqua" w:cs="Times New Roman"/>
          <w:sz w:val="24"/>
          <w:szCs w:val="24"/>
        </w:rPr>
        <w:t>Joseph</w:t>
      </w:r>
      <w:r w:rsidR="00C15A3A">
        <w:rPr>
          <w:rFonts w:ascii="Book Antiqua" w:hAnsi="Book Antiqua" w:cs="Times New Roman" w:hint="eastAsia"/>
          <w:sz w:val="24"/>
          <w:szCs w:val="24"/>
        </w:rPr>
        <w:t xml:space="preserve"> J</w:t>
      </w:r>
      <w:r w:rsidR="0084703D" w:rsidRPr="00843662">
        <w:rPr>
          <w:rFonts w:ascii="Book Antiqua" w:hAnsi="Book Antiqua" w:cs="Times New Roman"/>
          <w:sz w:val="24"/>
          <w:szCs w:val="24"/>
        </w:rPr>
        <w:t xml:space="preserve"> were involve</w:t>
      </w:r>
      <w:r w:rsidR="004C69C8" w:rsidRPr="00843662">
        <w:rPr>
          <w:rFonts w:ascii="Book Antiqua" w:hAnsi="Book Antiqua" w:cs="Times New Roman"/>
          <w:sz w:val="24"/>
          <w:szCs w:val="24"/>
        </w:rPr>
        <w:t>d</w:t>
      </w:r>
      <w:r w:rsidR="0084703D" w:rsidRPr="00843662">
        <w:rPr>
          <w:rFonts w:ascii="Book Antiqua" w:hAnsi="Book Antiqua" w:cs="Times New Roman"/>
          <w:sz w:val="24"/>
          <w:szCs w:val="24"/>
        </w:rPr>
        <w:t xml:space="preserve"> in data interpretation and manuscript preparation</w:t>
      </w:r>
      <w:r w:rsidR="00250630" w:rsidRPr="00843662">
        <w:rPr>
          <w:rFonts w:ascii="Book Antiqua" w:hAnsi="Book Antiqua" w:cs="Times New Roman"/>
          <w:sz w:val="24"/>
          <w:szCs w:val="24"/>
        </w:rPr>
        <w:t>.</w:t>
      </w:r>
    </w:p>
    <w:p w14:paraId="4939FA52" w14:textId="77777777" w:rsidR="00C15A3A" w:rsidRDefault="00C15A3A" w:rsidP="00843662">
      <w:pPr>
        <w:spacing w:after="0" w:line="360" w:lineRule="auto"/>
        <w:jc w:val="both"/>
        <w:rPr>
          <w:rFonts w:ascii="Book Antiqua" w:hAnsi="Book Antiqua" w:cs="Times New Roman"/>
          <w:b/>
          <w:sz w:val="24"/>
          <w:szCs w:val="24"/>
        </w:rPr>
      </w:pPr>
    </w:p>
    <w:p w14:paraId="52871A0A" w14:textId="607256B8" w:rsidR="00D671DD" w:rsidRPr="00843662" w:rsidRDefault="00004BC4" w:rsidP="00843662">
      <w:pPr>
        <w:spacing w:after="0" w:line="360" w:lineRule="auto"/>
        <w:jc w:val="both"/>
        <w:rPr>
          <w:rFonts w:ascii="Book Antiqua" w:hAnsi="Book Antiqua" w:cs="Times New Roman"/>
          <w:sz w:val="24"/>
          <w:szCs w:val="24"/>
        </w:rPr>
      </w:pPr>
      <w:r w:rsidRPr="00004BC4">
        <w:rPr>
          <w:rFonts w:ascii="Book Antiqua" w:hAnsi="Book Antiqua"/>
          <w:b/>
          <w:color w:val="000000"/>
          <w:sz w:val="24"/>
          <w:szCs w:val="24"/>
        </w:rPr>
        <w:t>Institutional review board statement</w:t>
      </w:r>
      <w:r w:rsidRPr="00004BC4">
        <w:rPr>
          <w:rFonts w:ascii="Book Antiqua" w:hAnsi="Book Antiqua"/>
          <w:b/>
          <w:bCs/>
          <w:iCs/>
          <w:color w:val="000000"/>
          <w:sz w:val="24"/>
          <w:szCs w:val="24"/>
        </w:rPr>
        <w:t>:</w:t>
      </w:r>
      <w:r w:rsidRPr="00986465">
        <w:rPr>
          <w:rFonts w:ascii="Book Antiqua" w:hAnsi="Book Antiqua"/>
          <w:lang w:val="en-GB"/>
        </w:rPr>
        <w:t xml:space="preserve"> </w:t>
      </w:r>
      <w:r w:rsidR="00EF5A40" w:rsidRPr="00843662">
        <w:rPr>
          <w:rFonts w:ascii="Book Antiqua" w:hAnsi="Book Antiqua" w:cs="Times New Roman"/>
          <w:sz w:val="24"/>
          <w:szCs w:val="24"/>
        </w:rPr>
        <w:t xml:space="preserve">The study was reviewed and approved </w:t>
      </w:r>
      <w:r w:rsidR="00D671DD" w:rsidRPr="00843662">
        <w:rPr>
          <w:rFonts w:ascii="Book Antiqua" w:hAnsi="Book Antiqua" w:cs="Times New Roman"/>
          <w:sz w:val="24"/>
          <w:szCs w:val="24"/>
        </w:rPr>
        <w:t xml:space="preserve">by </w:t>
      </w:r>
      <w:r w:rsidR="00EC5378" w:rsidRPr="00843662">
        <w:rPr>
          <w:rFonts w:ascii="Book Antiqua" w:hAnsi="Book Antiqua" w:cs="Times New Roman"/>
          <w:sz w:val="24"/>
          <w:szCs w:val="24"/>
        </w:rPr>
        <w:t>the Sir Charles Gairdner Hospital</w:t>
      </w:r>
      <w:r w:rsidR="00A7262D" w:rsidRPr="00843662">
        <w:rPr>
          <w:rFonts w:ascii="Book Antiqua" w:hAnsi="Book Antiqua" w:cs="Times New Roman"/>
          <w:sz w:val="24"/>
          <w:szCs w:val="24"/>
        </w:rPr>
        <w:t xml:space="preserve"> </w:t>
      </w:r>
      <w:r w:rsidR="0084703D" w:rsidRPr="00843662">
        <w:rPr>
          <w:rFonts w:ascii="Book Antiqua" w:hAnsi="Book Antiqua" w:cs="Times New Roman"/>
          <w:sz w:val="24"/>
          <w:szCs w:val="24"/>
        </w:rPr>
        <w:t>Human Ethics Research Committee.</w:t>
      </w:r>
    </w:p>
    <w:p w14:paraId="5044ED03" w14:textId="77777777" w:rsidR="00C15A3A" w:rsidRDefault="00C15A3A" w:rsidP="00843662">
      <w:pPr>
        <w:spacing w:after="0" w:line="360" w:lineRule="auto"/>
        <w:jc w:val="both"/>
        <w:rPr>
          <w:rFonts w:ascii="Book Antiqua" w:hAnsi="Book Antiqua" w:cs="Times New Roman"/>
          <w:b/>
          <w:sz w:val="24"/>
          <w:szCs w:val="24"/>
        </w:rPr>
      </w:pPr>
    </w:p>
    <w:p w14:paraId="2620D7F8" w14:textId="2BE79C22" w:rsidR="00D671DD" w:rsidRPr="00843662" w:rsidRDefault="00EF5A40" w:rsidP="00843662">
      <w:pPr>
        <w:spacing w:after="0" w:line="360" w:lineRule="auto"/>
        <w:jc w:val="both"/>
        <w:rPr>
          <w:rFonts w:ascii="Book Antiqua" w:hAnsi="Book Antiqua" w:cs="Times New Roman"/>
          <w:sz w:val="24"/>
          <w:szCs w:val="24"/>
        </w:rPr>
      </w:pPr>
      <w:r w:rsidRPr="00843662">
        <w:rPr>
          <w:rFonts w:ascii="Book Antiqua" w:hAnsi="Book Antiqua" w:cs="Times New Roman"/>
          <w:b/>
          <w:sz w:val="24"/>
          <w:szCs w:val="24"/>
        </w:rPr>
        <w:t>Informed consent statement</w:t>
      </w:r>
      <w:r w:rsidRPr="008809D8">
        <w:rPr>
          <w:rFonts w:ascii="Book Antiqua" w:hAnsi="Book Antiqua" w:cs="Times New Roman"/>
          <w:b/>
          <w:sz w:val="24"/>
          <w:szCs w:val="24"/>
        </w:rPr>
        <w:t>:</w:t>
      </w:r>
      <w:r w:rsidRPr="00843662">
        <w:rPr>
          <w:rFonts w:ascii="Book Antiqua" w:hAnsi="Book Antiqua" w:cs="Times New Roman"/>
          <w:sz w:val="24"/>
          <w:szCs w:val="24"/>
        </w:rPr>
        <w:t xml:space="preserve"> </w:t>
      </w:r>
      <w:r w:rsidR="00231A86" w:rsidRPr="00843662">
        <w:rPr>
          <w:rFonts w:ascii="Book Antiqua" w:hAnsi="Book Antiqua" w:cs="Times New Roman"/>
          <w:sz w:val="24"/>
          <w:szCs w:val="24"/>
        </w:rPr>
        <w:t>This manuscript did not require informed consent</w:t>
      </w:r>
      <w:r w:rsidR="00CA20BC" w:rsidRPr="00843662">
        <w:rPr>
          <w:rFonts w:ascii="Book Antiqua" w:hAnsi="Book Antiqua" w:cs="Times New Roman"/>
          <w:sz w:val="24"/>
          <w:szCs w:val="24"/>
        </w:rPr>
        <w:t xml:space="preserve"> as the presented data is anonymized and risk of identification is low</w:t>
      </w:r>
      <w:r w:rsidR="00231A86" w:rsidRPr="00843662">
        <w:rPr>
          <w:rFonts w:ascii="Book Antiqua" w:hAnsi="Book Antiqua" w:cs="Times New Roman"/>
          <w:sz w:val="24"/>
          <w:szCs w:val="24"/>
        </w:rPr>
        <w:t xml:space="preserve">. </w:t>
      </w:r>
      <w:r w:rsidR="0084703D" w:rsidRPr="00843662">
        <w:rPr>
          <w:rFonts w:ascii="Book Antiqua" w:hAnsi="Book Antiqua" w:cs="Times New Roman"/>
          <w:sz w:val="24"/>
          <w:szCs w:val="24"/>
        </w:rPr>
        <w:t>T</w:t>
      </w:r>
      <w:r w:rsidR="00231A86" w:rsidRPr="00843662">
        <w:rPr>
          <w:rFonts w:ascii="Book Antiqua" w:hAnsi="Book Antiqua" w:cs="Times New Roman"/>
          <w:sz w:val="24"/>
          <w:szCs w:val="24"/>
        </w:rPr>
        <w:t xml:space="preserve">his </w:t>
      </w:r>
      <w:r w:rsidR="00BA7FA4" w:rsidRPr="00843662">
        <w:rPr>
          <w:rFonts w:ascii="Book Antiqua" w:hAnsi="Book Antiqua" w:cs="Times New Roman"/>
          <w:sz w:val="24"/>
          <w:szCs w:val="24"/>
        </w:rPr>
        <w:t>retrospective study</w:t>
      </w:r>
      <w:r w:rsidR="00231A86" w:rsidRPr="00843662">
        <w:rPr>
          <w:rFonts w:ascii="Book Antiqua" w:hAnsi="Book Antiqua" w:cs="Times New Roman"/>
          <w:sz w:val="24"/>
          <w:szCs w:val="24"/>
        </w:rPr>
        <w:t xml:space="preserve"> complies with the NHMRC National Statement on Ethical Conduct in Human Research.</w:t>
      </w:r>
    </w:p>
    <w:p w14:paraId="7F456207" w14:textId="77777777" w:rsidR="00C15A3A" w:rsidRDefault="00C15A3A" w:rsidP="00843662">
      <w:pPr>
        <w:spacing w:after="0" w:line="360" w:lineRule="auto"/>
        <w:jc w:val="both"/>
        <w:rPr>
          <w:rFonts w:ascii="Book Antiqua" w:hAnsi="Book Antiqua" w:cs="Times New Roman"/>
          <w:b/>
          <w:sz w:val="24"/>
          <w:szCs w:val="24"/>
        </w:rPr>
      </w:pPr>
    </w:p>
    <w:p w14:paraId="22E126D6" w14:textId="77777777" w:rsidR="00D671DD" w:rsidRPr="00843662" w:rsidRDefault="00EF5A40" w:rsidP="00843662">
      <w:pPr>
        <w:spacing w:after="0" w:line="360" w:lineRule="auto"/>
        <w:jc w:val="both"/>
        <w:rPr>
          <w:rFonts w:ascii="Book Antiqua" w:hAnsi="Book Antiqua" w:cs="Times New Roman"/>
          <w:sz w:val="24"/>
          <w:szCs w:val="24"/>
        </w:rPr>
      </w:pPr>
      <w:r w:rsidRPr="00843662">
        <w:rPr>
          <w:rFonts w:ascii="Book Antiqua" w:hAnsi="Book Antiqua" w:cs="Times New Roman"/>
          <w:b/>
          <w:sz w:val="24"/>
          <w:szCs w:val="24"/>
        </w:rPr>
        <w:t>Conflict-of-interest statement:</w:t>
      </w:r>
      <w:r w:rsidRPr="00843662">
        <w:rPr>
          <w:rFonts w:ascii="Book Antiqua" w:hAnsi="Book Antiqua" w:cs="Times New Roman"/>
          <w:sz w:val="24"/>
          <w:szCs w:val="24"/>
        </w:rPr>
        <w:t xml:space="preserve"> All the Authors have no conflict of inte</w:t>
      </w:r>
      <w:r w:rsidR="00D671DD" w:rsidRPr="00843662">
        <w:rPr>
          <w:rFonts w:ascii="Book Antiqua" w:hAnsi="Book Antiqua" w:cs="Times New Roman"/>
          <w:sz w:val="24"/>
          <w:szCs w:val="24"/>
        </w:rPr>
        <w:t>rest related to the manuscript.</w:t>
      </w:r>
    </w:p>
    <w:p w14:paraId="23CEB3DC" w14:textId="77777777" w:rsidR="00C15A3A" w:rsidRDefault="00C15A3A" w:rsidP="00843662">
      <w:pPr>
        <w:spacing w:after="0" w:line="360" w:lineRule="auto"/>
        <w:jc w:val="both"/>
        <w:rPr>
          <w:rFonts w:ascii="Book Antiqua" w:hAnsi="Book Antiqua" w:cs="Times New Roman"/>
          <w:b/>
          <w:sz w:val="24"/>
          <w:szCs w:val="24"/>
        </w:rPr>
      </w:pPr>
    </w:p>
    <w:p w14:paraId="7B454868" w14:textId="491CAEB3" w:rsidR="00D671DD" w:rsidRPr="00843662" w:rsidRDefault="00EF5A40" w:rsidP="00843662">
      <w:pPr>
        <w:spacing w:after="0" w:line="360" w:lineRule="auto"/>
        <w:jc w:val="both"/>
        <w:rPr>
          <w:rFonts w:ascii="Book Antiqua" w:hAnsi="Book Antiqua" w:cs="Times New Roman"/>
          <w:sz w:val="24"/>
          <w:szCs w:val="24"/>
        </w:rPr>
      </w:pPr>
      <w:r w:rsidRPr="00843662">
        <w:rPr>
          <w:rFonts w:ascii="Book Antiqua" w:hAnsi="Book Antiqua" w:cs="Times New Roman"/>
          <w:b/>
          <w:sz w:val="24"/>
          <w:szCs w:val="24"/>
        </w:rPr>
        <w:t>Data sharing statement</w:t>
      </w:r>
      <w:r w:rsidRPr="008809D8">
        <w:rPr>
          <w:rFonts w:ascii="Book Antiqua" w:hAnsi="Book Antiqua" w:cs="Times New Roman"/>
          <w:b/>
          <w:sz w:val="24"/>
          <w:szCs w:val="24"/>
        </w:rPr>
        <w:t>:</w:t>
      </w:r>
      <w:r w:rsidRPr="00843662">
        <w:rPr>
          <w:rFonts w:ascii="Book Antiqua" w:hAnsi="Book Antiqua" w:cs="Times New Roman"/>
          <w:sz w:val="24"/>
          <w:szCs w:val="24"/>
        </w:rPr>
        <w:t xml:space="preserve"> </w:t>
      </w:r>
      <w:bookmarkStart w:id="1" w:name="_Hlk480821408"/>
      <w:r w:rsidR="00143428" w:rsidRPr="00843662">
        <w:rPr>
          <w:rFonts w:ascii="Book Antiqua" w:hAnsi="Book Antiqua" w:cs="Times New Roman"/>
          <w:sz w:val="24"/>
          <w:szCs w:val="24"/>
        </w:rPr>
        <w:t xml:space="preserve">No additional data </w:t>
      </w:r>
      <w:r w:rsidR="0099507E" w:rsidRPr="00843662">
        <w:rPr>
          <w:rFonts w:ascii="Book Antiqua" w:hAnsi="Book Antiqua" w:cs="Times New Roman"/>
          <w:sz w:val="24"/>
          <w:szCs w:val="24"/>
        </w:rPr>
        <w:t>is</w:t>
      </w:r>
      <w:r w:rsidR="00143428" w:rsidRPr="00843662">
        <w:rPr>
          <w:rFonts w:ascii="Book Antiqua" w:hAnsi="Book Antiqua" w:cs="Times New Roman"/>
          <w:sz w:val="24"/>
          <w:szCs w:val="24"/>
        </w:rPr>
        <w:t xml:space="preserve"> available.</w:t>
      </w:r>
      <w:bookmarkEnd w:id="1"/>
    </w:p>
    <w:p w14:paraId="54EA35B4" w14:textId="77777777" w:rsidR="00004BC4" w:rsidRDefault="00004BC4" w:rsidP="00843662">
      <w:pPr>
        <w:spacing w:after="0" w:line="360" w:lineRule="auto"/>
        <w:jc w:val="both"/>
        <w:rPr>
          <w:rFonts w:ascii="Book Antiqua" w:hAnsi="Book Antiqua" w:cs="Times New Roman"/>
          <w:b/>
          <w:sz w:val="24"/>
          <w:szCs w:val="24"/>
        </w:rPr>
      </w:pPr>
    </w:p>
    <w:p w14:paraId="2B9473B1" w14:textId="77777777" w:rsidR="00004BC4" w:rsidRPr="00665E0C" w:rsidRDefault="00004BC4" w:rsidP="00004BC4">
      <w:pPr>
        <w:pStyle w:val="CommentText"/>
        <w:adjustRightInd w:val="0"/>
        <w:snapToGrid w:val="0"/>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665E0C">
        <w:rPr>
          <w:rFonts w:ascii="Book Antiqua" w:hAnsi="Book Antiqua"/>
          <w:b/>
          <w:sz w:val="24"/>
          <w:szCs w:val="24"/>
        </w:rPr>
        <w:t xml:space="preserve">Open-Access: </w:t>
      </w:r>
      <w:r w:rsidRPr="00665E0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0B0D7BB4" w14:textId="77777777" w:rsidR="00004BC4" w:rsidRDefault="00004BC4" w:rsidP="00843662">
      <w:pPr>
        <w:spacing w:after="0" w:line="360" w:lineRule="auto"/>
        <w:jc w:val="both"/>
        <w:rPr>
          <w:rFonts w:ascii="Book Antiqua" w:hAnsi="Book Antiqua" w:cs="Times New Roman"/>
          <w:b/>
          <w:sz w:val="24"/>
          <w:szCs w:val="24"/>
        </w:rPr>
      </w:pPr>
    </w:p>
    <w:p w14:paraId="1F4F6DDA" w14:textId="2A04A79A" w:rsidR="00004BC4" w:rsidRPr="00004BC4" w:rsidRDefault="00004BC4" w:rsidP="00843662">
      <w:pPr>
        <w:spacing w:after="0" w:line="360" w:lineRule="auto"/>
        <w:jc w:val="both"/>
        <w:rPr>
          <w:rFonts w:ascii="Book Antiqua" w:hAnsi="Book Antiqua" w:cs="Times New Roman"/>
          <w:sz w:val="24"/>
          <w:szCs w:val="24"/>
        </w:rPr>
      </w:pPr>
      <w:r w:rsidRPr="00004BC4">
        <w:rPr>
          <w:rFonts w:ascii="Book Antiqua" w:hAnsi="Book Antiqua" w:cs="Times New Roman"/>
          <w:b/>
          <w:sz w:val="24"/>
          <w:szCs w:val="24"/>
        </w:rPr>
        <w:t xml:space="preserve">Manuscript source: </w:t>
      </w:r>
      <w:r w:rsidRPr="00004BC4">
        <w:rPr>
          <w:rFonts w:ascii="Book Antiqua" w:hAnsi="Book Antiqua" w:cs="Times New Roman"/>
          <w:sz w:val="24"/>
          <w:szCs w:val="24"/>
        </w:rPr>
        <w:t>Unsolicited manuscript</w:t>
      </w:r>
    </w:p>
    <w:p w14:paraId="45360648" w14:textId="77777777" w:rsidR="00004BC4" w:rsidRDefault="00004BC4" w:rsidP="00843662">
      <w:pPr>
        <w:spacing w:after="0" w:line="360" w:lineRule="auto"/>
        <w:jc w:val="both"/>
        <w:rPr>
          <w:rFonts w:ascii="Book Antiqua" w:hAnsi="Book Antiqua" w:cs="Times New Roman"/>
          <w:b/>
          <w:sz w:val="24"/>
          <w:szCs w:val="24"/>
        </w:rPr>
      </w:pPr>
    </w:p>
    <w:p w14:paraId="74A4AC6E" w14:textId="66CDC595" w:rsidR="00143428" w:rsidRPr="00843662" w:rsidRDefault="00004BC4" w:rsidP="00843662">
      <w:pPr>
        <w:spacing w:after="0" w:line="360" w:lineRule="auto"/>
        <w:jc w:val="both"/>
        <w:rPr>
          <w:rFonts w:ascii="Book Antiqua" w:hAnsi="Book Antiqua" w:cs="Times New Roman"/>
          <w:sz w:val="24"/>
          <w:szCs w:val="24"/>
        </w:rPr>
      </w:pPr>
      <w:r w:rsidRPr="00004BC4">
        <w:rPr>
          <w:rFonts w:ascii="Book Antiqua" w:hAnsi="Book Antiqua" w:cs="Arial"/>
          <w:b/>
          <w:sz w:val="24"/>
          <w:szCs w:val="24"/>
          <w:lang w:val="en-US"/>
        </w:rPr>
        <w:lastRenderedPageBreak/>
        <w:t>Correspondence to:</w:t>
      </w:r>
      <w:r w:rsidR="005341EF" w:rsidRPr="00004BC4">
        <w:rPr>
          <w:rFonts w:ascii="Book Antiqua" w:hAnsi="Book Antiqua" w:cs="Times New Roman"/>
          <w:b/>
          <w:sz w:val="24"/>
          <w:szCs w:val="24"/>
        </w:rPr>
        <w:t xml:space="preserve"> </w:t>
      </w:r>
      <w:proofErr w:type="spellStart"/>
      <w:r w:rsidR="008809D8">
        <w:rPr>
          <w:rFonts w:ascii="Book Antiqua" w:hAnsi="Book Antiqua" w:cs="Times New Roman" w:hint="eastAsia"/>
          <w:b/>
          <w:sz w:val="24"/>
          <w:szCs w:val="24"/>
        </w:rPr>
        <w:t>Dr.</w:t>
      </w:r>
      <w:proofErr w:type="spellEnd"/>
      <w:r w:rsidR="008809D8">
        <w:rPr>
          <w:rFonts w:ascii="Book Antiqua" w:hAnsi="Book Antiqua" w:cs="Times New Roman" w:hint="eastAsia"/>
          <w:b/>
          <w:sz w:val="24"/>
          <w:szCs w:val="24"/>
        </w:rPr>
        <w:t xml:space="preserve"> </w:t>
      </w:r>
      <w:r w:rsidR="005341EF" w:rsidRPr="008809D8">
        <w:rPr>
          <w:rFonts w:ascii="Book Antiqua" w:hAnsi="Book Antiqua" w:cs="Times New Roman"/>
          <w:b/>
          <w:sz w:val="24"/>
          <w:szCs w:val="24"/>
        </w:rPr>
        <w:t>Angus W Jeffrey,</w:t>
      </w:r>
      <w:r w:rsidR="005341EF" w:rsidRPr="00843662">
        <w:rPr>
          <w:rFonts w:ascii="Book Antiqua" w:hAnsi="Book Antiqua" w:cs="Times New Roman"/>
          <w:sz w:val="24"/>
          <w:szCs w:val="24"/>
        </w:rPr>
        <w:t xml:space="preserve"> School of Medicine, University of Notre Dame, </w:t>
      </w:r>
      <w:r w:rsidR="002A1D38" w:rsidRPr="002A1D38">
        <w:rPr>
          <w:rFonts w:ascii="Book Antiqua" w:hAnsi="Book Antiqua" w:cs="Times New Roman"/>
          <w:sz w:val="24"/>
          <w:szCs w:val="24"/>
        </w:rPr>
        <w:t xml:space="preserve">32 </w:t>
      </w:r>
      <w:proofErr w:type="spellStart"/>
      <w:r w:rsidR="002A1D38" w:rsidRPr="002A1D38">
        <w:rPr>
          <w:rFonts w:ascii="Book Antiqua" w:hAnsi="Book Antiqua" w:cs="Times New Roman"/>
          <w:sz w:val="24"/>
          <w:szCs w:val="24"/>
        </w:rPr>
        <w:t>Mouat</w:t>
      </w:r>
      <w:proofErr w:type="spellEnd"/>
      <w:r w:rsidR="002A1D38" w:rsidRPr="002A1D38">
        <w:rPr>
          <w:rFonts w:ascii="Book Antiqua" w:hAnsi="Book Antiqua" w:cs="Times New Roman"/>
          <w:sz w:val="24"/>
          <w:szCs w:val="24"/>
        </w:rPr>
        <w:t xml:space="preserve"> St,</w:t>
      </w:r>
      <w:r w:rsidR="002A1D38">
        <w:rPr>
          <w:rFonts w:ascii="Book Antiqua" w:hAnsi="Book Antiqua" w:cs="Times New Roman" w:hint="eastAsia"/>
          <w:sz w:val="24"/>
          <w:szCs w:val="24"/>
        </w:rPr>
        <w:t xml:space="preserve"> </w:t>
      </w:r>
      <w:r w:rsidR="00DF2011" w:rsidRPr="00C15A3A">
        <w:rPr>
          <w:rFonts w:ascii="Book Antiqua" w:hAnsi="Book Antiqua" w:cs="Times New Roman"/>
          <w:sz w:val="24"/>
          <w:szCs w:val="24"/>
        </w:rPr>
        <w:t>Fremantle</w:t>
      </w:r>
      <w:r w:rsidR="00DF2011">
        <w:rPr>
          <w:rFonts w:ascii="Book Antiqua" w:hAnsi="Book Antiqua" w:cs="Times New Roman" w:hint="eastAsia"/>
          <w:sz w:val="24"/>
          <w:szCs w:val="24"/>
        </w:rPr>
        <w:t xml:space="preserve">, </w:t>
      </w:r>
      <w:r w:rsidR="005341EF" w:rsidRPr="00843662">
        <w:rPr>
          <w:rFonts w:ascii="Book Antiqua" w:hAnsi="Book Antiqua" w:cs="Times New Roman"/>
          <w:sz w:val="24"/>
          <w:szCs w:val="24"/>
        </w:rPr>
        <w:t>WA, 6160, Australia</w:t>
      </w:r>
      <w:r w:rsidR="00143428" w:rsidRPr="00843662">
        <w:rPr>
          <w:rFonts w:ascii="Book Antiqua" w:hAnsi="Book Antiqua" w:cs="Times New Roman"/>
          <w:sz w:val="24"/>
          <w:szCs w:val="24"/>
        </w:rPr>
        <w:t xml:space="preserve">. </w:t>
      </w:r>
      <w:hyperlink r:id="rId9" w:history="1">
        <w:r w:rsidR="00143428" w:rsidRPr="00DF2011">
          <w:rPr>
            <w:rStyle w:val="Hyperlink"/>
            <w:rFonts w:ascii="Book Antiqua" w:hAnsi="Book Antiqua" w:cs="Times New Roman"/>
            <w:color w:val="auto"/>
            <w:sz w:val="24"/>
            <w:szCs w:val="24"/>
            <w:u w:val="none"/>
          </w:rPr>
          <w:t>angus.jeffrey1@my.nd.edu.au</w:t>
        </w:r>
      </w:hyperlink>
    </w:p>
    <w:p w14:paraId="137084F8" w14:textId="2E1DDE7C" w:rsidR="00143428" w:rsidRPr="00843662" w:rsidRDefault="00143428" w:rsidP="00843662">
      <w:pPr>
        <w:spacing w:after="0" w:line="360" w:lineRule="auto"/>
        <w:jc w:val="both"/>
        <w:rPr>
          <w:rFonts w:ascii="Book Antiqua" w:hAnsi="Book Antiqua" w:cs="Times New Roman"/>
          <w:sz w:val="24"/>
          <w:szCs w:val="24"/>
        </w:rPr>
      </w:pPr>
      <w:r w:rsidRPr="00DF2011">
        <w:rPr>
          <w:rFonts w:ascii="Book Antiqua" w:hAnsi="Book Antiqua" w:cs="Times New Roman"/>
          <w:b/>
          <w:sz w:val="24"/>
          <w:szCs w:val="24"/>
        </w:rPr>
        <w:t>Telephone</w:t>
      </w:r>
      <w:r w:rsidR="00DF2011" w:rsidRPr="00DF2011">
        <w:rPr>
          <w:rFonts w:ascii="Book Antiqua" w:hAnsi="Book Antiqua" w:cs="Times New Roman" w:hint="eastAsia"/>
          <w:b/>
          <w:sz w:val="24"/>
          <w:szCs w:val="24"/>
        </w:rPr>
        <w:t>:</w:t>
      </w:r>
      <w:r w:rsidRPr="00DF2011">
        <w:rPr>
          <w:rFonts w:ascii="Book Antiqua" w:hAnsi="Book Antiqua" w:cs="Times New Roman"/>
          <w:b/>
          <w:sz w:val="24"/>
          <w:szCs w:val="24"/>
        </w:rPr>
        <w:t xml:space="preserve"> </w:t>
      </w:r>
      <w:r w:rsidRPr="00843662">
        <w:rPr>
          <w:rFonts w:ascii="Book Antiqua" w:hAnsi="Book Antiqua" w:cs="Times New Roman"/>
          <w:sz w:val="24"/>
          <w:szCs w:val="24"/>
        </w:rPr>
        <w:t>+61</w:t>
      </w:r>
      <w:r w:rsidR="00B404BB">
        <w:rPr>
          <w:rFonts w:ascii="Book Antiqua" w:hAnsi="Book Antiqua" w:cs="Times New Roman" w:hint="eastAsia"/>
          <w:sz w:val="24"/>
          <w:szCs w:val="24"/>
        </w:rPr>
        <w:t>-</w:t>
      </w:r>
      <w:r w:rsidRPr="00843662">
        <w:rPr>
          <w:rFonts w:ascii="Book Antiqua" w:hAnsi="Book Antiqua" w:cs="Times New Roman"/>
          <w:sz w:val="24"/>
          <w:szCs w:val="24"/>
        </w:rPr>
        <w:t>8</w:t>
      </w:r>
      <w:r w:rsidR="00B404BB">
        <w:rPr>
          <w:rFonts w:ascii="Book Antiqua" w:hAnsi="Book Antiqua" w:cs="Times New Roman" w:hint="eastAsia"/>
          <w:sz w:val="24"/>
          <w:szCs w:val="24"/>
        </w:rPr>
        <w:t>-</w:t>
      </w:r>
      <w:r w:rsidR="00B404BB">
        <w:rPr>
          <w:rFonts w:ascii="Book Antiqua" w:hAnsi="Book Antiqua" w:cs="Times New Roman"/>
          <w:sz w:val="24"/>
          <w:szCs w:val="24"/>
        </w:rPr>
        <w:t>9433</w:t>
      </w:r>
      <w:r w:rsidRPr="00843662">
        <w:rPr>
          <w:rFonts w:ascii="Book Antiqua" w:hAnsi="Book Antiqua" w:cs="Times New Roman"/>
          <w:sz w:val="24"/>
          <w:szCs w:val="24"/>
        </w:rPr>
        <w:t>0555</w:t>
      </w:r>
    </w:p>
    <w:p w14:paraId="5952173C" w14:textId="00C082C0" w:rsidR="00143428" w:rsidRPr="00843662" w:rsidRDefault="00143428" w:rsidP="00843662">
      <w:pPr>
        <w:spacing w:after="0" w:line="360" w:lineRule="auto"/>
        <w:jc w:val="both"/>
        <w:rPr>
          <w:rFonts w:ascii="Book Antiqua" w:hAnsi="Book Antiqua" w:cs="Times New Roman"/>
          <w:sz w:val="24"/>
          <w:szCs w:val="24"/>
        </w:rPr>
      </w:pPr>
      <w:r w:rsidRPr="00DF2011">
        <w:rPr>
          <w:rFonts w:ascii="Book Antiqua" w:hAnsi="Book Antiqua" w:cs="Times New Roman"/>
          <w:b/>
          <w:sz w:val="24"/>
          <w:szCs w:val="24"/>
        </w:rPr>
        <w:t>Fax</w:t>
      </w:r>
      <w:r w:rsidR="00DF2011" w:rsidRPr="00DF2011">
        <w:rPr>
          <w:rFonts w:ascii="Book Antiqua" w:hAnsi="Book Antiqua" w:cs="Times New Roman" w:hint="eastAsia"/>
          <w:b/>
          <w:sz w:val="24"/>
          <w:szCs w:val="24"/>
        </w:rPr>
        <w:t>:</w:t>
      </w:r>
      <w:r w:rsidRPr="00DF2011">
        <w:rPr>
          <w:rFonts w:ascii="Book Antiqua" w:hAnsi="Book Antiqua" w:cs="Times New Roman"/>
          <w:b/>
          <w:sz w:val="24"/>
          <w:szCs w:val="24"/>
        </w:rPr>
        <w:t xml:space="preserve"> </w:t>
      </w:r>
      <w:r w:rsidRPr="00843662">
        <w:rPr>
          <w:rFonts w:ascii="Book Antiqua" w:hAnsi="Book Antiqua" w:cs="Times New Roman"/>
          <w:sz w:val="24"/>
          <w:szCs w:val="24"/>
        </w:rPr>
        <w:t>+61</w:t>
      </w:r>
      <w:r w:rsidR="00B404BB">
        <w:rPr>
          <w:rFonts w:ascii="Book Antiqua" w:hAnsi="Book Antiqua" w:cs="Times New Roman" w:hint="eastAsia"/>
          <w:sz w:val="24"/>
          <w:szCs w:val="24"/>
        </w:rPr>
        <w:t>-</w:t>
      </w:r>
      <w:r w:rsidRPr="00843662">
        <w:rPr>
          <w:rFonts w:ascii="Book Antiqua" w:hAnsi="Book Antiqua" w:cs="Times New Roman"/>
          <w:sz w:val="24"/>
          <w:szCs w:val="24"/>
        </w:rPr>
        <w:t>8</w:t>
      </w:r>
      <w:r w:rsidR="00B404BB">
        <w:rPr>
          <w:rFonts w:ascii="Book Antiqua" w:hAnsi="Book Antiqua" w:cs="Times New Roman" w:hint="eastAsia"/>
          <w:sz w:val="24"/>
          <w:szCs w:val="24"/>
        </w:rPr>
        <w:t>-</w:t>
      </w:r>
      <w:r w:rsidR="00B404BB">
        <w:rPr>
          <w:rFonts w:ascii="Book Antiqua" w:hAnsi="Book Antiqua" w:cs="Times New Roman"/>
          <w:sz w:val="24"/>
          <w:szCs w:val="24"/>
        </w:rPr>
        <w:t>9433</w:t>
      </w:r>
      <w:r w:rsidRPr="00843662">
        <w:rPr>
          <w:rFonts w:ascii="Book Antiqua" w:hAnsi="Book Antiqua" w:cs="Times New Roman"/>
          <w:sz w:val="24"/>
          <w:szCs w:val="24"/>
        </w:rPr>
        <w:t>0544</w:t>
      </w:r>
    </w:p>
    <w:p w14:paraId="150BF20A" w14:textId="7464A86F" w:rsidR="0006531A" w:rsidRPr="006940E2" w:rsidRDefault="0006531A" w:rsidP="006940E2">
      <w:pPr>
        <w:spacing w:after="0" w:line="360" w:lineRule="auto"/>
        <w:jc w:val="both"/>
        <w:rPr>
          <w:rFonts w:ascii="Book Antiqua" w:hAnsi="Book Antiqua" w:cs="Times New Roman"/>
          <w:b/>
          <w:sz w:val="24"/>
          <w:szCs w:val="24"/>
        </w:rPr>
      </w:pPr>
    </w:p>
    <w:p w14:paraId="10F1B732" w14:textId="65F9AE4D" w:rsidR="006940E2" w:rsidRPr="006940E2" w:rsidRDefault="006940E2" w:rsidP="006940E2">
      <w:pPr>
        <w:spacing w:after="0" w:line="360" w:lineRule="auto"/>
        <w:jc w:val="both"/>
        <w:rPr>
          <w:rFonts w:ascii="Book Antiqua" w:eastAsia="宋体" w:hAnsi="Book Antiqua"/>
          <w:sz w:val="24"/>
          <w:szCs w:val="24"/>
        </w:rPr>
      </w:pPr>
      <w:r w:rsidRPr="006940E2">
        <w:rPr>
          <w:rFonts w:ascii="Book Antiqua" w:hAnsi="Book Antiqua"/>
          <w:b/>
          <w:sz w:val="24"/>
          <w:szCs w:val="24"/>
        </w:rPr>
        <w:t xml:space="preserve">Received: </w:t>
      </w:r>
      <w:r w:rsidRPr="006940E2">
        <w:rPr>
          <w:rFonts w:ascii="Book Antiqua" w:hAnsi="Book Antiqua" w:hint="eastAsia"/>
          <w:sz w:val="24"/>
          <w:szCs w:val="24"/>
        </w:rPr>
        <w:t>March 14, 2017</w:t>
      </w:r>
    </w:p>
    <w:p w14:paraId="240DAA18" w14:textId="1E4BF7F4" w:rsidR="006940E2" w:rsidRPr="006940E2" w:rsidRDefault="006940E2" w:rsidP="006940E2">
      <w:pPr>
        <w:spacing w:after="0" w:line="360" w:lineRule="auto"/>
        <w:jc w:val="both"/>
        <w:rPr>
          <w:rFonts w:ascii="Book Antiqua" w:eastAsia="宋体" w:hAnsi="Book Antiqua"/>
          <w:sz w:val="24"/>
          <w:szCs w:val="24"/>
        </w:rPr>
      </w:pPr>
      <w:r w:rsidRPr="006940E2">
        <w:rPr>
          <w:rFonts w:ascii="Book Antiqua" w:hAnsi="Book Antiqua"/>
          <w:b/>
          <w:sz w:val="24"/>
          <w:szCs w:val="24"/>
        </w:rPr>
        <w:t>Peer-review started:</w:t>
      </w:r>
      <w:r w:rsidRPr="006940E2">
        <w:rPr>
          <w:rFonts w:ascii="Book Antiqua" w:eastAsia="宋体" w:hAnsi="Book Antiqua" w:hint="eastAsia"/>
          <w:sz w:val="24"/>
          <w:szCs w:val="24"/>
        </w:rPr>
        <w:t xml:space="preserve"> </w:t>
      </w:r>
      <w:r w:rsidRPr="006940E2">
        <w:rPr>
          <w:rFonts w:ascii="Book Antiqua" w:hAnsi="Book Antiqua" w:hint="eastAsia"/>
          <w:sz w:val="24"/>
          <w:szCs w:val="24"/>
        </w:rPr>
        <w:t>March 1</w:t>
      </w:r>
      <w:r>
        <w:rPr>
          <w:rFonts w:ascii="Book Antiqua" w:hAnsi="Book Antiqua" w:hint="eastAsia"/>
          <w:sz w:val="24"/>
          <w:szCs w:val="24"/>
        </w:rPr>
        <w:t>5</w:t>
      </w:r>
      <w:r w:rsidRPr="006940E2">
        <w:rPr>
          <w:rFonts w:ascii="Book Antiqua" w:hAnsi="Book Antiqua" w:hint="eastAsia"/>
          <w:sz w:val="24"/>
          <w:szCs w:val="24"/>
        </w:rPr>
        <w:t>, 2017</w:t>
      </w:r>
    </w:p>
    <w:p w14:paraId="3B4325A6" w14:textId="695B046A" w:rsidR="006940E2" w:rsidRPr="00024927" w:rsidRDefault="006940E2" w:rsidP="006940E2">
      <w:pPr>
        <w:spacing w:after="0" w:line="360" w:lineRule="auto"/>
        <w:jc w:val="both"/>
        <w:rPr>
          <w:rFonts w:ascii="Book Antiqua" w:eastAsia="宋体" w:hAnsi="Book Antiqua"/>
          <w:sz w:val="24"/>
          <w:szCs w:val="24"/>
        </w:rPr>
      </w:pPr>
      <w:r w:rsidRPr="006940E2">
        <w:rPr>
          <w:rFonts w:ascii="Book Antiqua" w:hAnsi="Book Antiqua"/>
          <w:b/>
          <w:sz w:val="24"/>
          <w:szCs w:val="24"/>
        </w:rPr>
        <w:t>First decision:</w:t>
      </w:r>
      <w:r w:rsidRPr="00024927">
        <w:rPr>
          <w:rFonts w:ascii="Book Antiqua" w:eastAsia="宋体" w:hAnsi="Book Antiqua" w:hint="eastAsia"/>
          <w:sz w:val="24"/>
          <w:szCs w:val="24"/>
        </w:rPr>
        <w:t xml:space="preserve"> </w:t>
      </w:r>
      <w:r w:rsidR="00024927" w:rsidRPr="00024927">
        <w:rPr>
          <w:rFonts w:ascii="Book Antiqua" w:eastAsia="宋体" w:hAnsi="Book Antiqua" w:hint="eastAsia"/>
          <w:sz w:val="24"/>
          <w:szCs w:val="24"/>
        </w:rPr>
        <w:t>April 14, 2017</w:t>
      </w:r>
    </w:p>
    <w:p w14:paraId="1A081D5C" w14:textId="63C547DF" w:rsidR="006940E2" w:rsidRPr="00024927" w:rsidRDefault="006940E2" w:rsidP="006940E2">
      <w:pPr>
        <w:widowControl w:val="0"/>
        <w:spacing w:after="0" w:line="360" w:lineRule="auto"/>
        <w:jc w:val="both"/>
        <w:rPr>
          <w:rFonts w:ascii="Book Antiqua" w:hAnsi="Book Antiqua"/>
          <w:sz w:val="24"/>
          <w:szCs w:val="24"/>
        </w:rPr>
      </w:pPr>
      <w:r w:rsidRPr="006940E2">
        <w:rPr>
          <w:rFonts w:ascii="Book Antiqua" w:hAnsi="Book Antiqua"/>
          <w:b/>
          <w:sz w:val="24"/>
          <w:szCs w:val="24"/>
        </w:rPr>
        <w:t xml:space="preserve">Revised: </w:t>
      </w:r>
      <w:r w:rsidR="00024927" w:rsidRPr="00024927">
        <w:rPr>
          <w:rFonts w:ascii="Book Antiqua" w:hAnsi="Book Antiqua" w:hint="eastAsia"/>
          <w:sz w:val="24"/>
          <w:szCs w:val="24"/>
        </w:rPr>
        <w:t>May 8, 2017</w:t>
      </w:r>
    </w:p>
    <w:p w14:paraId="445B13E9" w14:textId="72325EAA" w:rsidR="006940E2" w:rsidRPr="006940E2" w:rsidRDefault="006940E2" w:rsidP="006940E2">
      <w:pPr>
        <w:widowControl w:val="0"/>
        <w:spacing w:after="0" w:line="360" w:lineRule="auto"/>
        <w:jc w:val="both"/>
        <w:rPr>
          <w:rFonts w:ascii="Book Antiqua" w:hAnsi="Book Antiqua"/>
          <w:b/>
          <w:sz w:val="24"/>
          <w:szCs w:val="24"/>
        </w:rPr>
      </w:pPr>
      <w:r w:rsidRPr="006940E2">
        <w:rPr>
          <w:rFonts w:ascii="Book Antiqua" w:hAnsi="Book Antiqua"/>
          <w:b/>
          <w:sz w:val="24"/>
          <w:szCs w:val="24"/>
        </w:rPr>
        <w:t xml:space="preserve">Accepted: </w:t>
      </w:r>
      <w:r w:rsidR="003B2A98" w:rsidRPr="003B2A98">
        <w:rPr>
          <w:rFonts w:ascii="Book Antiqua" w:hAnsi="Book Antiqua"/>
          <w:sz w:val="24"/>
          <w:szCs w:val="24"/>
        </w:rPr>
        <w:t>May 18, 2017</w:t>
      </w:r>
    </w:p>
    <w:p w14:paraId="7517A20A" w14:textId="77777777" w:rsidR="006940E2" w:rsidRPr="006940E2" w:rsidRDefault="006940E2" w:rsidP="006940E2">
      <w:pPr>
        <w:widowControl w:val="0"/>
        <w:spacing w:after="0" w:line="360" w:lineRule="auto"/>
        <w:jc w:val="both"/>
        <w:rPr>
          <w:rFonts w:ascii="Book Antiqua" w:hAnsi="Book Antiqua"/>
          <w:b/>
          <w:sz w:val="24"/>
          <w:szCs w:val="24"/>
        </w:rPr>
      </w:pPr>
      <w:r w:rsidRPr="006940E2">
        <w:rPr>
          <w:rFonts w:ascii="Book Antiqua" w:hAnsi="Book Antiqua"/>
          <w:b/>
          <w:sz w:val="24"/>
          <w:szCs w:val="24"/>
        </w:rPr>
        <w:t>Article in press:</w:t>
      </w:r>
    </w:p>
    <w:p w14:paraId="26B05604" w14:textId="77777777" w:rsidR="006940E2" w:rsidRPr="006940E2" w:rsidRDefault="006940E2" w:rsidP="006940E2">
      <w:pPr>
        <w:widowControl w:val="0"/>
        <w:spacing w:after="0" w:line="360" w:lineRule="auto"/>
        <w:jc w:val="both"/>
        <w:rPr>
          <w:rFonts w:ascii="Book Antiqua" w:eastAsia="宋体" w:hAnsi="Book Antiqua"/>
          <w:sz w:val="24"/>
          <w:szCs w:val="24"/>
        </w:rPr>
      </w:pPr>
      <w:r w:rsidRPr="006940E2">
        <w:rPr>
          <w:rFonts w:ascii="Book Antiqua" w:hAnsi="Book Antiqua"/>
          <w:b/>
          <w:sz w:val="24"/>
          <w:szCs w:val="24"/>
        </w:rPr>
        <w:t>Published online:</w:t>
      </w:r>
    </w:p>
    <w:p w14:paraId="549E9C5E" w14:textId="77777777" w:rsidR="00B404BB" w:rsidRPr="006940E2" w:rsidRDefault="00B404BB" w:rsidP="006940E2">
      <w:pPr>
        <w:spacing w:after="0" w:line="360" w:lineRule="auto"/>
        <w:jc w:val="both"/>
        <w:rPr>
          <w:rFonts w:ascii="Book Antiqua" w:hAnsi="Book Antiqua" w:cs="Times New Roman"/>
          <w:b/>
          <w:sz w:val="24"/>
          <w:szCs w:val="24"/>
        </w:rPr>
      </w:pPr>
    </w:p>
    <w:p w14:paraId="63E192B2" w14:textId="77777777" w:rsidR="00B404BB" w:rsidRDefault="00B404BB" w:rsidP="00843662">
      <w:pPr>
        <w:spacing w:after="0" w:line="360" w:lineRule="auto"/>
        <w:jc w:val="both"/>
        <w:rPr>
          <w:rFonts w:ascii="Book Antiqua" w:hAnsi="Book Antiqua" w:cs="Times New Roman"/>
          <w:b/>
          <w:sz w:val="24"/>
          <w:szCs w:val="24"/>
        </w:rPr>
      </w:pPr>
    </w:p>
    <w:p w14:paraId="5FC59A9E" w14:textId="77777777" w:rsidR="00B404BB" w:rsidRDefault="00B404BB" w:rsidP="00843662">
      <w:pPr>
        <w:spacing w:after="0" w:line="360" w:lineRule="auto"/>
        <w:jc w:val="both"/>
        <w:rPr>
          <w:rFonts w:ascii="Book Antiqua" w:hAnsi="Book Antiqua" w:cs="Times New Roman"/>
          <w:b/>
          <w:sz w:val="24"/>
          <w:szCs w:val="24"/>
        </w:rPr>
      </w:pPr>
    </w:p>
    <w:p w14:paraId="1FA0AEAC" w14:textId="77777777" w:rsidR="00C92CCB" w:rsidRDefault="00C92CCB" w:rsidP="00843662">
      <w:pPr>
        <w:spacing w:after="0" w:line="360" w:lineRule="auto"/>
        <w:jc w:val="both"/>
        <w:rPr>
          <w:rFonts w:ascii="Book Antiqua" w:hAnsi="Book Antiqua" w:cs="Times New Roman"/>
          <w:b/>
          <w:sz w:val="24"/>
          <w:szCs w:val="24"/>
        </w:rPr>
      </w:pPr>
    </w:p>
    <w:p w14:paraId="7259B700" w14:textId="77777777" w:rsidR="00C92CCB" w:rsidRDefault="00C92CCB" w:rsidP="00843662">
      <w:pPr>
        <w:spacing w:after="0" w:line="360" w:lineRule="auto"/>
        <w:jc w:val="both"/>
        <w:rPr>
          <w:rFonts w:ascii="Book Antiqua" w:hAnsi="Book Antiqua" w:cs="Times New Roman"/>
          <w:b/>
          <w:sz w:val="24"/>
          <w:szCs w:val="24"/>
        </w:rPr>
      </w:pPr>
    </w:p>
    <w:p w14:paraId="76CE75E1" w14:textId="77777777" w:rsidR="00C92CCB" w:rsidRDefault="00C92CCB" w:rsidP="00843662">
      <w:pPr>
        <w:spacing w:after="0" w:line="360" w:lineRule="auto"/>
        <w:jc w:val="both"/>
        <w:rPr>
          <w:rFonts w:ascii="Book Antiqua" w:hAnsi="Book Antiqua" w:cs="Times New Roman"/>
          <w:b/>
          <w:sz w:val="24"/>
          <w:szCs w:val="24"/>
        </w:rPr>
      </w:pPr>
    </w:p>
    <w:p w14:paraId="698D34BE" w14:textId="77777777" w:rsidR="00C92CCB" w:rsidRDefault="00C92CCB" w:rsidP="00843662">
      <w:pPr>
        <w:spacing w:after="0" w:line="360" w:lineRule="auto"/>
        <w:jc w:val="both"/>
        <w:rPr>
          <w:rFonts w:ascii="Book Antiqua" w:hAnsi="Book Antiqua" w:cs="Times New Roman"/>
          <w:b/>
          <w:sz w:val="24"/>
          <w:szCs w:val="24"/>
        </w:rPr>
      </w:pPr>
    </w:p>
    <w:p w14:paraId="692D4E8A" w14:textId="77777777" w:rsidR="00C92CCB" w:rsidRDefault="00C92CCB" w:rsidP="00843662">
      <w:pPr>
        <w:spacing w:after="0" w:line="360" w:lineRule="auto"/>
        <w:jc w:val="both"/>
        <w:rPr>
          <w:rFonts w:ascii="Book Antiqua" w:hAnsi="Book Antiqua" w:cs="Times New Roman"/>
          <w:b/>
          <w:sz w:val="24"/>
          <w:szCs w:val="24"/>
        </w:rPr>
      </w:pPr>
    </w:p>
    <w:p w14:paraId="0A2AE518" w14:textId="77777777" w:rsidR="00C92CCB" w:rsidRDefault="00C92CCB" w:rsidP="00843662">
      <w:pPr>
        <w:spacing w:after="0" w:line="360" w:lineRule="auto"/>
        <w:jc w:val="both"/>
        <w:rPr>
          <w:rFonts w:ascii="Book Antiqua" w:hAnsi="Book Antiqua" w:cs="Times New Roman"/>
          <w:b/>
          <w:sz w:val="24"/>
          <w:szCs w:val="24"/>
        </w:rPr>
      </w:pPr>
    </w:p>
    <w:p w14:paraId="2AA37ED8" w14:textId="77777777" w:rsidR="00C92CCB" w:rsidRDefault="00C92CCB" w:rsidP="00843662">
      <w:pPr>
        <w:spacing w:after="0" w:line="360" w:lineRule="auto"/>
        <w:jc w:val="both"/>
        <w:rPr>
          <w:rFonts w:ascii="Book Antiqua" w:hAnsi="Book Antiqua" w:cs="Times New Roman"/>
          <w:b/>
          <w:sz w:val="24"/>
          <w:szCs w:val="24"/>
        </w:rPr>
      </w:pPr>
    </w:p>
    <w:p w14:paraId="5D45F5FD" w14:textId="77777777" w:rsidR="00C92CCB" w:rsidRDefault="00C92CCB" w:rsidP="00843662">
      <w:pPr>
        <w:spacing w:after="0" w:line="360" w:lineRule="auto"/>
        <w:jc w:val="both"/>
        <w:rPr>
          <w:rFonts w:ascii="Book Antiqua" w:hAnsi="Book Antiqua" w:cs="Times New Roman"/>
          <w:b/>
          <w:sz w:val="24"/>
          <w:szCs w:val="24"/>
        </w:rPr>
      </w:pPr>
    </w:p>
    <w:p w14:paraId="5FFADCB9" w14:textId="77777777" w:rsidR="00C92CCB" w:rsidRDefault="00C92CCB" w:rsidP="00843662">
      <w:pPr>
        <w:spacing w:after="0" w:line="360" w:lineRule="auto"/>
        <w:jc w:val="both"/>
        <w:rPr>
          <w:rFonts w:ascii="Book Antiqua" w:hAnsi="Book Antiqua" w:cs="Times New Roman"/>
          <w:b/>
          <w:sz w:val="24"/>
          <w:szCs w:val="24"/>
        </w:rPr>
      </w:pPr>
    </w:p>
    <w:p w14:paraId="35F2A20A" w14:textId="77777777" w:rsidR="00C92CCB" w:rsidRDefault="00C92CCB" w:rsidP="00843662">
      <w:pPr>
        <w:spacing w:after="0" w:line="360" w:lineRule="auto"/>
        <w:jc w:val="both"/>
        <w:rPr>
          <w:rFonts w:ascii="Book Antiqua" w:hAnsi="Book Antiqua" w:cs="Times New Roman"/>
          <w:b/>
          <w:sz w:val="24"/>
          <w:szCs w:val="24"/>
        </w:rPr>
      </w:pPr>
    </w:p>
    <w:p w14:paraId="383F24A3" w14:textId="77777777" w:rsidR="00C92CCB" w:rsidRDefault="00C92CCB" w:rsidP="00843662">
      <w:pPr>
        <w:spacing w:after="0" w:line="360" w:lineRule="auto"/>
        <w:jc w:val="both"/>
        <w:rPr>
          <w:rFonts w:ascii="Book Antiqua" w:hAnsi="Book Antiqua" w:cs="Times New Roman"/>
          <w:b/>
          <w:sz w:val="24"/>
          <w:szCs w:val="24"/>
        </w:rPr>
      </w:pPr>
    </w:p>
    <w:p w14:paraId="696D543C" w14:textId="77777777" w:rsidR="00C92CCB" w:rsidRPr="00843662" w:rsidRDefault="00C92CCB" w:rsidP="00843662">
      <w:pPr>
        <w:spacing w:after="0" w:line="360" w:lineRule="auto"/>
        <w:jc w:val="both"/>
        <w:rPr>
          <w:rFonts w:ascii="Book Antiqua" w:hAnsi="Book Antiqua" w:cs="Times New Roman"/>
          <w:b/>
          <w:sz w:val="24"/>
          <w:szCs w:val="24"/>
        </w:rPr>
      </w:pPr>
    </w:p>
    <w:p w14:paraId="11F65897" w14:textId="11E18DDC" w:rsidR="007F0D81" w:rsidRPr="00843662" w:rsidRDefault="007F0D81" w:rsidP="00843662">
      <w:pPr>
        <w:spacing w:after="0" w:line="360" w:lineRule="auto"/>
        <w:jc w:val="both"/>
        <w:outlineLvl w:val="0"/>
        <w:rPr>
          <w:rFonts w:ascii="Book Antiqua" w:hAnsi="Book Antiqua" w:cs="Times New Roman"/>
          <w:b/>
          <w:sz w:val="24"/>
          <w:szCs w:val="24"/>
        </w:rPr>
      </w:pPr>
      <w:r w:rsidRPr="00843662">
        <w:rPr>
          <w:rFonts w:ascii="Book Antiqua" w:hAnsi="Book Antiqua" w:cs="Times New Roman"/>
          <w:b/>
          <w:sz w:val="24"/>
          <w:szCs w:val="24"/>
        </w:rPr>
        <w:t>Abstract</w:t>
      </w:r>
    </w:p>
    <w:p w14:paraId="22456587" w14:textId="0761FE90" w:rsidR="00C92CCB" w:rsidRDefault="00C92CCB" w:rsidP="00843662">
      <w:pPr>
        <w:spacing w:after="0" w:line="360" w:lineRule="auto"/>
        <w:jc w:val="both"/>
        <w:outlineLvl w:val="0"/>
        <w:rPr>
          <w:rFonts w:ascii="Book Antiqua" w:hAnsi="Book Antiqua" w:cs="Times New Roman"/>
          <w:sz w:val="24"/>
          <w:szCs w:val="24"/>
        </w:rPr>
      </w:pPr>
      <w:r w:rsidRPr="00843662">
        <w:rPr>
          <w:rFonts w:ascii="Book Antiqua" w:hAnsi="Book Antiqua" w:cs="Times New Roman"/>
          <w:b/>
          <w:i/>
          <w:sz w:val="24"/>
          <w:szCs w:val="24"/>
        </w:rPr>
        <w:t>AIM</w:t>
      </w:r>
    </w:p>
    <w:p w14:paraId="6CC342AC" w14:textId="233FEDD9" w:rsidR="00E37443" w:rsidRDefault="00E8316B" w:rsidP="00843662">
      <w:pPr>
        <w:spacing w:after="0" w:line="360" w:lineRule="auto"/>
        <w:jc w:val="both"/>
        <w:outlineLvl w:val="0"/>
        <w:rPr>
          <w:rFonts w:ascii="Book Antiqua" w:hAnsi="Book Antiqua" w:cs="Times New Roman"/>
          <w:sz w:val="24"/>
          <w:szCs w:val="24"/>
        </w:rPr>
      </w:pPr>
      <w:r w:rsidRPr="00843662">
        <w:rPr>
          <w:rFonts w:ascii="Book Antiqua" w:hAnsi="Book Antiqua" w:cs="Times New Roman"/>
          <w:sz w:val="24"/>
          <w:szCs w:val="24"/>
        </w:rPr>
        <w:lastRenderedPageBreak/>
        <w:t xml:space="preserve">To establish if serial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tests (referred to as delta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in those with </w:t>
      </w:r>
      <w:r w:rsidR="00D520FB">
        <w:rPr>
          <w:rFonts w:ascii="Book Antiqua" w:hAnsi="Book Antiqua" w:cs="Times New Roman"/>
          <w:sz w:val="24"/>
          <w:szCs w:val="24"/>
        </w:rPr>
        <w:t xml:space="preserve">chronic </w:t>
      </w:r>
      <w:r w:rsidR="00D520FB">
        <w:rPr>
          <w:rFonts w:ascii="Book Antiqua" w:hAnsi="Book Antiqua" w:cs="Times New Roman" w:hint="eastAsia"/>
          <w:sz w:val="24"/>
          <w:szCs w:val="24"/>
        </w:rPr>
        <w:t>h</w:t>
      </w:r>
      <w:r w:rsidR="00D520FB">
        <w:rPr>
          <w:rFonts w:ascii="Book Antiqua" w:hAnsi="Book Antiqua" w:cs="Times New Roman"/>
          <w:sz w:val="24"/>
          <w:szCs w:val="24"/>
        </w:rPr>
        <w:t>epatitis C (CHC)</w:t>
      </w:r>
      <w:r w:rsidRPr="00843662">
        <w:rPr>
          <w:rFonts w:ascii="Book Antiqua" w:hAnsi="Book Antiqua" w:cs="Times New Roman"/>
          <w:sz w:val="24"/>
          <w:szCs w:val="24"/>
        </w:rPr>
        <w:t xml:space="preserve"> correlate with the increase and/or decrease in risk of </w:t>
      </w:r>
      <w:r w:rsidR="005A3D76" w:rsidRPr="00843662">
        <w:rPr>
          <w:rFonts w:ascii="Book Antiqua" w:hAnsi="Book Antiqua" w:cs="Times New Roman"/>
          <w:sz w:val="24"/>
          <w:szCs w:val="24"/>
        </w:rPr>
        <w:t>liver related complications.</w:t>
      </w:r>
    </w:p>
    <w:p w14:paraId="0D2D1161" w14:textId="77777777" w:rsidR="00526334" w:rsidRPr="00843662" w:rsidRDefault="00526334" w:rsidP="00843662">
      <w:pPr>
        <w:spacing w:after="0" w:line="360" w:lineRule="auto"/>
        <w:jc w:val="both"/>
        <w:outlineLvl w:val="0"/>
        <w:rPr>
          <w:rFonts w:ascii="Book Antiqua" w:hAnsi="Book Antiqua" w:cs="Times New Roman"/>
          <w:sz w:val="24"/>
          <w:szCs w:val="24"/>
        </w:rPr>
      </w:pPr>
    </w:p>
    <w:p w14:paraId="3712FBDA" w14:textId="4932CF3E" w:rsidR="00D90C8E" w:rsidRDefault="00D90C8E" w:rsidP="00843662">
      <w:pPr>
        <w:spacing w:after="0" w:line="360" w:lineRule="auto"/>
        <w:jc w:val="both"/>
        <w:outlineLvl w:val="0"/>
        <w:rPr>
          <w:rFonts w:ascii="Book Antiqua" w:hAnsi="Book Antiqua" w:cs="Times New Roman"/>
          <w:sz w:val="24"/>
          <w:szCs w:val="24"/>
        </w:rPr>
      </w:pPr>
      <w:r>
        <w:rPr>
          <w:rFonts w:ascii="Book Antiqua" w:hAnsi="Book Antiqua" w:cs="Times New Roman"/>
          <w:b/>
          <w:i/>
          <w:sz w:val="24"/>
          <w:szCs w:val="24"/>
        </w:rPr>
        <w:t>METHODS</w:t>
      </w:r>
    </w:p>
    <w:p w14:paraId="2243E2A8" w14:textId="6421717D" w:rsidR="00E37443" w:rsidRPr="00843662" w:rsidRDefault="00D90C8E" w:rsidP="00843662">
      <w:pPr>
        <w:spacing w:after="0" w:line="360" w:lineRule="auto"/>
        <w:jc w:val="both"/>
        <w:outlineLvl w:val="0"/>
        <w:rPr>
          <w:rFonts w:ascii="Book Antiqua" w:hAnsi="Book Antiqua" w:cs="Times New Roman"/>
          <w:sz w:val="24"/>
          <w:szCs w:val="24"/>
        </w:rPr>
      </w:pPr>
      <w:r w:rsidRPr="00D90C8E">
        <w:rPr>
          <w:rFonts w:ascii="Book Antiqua" w:hAnsi="Book Antiqua" w:cs="Times New Roman"/>
          <w:sz w:val="24"/>
          <w:szCs w:val="24"/>
        </w:rPr>
        <w:t>Three hundred</w:t>
      </w:r>
      <w:r>
        <w:rPr>
          <w:rFonts w:ascii="Book Antiqua" w:hAnsi="Book Antiqua" w:cs="Times New Roman" w:hint="eastAsia"/>
          <w:sz w:val="24"/>
          <w:szCs w:val="24"/>
        </w:rPr>
        <w:t xml:space="preserve"> </w:t>
      </w:r>
      <w:r>
        <w:rPr>
          <w:rFonts w:ascii="Book Antiqua" w:hAnsi="Book Antiqua" w:cs="Times New Roman"/>
          <w:sz w:val="24"/>
          <w:szCs w:val="24"/>
        </w:rPr>
        <w:t>and</w:t>
      </w:r>
      <w:r>
        <w:rPr>
          <w:rFonts w:ascii="Book Antiqua" w:hAnsi="Book Antiqua" w:cs="Times New Roman" w:hint="eastAsia"/>
          <w:sz w:val="24"/>
          <w:szCs w:val="24"/>
        </w:rPr>
        <w:t xml:space="preserve"> forty-six</w:t>
      </w:r>
      <w:r w:rsidR="00C20E1F" w:rsidRPr="00843662">
        <w:rPr>
          <w:rFonts w:ascii="Book Antiqua" w:hAnsi="Book Antiqua" w:cs="Times New Roman"/>
          <w:sz w:val="24"/>
          <w:szCs w:val="24"/>
        </w:rPr>
        <w:t xml:space="preserve"> </w:t>
      </w:r>
      <w:r w:rsidR="00D520FB">
        <w:rPr>
          <w:rFonts w:ascii="Book Antiqua" w:hAnsi="Book Antiqua" w:cs="Times New Roman" w:hint="eastAsia"/>
          <w:sz w:val="24"/>
          <w:szCs w:val="24"/>
        </w:rPr>
        <w:t>CH</w:t>
      </w:r>
      <w:r w:rsidR="00DC0BA6" w:rsidRPr="00843662">
        <w:rPr>
          <w:rFonts w:ascii="Book Antiqua" w:hAnsi="Book Antiqua" w:cs="Times New Roman"/>
          <w:sz w:val="24"/>
          <w:szCs w:val="24"/>
        </w:rPr>
        <w:t xml:space="preserve">C </w:t>
      </w:r>
      <w:r w:rsidR="00745018" w:rsidRPr="00843662">
        <w:rPr>
          <w:rFonts w:ascii="Book Antiqua" w:hAnsi="Book Antiqua" w:cs="Times New Roman"/>
          <w:sz w:val="24"/>
          <w:szCs w:val="24"/>
        </w:rPr>
        <w:t xml:space="preserve">patients </w:t>
      </w:r>
      <w:r w:rsidR="00A265A1" w:rsidRPr="00843662">
        <w:rPr>
          <w:rFonts w:ascii="Book Antiqua" w:hAnsi="Book Antiqua" w:cs="Times New Roman"/>
          <w:sz w:val="24"/>
          <w:szCs w:val="24"/>
        </w:rPr>
        <w:t xml:space="preserve">who </w:t>
      </w:r>
      <w:r w:rsidR="00745018" w:rsidRPr="00843662">
        <w:rPr>
          <w:rFonts w:ascii="Book Antiqua" w:hAnsi="Book Antiqua" w:cs="Times New Roman"/>
          <w:sz w:val="24"/>
          <w:szCs w:val="24"/>
        </w:rPr>
        <w:t>had two</w:t>
      </w:r>
      <w:r w:rsidR="00A265A1" w:rsidRPr="00843662">
        <w:rPr>
          <w:rFonts w:ascii="Book Antiqua" w:hAnsi="Book Antiqua" w:cs="Times New Roman"/>
          <w:sz w:val="24"/>
          <w:szCs w:val="24"/>
        </w:rPr>
        <w:t xml:space="preserve"> </w:t>
      </w:r>
      <w:proofErr w:type="spellStart"/>
      <w:r w:rsidR="00745018" w:rsidRPr="00843662">
        <w:rPr>
          <w:rFonts w:ascii="Book Antiqua" w:hAnsi="Book Antiqua" w:cs="Times New Roman"/>
          <w:sz w:val="24"/>
          <w:szCs w:val="24"/>
        </w:rPr>
        <w:t>Hepascore</w:t>
      </w:r>
      <w:proofErr w:type="spellEnd"/>
      <w:r w:rsidR="00745018" w:rsidRPr="00843662">
        <w:rPr>
          <w:rFonts w:ascii="Book Antiqua" w:hAnsi="Book Antiqua" w:cs="Times New Roman"/>
          <w:sz w:val="24"/>
          <w:szCs w:val="24"/>
        </w:rPr>
        <w:t xml:space="preserve"> tests performed were studied. </w:t>
      </w:r>
      <w:r w:rsidR="00566AEA" w:rsidRPr="00843662">
        <w:rPr>
          <w:rFonts w:ascii="Book Antiqua" w:hAnsi="Book Antiqua" w:cs="Times New Roman"/>
          <w:sz w:val="24"/>
          <w:szCs w:val="24"/>
        </w:rPr>
        <w:t>D</w:t>
      </w:r>
      <w:r w:rsidR="00745018" w:rsidRPr="00843662">
        <w:rPr>
          <w:rFonts w:ascii="Book Antiqua" w:hAnsi="Book Antiqua" w:cs="Times New Roman"/>
          <w:sz w:val="24"/>
          <w:szCs w:val="24"/>
        </w:rPr>
        <w:t>uring</w:t>
      </w:r>
      <w:r w:rsidR="00566AEA" w:rsidRPr="00843662">
        <w:rPr>
          <w:rFonts w:ascii="Book Antiqua" w:hAnsi="Book Antiqua" w:cs="Times New Roman"/>
          <w:sz w:val="24"/>
          <w:szCs w:val="24"/>
        </w:rPr>
        <w:t xml:space="preserve"> </w:t>
      </w:r>
      <w:r w:rsidR="00C20E1F" w:rsidRPr="00843662">
        <w:rPr>
          <w:rFonts w:ascii="Book Antiqua" w:hAnsi="Book Antiqua" w:cs="Times New Roman"/>
          <w:sz w:val="24"/>
          <w:szCs w:val="24"/>
        </w:rPr>
        <w:t>1944</w:t>
      </w:r>
      <w:r w:rsidR="00566AEA" w:rsidRPr="00843662">
        <w:rPr>
          <w:rFonts w:ascii="Book Antiqua" w:hAnsi="Book Antiqua" w:cs="Times New Roman"/>
          <w:sz w:val="24"/>
          <w:szCs w:val="24"/>
        </w:rPr>
        <w:t xml:space="preserve"> patient years follow up</w:t>
      </w:r>
      <w:r w:rsidR="00A943CD" w:rsidRPr="00843662">
        <w:rPr>
          <w:rFonts w:ascii="Book Antiqua" w:hAnsi="Book Antiqua" w:cs="Times New Roman"/>
          <w:sz w:val="24"/>
          <w:szCs w:val="24"/>
        </w:rPr>
        <w:t xml:space="preserve"> 28 (8.1</w:t>
      </w:r>
      <w:r w:rsidR="00745018" w:rsidRPr="00843662">
        <w:rPr>
          <w:rFonts w:ascii="Book Antiqua" w:hAnsi="Book Antiqua" w:cs="Times New Roman"/>
          <w:sz w:val="24"/>
          <w:szCs w:val="24"/>
        </w:rPr>
        <w:t xml:space="preserve">%) </w:t>
      </w:r>
      <w:r w:rsidR="00DA095D" w:rsidRPr="00843662">
        <w:rPr>
          <w:rFonts w:ascii="Book Antiqua" w:hAnsi="Book Antiqua" w:cs="Times New Roman"/>
          <w:sz w:val="24"/>
          <w:szCs w:val="24"/>
        </w:rPr>
        <w:t>reached an endpoint</w:t>
      </w:r>
      <w:r w:rsidR="00E37443" w:rsidRPr="00843662">
        <w:rPr>
          <w:rFonts w:ascii="Book Antiqua" w:hAnsi="Book Antiqua" w:cs="Times New Roman"/>
          <w:sz w:val="24"/>
          <w:szCs w:val="24"/>
        </w:rPr>
        <w:t>.</w:t>
      </w:r>
      <w:r w:rsidR="009A10FB" w:rsidRPr="00843662">
        <w:rPr>
          <w:rFonts w:ascii="Book Antiqua" w:hAnsi="Book Antiqua" w:cs="Times New Roman"/>
          <w:sz w:val="24"/>
          <w:szCs w:val="24"/>
        </w:rPr>
        <w:t xml:space="preserve"> </w:t>
      </w:r>
      <w:r w:rsidR="00815B52" w:rsidRPr="00843662">
        <w:rPr>
          <w:rFonts w:ascii="Book Antiqua" w:hAnsi="Book Antiqua" w:cs="Times New Roman"/>
          <w:sz w:val="24"/>
          <w:szCs w:val="24"/>
        </w:rPr>
        <w:t xml:space="preserve">The </w:t>
      </w:r>
      <w:proofErr w:type="spellStart"/>
      <w:r w:rsidR="00815B52" w:rsidRPr="00843662">
        <w:rPr>
          <w:rFonts w:ascii="Book Antiqua" w:hAnsi="Book Antiqua" w:cs="Times New Roman"/>
          <w:sz w:val="24"/>
          <w:szCs w:val="24"/>
        </w:rPr>
        <w:t>Hepascore</w:t>
      </w:r>
      <w:proofErr w:type="spellEnd"/>
      <w:r w:rsidR="00815B52" w:rsidRPr="00843662">
        <w:rPr>
          <w:rFonts w:ascii="Book Antiqua" w:hAnsi="Book Antiqua" w:cs="Times New Roman"/>
          <w:sz w:val="24"/>
          <w:szCs w:val="24"/>
        </w:rPr>
        <w:t xml:space="preserve"> is a serum test that provides clinically useful data regarding the stage of liver fibrosis and subsequent clinical outcomes in chronic liver disease</w:t>
      </w:r>
      <w:r w:rsidR="00B42F15">
        <w:rPr>
          <w:rFonts w:ascii="Book Antiqua" w:hAnsi="Book Antiqua" w:cs="Times New Roman" w:hint="eastAsia"/>
          <w:sz w:val="24"/>
          <w:szCs w:val="24"/>
        </w:rPr>
        <w:t>.</w:t>
      </w:r>
    </w:p>
    <w:p w14:paraId="33427BC2" w14:textId="77777777" w:rsidR="00D90C8E" w:rsidRPr="00B42F15" w:rsidRDefault="00D90C8E" w:rsidP="00843662">
      <w:pPr>
        <w:spacing w:after="0" w:line="360" w:lineRule="auto"/>
        <w:jc w:val="both"/>
        <w:outlineLvl w:val="0"/>
        <w:rPr>
          <w:rFonts w:ascii="Book Antiqua" w:hAnsi="Book Antiqua" w:cs="Times New Roman"/>
          <w:b/>
          <w:i/>
          <w:sz w:val="24"/>
          <w:szCs w:val="24"/>
        </w:rPr>
      </w:pPr>
    </w:p>
    <w:p w14:paraId="18928956" w14:textId="2649C183" w:rsidR="00D90C8E" w:rsidRDefault="00D90C8E" w:rsidP="00843662">
      <w:pPr>
        <w:spacing w:after="0" w:line="360" w:lineRule="auto"/>
        <w:jc w:val="both"/>
        <w:outlineLvl w:val="0"/>
        <w:rPr>
          <w:rFonts w:ascii="Book Antiqua" w:hAnsi="Book Antiqua" w:cs="Times New Roman"/>
          <w:sz w:val="24"/>
          <w:szCs w:val="24"/>
        </w:rPr>
      </w:pPr>
      <w:r>
        <w:rPr>
          <w:rFonts w:ascii="Book Antiqua" w:hAnsi="Book Antiqua" w:cs="Times New Roman"/>
          <w:b/>
          <w:i/>
          <w:sz w:val="24"/>
          <w:szCs w:val="24"/>
        </w:rPr>
        <w:t>RESULTS</w:t>
      </w:r>
    </w:p>
    <w:p w14:paraId="2C2F9AB3" w14:textId="6B19BF41" w:rsidR="00151BAB" w:rsidRPr="00843662" w:rsidRDefault="00151BAB" w:rsidP="00843662">
      <w:pPr>
        <w:spacing w:after="0" w:line="360" w:lineRule="auto"/>
        <w:jc w:val="both"/>
        <w:outlineLvl w:val="0"/>
        <w:rPr>
          <w:rFonts w:ascii="Book Antiqua" w:hAnsi="Book Antiqua" w:cs="Times New Roman"/>
          <w:sz w:val="24"/>
          <w:szCs w:val="24"/>
        </w:rPr>
      </w:pPr>
      <w:r w:rsidRPr="00843662">
        <w:rPr>
          <w:rFonts w:ascii="Book Antiqua" w:hAnsi="Book Antiqua" w:cs="Times New Roman"/>
          <w:sz w:val="24"/>
          <w:szCs w:val="24"/>
        </w:rPr>
        <w:t xml:space="preserve">Patients with a baseline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&gt;</w:t>
      </w:r>
      <w:r w:rsidR="00D90C8E">
        <w:rPr>
          <w:rFonts w:ascii="Book Antiqua" w:hAnsi="Book Antiqua" w:cs="Times New Roman" w:hint="eastAsia"/>
          <w:sz w:val="24"/>
          <w:szCs w:val="24"/>
        </w:rPr>
        <w:t xml:space="preserve"> </w:t>
      </w:r>
      <w:r w:rsidRPr="00843662">
        <w:rPr>
          <w:rFonts w:ascii="Book Antiqua" w:hAnsi="Book Antiqua" w:cs="Times New Roman"/>
          <w:sz w:val="24"/>
          <w:szCs w:val="24"/>
        </w:rPr>
        <w:t xml:space="preserve">0.75 had a significantly increased rate of reaching a composite endpoint </w:t>
      </w:r>
      <w:r w:rsidR="001E0615" w:rsidRPr="00843662">
        <w:rPr>
          <w:rFonts w:ascii="Book Antiqua" w:hAnsi="Book Antiqua" w:cs="Times New Roman"/>
          <w:sz w:val="24"/>
          <w:szCs w:val="24"/>
        </w:rPr>
        <w:t xml:space="preserve">consisting </w:t>
      </w:r>
      <w:r w:rsidRPr="00843662">
        <w:rPr>
          <w:rFonts w:ascii="Book Antiqua" w:hAnsi="Book Antiqua" w:cs="Times New Roman"/>
          <w:sz w:val="24"/>
          <w:szCs w:val="24"/>
        </w:rPr>
        <w:t>of hepatocellular carcinoma, liver death, and/or decompensation (</w:t>
      </w:r>
      <w:r w:rsidR="00D90C8E" w:rsidRPr="00D90C8E">
        <w:rPr>
          <w:rFonts w:ascii="Book Antiqua" w:hAnsi="Book Antiqua" w:cs="Times New Roman" w:hint="eastAsia"/>
          <w:i/>
          <w:sz w:val="24"/>
          <w:szCs w:val="24"/>
        </w:rPr>
        <w:t>P</w:t>
      </w:r>
      <w:r w:rsidR="00D90C8E">
        <w:rPr>
          <w:rFonts w:ascii="Book Antiqua" w:hAnsi="Book Antiqua" w:cs="Times New Roman" w:hint="eastAsia"/>
          <w:sz w:val="24"/>
          <w:szCs w:val="24"/>
        </w:rPr>
        <w:t xml:space="preserve"> </w:t>
      </w:r>
      <w:r w:rsidRPr="00843662">
        <w:rPr>
          <w:rFonts w:ascii="Book Antiqua" w:hAnsi="Book Antiqua" w:cs="Times New Roman"/>
          <w:sz w:val="24"/>
          <w:szCs w:val="24"/>
        </w:rPr>
        <w:t>&lt;</w:t>
      </w:r>
      <w:r w:rsidR="00D90C8E">
        <w:rPr>
          <w:rFonts w:ascii="Book Antiqua" w:hAnsi="Book Antiqua" w:cs="Times New Roman" w:hint="eastAsia"/>
          <w:sz w:val="24"/>
          <w:szCs w:val="24"/>
        </w:rPr>
        <w:t xml:space="preserve"> </w:t>
      </w:r>
      <w:r w:rsidRPr="00843662">
        <w:rPr>
          <w:rFonts w:ascii="Book Antiqua" w:hAnsi="Book Antiqua" w:cs="Times New Roman"/>
          <w:sz w:val="24"/>
          <w:szCs w:val="24"/>
        </w:rPr>
        <w:t xml:space="preserve">0.001). In those with an initial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&gt;</w:t>
      </w:r>
      <w:r w:rsidR="00D90C8E">
        <w:rPr>
          <w:rFonts w:ascii="Book Antiqua" w:hAnsi="Book Antiqua" w:cs="Times New Roman" w:hint="eastAsia"/>
          <w:sz w:val="24"/>
          <w:szCs w:val="24"/>
        </w:rPr>
        <w:t xml:space="preserve"> </w:t>
      </w:r>
      <w:r w:rsidRPr="00843662">
        <w:rPr>
          <w:rFonts w:ascii="Book Antiqua" w:hAnsi="Book Antiqua" w:cs="Times New Roman"/>
          <w:sz w:val="24"/>
          <w:szCs w:val="24"/>
        </w:rPr>
        <w:t xml:space="preserve">0.75, a subsequent improved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showed a significantly decreased risk for the composite endpoint (</w:t>
      </w:r>
      <w:r w:rsidR="00D90C8E" w:rsidRPr="00D90C8E">
        <w:rPr>
          <w:rFonts w:ascii="Book Antiqua" w:hAnsi="Book Antiqua" w:cs="Times New Roman" w:hint="eastAsia"/>
          <w:i/>
          <w:sz w:val="24"/>
          <w:szCs w:val="24"/>
        </w:rPr>
        <w:t>P</w:t>
      </w:r>
      <w:r w:rsidR="00D90C8E" w:rsidRPr="00843662">
        <w:rPr>
          <w:rFonts w:ascii="Book Antiqua" w:hAnsi="Book Antiqua" w:cs="Times New Roman"/>
          <w:sz w:val="24"/>
          <w:szCs w:val="24"/>
        </w:rPr>
        <w:t xml:space="preserve"> </w:t>
      </w:r>
      <w:r w:rsidRPr="00843662">
        <w:rPr>
          <w:rFonts w:ascii="Book Antiqua" w:hAnsi="Book Antiqua" w:cs="Times New Roman"/>
          <w:sz w:val="24"/>
          <w:szCs w:val="24"/>
        </w:rPr>
        <w:t>=</w:t>
      </w:r>
      <w:r w:rsidR="00D90C8E">
        <w:rPr>
          <w:rFonts w:ascii="Book Antiqua" w:hAnsi="Book Antiqua" w:cs="Times New Roman" w:hint="eastAsia"/>
          <w:sz w:val="24"/>
          <w:szCs w:val="24"/>
        </w:rPr>
        <w:t xml:space="preserve"> </w:t>
      </w:r>
      <w:r w:rsidRPr="00843662">
        <w:rPr>
          <w:rFonts w:ascii="Book Antiqua" w:hAnsi="Book Antiqua" w:cs="Times New Roman"/>
          <w:sz w:val="24"/>
          <w:szCs w:val="24"/>
        </w:rPr>
        <w:t xml:space="preserve">0.004). There were no negative outcomes in those with a stable or improved delta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w:t>
      </w:r>
      <w:r w:rsidR="005A5AE0" w:rsidRPr="00843662">
        <w:rPr>
          <w:rFonts w:ascii="Book Antiqua" w:hAnsi="Book Antiqua" w:cs="Times New Roman"/>
          <w:sz w:val="24"/>
          <w:szCs w:val="24"/>
        </w:rPr>
        <w:t xml:space="preserve"> The minimum time between tests that was found to give a statically significant result was in those greater than one year</w:t>
      </w:r>
      <w:r w:rsidR="001E0615" w:rsidRPr="00843662">
        <w:rPr>
          <w:rFonts w:ascii="Book Antiqua" w:hAnsi="Book Antiqua" w:cs="Times New Roman"/>
          <w:sz w:val="24"/>
          <w:szCs w:val="24"/>
        </w:rPr>
        <w:t xml:space="preserve"> (</w:t>
      </w:r>
      <w:r w:rsidR="00D90C8E" w:rsidRPr="00D90C8E">
        <w:rPr>
          <w:rFonts w:ascii="Book Antiqua" w:hAnsi="Book Antiqua" w:cs="Times New Roman" w:hint="eastAsia"/>
          <w:i/>
          <w:sz w:val="24"/>
          <w:szCs w:val="24"/>
        </w:rPr>
        <w:t>P</w:t>
      </w:r>
      <w:r w:rsidR="00D90C8E" w:rsidRPr="00843662">
        <w:rPr>
          <w:rFonts w:ascii="Book Antiqua" w:hAnsi="Book Antiqua" w:cs="Times New Roman"/>
          <w:sz w:val="24"/>
          <w:szCs w:val="24"/>
        </w:rPr>
        <w:t xml:space="preserve"> </w:t>
      </w:r>
      <w:r w:rsidR="001E0615" w:rsidRPr="00843662">
        <w:rPr>
          <w:rFonts w:ascii="Book Antiqua" w:hAnsi="Book Antiqua" w:cs="Times New Roman"/>
          <w:sz w:val="24"/>
          <w:szCs w:val="24"/>
        </w:rPr>
        <w:t>=</w:t>
      </w:r>
      <w:r w:rsidR="00D90C8E">
        <w:rPr>
          <w:rFonts w:ascii="Book Antiqua" w:hAnsi="Book Antiqua" w:cs="Times New Roman" w:hint="eastAsia"/>
          <w:sz w:val="24"/>
          <w:szCs w:val="24"/>
        </w:rPr>
        <w:t xml:space="preserve"> </w:t>
      </w:r>
      <w:r w:rsidR="001E0615" w:rsidRPr="00843662">
        <w:rPr>
          <w:rFonts w:ascii="Book Antiqua" w:hAnsi="Book Antiqua" w:cs="Times New Roman"/>
          <w:sz w:val="24"/>
          <w:szCs w:val="24"/>
        </w:rPr>
        <w:t>0.03)</w:t>
      </w:r>
      <w:r w:rsidR="005A5AE0" w:rsidRPr="00843662">
        <w:rPr>
          <w:rFonts w:ascii="Book Antiqua" w:hAnsi="Book Antiqua" w:cs="Times New Roman"/>
          <w:sz w:val="24"/>
          <w:szCs w:val="24"/>
        </w:rPr>
        <w:t>.</w:t>
      </w:r>
    </w:p>
    <w:p w14:paraId="3D4552DE" w14:textId="77777777" w:rsidR="00D90C8E" w:rsidRDefault="00D90C8E" w:rsidP="00843662">
      <w:pPr>
        <w:spacing w:after="0" w:line="360" w:lineRule="auto"/>
        <w:jc w:val="both"/>
        <w:outlineLvl w:val="0"/>
        <w:rPr>
          <w:rFonts w:ascii="Book Antiqua" w:hAnsi="Book Antiqua" w:cs="Times New Roman"/>
          <w:b/>
          <w:i/>
          <w:sz w:val="24"/>
          <w:szCs w:val="24"/>
        </w:rPr>
      </w:pPr>
    </w:p>
    <w:p w14:paraId="2788E438" w14:textId="7A308A9C" w:rsidR="00D90C8E" w:rsidRDefault="00D90C8E" w:rsidP="00843662">
      <w:pPr>
        <w:spacing w:after="0" w:line="360" w:lineRule="auto"/>
        <w:jc w:val="both"/>
        <w:outlineLvl w:val="0"/>
        <w:rPr>
          <w:rFonts w:ascii="Book Antiqua" w:hAnsi="Book Antiqua" w:cs="Times New Roman"/>
          <w:sz w:val="24"/>
          <w:szCs w:val="24"/>
        </w:rPr>
      </w:pPr>
      <w:r>
        <w:rPr>
          <w:rFonts w:ascii="Book Antiqua" w:hAnsi="Book Antiqua" w:cs="Times New Roman"/>
          <w:b/>
          <w:i/>
          <w:sz w:val="24"/>
          <w:szCs w:val="24"/>
        </w:rPr>
        <w:t>CONCLUSION</w:t>
      </w:r>
    </w:p>
    <w:p w14:paraId="37C92C13" w14:textId="49A7FC74" w:rsidR="00460638" w:rsidRPr="00843662" w:rsidRDefault="001E0615" w:rsidP="00843662">
      <w:pPr>
        <w:spacing w:after="0" w:line="360" w:lineRule="auto"/>
        <w:jc w:val="both"/>
        <w:outlineLvl w:val="0"/>
        <w:rPr>
          <w:rFonts w:ascii="Book Antiqua" w:hAnsi="Book Antiqua" w:cs="Times New Roman"/>
          <w:sz w:val="24"/>
          <w:szCs w:val="24"/>
        </w:rPr>
      </w:pPr>
      <w:r w:rsidRPr="00843662">
        <w:rPr>
          <w:rFonts w:ascii="Book Antiqua" w:hAnsi="Book Antiqua" w:cs="Times New Roman"/>
          <w:sz w:val="24"/>
          <w:szCs w:val="24"/>
        </w:rPr>
        <w:t xml:space="preserve">In conclusion,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is an accurate predicto</w:t>
      </w:r>
      <w:r w:rsidR="005F6B8B" w:rsidRPr="00843662">
        <w:rPr>
          <w:rFonts w:ascii="Book Antiqua" w:hAnsi="Book Antiqua" w:cs="Times New Roman"/>
          <w:sz w:val="24"/>
          <w:szCs w:val="24"/>
        </w:rPr>
        <w:t>r of liver related mortality and liver related</w:t>
      </w:r>
      <w:r w:rsidRPr="00843662">
        <w:rPr>
          <w:rFonts w:ascii="Book Antiqua" w:hAnsi="Book Antiqua" w:cs="Times New Roman"/>
          <w:sz w:val="24"/>
          <w:szCs w:val="24"/>
        </w:rPr>
        <w:t xml:space="preserve"> morbidity in CHC patients. Of note, we have found that there is a decreased risk of mortality and morbidity in CHC patients when the patient has an improving delta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Repeat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tests, when performed at a minimum one-year interval, may be of value in routine clinical practice to predict liver related clinical outcomes and to guide patient management.</w:t>
      </w:r>
    </w:p>
    <w:p w14:paraId="0EA4777C" w14:textId="77777777" w:rsidR="00E61BF9" w:rsidRPr="00843662" w:rsidRDefault="00E61BF9" w:rsidP="00843662">
      <w:pPr>
        <w:spacing w:after="0" w:line="360" w:lineRule="auto"/>
        <w:jc w:val="both"/>
        <w:outlineLvl w:val="0"/>
        <w:rPr>
          <w:rFonts w:ascii="Book Antiqua" w:hAnsi="Book Antiqua" w:cs="Times New Roman"/>
          <w:b/>
          <w:i/>
          <w:sz w:val="24"/>
          <w:szCs w:val="24"/>
        </w:rPr>
      </w:pPr>
    </w:p>
    <w:p w14:paraId="12B60D33" w14:textId="7DC8F2AE" w:rsidR="00FB7FB2" w:rsidRPr="00843662" w:rsidRDefault="00081979" w:rsidP="00843662">
      <w:pPr>
        <w:spacing w:after="0" w:line="360" w:lineRule="auto"/>
        <w:jc w:val="both"/>
        <w:outlineLvl w:val="0"/>
        <w:rPr>
          <w:rFonts w:ascii="Book Antiqua" w:hAnsi="Book Antiqua" w:cs="Times New Roman"/>
          <w:sz w:val="24"/>
          <w:szCs w:val="24"/>
        </w:rPr>
      </w:pPr>
      <w:r w:rsidRPr="00B42F15">
        <w:rPr>
          <w:rFonts w:ascii="Book Antiqua" w:hAnsi="Book Antiqua" w:cs="Times New Roman"/>
          <w:b/>
          <w:sz w:val="24"/>
          <w:szCs w:val="24"/>
        </w:rPr>
        <w:t>Key</w:t>
      </w:r>
      <w:r w:rsidR="00B42F15">
        <w:rPr>
          <w:rFonts w:ascii="Book Antiqua" w:hAnsi="Book Antiqua" w:cs="Times New Roman" w:hint="eastAsia"/>
          <w:b/>
          <w:sz w:val="24"/>
          <w:szCs w:val="24"/>
        </w:rPr>
        <w:t xml:space="preserve"> </w:t>
      </w:r>
      <w:r w:rsidRPr="00B42F15">
        <w:rPr>
          <w:rFonts w:ascii="Book Antiqua" w:hAnsi="Book Antiqua" w:cs="Times New Roman"/>
          <w:b/>
          <w:sz w:val="24"/>
          <w:szCs w:val="24"/>
        </w:rPr>
        <w:t>words:</w:t>
      </w:r>
      <w:r w:rsidRPr="00843662">
        <w:rPr>
          <w:rFonts w:ascii="Book Antiqua" w:hAnsi="Book Antiqua" w:cs="Times New Roman"/>
          <w:sz w:val="24"/>
          <w:szCs w:val="24"/>
        </w:rPr>
        <w:t xml:space="preserve"> </w:t>
      </w:r>
      <w:r w:rsidR="00B42F15">
        <w:rPr>
          <w:rFonts w:ascii="Book Antiqua" w:hAnsi="Book Antiqua" w:cs="Times New Roman" w:hint="eastAsia"/>
          <w:sz w:val="24"/>
          <w:szCs w:val="24"/>
        </w:rPr>
        <w:t>C</w:t>
      </w:r>
      <w:r w:rsidRPr="00843662">
        <w:rPr>
          <w:rFonts w:ascii="Book Antiqua" w:hAnsi="Book Antiqua" w:cs="Times New Roman"/>
          <w:sz w:val="24"/>
          <w:szCs w:val="24"/>
        </w:rPr>
        <w:t xml:space="preserve">hronic; </w:t>
      </w:r>
      <w:r w:rsidR="00B42F15">
        <w:rPr>
          <w:rFonts w:ascii="Book Antiqua" w:hAnsi="Book Antiqua" w:cs="Times New Roman" w:hint="eastAsia"/>
          <w:sz w:val="24"/>
          <w:szCs w:val="24"/>
        </w:rPr>
        <w:t>P</w:t>
      </w:r>
      <w:r w:rsidRPr="00843662">
        <w:rPr>
          <w:rFonts w:ascii="Book Antiqua" w:hAnsi="Book Antiqua" w:cs="Times New Roman"/>
          <w:sz w:val="24"/>
          <w:szCs w:val="24"/>
        </w:rPr>
        <w:t xml:space="preserve">rognosis; </w:t>
      </w:r>
      <w:r w:rsidR="00B42F15">
        <w:rPr>
          <w:rFonts w:ascii="Book Antiqua" w:hAnsi="Book Antiqua" w:cs="Times New Roman" w:hint="eastAsia"/>
          <w:sz w:val="24"/>
          <w:szCs w:val="24"/>
        </w:rPr>
        <w:t>D</w:t>
      </w:r>
      <w:r w:rsidR="00B42F15" w:rsidRPr="00843662">
        <w:rPr>
          <w:rFonts w:ascii="Book Antiqua" w:hAnsi="Book Antiqua" w:cs="Times New Roman"/>
          <w:sz w:val="24"/>
          <w:szCs w:val="24"/>
        </w:rPr>
        <w:t>irect acting antivirals</w:t>
      </w:r>
      <w:r w:rsidRPr="00843662">
        <w:rPr>
          <w:rFonts w:ascii="Book Antiqua" w:hAnsi="Book Antiqua" w:cs="Times New Roman"/>
          <w:sz w:val="24"/>
          <w:szCs w:val="24"/>
        </w:rPr>
        <w:t xml:space="preserve">; </w:t>
      </w:r>
      <w:r w:rsidR="00B42F15">
        <w:rPr>
          <w:rFonts w:ascii="Book Antiqua" w:hAnsi="Book Antiqua" w:cs="Times New Roman" w:hint="eastAsia"/>
          <w:sz w:val="24"/>
          <w:szCs w:val="24"/>
        </w:rPr>
        <w:t>S</w:t>
      </w:r>
      <w:r w:rsidRPr="00843662">
        <w:rPr>
          <w:rFonts w:ascii="Book Antiqua" w:hAnsi="Book Antiqua" w:cs="Times New Roman"/>
          <w:sz w:val="24"/>
          <w:szCs w:val="24"/>
        </w:rPr>
        <w:t>erum; Hepatitis C</w:t>
      </w:r>
    </w:p>
    <w:p w14:paraId="4D935AE8" w14:textId="62776A3E" w:rsidR="00FB7FB2" w:rsidRPr="00806B2C" w:rsidRDefault="00FB7FB2" w:rsidP="00843662">
      <w:pPr>
        <w:spacing w:after="0" w:line="360" w:lineRule="auto"/>
        <w:jc w:val="both"/>
        <w:outlineLvl w:val="0"/>
        <w:rPr>
          <w:rFonts w:ascii="Book Antiqua" w:hAnsi="Book Antiqua" w:cs="Times New Roman"/>
          <w:b/>
          <w:sz w:val="24"/>
          <w:szCs w:val="24"/>
        </w:rPr>
      </w:pPr>
    </w:p>
    <w:p w14:paraId="287C0331" w14:textId="525F6721" w:rsidR="00E37443" w:rsidRPr="00843662" w:rsidRDefault="00E37443" w:rsidP="00843662">
      <w:pPr>
        <w:spacing w:after="0" w:line="360" w:lineRule="auto"/>
        <w:jc w:val="both"/>
        <w:outlineLvl w:val="0"/>
        <w:rPr>
          <w:rFonts w:ascii="Book Antiqua" w:hAnsi="Book Antiqua" w:cs="Times New Roman"/>
          <w:sz w:val="24"/>
          <w:szCs w:val="24"/>
          <w:lang w:val="en-US"/>
        </w:rPr>
      </w:pPr>
      <w:bookmarkStart w:id="6" w:name="OLE_LINK2582"/>
      <w:bookmarkStart w:id="7" w:name="OLE_LINK2962"/>
      <w:bookmarkStart w:id="8" w:name="OLE_LINK2762"/>
      <w:bookmarkStart w:id="9" w:name="OLE_LINK2583"/>
      <w:bookmarkStart w:id="10" w:name="OLE_LINK2643"/>
      <w:bookmarkStart w:id="11" w:name="OLE_LINK2993"/>
      <w:bookmarkStart w:id="12" w:name="OLE_LINK2856"/>
      <w:bookmarkStart w:id="13" w:name="OLE_LINK2761"/>
      <w:bookmarkStart w:id="14" w:name="OLE_LINK2663"/>
      <w:bookmarkStart w:id="15" w:name="OLE_LINK2482"/>
      <w:bookmarkStart w:id="16" w:name="OLE_LINK2627"/>
      <w:bookmarkStart w:id="17" w:name="OLE_LINK2451"/>
      <w:bookmarkStart w:id="18" w:name="OLE_LINK2348"/>
      <w:bookmarkStart w:id="19" w:name="OLE_LINK2252"/>
      <w:bookmarkStart w:id="20" w:name="OLE_LINK2221"/>
      <w:bookmarkStart w:id="21" w:name="OLE_LINK2157"/>
      <w:bookmarkStart w:id="22" w:name="OLE_LINK2484"/>
      <w:bookmarkStart w:id="23" w:name="OLE_LINK2467"/>
      <w:bookmarkStart w:id="24" w:name="OLE_LINK2345"/>
      <w:bookmarkStart w:id="25" w:name="OLE_LINK2331"/>
      <w:bookmarkStart w:id="26" w:name="OLE_LINK2190"/>
      <w:bookmarkStart w:id="27" w:name="OLE_LINK2169"/>
      <w:bookmarkStart w:id="28" w:name="OLE_LINK2446"/>
      <w:bookmarkStart w:id="29" w:name="OLE_LINK2445"/>
      <w:bookmarkStart w:id="30" w:name="OLE_LINK2110"/>
      <w:bookmarkStart w:id="31" w:name="OLE_LINK2192"/>
      <w:bookmarkStart w:id="32" w:name="OLE_LINK1923"/>
      <w:bookmarkStart w:id="33" w:name="OLE_LINK2562"/>
      <w:bookmarkStart w:id="34" w:name="OLE_LINK2265"/>
      <w:bookmarkStart w:id="35" w:name="OLE_LINK2134"/>
      <w:bookmarkStart w:id="36" w:name="OLE_LINK2071"/>
      <w:bookmarkStart w:id="37" w:name="OLE_LINK2020"/>
      <w:bookmarkStart w:id="38" w:name="OLE_LINK1964"/>
      <w:bookmarkStart w:id="39" w:name="OLE_LINK1931"/>
      <w:bookmarkStart w:id="40" w:name="OLE_LINK2292"/>
      <w:bookmarkStart w:id="41" w:name="OLE_LINK2082"/>
      <w:bookmarkStart w:id="42" w:name="OLE_LINK2081"/>
      <w:bookmarkStart w:id="43" w:name="OLE_LINK1938"/>
      <w:bookmarkStart w:id="44" w:name="OLE_LINK1995"/>
      <w:bookmarkStart w:id="45" w:name="OLE_LINK1941"/>
      <w:bookmarkStart w:id="46" w:name="OLE_LINK1929"/>
      <w:bookmarkStart w:id="47" w:name="OLE_LINK1894"/>
      <w:bookmarkStart w:id="48" w:name="OLE_LINK2013"/>
      <w:bookmarkStart w:id="49" w:name="OLE_LINK1902"/>
      <w:bookmarkStart w:id="50" w:name="OLE_LINK1901"/>
      <w:bookmarkStart w:id="51" w:name="OLE_LINK1882"/>
      <w:bookmarkStart w:id="52" w:name="OLE_LINK1866"/>
      <w:bookmarkStart w:id="53" w:name="OLE_LINK1835"/>
      <w:bookmarkStart w:id="54" w:name="OLE_LINK1817"/>
      <w:bookmarkStart w:id="55" w:name="OLE_LINK1744"/>
      <w:bookmarkStart w:id="56" w:name="OLE_LINK1868"/>
      <w:bookmarkStart w:id="57" w:name="OLE_LINK1777"/>
      <w:bookmarkStart w:id="58" w:name="OLE_LINK1776"/>
      <w:bookmarkStart w:id="59" w:name="OLE_LINK1756"/>
      <w:bookmarkStart w:id="60" w:name="OLE_LINK1778"/>
      <w:bookmarkStart w:id="61" w:name="OLE_LINK1549"/>
      <w:bookmarkStart w:id="62" w:name="OLE_LINK1543"/>
      <w:bookmarkStart w:id="63" w:name="OLE_LINK1539"/>
      <w:bookmarkStart w:id="64" w:name="OLE_LINK1538"/>
      <w:bookmarkStart w:id="65" w:name="OLE_LINK1885"/>
      <w:bookmarkStart w:id="66" w:name="OLE_LINK1884"/>
      <w:bookmarkStart w:id="67" w:name="OLE_LINK1644"/>
      <w:bookmarkStart w:id="68" w:name="OLE_LINK1478"/>
      <w:bookmarkStart w:id="69" w:name="OLE_LINK1373"/>
      <w:bookmarkStart w:id="70" w:name="OLE_LINK1265"/>
      <w:bookmarkStart w:id="71" w:name="OLE_LINK1186"/>
      <w:bookmarkStart w:id="72" w:name="OLE_LINK259"/>
      <w:bookmarkStart w:id="73" w:name="OLE_LINK216"/>
      <w:bookmarkStart w:id="74" w:name="OLE_LINK135"/>
      <w:bookmarkStart w:id="75" w:name="OLE_LINK1516"/>
      <w:bookmarkStart w:id="76" w:name="OLE_LINK1504"/>
      <w:bookmarkStart w:id="77" w:name="OLE_LINK1480"/>
      <w:bookmarkStart w:id="78" w:name="OLE_LINK1454"/>
      <w:bookmarkStart w:id="79" w:name="OLE_LINK1437"/>
      <w:bookmarkStart w:id="80" w:name="OLE_LINK1403"/>
      <w:bookmarkStart w:id="81" w:name="OLE_LINK1384"/>
      <w:bookmarkStart w:id="82" w:name="OLE_LINK1361"/>
      <w:bookmarkStart w:id="83" w:name="OLE_LINK1313"/>
      <w:bookmarkStart w:id="84" w:name="OLE_LINK1284"/>
      <w:bookmarkStart w:id="85" w:name="OLE_LINK1247"/>
      <w:bookmarkStart w:id="86" w:name="OLE_LINK1219"/>
      <w:bookmarkStart w:id="87" w:name="OLE_LINK1193"/>
      <w:bookmarkStart w:id="88" w:name="OLE_LINK1163"/>
      <w:bookmarkStart w:id="89" w:name="OLE_LINK1125"/>
      <w:bookmarkStart w:id="90" w:name="OLE_LINK1100"/>
      <w:bookmarkStart w:id="91" w:name="OLE_LINK1086"/>
      <w:bookmarkStart w:id="92" w:name="OLE_LINK1348"/>
      <w:bookmarkStart w:id="93" w:name="OLE_LINK1061"/>
      <w:bookmarkStart w:id="94" w:name="OLE_LINK1060"/>
      <w:bookmarkStart w:id="95" w:name="OLE_LINK1029"/>
      <w:bookmarkStart w:id="96" w:name="OLE_LINK1334"/>
      <w:bookmarkStart w:id="97" w:name="OLE_LINK983"/>
      <w:bookmarkStart w:id="98" w:name="OLE_LINK861"/>
      <w:bookmarkStart w:id="99" w:name="OLE_LINK960"/>
      <w:bookmarkStart w:id="100" w:name="OLE_LINK928"/>
      <w:bookmarkStart w:id="101" w:name="OLE_LINK906"/>
      <w:bookmarkStart w:id="102" w:name="OLE_LINK879"/>
      <w:bookmarkStart w:id="103" w:name="OLE_LINK862"/>
      <w:bookmarkStart w:id="104" w:name="OLE_LINK820"/>
      <w:bookmarkStart w:id="105" w:name="OLE_LINK807"/>
      <w:bookmarkStart w:id="106" w:name="OLE_LINK787"/>
      <w:bookmarkStart w:id="107" w:name="OLE_LINK758"/>
      <w:bookmarkStart w:id="108" w:name="OLE_LINK744"/>
      <w:bookmarkStart w:id="109" w:name="OLE_LINK652"/>
      <w:bookmarkStart w:id="110" w:name="OLE_LINK651"/>
      <w:bookmarkStart w:id="111" w:name="OLE_LINK714"/>
      <w:bookmarkStart w:id="112" w:name="OLE_LINK672"/>
      <w:bookmarkStart w:id="113" w:name="OLE_LINK640"/>
      <w:bookmarkStart w:id="114" w:name="OLE_LINK575"/>
      <w:bookmarkStart w:id="115" w:name="OLE_LINK547"/>
      <w:bookmarkStart w:id="116" w:name="OLE_LINK546"/>
      <w:bookmarkStart w:id="117" w:name="OLE_LINK504"/>
      <w:bookmarkStart w:id="118" w:name="OLE_LINK1027"/>
      <w:bookmarkStart w:id="119" w:name="OLE_LINK982"/>
      <w:bookmarkStart w:id="120" w:name="OLE_LINK800"/>
      <w:bookmarkStart w:id="121" w:name="OLE_LINK512"/>
      <w:bookmarkStart w:id="122" w:name="OLE_LINK474"/>
      <w:bookmarkStart w:id="123" w:name="OLE_LINK472"/>
      <w:bookmarkStart w:id="124" w:name="OLE_LINK471"/>
      <w:bookmarkStart w:id="125" w:name="OLE_LINK470"/>
      <w:bookmarkStart w:id="126" w:name="OLE_LINK466"/>
      <w:bookmarkStart w:id="127" w:name="OLE_LINK465"/>
      <w:bookmarkStart w:id="128" w:name="OLE_LINK464"/>
      <w:bookmarkStart w:id="129" w:name="OLE_LINK514"/>
      <w:bookmarkStart w:id="130" w:name="OLE_LINK513"/>
      <w:bookmarkStart w:id="131" w:name="OLE_LINK330"/>
      <w:bookmarkStart w:id="132" w:name="OLE_LINK325"/>
      <w:bookmarkStart w:id="133" w:name="OLE_LINK312"/>
      <w:bookmarkStart w:id="134" w:name="OLE_LINK311"/>
      <w:bookmarkStart w:id="135" w:name="OLE_LINK247"/>
      <w:bookmarkStart w:id="136" w:name="OLE_LINK242"/>
      <w:bookmarkStart w:id="137" w:name="OLE_LINK217"/>
      <w:bookmarkStart w:id="138" w:name="OLE_LINK196"/>
      <w:bookmarkStart w:id="139" w:name="OLE_LINK156"/>
      <w:bookmarkStart w:id="140" w:name="OLE_LINK98"/>
      <w:proofErr w:type="gramStart"/>
      <w:r w:rsidRPr="00843662">
        <w:rPr>
          <w:rFonts w:ascii="Book Antiqua" w:hAnsi="Book Antiqua" w:cs="Times New Roman"/>
          <w:b/>
          <w:sz w:val="24"/>
          <w:szCs w:val="24"/>
          <w:lang w:val="en-GB"/>
        </w:rPr>
        <w:lastRenderedPageBreak/>
        <w:t xml:space="preserve">© </w:t>
      </w:r>
      <w:r w:rsidRPr="00843662">
        <w:rPr>
          <w:rFonts w:ascii="Book Antiqua" w:hAnsi="Book Antiqua" w:cs="Times New Roman"/>
          <w:b/>
          <w:sz w:val="24"/>
          <w:szCs w:val="24"/>
          <w:lang w:val="en-US"/>
        </w:rPr>
        <w:t>The Author(s) 2017.</w:t>
      </w:r>
      <w:proofErr w:type="gramEnd"/>
      <w:r w:rsidRPr="00843662">
        <w:rPr>
          <w:rFonts w:ascii="Book Antiqua" w:hAnsi="Book Antiqua" w:cs="Times New Roman"/>
          <w:b/>
          <w:sz w:val="24"/>
          <w:szCs w:val="24"/>
          <w:lang w:val="en-US"/>
        </w:rPr>
        <w:t xml:space="preserve"> </w:t>
      </w:r>
      <w:r w:rsidRPr="00843662">
        <w:rPr>
          <w:rFonts w:ascii="Book Antiqua" w:hAnsi="Book Antiqua" w:cs="Times New Roman"/>
          <w:sz w:val="24"/>
          <w:szCs w:val="24"/>
          <w:lang w:val="en-US"/>
        </w:rPr>
        <w:t xml:space="preserve">Published by </w:t>
      </w:r>
      <w:proofErr w:type="spellStart"/>
      <w:r w:rsidRPr="00843662">
        <w:rPr>
          <w:rFonts w:ascii="Book Antiqua" w:hAnsi="Book Antiqua" w:cs="Times New Roman"/>
          <w:sz w:val="24"/>
          <w:szCs w:val="24"/>
          <w:lang w:val="en-GB"/>
        </w:rPr>
        <w:t>Baishideng</w:t>
      </w:r>
      <w:proofErr w:type="spellEnd"/>
      <w:r w:rsidRPr="00843662">
        <w:rPr>
          <w:rFonts w:ascii="Book Antiqua" w:hAnsi="Book Antiqua" w:cs="Times New Roman"/>
          <w:sz w:val="24"/>
          <w:szCs w:val="24"/>
          <w:lang w:val="en-GB"/>
        </w:rPr>
        <w:t xml:space="preserve"> Publishing Group Inc.</w:t>
      </w:r>
      <w:r w:rsidRPr="00843662">
        <w:rPr>
          <w:rFonts w:ascii="Book Antiqua" w:hAnsi="Book Antiqua" w:cs="Times New Roman"/>
          <w:sz w:val="24"/>
          <w:szCs w:val="24"/>
          <w:lang w:val="en-US"/>
        </w:rPr>
        <w:t>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331029C" w14:textId="77777777" w:rsidR="00276DCA" w:rsidRPr="00843662" w:rsidRDefault="00276DCA" w:rsidP="00843662">
      <w:pPr>
        <w:spacing w:after="0" w:line="360" w:lineRule="auto"/>
        <w:jc w:val="both"/>
        <w:outlineLvl w:val="0"/>
        <w:rPr>
          <w:rFonts w:ascii="Book Antiqua" w:hAnsi="Book Antiqua" w:cs="Times New Roman"/>
          <w:b/>
          <w:i/>
          <w:sz w:val="24"/>
          <w:szCs w:val="24"/>
        </w:rPr>
      </w:pPr>
    </w:p>
    <w:p w14:paraId="2BA906E9" w14:textId="178A3CDF" w:rsidR="00B1224C" w:rsidRPr="00843662" w:rsidRDefault="00FB7FB2" w:rsidP="00843662">
      <w:pPr>
        <w:spacing w:after="0" w:line="360" w:lineRule="auto"/>
        <w:jc w:val="both"/>
        <w:outlineLvl w:val="0"/>
        <w:rPr>
          <w:rFonts w:ascii="Book Antiqua" w:hAnsi="Book Antiqua" w:cs="Times New Roman"/>
          <w:sz w:val="24"/>
          <w:szCs w:val="24"/>
        </w:rPr>
      </w:pPr>
      <w:r w:rsidRPr="00806B2C">
        <w:rPr>
          <w:rFonts w:ascii="Book Antiqua" w:hAnsi="Book Antiqua" w:cs="Times New Roman"/>
          <w:b/>
          <w:sz w:val="24"/>
          <w:szCs w:val="24"/>
        </w:rPr>
        <w:t xml:space="preserve">Core </w:t>
      </w:r>
      <w:r w:rsidR="00806B2C">
        <w:rPr>
          <w:rFonts w:ascii="Book Antiqua" w:hAnsi="Book Antiqua" w:cs="Times New Roman" w:hint="eastAsia"/>
          <w:b/>
          <w:sz w:val="24"/>
          <w:szCs w:val="24"/>
        </w:rPr>
        <w:t>t</w:t>
      </w:r>
      <w:r w:rsidRPr="00806B2C">
        <w:rPr>
          <w:rFonts w:ascii="Book Antiqua" w:hAnsi="Book Antiqua" w:cs="Times New Roman"/>
          <w:b/>
          <w:sz w:val="24"/>
          <w:szCs w:val="24"/>
        </w:rPr>
        <w:t>ip</w:t>
      </w:r>
      <w:r w:rsidR="00E61BF9" w:rsidRPr="00806B2C">
        <w:rPr>
          <w:rFonts w:ascii="Book Antiqua" w:hAnsi="Book Antiqua" w:cs="Times New Roman"/>
          <w:b/>
          <w:sz w:val="24"/>
          <w:szCs w:val="24"/>
        </w:rPr>
        <w:t>:</w:t>
      </w:r>
      <w:r w:rsidR="00E61BF9" w:rsidRPr="00843662">
        <w:rPr>
          <w:rFonts w:ascii="Book Antiqua" w:hAnsi="Book Antiqua" w:cs="Times New Roman"/>
          <w:b/>
          <w:i/>
          <w:sz w:val="24"/>
          <w:szCs w:val="24"/>
        </w:rPr>
        <w:t xml:space="preserve"> </w:t>
      </w:r>
      <w:r w:rsidRPr="00843662">
        <w:rPr>
          <w:rFonts w:ascii="Book Antiqua" w:hAnsi="Book Antiqua" w:cs="Times New Roman"/>
          <w:sz w:val="24"/>
          <w:szCs w:val="24"/>
        </w:rPr>
        <w:t xml:space="preserve">The growing burden of hepatitis C is well recognized. The use of serum fibrosis markers such as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to monitor change in clinical risk in </w:t>
      </w:r>
      <w:r w:rsidR="00806B2C">
        <w:rPr>
          <w:rFonts w:ascii="Book Antiqua" w:hAnsi="Book Antiqua" w:cs="Times New Roman" w:hint="eastAsia"/>
          <w:sz w:val="24"/>
          <w:szCs w:val="24"/>
        </w:rPr>
        <w:t>h</w:t>
      </w:r>
      <w:r w:rsidRPr="00843662">
        <w:rPr>
          <w:rFonts w:ascii="Book Antiqua" w:hAnsi="Book Antiqua" w:cs="Times New Roman"/>
          <w:sz w:val="24"/>
          <w:szCs w:val="24"/>
        </w:rPr>
        <w:t xml:space="preserve">epatitis C has a significant potential benefit to optimise the management in these patients. However, there is no information on the value of serial serum fibrosis tests and their improvement over time in determining changes in liver related clinical outcomes. </w:t>
      </w:r>
      <w:r w:rsidR="001C67A9" w:rsidRPr="00843662">
        <w:rPr>
          <w:rFonts w:ascii="Book Antiqua" w:hAnsi="Book Antiqua" w:cs="Times New Roman"/>
          <w:sz w:val="24"/>
          <w:szCs w:val="24"/>
        </w:rPr>
        <w:t xml:space="preserve">We have found that there is a decreased risk of mortality and morbidity in </w:t>
      </w:r>
      <w:r w:rsidR="00806B2C">
        <w:rPr>
          <w:rFonts w:ascii="Book Antiqua" w:hAnsi="Book Antiqua" w:cs="Times New Roman"/>
          <w:sz w:val="24"/>
          <w:szCs w:val="24"/>
        </w:rPr>
        <w:t xml:space="preserve">chronic </w:t>
      </w:r>
      <w:r w:rsidR="00806B2C">
        <w:rPr>
          <w:rFonts w:ascii="Book Antiqua" w:hAnsi="Book Antiqua" w:cs="Times New Roman" w:hint="eastAsia"/>
          <w:sz w:val="24"/>
          <w:szCs w:val="24"/>
        </w:rPr>
        <w:t>h</w:t>
      </w:r>
      <w:r w:rsidR="00806B2C">
        <w:rPr>
          <w:rFonts w:ascii="Book Antiqua" w:hAnsi="Book Antiqua" w:cs="Times New Roman"/>
          <w:sz w:val="24"/>
          <w:szCs w:val="24"/>
        </w:rPr>
        <w:t>epatitis C</w:t>
      </w:r>
      <w:r w:rsidR="001C67A9" w:rsidRPr="00843662">
        <w:rPr>
          <w:rFonts w:ascii="Book Antiqua" w:hAnsi="Book Antiqua" w:cs="Times New Roman"/>
          <w:sz w:val="24"/>
          <w:szCs w:val="24"/>
        </w:rPr>
        <w:t xml:space="preserve"> patients when the patient has an improving delta </w:t>
      </w:r>
      <w:proofErr w:type="spellStart"/>
      <w:r w:rsidR="001C67A9" w:rsidRPr="00843662">
        <w:rPr>
          <w:rFonts w:ascii="Book Antiqua" w:hAnsi="Book Antiqua" w:cs="Times New Roman"/>
          <w:sz w:val="24"/>
          <w:szCs w:val="24"/>
        </w:rPr>
        <w:t>Hepascore</w:t>
      </w:r>
      <w:proofErr w:type="spellEnd"/>
      <w:r w:rsidR="001C67A9" w:rsidRPr="00843662">
        <w:rPr>
          <w:rFonts w:ascii="Book Antiqua" w:hAnsi="Book Antiqua" w:cs="Times New Roman"/>
          <w:sz w:val="24"/>
          <w:szCs w:val="24"/>
        </w:rPr>
        <w:t>, and serial tests may be of use in clinical practice.</w:t>
      </w:r>
    </w:p>
    <w:p w14:paraId="41F38267" w14:textId="77777777" w:rsidR="001C67A9" w:rsidRPr="00843662" w:rsidRDefault="001C67A9" w:rsidP="00843662">
      <w:pPr>
        <w:spacing w:after="0" w:line="360" w:lineRule="auto"/>
        <w:jc w:val="both"/>
        <w:outlineLvl w:val="0"/>
        <w:rPr>
          <w:rFonts w:ascii="Book Antiqua" w:hAnsi="Book Antiqua" w:cs="Times New Roman"/>
          <w:b/>
          <w:sz w:val="24"/>
          <w:szCs w:val="24"/>
        </w:rPr>
      </w:pPr>
    </w:p>
    <w:p w14:paraId="541044E1" w14:textId="1BEBF70E" w:rsidR="00276DCA" w:rsidRPr="00843662" w:rsidRDefault="00276DCA" w:rsidP="00843662">
      <w:pPr>
        <w:spacing w:after="0" w:line="360" w:lineRule="auto"/>
        <w:jc w:val="both"/>
        <w:outlineLvl w:val="0"/>
        <w:rPr>
          <w:rFonts w:ascii="Book Antiqua" w:hAnsi="Book Antiqua" w:cs="Times New Roman"/>
          <w:b/>
          <w:sz w:val="24"/>
          <w:szCs w:val="24"/>
        </w:rPr>
      </w:pPr>
      <w:r w:rsidRPr="005C3219">
        <w:rPr>
          <w:rFonts w:ascii="Book Antiqua" w:hAnsi="Book Antiqua" w:cs="Times New Roman"/>
          <w:sz w:val="24"/>
          <w:szCs w:val="24"/>
        </w:rPr>
        <w:t>Jeffrey AW,</w:t>
      </w:r>
      <w:r w:rsidRPr="00843662">
        <w:rPr>
          <w:rFonts w:ascii="Book Antiqua" w:hAnsi="Book Antiqua" w:cs="Times New Roman"/>
          <w:b/>
          <w:sz w:val="24"/>
          <w:szCs w:val="24"/>
        </w:rPr>
        <w:t xml:space="preserve"> </w:t>
      </w:r>
      <w:r w:rsidRPr="00843662">
        <w:rPr>
          <w:rFonts w:ascii="Book Antiqua" w:hAnsi="Book Antiqua" w:cs="Times New Roman"/>
          <w:sz w:val="24"/>
          <w:szCs w:val="24"/>
        </w:rPr>
        <w:t xml:space="preserve">Huang Y, </w:t>
      </w:r>
      <w:r w:rsidR="00AC6696" w:rsidRPr="00843662">
        <w:rPr>
          <w:rFonts w:ascii="Book Antiqua" w:hAnsi="Book Antiqua" w:cs="Times New Roman"/>
          <w:sz w:val="24"/>
          <w:szCs w:val="24"/>
        </w:rPr>
        <w:t>de Boer BW, Adams LA</w:t>
      </w:r>
      <w:r w:rsidRPr="00843662">
        <w:rPr>
          <w:rFonts w:ascii="Book Antiqua" w:hAnsi="Book Antiqua" w:cs="Times New Roman"/>
          <w:sz w:val="24"/>
          <w:szCs w:val="24"/>
        </w:rPr>
        <w:t xml:space="preserve">, </w:t>
      </w:r>
      <w:proofErr w:type="spellStart"/>
      <w:r w:rsidRPr="00843662">
        <w:rPr>
          <w:rFonts w:ascii="Book Antiqua" w:hAnsi="Book Antiqua" w:cs="Times New Roman"/>
          <w:sz w:val="24"/>
          <w:szCs w:val="24"/>
        </w:rPr>
        <w:t>MacQuillan</w:t>
      </w:r>
      <w:proofErr w:type="spellEnd"/>
      <w:r w:rsidRPr="00843662">
        <w:rPr>
          <w:rFonts w:ascii="Book Antiqua" w:hAnsi="Book Antiqua" w:cs="Times New Roman"/>
          <w:sz w:val="24"/>
          <w:szCs w:val="24"/>
        </w:rPr>
        <w:t xml:space="preserve"> G, Speers DJ, Joseph J, Jeffrey GP. Improved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in </w:t>
      </w:r>
      <w:r w:rsidR="005C3219">
        <w:rPr>
          <w:rFonts w:ascii="Book Antiqua" w:hAnsi="Book Antiqua" w:cs="Times New Roman" w:hint="eastAsia"/>
          <w:sz w:val="24"/>
          <w:szCs w:val="24"/>
        </w:rPr>
        <w:t>h</w:t>
      </w:r>
      <w:r w:rsidRPr="00843662">
        <w:rPr>
          <w:rFonts w:ascii="Book Antiqua" w:hAnsi="Book Antiqua" w:cs="Times New Roman"/>
          <w:sz w:val="24"/>
          <w:szCs w:val="24"/>
        </w:rPr>
        <w:t xml:space="preserve">epatitis C predicts reversal in risk of adverse outcome. </w:t>
      </w:r>
      <w:r w:rsidR="005C3219" w:rsidRPr="00C341A0">
        <w:rPr>
          <w:rFonts w:ascii="Book Antiqua" w:hAnsi="Book Antiqua"/>
          <w:i/>
          <w:iCs/>
          <w:sz w:val="24"/>
          <w:szCs w:val="24"/>
        </w:rPr>
        <w:t xml:space="preserve">World J </w:t>
      </w:r>
      <w:proofErr w:type="spellStart"/>
      <w:r w:rsidR="005C3219" w:rsidRPr="00C341A0">
        <w:rPr>
          <w:rFonts w:ascii="Book Antiqua" w:hAnsi="Book Antiqua"/>
          <w:i/>
          <w:iCs/>
          <w:sz w:val="24"/>
          <w:szCs w:val="24"/>
        </w:rPr>
        <w:t>Hepatol</w:t>
      </w:r>
      <w:proofErr w:type="spellEnd"/>
      <w:r w:rsidRPr="00843662">
        <w:rPr>
          <w:rFonts w:ascii="Book Antiqua" w:hAnsi="Book Antiqua" w:cs="Times New Roman"/>
          <w:sz w:val="24"/>
          <w:szCs w:val="24"/>
        </w:rPr>
        <w:t xml:space="preserve"> 2017; </w:t>
      </w:r>
      <w:proofErr w:type="gramStart"/>
      <w:r w:rsidRPr="00843662">
        <w:rPr>
          <w:rFonts w:ascii="Book Antiqua" w:hAnsi="Book Antiqua" w:cs="Times New Roman"/>
          <w:sz w:val="24"/>
          <w:szCs w:val="24"/>
        </w:rPr>
        <w:t>In</w:t>
      </w:r>
      <w:proofErr w:type="gramEnd"/>
      <w:r w:rsidRPr="00843662">
        <w:rPr>
          <w:rFonts w:ascii="Book Antiqua" w:hAnsi="Book Antiqua" w:cs="Times New Roman"/>
          <w:sz w:val="24"/>
          <w:szCs w:val="24"/>
        </w:rPr>
        <w:t xml:space="preserve"> press</w:t>
      </w:r>
    </w:p>
    <w:p w14:paraId="1B3EED17" w14:textId="634AB62C" w:rsidR="00460638" w:rsidRPr="00843662" w:rsidRDefault="00460638" w:rsidP="00843662">
      <w:pPr>
        <w:spacing w:after="0" w:line="360" w:lineRule="auto"/>
        <w:jc w:val="both"/>
        <w:outlineLvl w:val="0"/>
        <w:rPr>
          <w:rFonts w:ascii="Book Antiqua" w:hAnsi="Book Antiqua" w:cs="Times New Roman"/>
          <w:sz w:val="24"/>
          <w:szCs w:val="24"/>
        </w:rPr>
      </w:pPr>
      <w:r w:rsidRPr="00843662">
        <w:rPr>
          <w:rFonts w:ascii="Book Antiqua" w:hAnsi="Book Antiqua" w:cs="Times New Roman"/>
          <w:b/>
          <w:sz w:val="24"/>
          <w:szCs w:val="24"/>
        </w:rPr>
        <w:br w:type="page"/>
      </w:r>
    </w:p>
    <w:p w14:paraId="0918D220" w14:textId="0DE8BFCA" w:rsidR="00170F02" w:rsidRPr="00843662" w:rsidRDefault="005C3219"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lastRenderedPageBreak/>
        <w:t>INTRODUCTION</w:t>
      </w:r>
    </w:p>
    <w:p w14:paraId="7A751427" w14:textId="4D12D993" w:rsidR="00E5628B" w:rsidRPr="00843662" w:rsidRDefault="001C67A9"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The use of direct acting antivirals (DAA) therapy </w:t>
      </w:r>
      <w:r w:rsidR="00B07254" w:rsidRPr="00843662">
        <w:rPr>
          <w:rFonts w:ascii="Book Antiqua" w:hAnsi="Book Antiqua" w:cs="Times New Roman"/>
          <w:sz w:val="24"/>
          <w:szCs w:val="24"/>
        </w:rPr>
        <w:t xml:space="preserve">in </w:t>
      </w:r>
      <w:r w:rsidRPr="00843662">
        <w:rPr>
          <w:rFonts w:ascii="Book Antiqua" w:hAnsi="Book Antiqua" w:cs="Times New Roman"/>
          <w:sz w:val="24"/>
          <w:szCs w:val="24"/>
        </w:rPr>
        <w:t xml:space="preserve">chronic </w:t>
      </w:r>
      <w:r w:rsidR="009D7041">
        <w:rPr>
          <w:rFonts w:ascii="Book Antiqua" w:hAnsi="Book Antiqua" w:cs="Times New Roman" w:hint="eastAsia"/>
          <w:sz w:val="24"/>
          <w:szCs w:val="24"/>
        </w:rPr>
        <w:t>h</w:t>
      </w:r>
      <w:r w:rsidRPr="00843662">
        <w:rPr>
          <w:rFonts w:ascii="Book Antiqua" w:hAnsi="Book Antiqua" w:cs="Times New Roman"/>
          <w:sz w:val="24"/>
          <w:szCs w:val="24"/>
        </w:rPr>
        <w:t xml:space="preserve">epatitis C (CHC) </w:t>
      </w:r>
      <w:r w:rsidR="00B07254" w:rsidRPr="00843662">
        <w:rPr>
          <w:rFonts w:ascii="Book Antiqua" w:hAnsi="Book Antiqua" w:cs="Times New Roman"/>
          <w:sz w:val="24"/>
          <w:szCs w:val="24"/>
        </w:rPr>
        <w:t xml:space="preserve">treatment </w:t>
      </w:r>
      <w:r w:rsidRPr="00843662">
        <w:rPr>
          <w:rFonts w:ascii="Book Antiqua" w:hAnsi="Book Antiqua" w:cs="Times New Roman"/>
          <w:sz w:val="24"/>
          <w:szCs w:val="24"/>
        </w:rPr>
        <w:t xml:space="preserve">has </w:t>
      </w:r>
      <w:r w:rsidR="00F1443B" w:rsidRPr="00843662">
        <w:rPr>
          <w:rFonts w:ascii="Book Antiqua" w:hAnsi="Book Antiqua" w:cs="Times New Roman"/>
          <w:sz w:val="24"/>
          <w:szCs w:val="24"/>
        </w:rPr>
        <w:t xml:space="preserve">resulted </w:t>
      </w:r>
      <w:r w:rsidR="00D558B0" w:rsidRPr="00843662">
        <w:rPr>
          <w:rFonts w:ascii="Book Antiqua" w:hAnsi="Book Antiqua" w:cs="Times New Roman"/>
          <w:sz w:val="24"/>
          <w:szCs w:val="24"/>
        </w:rPr>
        <w:t xml:space="preserve">in </w:t>
      </w:r>
      <w:r w:rsidR="005E7F32" w:rsidRPr="00843662">
        <w:rPr>
          <w:rFonts w:ascii="Book Antiqua" w:hAnsi="Book Antiqua" w:cs="Times New Roman"/>
          <w:sz w:val="24"/>
          <w:szCs w:val="24"/>
        </w:rPr>
        <w:t>up to 99</w:t>
      </w:r>
      <w:r w:rsidR="00F1443B" w:rsidRPr="00843662">
        <w:rPr>
          <w:rFonts w:ascii="Book Antiqua" w:hAnsi="Book Antiqua" w:cs="Times New Roman"/>
          <w:sz w:val="24"/>
          <w:szCs w:val="24"/>
        </w:rPr>
        <w:t xml:space="preserve">% eradication of </w:t>
      </w:r>
      <w:r w:rsidR="009D7041">
        <w:rPr>
          <w:rFonts w:ascii="Book Antiqua" w:hAnsi="Book Antiqua" w:cs="Times New Roman" w:hint="eastAsia"/>
          <w:sz w:val="24"/>
          <w:szCs w:val="24"/>
        </w:rPr>
        <w:t>h</w:t>
      </w:r>
      <w:r w:rsidR="00F339A3" w:rsidRPr="00843662">
        <w:rPr>
          <w:rFonts w:ascii="Book Antiqua" w:hAnsi="Book Antiqua" w:cs="Times New Roman"/>
          <w:sz w:val="24"/>
          <w:szCs w:val="24"/>
        </w:rPr>
        <w:t xml:space="preserve">epatitis C </w:t>
      </w:r>
      <w:r w:rsidR="0002492D">
        <w:rPr>
          <w:rFonts w:ascii="Book Antiqua" w:hAnsi="Book Antiqua" w:cs="Times New Roman" w:hint="eastAsia"/>
          <w:sz w:val="24"/>
          <w:szCs w:val="24"/>
        </w:rPr>
        <w:t>v</w:t>
      </w:r>
      <w:r w:rsidR="00F339A3" w:rsidRPr="00843662">
        <w:rPr>
          <w:rFonts w:ascii="Book Antiqua" w:hAnsi="Book Antiqua" w:cs="Times New Roman"/>
          <w:sz w:val="24"/>
          <w:szCs w:val="24"/>
        </w:rPr>
        <w:t>irus (</w:t>
      </w:r>
      <w:r w:rsidR="00F1443B" w:rsidRPr="00843662">
        <w:rPr>
          <w:rFonts w:ascii="Book Antiqua" w:hAnsi="Book Antiqua" w:cs="Times New Roman"/>
          <w:sz w:val="24"/>
          <w:szCs w:val="24"/>
        </w:rPr>
        <w:t>HCV</w:t>
      </w:r>
      <w:r w:rsidR="00F339A3" w:rsidRPr="00843662">
        <w:rPr>
          <w:rFonts w:ascii="Book Antiqua" w:hAnsi="Book Antiqua" w:cs="Times New Roman"/>
          <w:sz w:val="24"/>
          <w:szCs w:val="24"/>
        </w:rPr>
        <w:t>)</w:t>
      </w:r>
      <w:r w:rsidR="00F1443B" w:rsidRPr="00843662">
        <w:rPr>
          <w:rFonts w:ascii="Book Antiqua" w:hAnsi="Book Antiqua" w:cs="Times New Roman"/>
          <w:sz w:val="24"/>
          <w:szCs w:val="24"/>
        </w:rPr>
        <w:t xml:space="preserve"> in patients receiving treatment</w:t>
      </w:r>
      <w:r w:rsidR="006A2591" w:rsidRPr="00843662">
        <w:rPr>
          <w:rFonts w:ascii="Book Antiqua" w:hAnsi="Book Antiqua" w:cs="Times New Roman"/>
          <w:sz w:val="24"/>
          <w:szCs w:val="24"/>
        </w:rPr>
        <w:t xml:space="preserve">, depending on the genotype and </w:t>
      </w:r>
      <w:r w:rsidR="00F339A3" w:rsidRPr="00843662">
        <w:rPr>
          <w:rFonts w:ascii="Book Antiqua" w:hAnsi="Book Antiqua" w:cs="Times New Roman"/>
          <w:sz w:val="24"/>
          <w:szCs w:val="24"/>
        </w:rPr>
        <w:t xml:space="preserve">type of </w:t>
      </w:r>
      <w:r w:rsidR="006A2591" w:rsidRPr="00843662">
        <w:rPr>
          <w:rFonts w:ascii="Book Antiqua" w:hAnsi="Book Antiqua" w:cs="Times New Roman"/>
          <w:sz w:val="24"/>
          <w:szCs w:val="24"/>
        </w:rPr>
        <w:t xml:space="preserve">DAA </w:t>
      </w:r>
      <w:r w:rsidR="00F339A3" w:rsidRPr="00843662">
        <w:rPr>
          <w:rFonts w:ascii="Book Antiqua" w:hAnsi="Book Antiqua" w:cs="Times New Roman"/>
          <w:sz w:val="24"/>
          <w:szCs w:val="24"/>
        </w:rPr>
        <w:t>used</w:t>
      </w:r>
      <w:r w:rsidR="00E82DF0" w:rsidRPr="00843662">
        <w:rPr>
          <w:rFonts w:ascii="Book Antiqua" w:hAnsi="Book Antiqua" w:cs="Times New Roman"/>
          <w:sz w:val="24"/>
          <w:szCs w:val="24"/>
        </w:rPr>
        <w:fldChar w:fldCharType="begin"/>
      </w:r>
      <w:r w:rsidR="00AC6696" w:rsidRPr="00843662">
        <w:rPr>
          <w:rFonts w:ascii="Book Antiqua" w:hAnsi="Book Antiqua" w:cs="Times New Roman"/>
          <w:sz w:val="24"/>
          <w:szCs w:val="24"/>
        </w:rPr>
        <w:instrText xml:space="preserve"> ADDIN ZOTERO_ITEM CSL_CITATION {"citationID":"yusJ6BdI","properties":{"unsorted":true,"formattedCitation":"{\\rtf \\super [1,2]\\nosupersub{}}","plainCitation":"[1,2]"},"citationItems":[{"id":41,"uris":["http://zotero.org/users/2588530/items/BVI2HFMS"],"uri":["http://zotero.org/users/2588530/items/BVI2HFMS"],"itemData":{"id":41,"type":"article-journal","title":"Impact of all oral anti-hepatitis C virus therapy: A meta-analysis","container-title":"World Journal of Hepatology","page":"806-813","volume":"7","issue":"5","source":"PubMed Central","abstract":"AIM: To investigate the efficacy, safety, and cost of treatment of direct acting antivirals (DAAs) with and without peg interferon alfa2a (P), and/or ribavirin (R) in treating hepatitis C virus (HCV) genotype 1 patients., METHODS: MEDLINE was searched for randomized controlled trials (RCT) using DAAs for HCV treatment. Phase 1 trials and studies with investigational drugs on genotype 2 or 3, and on human immunodeficiency virus patients were excluded. Data were pooled for sustained virologic response (SVR), serious adverse effects, and drug discontinuation rate on various treatment arms in trials: P + R; 1st generation DAA (telaprevir or boceprevir) + P + R; 2nd generation DAA (sofosbuvir or simeprevir) + P + R; 2nd generation DAA + R; two 2nd generation DAA + R; and two 2nd gen DAA. Data were analyzed separately for each arm for treatment naive and non-responders (NR) to previous treatment. The cost of treatment with each regimen for achieving one SVR was also compared., RESULTS: Twenty three RCTs (n = 9354, 62% male, 11% cirrhosis) were analyzed. All oral (P free) regimens with combination of 2 DAA achieved SVR above 95%. The cost of treatment to achieve an SVR with DAA based regimens was lower for NR compared to P+R regimen. However, the cost per SVR remained higher for treatment naive patients., CONCLUSION: Second generation and emerging DAAs are promising agents in HCV treatment, with a very high level of safety and efficacy. An important drawback is their high cost. However, the present meta-analysis shows that the cost per SVR for non responders (but not for naive patients) was lower compared to P + R. This finding together with the superior safety profile and better compliance makes these drugs highly attractive. It is possible that further reduction in treatment duration may make them even more cost effective.","DOI":"10.4254/wjh.v7.i5.806","ISSN":"1948-5182","note":"PMID: 25914781\nPMCID: PMC4404386","shortTitle":"Impact of all oral anti-hepatitis C virus therapy","journalAbbreviation":"World J Hepatol","author":[{"family":"Bansal","given":"Siddharth"},{"family":"Singal","given":"Ashwani K"},{"family":"McGuire","given":"Brendan M"},{"family":"Anand","given":"Bhupinder S"}],"issued":{"date-parts":[["2015",4,18]]},"PMID":"25914781","PMCID":"PMC4404386"}},{"id":64,"uris":["http://zotero.org/users/2588530/items/SXGJ9NNG"],"uri":["http://zotero.org/users/2588530/items/SXGJ9NNG"],"itemData":{"id":64,"type":"article-journal","title":"Achieving sustained virologic response in hepatitis C: a systematic review of the clinical, economic and quality of life benefits","container-title":"BMC infectious diseases","page":"19","volume":"15","source":"PubMed","abstract":"BACKGROUND: The goal of chronic hepatitis C treatment is to remove the virus to avoid progression of HCV-related disease. Sustained virologic response (SVR) is the most widely used efficacy endpoint in clinical studies of hepatitis C, and represents the eradication of HCV from the body. The aim of the current review was to examine the long-term clinical, economic and quality of life benefits associated with achieving SVR.\nMETHODS: A systematic literature review was performed using the PubMed, EMBASE and Cochrane library databases to identify articles examining the clinical, economic and quality of life benefits associated with SVR, published in English language from 2002-2013. For inclusion studies were required to enroll ≥100 patients and to report clinical endpoints including hepatocellular carcinoma, overall- or liver-related mortality, or progression of disease/complications (e.g. portal hypertension, esophageal varices). Review of economic studies on cost/cost-effectiveness of achieving SVR were focused on studies assessing boceprevir/telaprevir plus pegIFN and ribavirin as this represents the current standard of care in several jurisdictions worldwide. Quality of life evidence was required to use validated quality of life instruments and provide a quantitative analysis of the impact of SVR versus no treatment or treatment failure.\nRESULTS: SVR is durable with late relapse rates over 4-5 year periods being in the range of 1-2%. Patients who achieve SVR frequently demonstrate some regression of fibrosis/cirrhosis and have a substantially reduced risk for hepatocellular carcinoma (relative risk [RR] 0.1-0.25), liver-related mortality (RR 0.03-0.2) and overall mortality (RR 0.1-0.3) in comparison with no treatment or treatment failure. In the 5 years post-treatment, medical costs for patients achieving SVR are 13-fold lower than patients not achieving SVR. Patients who achieve SVR also have health state utility values that are 0.05 to 0.31 higher than non-responders to treatment.\nCONCLUSIONS: SVR represents the fundamental goal of antiviral treatment for patients infected with chronic HCV, so as to reduce risk of liver disease progression. Achievement of SVR has implications beyond those of clearing viral infection; it is associated with improved long-term clinical outcomes, economic benefits and improved health-related quality of life.","DOI":"10.1186/s12879-015-0748-8","ISSN":"1471-2334","note":"PMID: 25596623\nPMCID: PMC4299677","shortTitle":"Achieving sustained virologic response in hepatitis C","journalAbbreviation":"BMC Infect. Dis.","language":"eng","author":[{"family":"Smith-Palmer","given":"Jayne"},{"family":"Cerri","given":"Karin"},{"family":"Valentine","given":"William"}],"issued":{"date-parts":[["2015"]]},"PMID":"25596623","PMCID":"PMC4299677"}}],"schema":"https://github.com/citation-style-language/schema/raw/master/csl-citation.json"} </w:instrText>
      </w:r>
      <w:r w:rsidR="00E82DF0" w:rsidRPr="00843662">
        <w:rPr>
          <w:rFonts w:ascii="Book Antiqua" w:hAnsi="Book Antiqua" w:cs="Times New Roman"/>
          <w:sz w:val="24"/>
          <w:szCs w:val="24"/>
        </w:rPr>
        <w:fldChar w:fldCharType="separate"/>
      </w:r>
      <w:r w:rsidR="00AC6696" w:rsidRPr="00843662">
        <w:rPr>
          <w:rFonts w:ascii="Book Antiqua" w:hAnsi="Book Antiqua" w:cs="Times New Roman"/>
          <w:sz w:val="24"/>
          <w:szCs w:val="24"/>
          <w:vertAlign w:val="superscript"/>
        </w:rPr>
        <w:t>[1,2]</w:t>
      </w:r>
      <w:r w:rsidR="00E82DF0" w:rsidRPr="00843662">
        <w:rPr>
          <w:rFonts w:ascii="Book Antiqua" w:hAnsi="Book Antiqua" w:cs="Times New Roman"/>
          <w:sz w:val="24"/>
          <w:szCs w:val="24"/>
        </w:rPr>
        <w:fldChar w:fldCharType="end"/>
      </w:r>
      <w:r w:rsidR="00F1443B" w:rsidRPr="00843662">
        <w:rPr>
          <w:rFonts w:ascii="Book Antiqua" w:hAnsi="Book Antiqua" w:cs="Times New Roman"/>
          <w:sz w:val="24"/>
          <w:szCs w:val="24"/>
        </w:rPr>
        <w:t xml:space="preserve">. The increased efficacy and minimal side effects of </w:t>
      </w:r>
      <w:r w:rsidR="00F339A3" w:rsidRPr="00843662">
        <w:rPr>
          <w:rFonts w:ascii="Book Antiqua" w:hAnsi="Book Antiqua" w:cs="Times New Roman"/>
          <w:sz w:val="24"/>
          <w:szCs w:val="24"/>
        </w:rPr>
        <w:t>newer</w:t>
      </w:r>
      <w:r w:rsidR="00F1443B" w:rsidRPr="00843662">
        <w:rPr>
          <w:rFonts w:ascii="Book Antiqua" w:hAnsi="Book Antiqua" w:cs="Times New Roman"/>
          <w:sz w:val="24"/>
          <w:szCs w:val="24"/>
        </w:rPr>
        <w:t xml:space="preserve"> DAA’s means that many more patients will access therapy</w:t>
      </w:r>
      <w:r w:rsidR="009E527B" w:rsidRPr="00843662">
        <w:rPr>
          <w:rFonts w:ascii="Book Antiqua" w:hAnsi="Book Antiqua" w:cs="Times New Roman"/>
          <w:sz w:val="24"/>
          <w:szCs w:val="24"/>
        </w:rPr>
        <w:t>, if financially able</w:t>
      </w:r>
      <w:r w:rsidR="00F1443B" w:rsidRPr="00843662">
        <w:rPr>
          <w:rFonts w:ascii="Book Antiqua" w:hAnsi="Book Antiqua" w:cs="Times New Roman"/>
          <w:sz w:val="24"/>
          <w:szCs w:val="24"/>
        </w:rPr>
        <w:t>.</w:t>
      </w:r>
      <w:r w:rsidR="00414935" w:rsidRPr="00843662">
        <w:rPr>
          <w:rFonts w:ascii="Book Antiqua" w:hAnsi="Book Antiqua" w:cs="Times New Roman"/>
          <w:sz w:val="24"/>
          <w:szCs w:val="24"/>
        </w:rPr>
        <w:t xml:space="preserve"> </w:t>
      </w:r>
      <w:r w:rsidR="009E527B" w:rsidRPr="00843662">
        <w:rPr>
          <w:rFonts w:ascii="Book Antiqua" w:hAnsi="Book Antiqua" w:cs="Times New Roman"/>
          <w:sz w:val="24"/>
          <w:szCs w:val="24"/>
        </w:rPr>
        <w:t xml:space="preserve">To this end, in March 2016 the Pharmaceutical Benefits Scheme (PBS) in Australia listed </w:t>
      </w:r>
      <w:proofErr w:type="spellStart"/>
      <w:r w:rsidR="009E527B" w:rsidRPr="00843662">
        <w:rPr>
          <w:rFonts w:ascii="Book Antiqua" w:hAnsi="Book Antiqua" w:cs="Times New Roman"/>
          <w:sz w:val="24"/>
          <w:szCs w:val="24"/>
        </w:rPr>
        <w:t>sofosbuvir</w:t>
      </w:r>
      <w:proofErr w:type="spellEnd"/>
      <w:r w:rsidR="009E527B" w:rsidRPr="00843662">
        <w:rPr>
          <w:rFonts w:ascii="Book Antiqua" w:hAnsi="Book Antiqua" w:cs="Times New Roman"/>
          <w:sz w:val="24"/>
          <w:szCs w:val="24"/>
        </w:rPr>
        <w:t xml:space="preserve">, </w:t>
      </w:r>
      <w:proofErr w:type="spellStart"/>
      <w:r w:rsidR="009E527B" w:rsidRPr="00843662">
        <w:rPr>
          <w:rFonts w:ascii="Book Antiqua" w:hAnsi="Book Antiqua" w:cs="Times New Roman"/>
          <w:sz w:val="24"/>
          <w:szCs w:val="24"/>
        </w:rPr>
        <w:t>ledipasvir</w:t>
      </w:r>
      <w:proofErr w:type="spellEnd"/>
      <w:r w:rsidR="009E527B" w:rsidRPr="00843662">
        <w:rPr>
          <w:rFonts w:ascii="Book Antiqua" w:hAnsi="Book Antiqua" w:cs="Times New Roman"/>
          <w:sz w:val="24"/>
          <w:szCs w:val="24"/>
        </w:rPr>
        <w:t>/</w:t>
      </w:r>
      <w:proofErr w:type="spellStart"/>
      <w:r w:rsidR="009E527B" w:rsidRPr="00843662">
        <w:rPr>
          <w:rFonts w:ascii="Book Antiqua" w:hAnsi="Book Antiqua" w:cs="Times New Roman"/>
          <w:sz w:val="24"/>
          <w:szCs w:val="24"/>
        </w:rPr>
        <w:t>sofosbuvir</w:t>
      </w:r>
      <w:proofErr w:type="spellEnd"/>
      <w:r w:rsidR="009E527B" w:rsidRPr="00843662">
        <w:rPr>
          <w:rFonts w:ascii="Book Antiqua" w:hAnsi="Book Antiqua" w:cs="Times New Roman"/>
          <w:sz w:val="24"/>
          <w:szCs w:val="24"/>
        </w:rPr>
        <w:t xml:space="preserve"> and </w:t>
      </w:r>
      <w:proofErr w:type="spellStart"/>
      <w:r w:rsidR="009E527B" w:rsidRPr="00843662">
        <w:rPr>
          <w:rFonts w:ascii="Book Antiqua" w:hAnsi="Book Antiqua" w:cs="Times New Roman"/>
          <w:sz w:val="24"/>
          <w:szCs w:val="24"/>
        </w:rPr>
        <w:t>daclatasvir</w:t>
      </w:r>
      <w:proofErr w:type="spellEnd"/>
      <w:r w:rsidR="009E527B" w:rsidRPr="00843662">
        <w:rPr>
          <w:rFonts w:ascii="Book Antiqua" w:hAnsi="Book Antiqua" w:cs="Times New Roman"/>
          <w:sz w:val="24"/>
          <w:szCs w:val="24"/>
        </w:rPr>
        <w:t xml:space="preserve"> for the treatment with CHC (4) which will </w:t>
      </w:r>
      <w:r w:rsidR="00442803" w:rsidRPr="00843662">
        <w:rPr>
          <w:rFonts w:ascii="Book Antiqua" w:hAnsi="Book Antiqua" w:cs="Times New Roman"/>
          <w:sz w:val="24"/>
          <w:szCs w:val="24"/>
        </w:rPr>
        <w:t>provide access</w:t>
      </w:r>
      <w:r w:rsidR="009E527B" w:rsidRPr="00843662">
        <w:rPr>
          <w:rFonts w:ascii="Book Antiqua" w:hAnsi="Book Antiqua" w:cs="Times New Roman"/>
          <w:sz w:val="24"/>
          <w:szCs w:val="24"/>
        </w:rPr>
        <w:t xml:space="preserve"> to treatment</w:t>
      </w:r>
      <w:r w:rsidR="009E527B" w:rsidRPr="00843662">
        <w:rPr>
          <w:rFonts w:ascii="Book Antiqua" w:hAnsi="Book Antiqua"/>
          <w:sz w:val="24"/>
          <w:szCs w:val="24"/>
        </w:rPr>
        <w:t xml:space="preserve"> </w:t>
      </w:r>
      <w:r w:rsidR="009E527B" w:rsidRPr="00843662">
        <w:rPr>
          <w:rFonts w:ascii="Book Antiqua" w:hAnsi="Book Antiqua" w:cs="Times New Roman"/>
          <w:sz w:val="24"/>
          <w:szCs w:val="24"/>
        </w:rPr>
        <w:t xml:space="preserve">for all Australians. </w:t>
      </w:r>
      <w:r w:rsidR="00414935" w:rsidRPr="00843662">
        <w:rPr>
          <w:rFonts w:ascii="Book Antiqua" w:hAnsi="Book Antiqua" w:cs="Times New Roman"/>
          <w:sz w:val="24"/>
          <w:szCs w:val="24"/>
        </w:rPr>
        <w:t>It is estimated that the</w:t>
      </w:r>
      <w:r w:rsidR="009E527B" w:rsidRPr="00843662">
        <w:rPr>
          <w:rFonts w:ascii="Book Antiqua" w:hAnsi="Book Antiqua" w:cs="Times New Roman"/>
          <w:sz w:val="24"/>
          <w:szCs w:val="24"/>
        </w:rPr>
        <w:t xml:space="preserve">re will be a 93% </w:t>
      </w:r>
      <w:r w:rsidR="00414935" w:rsidRPr="00843662">
        <w:rPr>
          <w:rFonts w:ascii="Book Antiqua" w:hAnsi="Book Antiqua" w:cs="Times New Roman"/>
          <w:sz w:val="24"/>
          <w:szCs w:val="24"/>
        </w:rPr>
        <w:t>reduction in advanced liver disease cases due to</w:t>
      </w:r>
      <w:r w:rsidR="009E527B" w:rsidRPr="00843662">
        <w:rPr>
          <w:rFonts w:ascii="Book Antiqua" w:hAnsi="Book Antiqua" w:cs="Times New Roman"/>
          <w:sz w:val="24"/>
          <w:szCs w:val="24"/>
        </w:rPr>
        <w:t xml:space="preserve"> the</w:t>
      </w:r>
      <w:r w:rsidR="00414935" w:rsidRPr="00843662">
        <w:rPr>
          <w:rFonts w:ascii="Book Antiqua" w:hAnsi="Book Antiqua" w:cs="Times New Roman"/>
          <w:sz w:val="24"/>
          <w:szCs w:val="24"/>
        </w:rPr>
        <w:t xml:space="preserve"> new DAA therap</w:t>
      </w:r>
      <w:r w:rsidR="009E527B" w:rsidRPr="00843662">
        <w:rPr>
          <w:rFonts w:ascii="Book Antiqua" w:hAnsi="Book Antiqua" w:cs="Times New Roman"/>
          <w:sz w:val="24"/>
          <w:szCs w:val="24"/>
        </w:rPr>
        <w:t>ies</w:t>
      </w:r>
      <w:r w:rsidR="00414935" w:rsidRPr="00843662">
        <w:rPr>
          <w:rFonts w:ascii="Book Antiqua" w:hAnsi="Book Antiqua" w:cs="Times New Roman"/>
          <w:sz w:val="24"/>
          <w:szCs w:val="24"/>
        </w:rPr>
        <w:t xml:space="preserve"> compared to c</w:t>
      </w:r>
      <w:r w:rsidR="009D7041">
        <w:rPr>
          <w:rFonts w:ascii="Book Antiqua" w:hAnsi="Book Antiqua" w:cs="Times New Roman"/>
          <w:sz w:val="24"/>
          <w:szCs w:val="24"/>
        </w:rPr>
        <w:t>urrent regimens or no treatment</w:t>
      </w:r>
      <w:r w:rsidR="00414935" w:rsidRPr="00843662">
        <w:rPr>
          <w:rFonts w:ascii="Book Antiqua" w:hAnsi="Book Antiqua" w:cs="Times New Roman"/>
          <w:sz w:val="24"/>
          <w:szCs w:val="24"/>
        </w:rPr>
        <w:fldChar w:fldCharType="begin"/>
      </w:r>
      <w:r w:rsidR="00AC6696" w:rsidRPr="00843662">
        <w:rPr>
          <w:rFonts w:ascii="Book Antiqua" w:hAnsi="Book Antiqua" w:cs="Times New Roman"/>
          <w:sz w:val="24"/>
          <w:szCs w:val="24"/>
        </w:rPr>
        <w:instrText xml:space="preserve"> ADDIN ZOTERO_ITEM CSL_CITATION {"citationID":"1nkg234feb","properties":{"formattedCitation":"{\\rtf \\super [3]\\nosupersub{}}","plainCitation":"[3]"},"citationItems":[{"id":53,"uris":["http://zotero.org/users/2588530/items/M5USWV33"],"uri":["http://zotero.org/users/2588530/items/M5USWV33"],"itemData":{"id":53,"type":"article-journal","title":"Cost-effectiveness of all-oral ledipasvir/sofosbuvir regimens in patients with chronic hepatitis C virus genotype 1 infection","container-title":"Alimentary Pharmacology &amp; Therapeutics","page":"544-563","volume":"41","issue":"6","source":"Wiley Online Library","abstract":"Background\n\nAn all-oral, pegylated interferon (pegIFN)-free and ribavirin (RBV)-free single-tablet of ledipasvir (LDV) and sofosbuvir (SOF) is now approved for the treatment of patients infected with hepatitis C virus (HCV) genotype 1.\n\n\nAim\n\nTo estimate the health economic outcomes for LDV/SOF compared with current treatments in US patients infected with HCV genotype 1.\n\n\nMethods\n\nA hybrid decision-tree and Markov state-transition model was developed. For a cohort of 10 000 patients, the model captured outcomes for several pairings of LDV/SOF with comparators, including long-term health outcomes, number need to treat, life-years gained, quality-adjusted life-years (QALYS) gained, incremental cost-effectiveness ratios and costs per sustained virologic response (SVR). Patients with different levels of treatment experience and different cirrhosis stages were included.\n\n\nResults\n\nLDV/SOF decreased the number of advanced liver disease cases by 0–93% compared with current regimens or no treatment in treatment-naïve patients. In treatment-experienced [pegIFN plus ribavirin (PR) or protease inhibitor (PI) + PR] patients, treatment with LDV/SOF decreased the incidence of advanced liver disease complications in most of the cases analysed, except SOF + SMV. For all patient sub-cohorts, LDV/SOF was associated with the lowest 1-year costs per SVR and, with regard to lifetime incremental costs per QALY gained, was either dominant or the most cost-effective treatment. Overall, treatment initiation at earlier stages of liver fibrosis resulted in improved health economic outcomes.\n\n\nConclusion\n\nLDV/SOF is associated with more favourable short- and long-term health economic outcomes compared with current therapies for patients across all levels of treatment experience and cirrhosis stages.","DOI":"10.1111/apt.13081","ISSN":"1365-2036","journalAbbreviation":"Aliment Pharmacol Ther","language":"en","author":[{"family":"Younossi","given":"Z. M."},{"family":"Park","given":"H."},{"family":"Saab","given":"S."},{"family":"Ahmed","given":"A."},{"family":"Dieterich","given":"D."},{"family":"Gordon","given":"S. C."}],"issued":{"date-parts":[["2015",3,1]]}}}],"schema":"https://github.com/citation-style-language/schema/raw/master/csl-citation.json"} </w:instrText>
      </w:r>
      <w:r w:rsidR="00414935" w:rsidRPr="00843662">
        <w:rPr>
          <w:rFonts w:ascii="Book Antiqua" w:hAnsi="Book Antiqua" w:cs="Times New Roman"/>
          <w:sz w:val="24"/>
          <w:szCs w:val="24"/>
        </w:rPr>
        <w:fldChar w:fldCharType="separate"/>
      </w:r>
      <w:r w:rsidR="00AC6696" w:rsidRPr="00843662">
        <w:rPr>
          <w:rFonts w:ascii="Book Antiqua" w:hAnsi="Book Antiqua" w:cs="Times New Roman"/>
          <w:sz w:val="24"/>
          <w:szCs w:val="24"/>
          <w:vertAlign w:val="superscript"/>
        </w:rPr>
        <w:t>[3]</w:t>
      </w:r>
      <w:r w:rsidR="00414935" w:rsidRPr="00843662">
        <w:rPr>
          <w:rFonts w:ascii="Book Antiqua" w:hAnsi="Book Antiqua" w:cs="Times New Roman"/>
          <w:sz w:val="24"/>
          <w:szCs w:val="24"/>
        </w:rPr>
        <w:fldChar w:fldCharType="end"/>
      </w:r>
      <w:r w:rsidR="004263A5" w:rsidRPr="00843662">
        <w:rPr>
          <w:rFonts w:ascii="Book Antiqua" w:hAnsi="Book Antiqua" w:cs="Times New Roman"/>
          <w:sz w:val="24"/>
          <w:szCs w:val="24"/>
        </w:rPr>
        <w:t xml:space="preserve">. </w:t>
      </w:r>
      <w:r w:rsidR="00A425F0" w:rsidRPr="00843662">
        <w:rPr>
          <w:rFonts w:ascii="Book Antiqua" w:hAnsi="Book Antiqua" w:cs="Times New Roman"/>
          <w:sz w:val="24"/>
          <w:szCs w:val="24"/>
        </w:rPr>
        <w:t>HCV</w:t>
      </w:r>
      <w:r w:rsidR="00F1443B" w:rsidRPr="00843662">
        <w:rPr>
          <w:rFonts w:ascii="Book Antiqua" w:hAnsi="Book Antiqua" w:cs="Times New Roman"/>
          <w:sz w:val="24"/>
          <w:szCs w:val="24"/>
        </w:rPr>
        <w:t xml:space="preserve"> </w:t>
      </w:r>
      <w:r w:rsidR="00A425F0" w:rsidRPr="00843662">
        <w:rPr>
          <w:rFonts w:ascii="Book Antiqua" w:hAnsi="Book Antiqua" w:cs="Times New Roman"/>
          <w:sz w:val="24"/>
          <w:szCs w:val="24"/>
        </w:rPr>
        <w:t>eradication has been shown to reduce liver fibrosis and liver related complications but the time required for this reversal is not known</w:t>
      </w:r>
      <w:r w:rsidR="0049053E" w:rsidRPr="00843662">
        <w:rPr>
          <w:rFonts w:ascii="Book Antiqua" w:hAnsi="Book Antiqua" w:cs="Times New Roman"/>
          <w:sz w:val="24"/>
          <w:szCs w:val="24"/>
        </w:rPr>
        <w:fldChar w:fldCharType="begin"/>
      </w:r>
      <w:r w:rsidR="00AC6696" w:rsidRPr="00843662">
        <w:rPr>
          <w:rFonts w:ascii="Book Antiqua" w:hAnsi="Book Antiqua" w:cs="Times New Roman"/>
          <w:sz w:val="24"/>
          <w:szCs w:val="24"/>
        </w:rPr>
        <w:instrText xml:space="preserve"> ADDIN ZOTERO_ITEM CSL_CITATION {"citationID":"8x1Sbfa1","properties":{"formattedCitation":"{\\rtf \\super [2,4,5]\\nosupersub{}}","plainCitation":"[2,4,5]"},"citationItems":[{"id":1,"uris":["http://zotero.org/users/2588530/items/H23946EP"],"uri":["http://zotero.org/users/2588530/items/H23946EP"],"itemData":{"id":1,"type":"article-journal","title":"Cirrhosis regression in hepatitis C patients with sustained virological response after antiviral therapy: a meta-analysis","container-title":"Liver International: Official Journal of the International Association for the Study of the Liver","page":"30-36","volume":"35","issue":"1","source":"PubMed","abstract":"BACKGROUND &amp; AIMS: Chronic hepatitis C may be associated with cirrhosis, liver failure and hepatocellular carcinoma. Studies have demonstrated improved clinical outcome in patients who achieved a sustained viral response (SVR).\nMETHODS: A systematic literature search was performed to identify studies that assessed the association between SVR and cirrhosis regression. The main outcome studied was cirrhosis regression in patients with a SVR as compared with patients without a SVR. Six studies totalling 443 patients were included. Dichotomous outcomes were reported as risk ratios (RR) with 95% confidence intervals (CI).\nRESULTS: Of the 443 patients with cirrhosis, 137 achieved a SVR. Of these 137 patients who achieved an SVR, 73 (53%) patients had regression of cirrhosis. The risk ratio of cirrhosis regression was 2.69 [Confidence Interval (CI) 1.45-4.97, P &lt; 0.01] in patients who achieved a SVR. The risk of cirrhosis regression was consistently in favour of patients who achieved a SVR regardless of the length of the biopsy or whether the biopsy was reviewed by a single or multiple pathologists. The risk ratio of cirrhosis regression was related to the duration of follow-up between biopsies. The relative risk for regression of cirrhosis in studies in which the mean or median time for the follow-up liver biopsy was greater than 36-month was 4.33 (CI 1.1-17.0, P = 0.04) as compared to a relative risk of 1.79 (CI 1.26-2.29, P &lt; 0.01) in studies with a mean or median time between the follow-up biopsy of less than 36-month.\nCONCLUSIONS: Our results suggest that the majority of patients with cirrhosis who achieve a SVR develop cirrhosis regression. Time between biopsies appears to be an important determinant of the likelihood of cirrhosis regression.","DOI":"10.1111/liv.12576","ISSN":"1478-3231","note":"PMID: 24766091","shortTitle":"Cirrhosis regression in hepatitis C patients with sustained virological response after antiviral therapy","journalAbbreviation":"Liver Int.","language":"eng","author":[{"family":"Akhtar","given":"Ehsaan"},{"family":"Manne","given":"Vignan"},{"family":"Saab","given":"Sammy"}],"issued":{"date-parts":[["2015",1]]},"PMID":"24766091"}},{"id":18,"uris":["http://zotero.org/users/2588530/items/89QGDZSZ"],"uri":["http://zotero.org/users/2588530/items/89QGDZSZ"],"itemData":{"id":18,"type":"article-journal","title":"Regression of Fibrosis in Chronic Hepatitis C After Therapy with Interferon and Ribavirin","container-title":"Digestive Diseases and Sciences","page":"1425-1430","volume":"48","issue":"7","source":"link.springer.com.ipacez.nd.edu.au","abstract":"Interferon and ribavirin decrease necroinflammation in chronic hepatitis C with or without virological clearance; however, reversibility of fibrosis remains to be established. We evaluated the effect of combination therapy on virological and liver histopathological outcomes in 52 naïve patients and 79 patients unresponsive to interferon monotherapy with predominantly genotype 1 chronic hepatitis C. One hundred four patients completed interferon and ribavirin treatment after 24–48 weeks. Fifty-six paired liver biopsies (mean biopsy interval 28 months) were assessed by the Ishak score. Sustained virological responses were 37% in naïve patients and 22% in re-treated patients. In virological responders and nonresponders, fibrosis and necroinflammation scores decreased by −0.91 (P =0.04) and −0.5 (P =0.02) and by −2.8 (P =0.001) and −0.66 (P =0.06), respectively. Interferon and ribavirin had greater benefit on fibrosis when associated with clearance of HCV RNA. Treatment strategies in virological nonresponders who show fibrosis regression should include consideration of maintenance therapy, if such treatment eventually proves to benefit histological outcomes.","DOI":"10.1023/A:1024196201684","ISSN":"0163-2116, 1573-2568","journalAbbreviation":"Dig Dis Sci","language":"en","author":[{"family":"Arif","given":"Asma"},{"family":"Levine","given":"Robert A."},{"family":"Sanderson","given":"Schuyler O."},{"family":"Bank","given":"Leslie"},{"family":"Velu","given":"Raja P."},{"family":"Shah","given":"Ashok"},{"family":"Mahl","given":"Thomas C."},{"family":"Gregory","given":"Daniel H."}],"issued":{"date-parts":[["2003",7]]}}},{"id":64,"uris":["http://zotero.org/users/2588530/items/SXGJ9NNG"],"uri":["http://zotero.org/users/2588530/items/SXGJ9NNG"],"itemData":{"id":64,"type":"article-journal","title":"Achieving sustained virologic response in hepatitis C: a systematic review of the clinical, economic and quality of life benefits","container-title":"BMC infectious diseases","page":"19","volume":"15","source":"PubMed","abstract":"BACKGROUND: The goal of chronic hepatitis C treatment is to remove the virus to avoid progression of HCV-related disease. Sustained virologic response (SVR) is the most widely used efficacy endpoint in clinical studies of hepatitis C, and represents the eradication of HCV from the body. The aim of the current review was to examine the long-term clinical, economic and quality of life benefits associated with achieving SVR.\nMETHODS: A systematic literature review was performed using the PubMed, EMBASE and Cochrane library databases to identify articles examining the clinical, economic and quality of life benefits associated with SVR, published in English language from 2002-2013. For inclusion studies were required to enroll ≥100 patients and to report clinical endpoints including hepatocellular carcinoma, overall- or liver-related mortality, or progression of disease/complications (e.g. portal hypertension, esophageal varices). Review of economic studies on cost/cost-effectiveness of achieving SVR were focused on studies assessing boceprevir/telaprevir plus pegIFN and ribavirin as this represents the current standard of care in several jurisdictions worldwide. Quality of life evidence was required to use validated quality of life instruments and provide a quantitative analysis of the impact of SVR versus no treatment or treatment failure.\nRESULTS: SVR is durable with late relapse rates over 4-5 year periods being in the range of 1-2%. Patients who achieve SVR frequently demonstrate some regression of fibrosis/cirrhosis and have a substantially reduced risk for hepatocellular carcinoma (relative risk [RR] 0.1-0.25), liver-related mortality (RR 0.03-0.2) and overall mortality (RR 0.1-0.3) in comparison with no treatment or treatment failure. In the 5 years post-treatment, medical costs for patients achieving SVR are 13-fold lower than patients not achieving SVR. Patients who achieve SVR also have health state utility values that are 0.05 to 0.31 higher than non-responders to treatment.\nCONCLUSIONS: SVR represents the fundamental goal of antiviral treatment for patients infected with chronic HCV, so as to reduce risk of liver disease progression. Achievement of SVR has implications beyond those of clearing viral infection; it is associated with improved long-term clinical outcomes, economic benefits and improved health-related quality of life.","DOI":"10.1186/s12879-015-0748-8","ISSN":"1471-2334","note":"PMID: 25596623\nPMCID: PMC4299677","shortTitle":"Achieving sustained virologic response in hepatitis C","journalAbbreviation":"BMC Infect. Dis.","language":"eng","author":[{"family":"Smith-Palmer","given":"Jayne"},{"family":"Cerri","given":"Karin"},{"family":"Valentine","given":"William"}],"issued":{"date-parts":[["2015"]]},"PMID":"25596623","PMCID":"PMC4299677"}}],"schema":"https://github.com/citation-style-language/schema/raw/master/csl-citation.json"} </w:instrText>
      </w:r>
      <w:r w:rsidR="0049053E" w:rsidRPr="00843662">
        <w:rPr>
          <w:rFonts w:ascii="Book Antiqua" w:hAnsi="Book Antiqua" w:cs="Times New Roman"/>
          <w:sz w:val="24"/>
          <w:szCs w:val="24"/>
        </w:rPr>
        <w:fldChar w:fldCharType="separate"/>
      </w:r>
      <w:r w:rsidR="00AC6696" w:rsidRPr="00843662">
        <w:rPr>
          <w:rFonts w:ascii="Book Antiqua" w:hAnsi="Book Antiqua" w:cs="Times New Roman"/>
          <w:sz w:val="24"/>
          <w:szCs w:val="24"/>
          <w:vertAlign w:val="superscript"/>
        </w:rPr>
        <w:t>[2,4,5]</w:t>
      </w:r>
      <w:r w:rsidR="0049053E" w:rsidRPr="00843662">
        <w:rPr>
          <w:rFonts w:ascii="Book Antiqua" w:hAnsi="Book Antiqua" w:cs="Times New Roman"/>
          <w:sz w:val="24"/>
          <w:szCs w:val="24"/>
        </w:rPr>
        <w:fldChar w:fldCharType="end"/>
      </w:r>
      <w:r w:rsidR="0049053E" w:rsidRPr="00843662">
        <w:rPr>
          <w:rFonts w:ascii="Book Antiqua" w:hAnsi="Book Antiqua" w:cs="Times New Roman"/>
          <w:sz w:val="24"/>
          <w:szCs w:val="24"/>
        </w:rPr>
        <w:t>.</w:t>
      </w:r>
      <w:r w:rsidR="00901511" w:rsidRPr="00843662">
        <w:rPr>
          <w:rFonts w:ascii="Book Antiqua" w:hAnsi="Book Antiqua" w:cs="Times New Roman"/>
          <w:sz w:val="24"/>
          <w:szCs w:val="24"/>
        </w:rPr>
        <w:t xml:space="preserve"> In addition, other co-factors such as NAFLD and alcohol use may be present and prevent </w:t>
      </w:r>
      <w:r w:rsidR="00644E20" w:rsidRPr="00843662">
        <w:rPr>
          <w:rFonts w:ascii="Book Antiqua" w:hAnsi="Book Antiqua" w:cs="Times New Roman"/>
          <w:sz w:val="24"/>
          <w:szCs w:val="24"/>
        </w:rPr>
        <w:t xml:space="preserve">or impair </w:t>
      </w:r>
      <w:r w:rsidR="00901511" w:rsidRPr="00843662">
        <w:rPr>
          <w:rFonts w:ascii="Book Antiqua" w:hAnsi="Book Antiqua" w:cs="Times New Roman"/>
          <w:sz w:val="24"/>
          <w:szCs w:val="24"/>
        </w:rPr>
        <w:t>reversal of hepatic fibrosis.</w:t>
      </w:r>
      <w:r w:rsidR="007219D3" w:rsidRPr="00843662">
        <w:rPr>
          <w:rFonts w:ascii="Book Antiqua" w:hAnsi="Book Antiqua" w:cs="Times New Roman"/>
          <w:sz w:val="24"/>
          <w:szCs w:val="24"/>
        </w:rPr>
        <w:t xml:space="preserve"> </w:t>
      </w:r>
      <w:r w:rsidR="0079370C" w:rsidRPr="00843662">
        <w:rPr>
          <w:rFonts w:ascii="Book Antiqua" w:hAnsi="Book Antiqua" w:cs="Times New Roman"/>
          <w:sz w:val="24"/>
          <w:szCs w:val="24"/>
        </w:rPr>
        <w:t xml:space="preserve">Therefore the </w:t>
      </w:r>
      <w:r w:rsidR="00F339A3" w:rsidRPr="00843662">
        <w:rPr>
          <w:rFonts w:ascii="Book Antiqua" w:hAnsi="Book Antiqua" w:cs="Times New Roman"/>
          <w:sz w:val="24"/>
          <w:szCs w:val="24"/>
        </w:rPr>
        <w:t>problem remains that CHC patients with significant</w:t>
      </w:r>
      <w:r w:rsidR="0079370C" w:rsidRPr="00843662">
        <w:rPr>
          <w:rFonts w:ascii="Book Antiqua" w:hAnsi="Book Antiqua" w:cs="Times New Roman"/>
          <w:sz w:val="24"/>
          <w:szCs w:val="24"/>
        </w:rPr>
        <w:t xml:space="preserve"> or advanced</w:t>
      </w:r>
      <w:r w:rsidR="00F339A3" w:rsidRPr="00843662">
        <w:rPr>
          <w:rFonts w:ascii="Book Antiqua" w:hAnsi="Book Antiqua" w:cs="Times New Roman"/>
          <w:sz w:val="24"/>
          <w:szCs w:val="24"/>
        </w:rPr>
        <w:t xml:space="preserve"> liver fibrosis at the time of successful HCV eradication </w:t>
      </w:r>
      <w:r w:rsidR="009E527B" w:rsidRPr="00843662">
        <w:rPr>
          <w:rFonts w:ascii="Book Antiqua" w:hAnsi="Book Antiqua" w:cs="Times New Roman"/>
          <w:sz w:val="24"/>
          <w:szCs w:val="24"/>
        </w:rPr>
        <w:t xml:space="preserve">may </w:t>
      </w:r>
      <w:r w:rsidR="00F339A3" w:rsidRPr="00843662">
        <w:rPr>
          <w:rFonts w:ascii="Book Antiqua" w:hAnsi="Book Antiqua" w:cs="Times New Roman"/>
          <w:sz w:val="24"/>
          <w:szCs w:val="24"/>
        </w:rPr>
        <w:t xml:space="preserve">require long term monitoring for liver related complications for an uncertain period </w:t>
      </w:r>
      <w:r w:rsidR="0002492D">
        <w:rPr>
          <w:rFonts w:ascii="Book Antiqua" w:hAnsi="Book Antiqua" w:cs="Times New Roman"/>
          <w:sz w:val="24"/>
          <w:szCs w:val="24"/>
        </w:rPr>
        <w:t>of time</w:t>
      </w:r>
      <w:r w:rsidR="00F339A3" w:rsidRPr="00843662">
        <w:rPr>
          <w:rFonts w:ascii="Book Antiqua" w:hAnsi="Book Antiqua" w:cs="Times New Roman"/>
          <w:sz w:val="24"/>
          <w:szCs w:val="24"/>
        </w:rPr>
        <w:fldChar w:fldCharType="begin"/>
      </w:r>
      <w:r w:rsidR="00AC6696" w:rsidRPr="00843662">
        <w:rPr>
          <w:rFonts w:ascii="Book Antiqua" w:hAnsi="Book Antiqua" w:cs="Times New Roman"/>
          <w:sz w:val="24"/>
          <w:szCs w:val="24"/>
        </w:rPr>
        <w:instrText xml:space="preserve"> ADDIN ZOTERO_ITEM CSL_CITATION {"citationID":"alvucs2go","properties":{"formattedCitation":"{\\rtf \\super [6]\\nosupersub{}}","plainCitation":"[6]"},"citationItems":[{"id":66,"uris":["http://zotero.org/users/2588530/items/5BPKPKHP"],"uri":["http://zotero.org/users/2588530/items/5BPKPKHP"],"itemData":{"id":66,"type":"article-journal","title":"Treat chronic hepatitis C virus infection in decompensated cirrhosis - pre- or post-liver transplantation? the ironic conundrum in the era of effective and well-tolerated therapy","container-title":"Journal of Viral Hepatitis","source":"PubMed","abstract":"The management of hepatitis C virus (HCV) infection in patients with decompensated cirrhosis has evolved dramatically over the past few years mainly due to the availability of all-oral antiviral regimens. The currently approved all-oral direct-acting antivirals (DAA) containing sofosbuvir, ledipasvir, daclatasvir and ribavirin, in various combinations, have shown to be safe and effective in patients with decompensated cirrhosis with sustained virological response (SVR) rates nearly comparable to those with well-compensated liver disease. Unique issues yet remain such as the challenges with renal insufficiency, tolerability of ribavirin and risk of further hepatic decompensation with a protease inhibitor-based regimen. While most patients who achieve SVR have demonstrated improvement in hepatic synthetic function over the short course of follow, the long-term beneficial effects are unknown. Further, the baseline predictors of improvement in hepatic function have not been well delineated and thus have left us in a quandary as to what we might expect with successful therapy and thus we are at a loss to well educate our patients. The major concern, in potential liver transplant candidates, is of unintended 'harm' by achieving SVR but without improvement in hepatic function to an extent where the patients might function well. As HCV therapies are as effective in liver transplant recipients, there is a growing sentiment in some of the transplant quarters that those with decompensated liver disease and awaiting liver transplant be treated for HCV after liver transplant. This strategy would thus eliminate any concern of leaving a patient in 'no person's' land by treating HCV successfully pretransplant but not to the point of functional normalcy, while also would maintain the risk of HCC. Yet a contrarian view would be that not all patients have access to liver transplantation (LT), cannot bear the cost, have comorbidities or contraindications to LT. While the debate continues, it is essential that we develop robust predictors of improvement in liver function so that we can carefully select our patients for therapy in the context of liver transplantation.","DOI":"10.1111/jvh.12534","ISSN":"1365-2893","note":"PMID: 27018088","shortTitle":"Treat chronic hepatitis C virus infection in decompensated cirrhosis - pre- or post-liver transplantation?","journalAbbreviation":"J. Viral Hepat.","language":"ENG","author":[{"family":"Bunchorntavakul","given":"C."},{"family":"Reddy","given":"K. Rajender"}],"issued":{"date-parts":[["2016",3,28]]},"PMID":"27018088"}}],"schema":"https://github.com/citation-style-language/schema/raw/master/csl-citation.json"} </w:instrText>
      </w:r>
      <w:r w:rsidR="00F339A3" w:rsidRPr="00843662">
        <w:rPr>
          <w:rFonts w:ascii="Book Antiqua" w:hAnsi="Book Antiqua" w:cs="Times New Roman"/>
          <w:sz w:val="24"/>
          <w:szCs w:val="24"/>
        </w:rPr>
        <w:fldChar w:fldCharType="separate"/>
      </w:r>
      <w:r w:rsidR="00AC6696" w:rsidRPr="00843662">
        <w:rPr>
          <w:rFonts w:ascii="Book Antiqua" w:hAnsi="Book Antiqua" w:cs="Times New Roman"/>
          <w:sz w:val="24"/>
          <w:szCs w:val="24"/>
          <w:vertAlign w:val="superscript"/>
        </w:rPr>
        <w:t>[6]</w:t>
      </w:r>
      <w:r w:rsidR="00F339A3" w:rsidRPr="00843662">
        <w:rPr>
          <w:rFonts w:ascii="Book Antiqua" w:hAnsi="Book Antiqua" w:cs="Times New Roman"/>
          <w:sz w:val="24"/>
          <w:szCs w:val="24"/>
        </w:rPr>
        <w:fldChar w:fldCharType="end"/>
      </w:r>
      <w:r w:rsidR="00C3397E" w:rsidRPr="00843662">
        <w:rPr>
          <w:rFonts w:ascii="Book Antiqua" w:hAnsi="Book Antiqua" w:cs="Times New Roman"/>
          <w:sz w:val="24"/>
          <w:szCs w:val="24"/>
        </w:rPr>
        <w:t>.</w:t>
      </w:r>
    </w:p>
    <w:p w14:paraId="7A2DF788" w14:textId="1C2164F3" w:rsidR="00C3397E" w:rsidRPr="00843662" w:rsidRDefault="00644D65" w:rsidP="0002492D">
      <w:pPr>
        <w:spacing w:after="0" w:line="360" w:lineRule="auto"/>
        <w:ind w:firstLineChars="100" w:firstLine="240"/>
        <w:jc w:val="both"/>
        <w:rPr>
          <w:rFonts w:ascii="Book Antiqua" w:hAnsi="Book Antiqua" w:cs="Times New Roman"/>
          <w:sz w:val="24"/>
          <w:szCs w:val="24"/>
        </w:rPr>
      </w:pPr>
      <w:r w:rsidRPr="00843662">
        <w:rPr>
          <w:rFonts w:ascii="Book Antiqua" w:hAnsi="Book Antiqua" w:cs="Times New Roman"/>
          <w:sz w:val="24"/>
          <w:szCs w:val="24"/>
        </w:rPr>
        <w:t xml:space="preserve">Fibrosis severity </w:t>
      </w:r>
      <w:r w:rsidR="00372CC3" w:rsidRPr="00843662">
        <w:rPr>
          <w:rFonts w:ascii="Book Antiqua" w:hAnsi="Book Antiqua" w:cs="Times New Roman"/>
          <w:sz w:val="24"/>
          <w:szCs w:val="24"/>
        </w:rPr>
        <w:t xml:space="preserve">is currently </w:t>
      </w:r>
      <w:r w:rsidR="00F70BCF" w:rsidRPr="00843662">
        <w:rPr>
          <w:rFonts w:ascii="Book Antiqua" w:hAnsi="Book Antiqua" w:cs="Times New Roman"/>
          <w:sz w:val="24"/>
          <w:szCs w:val="24"/>
        </w:rPr>
        <w:t xml:space="preserve">measured </w:t>
      </w:r>
      <w:r w:rsidR="0079370C" w:rsidRPr="00843662">
        <w:rPr>
          <w:rFonts w:ascii="Book Antiqua" w:hAnsi="Book Antiqua" w:cs="Times New Roman"/>
          <w:sz w:val="24"/>
          <w:szCs w:val="24"/>
        </w:rPr>
        <w:t>non-invasively using serum fibrosis markers or</w:t>
      </w:r>
      <w:r w:rsidR="00F70BCF" w:rsidRPr="00843662">
        <w:rPr>
          <w:rFonts w:ascii="Book Antiqua" w:hAnsi="Book Antiqua" w:cs="Times New Roman"/>
          <w:sz w:val="24"/>
          <w:szCs w:val="24"/>
        </w:rPr>
        <w:t xml:space="preserve"> </w:t>
      </w:r>
      <w:r w:rsidRPr="00843662">
        <w:rPr>
          <w:rFonts w:ascii="Book Antiqua" w:hAnsi="Book Antiqua" w:cs="Times New Roman"/>
          <w:sz w:val="24"/>
          <w:szCs w:val="24"/>
        </w:rPr>
        <w:t xml:space="preserve">transient </w:t>
      </w:r>
      <w:proofErr w:type="spellStart"/>
      <w:r w:rsidRPr="00843662">
        <w:rPr>
          <w:rFonts w:ascii="Book Antiqua" w:hAnsi="Book Antiqua" w:cs="Times New Roman"/>
          <w:sz w:val="24"/>
          <w:szCs w:val="24"/>
        </w:rPr>
        <w:t>elastography</w:t>
      </w:r>
      <w:proofErr w:type="spellEnd"/>
      <w:r w:rsidR="004E31B5" w:rsidRPr="00843662">
        <w:rPr>
          <w:rFonts w:ascii="Book Antiqua" w:hAnsi="Book Antiqua" w:cs="Times New Roman"/>
          <w:sz w:val="24"/>
          <w:szCs w:val="24"/>
        </w:rPr>
        <w:t xml:space="preserve"> (</w:t>
      </w:r>
      <w:proofErr w:type="spellStart"/>
      <w:r w:rsidR="004E31B5" w:rsidRPr="00843662">
        <w:rPr>
          <w:rFonts w:ascii="Book Antiqua" w:hAnsi="Book Antiqua" w:cs="Times New Roman"/>
          <w:sz w:val="24"/>
          <w:szCs w:val="24"/>
        </w:rPr>
        <w:t>Fibroscan</w:t>
      </w:r>
      <w:proofErr w:type="spellEnd"/>
      <w:r w:rsidR="00442803" w:rsidRPr="00843662">
        <w:rPr>
          <w:rFonts w:ascii="Book Antiqua" w:hAnsi="Book Antiqua" w:cs="Times New Roman"/>
          <w:sz w:val="24"/>
          <w:szCs w:val="24"/>
        </w:rPr>
        <w:t>®</w:t>
      </w:r>
      <w:r w:rsidR="004E31B5" w:rsidRPr="00843662">
        <w:rPr>
          <w:rFonts w:ascii="Book Antiqua" w:hAnsi="Book Antiqua" w:cs="Times New Roman"/>
          <w:sz w:val="24"/>
          <w:szCs w:val="24"/>
        </w:rPr>
        <w:t>)</w:t>
      </w:r>
      <w:r w:rsidRPr="00843662">
        <w:rPr>
          <w:rFonts w:ascii="Book Antiqua" w:hAnsi="Book Antiqua" w:cs="Times New Roman"/>
          <w:sz w:val="24"/>
          <w:szCs w:val="24"/>
        </w:rPr>
        <w:t xml:space="preserve">. </w:t>
      </w:r>
      <w:r w:rsidR="008928DB" w:rsidRPr="00843662">
        <w:rPr>
          <w:rFonts w:ascii="Book Antiqua" w:hAnsi="Book Antiqua" w:cs="Times New Roman"/>
          <w:sz w:val="24"/>
          <w:szCs w:val="24"/>
        </w:rPr>
        <w:t xml:space="preserve">The </w:t>
      </w:r>
      <w:r w:rsidR="0079370C" w:rsidRPr="00843662">
        <w:rPr>
          <w:rFonts w:ascii="Book Antiqua" w:hAnsi="Book Antiqua" w:cs="Times New Roman"/>
          <w:sz w:val="24"/>
          <w:szCs w:val="24"/>
        </w:rPr>
        <w:t xml:space="preserve">histopathological staging </w:t>
      </w:r>
      <w:r w:rsidR="008928DB" w:rsidRPr="00843662">
        <w:rPr>
          <w:rFonts w:ascii="Book Antiqua" w:hAnsi="Book Antiqua" w:cs="Times New Roman"/>
          <w:sz w:val="24"/>
          <w:szCs w:val="24"/>
        </w:rPr>
        <w:t xml:space="preserve">of fibrosis </w:t>
      </w:r>
      <w:r w:rsidR="0079370C" w:rsidRPr="00843662">
        <w:rPr>
          <w:rFonts w:ascii="Book Antiqua" w:hAnsi="Book Antiqua" w:cs="Times New Roman"/>
          <w:sz w:val="24"/>
          <w:szCs w:val="24"/>
        </w:rPr>
        <w:t>using</w:t>
      </w:r>
      <w:r w:rsidR="008928DB" w:rsidRPr="00843662">
        <w:rPr>
          <w:rFonts w:ascii="Book Antiqua" w:hAnsi="Book Antiqua" w:cs="Times New Roman"/>
          <w:sz w:val="24"/>
          <w:szCs w:val="24"/>
        </w:rPr>
        <w:t xml:space="preserve"> liver biopsy </w:t>
      </w:r>
      <w:r w:rsidR="00522F82" w:rsidRPr="00843662">
        <w:rPr>
          <w:rFonts w:ascii="Book Antiqua" w:hAnsi="Book Antiqua" w:cs="Times New Roman"/>
          <w:sz w:val="24"/>
          <w:szCs w:val="24"/>
        </w:rPr>
        <w:t>has historically been the best</w:t>
      </w:r>
      <w:r w:rsidR="005A7D07" w:rsidRPr="00843662">
        <w:rPr>
          <w:rFonts w:ascii="Book Antiqua" w:hAnsi="Book Antiqua" w:cs="Times New Roman"/>
          <w:sz w:val="24"/>
          <w:szCs w:val="24"/>
        </w:rPr>
        <w:t xml:space="preserve"> predictor of </w:t>
      </w:r>
      <w:r w:rsidR="005F6B8B" w:rsidRPr="00843662">
        <w:rPr>
          <w:rFonts w:ascii="Book Antiqua" w:hAnsi="Book Antiqua" w:cs="Times New Roman"/>
          <w:sz w:val="24"/>
          <w:szCs w:val="24"/>
        </w:rPr>
        <w:t>liver related mortality and liver related morbidity</w:t>
      </w:r>
      <w:r w:rsidR="009F7BD5" w:rsidRPr="00843662">
        <w:rPr>
          <w:rFonts w:ascii="Book Antiqua" w:hAnsi="Book Antiqua" w:cs="Times New Roman"/>
          <w:sz w:val="24"/>
          <w:szCs w:val="24"/>
        </w:rPr>
        <w:t xml:space="preserve"> associated with </w:t>
      </w:r>
      <w:r w:rsidR="005A7D07" w:rsidRPr="00843662">
        <w:rPr>
          <w:rFonts w:ascii="Book Antiqua" w:hAnsi="Book Antiqua" w:cs="Times New Roman"/>
          <w:sz w:val="24"/>
          <w:szCs w:val="24"/>
        </w:rPr>
        <w:t>CHC</w:t>
      </w:r>
      <w:r w:rsidR="009F7BD5" w:rsidRPr="00843662">
        <w:rPr>
          <w:rFonts w:ascii="Book Antiqua" w:hAnsi="Book Antiqua" w:cs="Times New Roman"/>
          <w:sz w:val="24"/>
          <w:szCs w:val="24"/>
        </w:rPr>
        <w:fldChar w:fldCharType="begin"/>
      </w:r>
      <w:r w:rsidR="00AC6696" w:rsidRPr="00843662">
        <w:rPr>
          <w:rFonts w:ascii="Book Antiqua" w:hAnsi="Book Antiqua" w:cs="Times New Roman"/>
          <w:sz w:val="24"/>
          <w:szCs w:val="24"/>
        </w:rPr>
        <w:instrText xml:space="preserve"> ADDIN ZOTERO_ITEM CSL_CITATION {"citationID":"17kasaio32","properties":{"formattedCitation":"{\\rtf \\super [7]\\nosupersub{}}","plainCitation":"[7]"},"citationItems":[{"id":32,"uris":["http://zotero.org/users/2588530/items/HR3M6INW"],"uri":["http://zotero.org/users/2588530/items/HR3M6INW"],"itemData":{"id":32,"type":"article-journal","title":"Natural history of liver fibrosis progression in patients with chronic hepatitis C","container-title":"The Lancet","page":"825-832","volume":"349","issue":"9055","source":"ScienceDirect","abstract":"SummaryBackground\nOur aim was to assess the natural history of liver fibrosis progression in hepatitis C and the factors associated with this progression.\nMethods\nWe recruited 2235 patients from the Observatoire de i'Hépatite C-(OBSVIRC) population, the Cohorte Hépatite C Pitié-Salpêtrière (DOSVIRC) population, and the original METAVIR population. All the patients had a biopsy sample compatible with chronic hepatitis C as assessed by the METAVIR scoring system (grades the stage of fibrosis on a five-point scale, FO=no fibrosis, F4=cirrhosis, and histological activity on a four-point scale, AO=no activity, A3=severe activity). No patient had received interferon treatment before the liver biopsy sample was obtained. We assessed the effect of nine factors on fibrosis progression: age at biopsy; estimated duration of infection; sex; age at infection; alcohol consumption; hepatitis C virus C (HCV) genotype; HCV viraemia; cause of infection; and histological activity grade. We defined fibrosis progression per year as the ratio between fibrosis stage in METAVIR units and the duration of infection (1 unit=one stage, 4 units=cirrhosis).\nFindings\nThe median rate of fibrosis progression per year was 0·133 fibrosis unit (95% CI 0·125-0-143), which was similar to the estimates from previous studies (0·146 to 0·154). Three independent factors were associated with an increased rate of fibrosis progression: age at infection older than 40 years, daily alcohol consumption of 50 g or more, and male sex. There was no association between fibrosis progression and HCV genotype. The median estimated duration of infection for progression to cirrhosis was 30 years (28–32), ranging from 13 years in men infected after the age of 40 to 42 years in women who did not drink alcohol and were infected before the age of 40. Without treatment, 377 (33%) patients had an expected median time to cirrhosis of less than 20 years, and 356 (31%) will never progress to cirrhosis or will not progress for at least 50 years.\nInterpretation\nThe host factors of ageing, alcohol consumption, and male sex have a stronger association with fibrosis progression than virological factors in HCV infection.","DOI":"10.1016/S0140-6736(96)07642-8","ISSN":"0140-6736","journalAbbreviation":"The Lancet","author":[{"family":"Poynard","given":"Thierry"},{"family":"Bedossa","given":"Pierre"},{"family":"Opolon","given":"Pierre"}],"issued":{"date-parts":[["1997",3,22]]}}}],"schema":"https://github.com/citation-style-language/schema/raw/master/csl-citation.json"} </w:instrText>
      </w:r>
      <w:r w:rsidR="009F7BD5" w:rsidRPr="00843662">
        <w:rPr>
          <w:rFonts w:ascii="Book Antiqua" w:hAnsi="Book Antiqua" w:cs="Times New Roman"/>
          <w:sz w:val="24"/>
          <w:szCs w:val="24"/>
        </w:rPr>
        <w:fldChar w:fldCharType="separate"/>
      </w:r>
      <w:r w:rsidR="00AC6696" w:rsidRPr="00843662">
        <w:rPr>
          <w:rFonts w:ascii="Book Antiqua" w:hAnsi="Book Antiqua" w:cs="Times New Roman"/>
          <w:sz w:val="24"/>
          <w:szCs w:val="24"/>
          <w:vertAlign w:val="superscript"/>
        </w:rPr>
        <w:t>[7]</w:t>
      </w:r>
      <w:r w:rsidR="009F7BD5" w:rsidRPr="00843662">
        <w:rPr>
          <w:rFonts w:ascii="Book Antiqua" w:hAnsi="Book Antiqua" w:cs="Times New Roman"/>
          <w:sz w:val="24"/>
          <w:szCs w:val="24"/>
        </w:rPr>
        <w:fldChar w:fldCharType="end"/>
      </w:r>
      <w:r w:rsidR="009F7BD5" w:rsidRPr="00843662">
        <w:rPr>
          <w:rFonts w:ascii="Book Antiqua" w:hAnsi="Book Antiqua" w:cs="Times New Roman"/>
          <w:sz w:val="24"/>
          <w:szCs w:val="24"/>
        </w:rPr>
        <w:t>.</w:t>
      </w:r>
      <w:r w:rsidR="000801A3" w:rsidRPr="00843662">
        <w:rPr>
          <w:rFonts w:ascii="Book Antiqua" w:hAnsi="Book Antiqua" w:cs="Times New Roman"/>
          <w:sz w:val="24"/>
          <w:szCs w:val="24"/>
        </w:rPr>
        <w:t xml:space="preserve"> </w:t>
      </w:r>
      <w:r w:rsidR="004E31B5" w:rsidRPr="00843662">
        <w:rPr>
          <w:rFonts w:ascii="Book Antiqua" w:hAnsi="Book Antiqua" w:cs="Times New Roman"/>
          <w:sz w:val="24"/>
          <w:szCs w:val="24"/>
        </w:rPr>
        <w:t>However liver biopsy</w:t>
      </w:r>
      <w:r w:rsidR="000801A3" w:rsidRPr="00843662">
        <w:rPr>
          <w:rFonts w:ascii="Book Antiqua" w:hAnsi="Book Antiqua" w:cs="Times New Roman"/>
          <w:sz w:val="24"/>
          <w:szCs w:val="24"/>
        </w:rPr>
        <w:t xml:space="preserve"> is </w:t>
      </w:r>
      <w:r w:rsidR="001B135B" w:rsidRPr="00843662">
        <w:rPr>
          <w:rFonts w:ascii="Book Antiqua" w:hAnsi="Book Antiqua" w:cs="Times New Roman"/>
          <w:sz w:val="24"/>
          <w:szCs w:val="24"/>
        </w:rPr>
        <w:t xml:space="preserve">now rarely used </w:t>
      </w:r>
      <w:r w:rsidR="000801A3" w:rsidRPr="00843662">
        <w:rPr>
          <w:rFonts w:ascii="Book Antiqua" w:hAnsi="Book Antiqua" w:cs="Times New Roman"/>
          <w:sz w:val="24"/>
          <w:szCs w:val="24"/>
        </w:rPr>
        <w:t xml:space="preserve">to </w:t>
      </w:r>
      <w:r w:rsidR="001B135B" w:rsidRPr="00843662">
        <w:rPr>
          <w:rFonts w:ascii="Book Antiqua" w:hAnsi="Book Antiqua" w:cs="Times New Roman"/>
          <w:sz w:val="24"/>
          <w:szCs w:val="24"/>
        </w:rPr>
        <w:t xml:space="preserve">stage </w:t>
      </w:r>
      <w:r w:rsidR="000801A3" w:rsidRPr="00843662">
        <w:rPr>
          <w:rFonts w:ascii="Book Antiqua" w:hAnsi="Book Antiqua" w:cs="Times New Roman"/>
          <w:sz w:val="24"/>
          <w:szCs w:val="24"/>
        </w:rPr>
        <w:t xml:space="preserve">CHC patients due to </w:t>
      </w:r>
      <w:r w:rsidR="004E31B5" w:rsidRPr="00843662">
        <w:rPr>
          <w:rFonts w:ascii="Book Antiqua" w:hAnsi="Book Antiqua" w:cs="Times New Roman"/>
          <w:sz w:val="24"/>
          <w:szCs w:val="24"/>
        </w:rPr>
        <w:t xml:space="preserve">the </w:t>
      </w:r>
      <w:r w:rsidR="000801A3" w:rsidRPr="00843662">
        <w:rPr>
          <w:rFonts w:ascii="Book Antiqua" w:hAnsi="Book Antiqua" w:cs="Times New Roman"/>
          <w:sz w:val="24"/>
          <w:szCs w:val="24"/>
        </w:rPr>
        <w:t xml:space="preserve">risk of serious complications </w:t>
      </w:r>
      <w:r w:rsidR="004E31B5" w:rsidRPr="00843662">
        <w:rPr>
          <w:rFonts w:ascii="Book Antiqua" w:hAnsi="Book Antiqua" w:cs="Times New Roman"/>
          <w:sz w:val="24"/>
          <w:szCs w:val="24"/>
        </w:rPr>
        <w:t>and issues with sampling error</w:t>
      </w:r>
      <w:r w:rsidR="00FF0D74" w:rsidRPr="00843662">
        <w:rPr>
          <w:rFonts w:ascii="Book Antiqua" w:hAnsi="Book Antiqua" w:cs="Times New Roman"/>
          <w:sz w:val="24"/>
          <w:szCs w:val="24"/>
        </w:rPr>
        <w:fldChar w:fldCharType="begin"/>
      </w:r>
      <w:r w:rsidR="00AC6696" w:rsidRPr="00843662">
        <w:rPr>
          <w:rFonts w:ascii="Book Antiqua" w:hAnsi="Book Antiqua" w:cs="Times New Roman"/>
          <w:sz w:val="24"/>
          <w:szCs w:val="24"/>
        </w:rPr>
        <w:instrText xml:space="preserve"> ADDIN ZOTERO_ITEM CSL_CITATION {"citationID":"1v4a56etal","properties":{"formattedCitation":"{\\rtf \\super [8]\\nosupersub{}}","plainCitation":"[8]"},"citationItems":[{"id":34,"uris":["http://zotero.org/users/2588530/items/V7MEG8DG"],"uri":["http://zotero.org/users/2588530/items/V7MEG8DG"],"itemData":{"id":34,"type":"article-journal","title":"Noninvasive measures of liver fibrosis","container-title":"Hepatology (Baltimore, Md.)","page":"S113-120","volume":"43","issue":"2 Suppl 1","source":"PubMed","abstract":"As novel therapies for liver fibrosis evolve, non-invasive measurement of liver fibrosis will be required to help manage patients with chronic liver disease. Although liver biopsy is the current and time-honored gold standard for measurement of liver fibrosis, it is poorly suited to frequent monitoring because of its expense and morbidity, and its accuracy suffers from sampling variation. At the current writing, serum markers and imaging methods are available and increasingly in use as alternatives to biopsy. However, many questions remain about their indications, accuracy, and cost-effectiveness, and more investigation is required before they are put into widespread use. The development of safe, inexpensive, and reliable noninvasive fibrosis measurement tools remains a research priority in clinical hepatology.","DOI":"10.1002/hep.21046","ISSN":"0270-9139","note":"PMID: 16447288","journalAbbreviation":"Hepatology","language":"eng","author":[{"family":"Rockey","given":"Don C."},{"family":"Bissell","given":"D. Montgomery"}],"issued":{"date-parts":[["2006",2]]},"PMID":"16447288"}}],"schema":"https://github.com/citation-style-language/schema/raw/master/csl-citation.json"} </w:instrText>
      </w:r>
      <w:r w:rsidR="00FF0D74" w:rsidRPr="00843662">
        <w:rPr>
          <w:rFonts w:ascii="Book Antiqua" w:hAnsi="Book Antiqua" w:cs="Times New Roman"/>
          <w:sz w:val="24"/>
          <w:szCs w:val="24"/>
        </w:rPr>
        <w:fldChar w:fldCharType="separate"/>
      </w:r>
      <w:r w:rsidR="00AC6696" w:rsidRPr="00843662">
        <w:rPr>
          <w:rFonts w:ascii="Book Antiqua" w:hAnsi="Book Antiqua" w:cs="Times New Roman"/>
          <w:sz w:val="24"/>
          <w:szCs w:val="24"/>
          <w:vertAlign w:val="superscript"/>
        </w:rPr>
        <w:t>[8]</w:t>
      </w:r>
      <w:r w:rsidR="00FF0D74" w:rsidRPr="00843662">
        <w:rPr>
          <w:rFonts w:ascii="Book Antiqua" w:hAnsi="Book Antiqua" w:cs="Times New Roman"/>
          <w:sz w:val="24"/>
          <w:szCs w:val="24"/>
        </w:rPr>
        <w:fldChar w:fldCharType="end"/>
      </w:r>
      <w:r w:rsidR="000801A3" w:rsidRPr="00843662">
        <w:rPr>
          <w:rFonts w:ascii="Book Antiqua" w:hAnsi="Book Antiqua" w:cs="Times New Roman"/>
          <w:sz w:val="24"/>
          <w:szCs w:val="24"/>
        </w:rPr>
        <w:t>.</w:t>
      </w:r>
      <w:r w:rsidR="00DD278F" w:rsidRPr="00843662">
        <w:rPr>
          <w:rFonts w:ascii="Book Antiqua" w:hAnsi="Book Antiqua" w:cs="Times New Roman"/>
          <w:sz w:val="24"/>
          <w:szCs w:val="24"/>
        </w:rPr>
        <w:t xml:space="preserve"> Several </w:t>
      </w:r>
      <w:r w:rsidR="00652F61" w:rsidRPr="00843662">
        <w:rPr>
          <w:rFonts w:ascii="Book Antiqua" w:hAnsi="Book Antiqua" w:cs="Times New Roman"/>
          <w:sz w:val="24"/>
          <w:szCs w:val="24"/>
        </w:rPr>
        <w:t xml:space="preserve">non-invasive serum </w:t>
      </w:r>
      <w:r w:rsidR="00FF0D74" w:rsidRPr="00843662">
        <w:rPr>
          <w:rFonts w:ascii="Book Antiqua" w:hAnsi="Book Antiqua" w:cs="Times New Roman"/>
          <w:sz w:val="24"/>
          <w:szCs w:val="24"/>
        </w:rPr>
        <w:t xml:space="preserve">fibrosis </w:t>
      </w:r>
      <w:r w:rsidR="00652F61" w:rsidRPr="00843662">
        <w:rPr>
          <w:rFonts w:ascii="Book Antiqua" w:hAnsi="Book Antiqua" w:cs="Times New Roman"/>
          <w:sz w:val="24"/>
          <w:szCs w:val="24"/>
        </w:rPr>
        <w:t xml:space="preserve">markers </w:t>
      </w:r>
      <w:r w:rsidR="00DD278F" w:rsidRPr="00843662">
        <w:rPr>
          <w:rFonts w:ascii="Book Antiqua" w:hAnsi="Book Antiqua" w:cs="Times New Roman"/>
          <w:sz w:val="24"/>
          <w:szCs w:val="24"/>
        </w:rPr>
        <w:t xml:space="preserve">have been </w:t>
      </w:r>
      <w:r w:rsidR="00822667" w:rsidRPr="00843662">
        <w:rPr>
          <w:rFonts w:ascii="Book Antiqua" w:hAnsi="Book Antiqua" w:cs="Times New Roman"/>
          <w:sz w:val="24"/>
          <w:szCs w:val="24"/>
        </w:rPr>
        <w:t xml:space="preserve">developed </w:t>
      </w:r>
      <w:r w:rsidR="00FF0D74" w:rsidRPr="00843662">
        <w:rPr>
          <w:rFonts w:ascii="Book Antiqua" w:hAnsi="Book Antiqua" w:cs="Times New Roman"/>
          <w:sz w:val="24"/>
          <w:szCs w:val="24"/>
        </w:rPr>
        <w:t xml:space="preserve">and </w:t>
      </w:r>
      <w:r w:rsidR="008A5E80" w:rsidRPr="00843662">
        <w:rPr>
          <w:rFonts w:ascii="Book Antiqua" w:hAnsi="Book Antiqua" w:cs="Times New Roman"/>
          <w:sz w:val="24"/>
          <w:szCs w:val="24"/>
        </w:rPr>
        <w:t xml:space="preserve">are currently </w:t>
      </w:r>
      <w:r w:rsidR="00DB44F3" w:rsidRPr="00843662">
        <w:rPr>
          <w:rFonts w:ascii="Book Antiqua" w:hAnsi="Book Antiqua" w:cs="Times New Roman"/>
          <w:sz w:val="24"/>
          <w:szCs w:val="24"/>
        </w:rPr>
        <w:t>used as non-invasive alternative</w:t>
      </w:r>
      <w:r w:rsidR="009E527B" w:rsidRPr="00843662">
        <w:rPr>
          <w:rFonts w:ascii="Book Antiqua" w:hAnsi="Book Antiqua" w:cs="Times New Roman"/>
          <w:sz w:val="24"/>
          <w:szCs w:val="24"/>
        </w:rPr>
        <w:t>s</w:t>
      </w:r>
      <w:r w:rsidR="00DB44F3" w:rsidRPr="00843662">
        <w:rPr>
          <w:rFonts w:ascii="Book Antiqua" w:hAnsi="Book Antiqua" w:cs="Times New Roman"/>
          <w:sz w:val="24"/>
          <w:szCs w:val="24"/>
        </w:rPr>
        <w:t xml:space="preserve"> </w:t>
      </w:r>
      <w:r w:rsidR="00822667" w:rsidRPr="00843662">
        <w:rPr>
          <w:rFonts w:ascii="Book Antiqua" w:hAnsi="Book Antiqua" w:cs="Times New Roman"/>
          <w:sz w:val="24"/>
          <w:szCs w:val="24"/>
        </w:rPr>
        <w:t xml:space="preserve">to </w:t>
      </w:r>
      <w:r w:rsidR="00DB44F3" w:rsidRPr="00843662">
        <w:rPr>
          <w:rFonts w:ascii="Book Antiqua" w:hAnsi="Book Antiqua" w:cs="Times New Roman"/>
          <w:sz w:val="24"/>
          <w:szCs w:val="24"/>
        </w:rPr>
        <w:t>liver biopsy</w:t>
      </w:r>
      <w:r w:rsidR="004505E8" w:rsidRPr="00843662">
        <w:rPr>
          <w:rFonts w:ascii="Book Antiqua" w:hAnsi="Book Antiqua" w:cs="Times New Roman"/>
          <w:sz w:val="24"/>
          <w:szCs w:val="24"/>
        </w:rPr>
        <w:t>.</w:t>
      </w:r>
      <w:r w:rsidR="00DB44F3" w:rsidRPr="00843662">
        <w:rPr>
          <w:rFonts w:ascii="Book Antiqua" w:hAnsi="Book Antiqua" w:cs="Times New Roman"/>
          <w:sz w:val="24"/>
          <w:szCs w:val="24"/>
        </w:rPr>
        <w:t xml:space="preserve"> Recent </w:t>
      </w:r>
      <w:r w:rsidR="0092145F" w:rsidRPr="00843662">
        <w:rPr>
          <w:rFonts w:ascii="Book Antiqua" w:hAnsi="Book Antiqua" w:cs="Times New Roman"/>
          <w:sz w:val="24"/>
          <w:szCs w:val="24"/>
        </w:rPr>
        <w:t xml:space="preserve">advances have now demonstrated that some </w:t>
      </w:r>
      <w:r w:rsidR="00652F61" w:rsidRPr="00843662">
        <w:rPr>
          <w:rFonts w:ascii="Book Antiqua" w:hAnsi="Book Antiqua" w:cs="Times New Roman"/>
          <w:sz w:val="24"/>
          <w:szCs w:val="24"/>
        </w:rPr>
        <w:t xml:space="preserve">serum </w:t>
      </w:r>
      <w:r w:rsidR="00FF0D74" w:rsidRPr="00843662">
        <w:rPr>
          <w:rFonts w:ascii="Book Antiqua" w:hAnsi="Book Antiqua" w:cs="Times New Roman"/>
          <w:sz w:val="24"/>
          <w:szCs w:val="24"/>
        </w:rPr>
        <w:t xml:space="preserve">fibrosis </w:t>
      </w:r>
      <w:r w:rsidR="00DB44F3" w:rsidRPr="00843662">
        <w:rPr>
          <w:rFonts w:ascii="Book Antiqua" w:hAnsi="Book Antiqua" w:cs="Times New Roman"/>
          <w:sz w:val="24"/>
          <w:szCs w:val="24"/>
        </w:rPr>
        <w:t>markers</w:t>
      </w:r>
      <w:r w:rsidR="0092145F" w:rsidRPr="00843662">
        <w:rPr>
          <w:rFonts w:ascii="Book Antiqua" w:hAnsi="Book Antiqua" w:cs="Times New Roman"/>
          <w:sz w:val="24"/>
          <w:szCs w:val="24"/>
        </w:rPr>
        <w:t xml:space="preserve"> are able to directly predict adverse liver related outcomes rather than just </w:t>
      </w:r>
      <w:r w:rsidR="009E527B" w:rsidRPr="00843662">
        <w:rPr>
          <w:rFonts w:ascii="Book Antiqua" w:hAnsi="Book Antiqua" w:cs="Times New Roman"/>
          <w:sz w:val="24"/>
          <w:szCs w:val="24"/>
        </w:rPr>
        <w:t xml:space="preserve">provide a </w:t>
      </w:r>
      <w:r w:rsidR="0092145F" w:rsidRPr="00843662">
        <w:rPr>
          <w:rFonts w:ascii="Book Antiqua" w:hAnsi="Book Antiqua" w:cs="Times New Roman"/>
          <w:sz w:val="24"/>
          <w:szCs w:val="24"/>
        </w:rPr>
        <w:t>surrogate marker of liver fibrosis</w:t>
      </w:r>
      <w:r w:rsidR="007358AE" w:rsidRPr="00843662">
        <w:rPr>
          <w:rFonts w:ascii="Book Antiqua" w:hAnsi="Book Antiqua" w:cs="Times New Roman"/>
          <w:sz w:val="24"/>
          <w:szCs w:val="24"/>
        </w:rPr>
        <w:fldChar w:fldCharType="begin"/>
      </w:r>
      <w:r w:rsidR="00AC6696" w:rsidRPr="00843662">
        <w:rPr>
          <w:rFonts w:ascii="Book Antiqua" w:hAnsi="Book Antiqua" w:cs="Times New Roman"/>
          <w:sz w:val="24"/>
          <w:szCs w:val="24"/>
        </w:rPr>
        <w:instrText xml:space="preserve"> ADDIN ZOTERO_ITEM CSL_CITATION {"citationID":"1o5mifvfqe","properties":{"formattedCitation":"{\\rtf \\super [9]\\nosupersub{}}","plainCitation":"[9]"},"citationItems":[{"id":4,"uris":["http://zotero.org/users/2588530/items/WFRBAK95"],"uri":["http://zotero.org/users/2588530/items/WFRBAK95"],"itemData":{"id":4,"type":"article-journal","title":"Serum models accurately predict liver related clinical outcomes in chronic hepatitis C","container-title":"Journal of Gastroenterology and Hepatology","source":"PubMed","abstract":"BACKGROUND AND AIM: This study developed liver outcome scores in chronic hepatitis C (CHC) that directly predict liver related death, hepatocellular carcinoma (HCC) and liver decompensation.\nMETHODS: 617 CHC patients were followed for a mean of six years and randomized into a training set (n = 411) and a validation set (n = 206). Clinical outcomes were determined using a population based data-linkage system.\nRESULTS: In the training set, albumin, gamma-glutamyl transpeptidase (GGT), hyaluronic acid (HA), age and sex were in the final model to predict five year liver related death (AUROC 0.95). Two cut points (4.0, 5.5), defined three risk groups with an incidence rate for liver related death of 0.1%, 2% and 13.2% respectively (p &lt; 0.001). Albumin, GGT, HA, age and sex were used to predict five year liver decompensation (AUROC 0.90). A cut point of 4.5 gave a sensitivity of 94% and a specificity of 84% to predict five year decompensation and defined two groups with an incidence rate for decompensation of 0.2% and 5.8% respectively (p &lt; 0.001). Alkaline phosphatase, α2-macroglobulin, age and sex were used to predict five year HCC occurrence (AUROC 0.95). A cut point of 8 had a sensitivity of 90% and specificity of 88% to predict five year HCC occurrence and defined two groups with an incidence rate for HCC of 0.2% and 5.6% respectively (p &lt; 0.001). Similar results were obtained using the validation set.\nCONCLUSIONS: All three liver outcome scores had excellent predictive accuracy and were able to stratify risk into clinical meaningful categories for CHC patients.","DOI":"10.1111/jgh.13333","ISSN":"1440-1746","note":"PMID: 26945918","journalAbbreviation":"J. Gastroenterol. Hepatol.","language":"ENG","author":[{"family":"Huang","given":"Yi"},{"family":"Adams","given":"Leon"},{"family":"MacQuillan","given":"Gerry"},{"family":"Speers","given":"David"},{"family":"Joseph","given":"John"},{"family":"Bulsara","given":"Max"},{"family":"Jeffrey","given":"Gary"}],"issued":{"date-parts":[["2016",3,6]]},"PMID":"26945918"}}],"schema":"https://github.com/citation-style-language/schema/raw/master/csl-citation.json"} </w:instrText>
      </w:r>
      <w:r w:rsidR="007358AE" w:rsidRPr="00843662">
        <w:rPr>
          <w:rFonts w:ascii="Book Antiqua" w:hAnsi="Book Antiqua" w:cs="Times New Roman"/>
          <w:sz w:val="24"/>
          <w:szCs w:val="24"/>
        </w:rPr>
        <w:fldChar w:fldCharType="separate"/>
      </w:r>
      <w:r w:rsidR="00AC6696" w:rsidRPr="00843662">
        <w:rPr>
          <w:rFonts w:ascii="Book Antiqua" w:hAnsi="Book Antiqua" w:cs="Times New Roman"/>
          <w:sz w:val="24"/>
          <w:szCs w:val="24"/>
          <w:vertAlign w:val="superscript"/>
        </w:rPr>
        <w:t>[9]</w:t>
      </w:r>
      <w:r w:rsidR="007358AE" w:rsidRPr="00843662">
        <w:rPr>
          <w:rFonts w:ascii="Book Antiqua" w:hAnsi="Book Antiqua" w:cs="Times New Roman"/>
          <w:sz w:val="24"/>
          <w:szCs w:val="24"/>
        </w:rPr>
        <w:fldChar w:fldCharType="end"/>
      </w:r>
      <w:r w:rsidR="0092145F" w:rsidRPr="00843662">
        <w:rPr>
          <w:rFonts w:ascii="Book Antiqua" w:hAnsi="Book Antiqua" w:cs="Times New Roman"/>
          <w:sz w:val="24"/>
          <w:szCs w:val="24"/>
        </w:rPr>
        <w:t xml:space="preserve">. </w:t>
      </w:r>
      <w:proofErr w:type="spellStart"/>
      <w:r w:rsidR="00DB44F3" w:rsidRPr="00843662">
        <w:rPr>
          <w:rFonts w:ascii="Book Antiqua" w:hAnsi="Book Antiqua" w:cs="Times New Roman"/>
          <w:sz w:val="24"/>
          <w:szCs w:val="24"/>
        </w:rPr>
        <w:t>Hepascore</w:t>
      </w:r>
      <w:proofErr w:type="spellEnd"/>
      <w:r w:rsidR="00DC1898" w:rsidRPr="00843662">
        <w:rPr>
          <w:rFonts w:ascii="Book Antiqua" w:hAnsi="Book Antiqua" w:cs="Times New Roman"/>
          <w:sz w:val="24"/>
          <w:szCs w:val="24"/>
        </w:rPr>
        <w:t xml:space="preserve"> </w:t>
      </w:r>
      <w:r w:rsidR="00DA7A00" w:rsidRPr="00843662">
        <w:rPr>
          <w:rFonts w:ascii="Book Antiqua" w:hAnsi="Book Antiqua" w:cs="Times New Roman"/>
          <w:sz w:val="24"/>
          <w:szCs w:val="24"/>
        </w:rPr>
        <w:t xml:space="preserve">is one of these markers, and it is used to predict liver related complications in patients with CHC. </w:t>
      </w:r>
      <w:proofErr w:type="spellStart"/>
      <w:r w:rsidR="00DA7A00" w:rsidRPr="00843662">
        <w:rPr>
          <w:rFonts w:ascii="Book Antiqua" w:hAnsi="Book Antiqua" w:cs="Times New Roman"/>
          <w:sz w:val="24"/>
          <w:szCs w:val="24"/>
        </w:rPr>
        <w:t>Hepascore</w:t>
      </w:r>
      <w:proofErr w:type="spellEnd"/>
      <w:r w:rsidR="00DA7A00" w:rsidRPr="00843662">
        <w:rPr>
          <w:rFonts w:ascii="Book Antiqua" w:hAnsi="Book Antiqua" w:cs="Times New Roman"/>
          <w:sz w:val="24"/>
          <w:szCs w:val="24"/>
        </w:rPr>
        <w:t xml:space="preserve"> has also been shown to be c</w:t>
      </w:r>
      <w:r w:rsidR="00DB44F3" w:rsidRPr="00843662">
        <w:rPr>
          <w:rFonts w:ascii="Book Antiqua" w:hAnsi="Book Antiqua" w:cs="Times New Roman"/>
          <w:sz w:val="24"/>
          <w:szCs w:val="24"/>
        </w:rPr>
        <w:t>omparable to liver biopsy</w:t>
      </w:r>
      <w:r w:rsidR="00DB44F3" w:rsidRPr="00843662">
        <w:rPr>
          <w:rFonts w:ascii="Book Antiqua" w:hAnsi="Book Antiqua" w:cs="Times New Roman"/>
          <w:sz w:val="24"/>
          <w:szCs w:val="24"/>
        </w:rPr>
        <w:fldChar w:fldCharType="begin"/>
      </w:r>
      <w:r w:rsidR="00AC6696" w:rsidRPr="00843662">
        <w:rPr>
          <w:rFonts w:ascii="Book Antiqua" w:hAnsi="Book Antiqua" w:cs="Times New Roman"/>
          <w:sz w:val="24"/>
          <w:szCs w:val="24"/>
        </w:rPr>
        <w:instrText xml:space="preserve"> ADDIN ZOTERO_ITEM CSL_CITATION {"citationID":"hDvmOCjQ","properties":{"formattedCitation":"{\\rtf \\super [10\\uc0\\u8211{}12]\\nosupersub{}}","plainCitation":"[10–12]"},"citationItems":[{"id":7,"uris":["http://zotero.org/users/2588530/items/UTCM6PJE"],"uri":["http://zotero.org/users/2588530/items/UTCM6PJE"],"itemData":{"id":7,"type":"article-journal","title":"Prediction of morbidity and mortality in patients with chronic hepatitis C by non-invasive liver fibrosis models","container-title":"Liver International","page":"720-727","volume":"34","issue":"5","source":"Wiley Online Library","abstract":"Background &amp; Aims\n\nLiver fibrosis is prognostic of outcomes among patients with chronic hepatitis C (CHC). We evaluated the accuracy of non-invasive markers and liver biopsy in predicting morbidity and mortality in CHC patients.\n\n\nMethods\n\nCompensated CHC patients were evaluated over a 10-year period. Non-invasive markers including Hepascore, FIB-4, APRI and liver biopsy results were retrospectively collated. Follow-up morbidity and mortality data were obtained from the Western Australian Data Linkage System. The prognostic significance of baseline non-invasive markers and biopsy were assessed using Kaplan–Meier analysis.\n\n\nResults\n\nA total of 406 subjects (64% male, mean age 48 ± 11 years) were followed up for 2385 person-years, during which there were 22 (5.4%) deaths including 14 (3.4%) who died from liver disease or required liver transplantation. Sixteen (3.9%) subjects developed liver decompensation. Hepascore and liver biopsy (P &lt; 0.005) but not APRI or FIB-4 were predictive of overall and liver-related mortality as well as liver decompensation. A Hepascore&gt;0.5 was associated with increased overall mortality [Hazard Ratio (95%CI) 6.7 (2.6–17), P &lt; 0.001], liver-related mortality [32.8 (4.3–250), P = 0.001] and risk of future decompensation [11.8 (3.3–41), P &lt; 0.001], whereas a Hepascore ≤0.5 was associated with a 99% probability of not dying from liver-related causes over 10 years. Hepascore had comparable accuracy with liver biopsy in predicting liver-related mortality with AUROC of 0.86 (95%CI 0.80–0.90) and 0.87 (0.79–0.96), respectively.\n\n\nConclusion\n\nHepascore is predictive of overall and liver-related mortality and morbidity in CHC patients with comparable accuracy to liver biopsy. Hepascore may be a useful prognostic marker in clinical practice.","DOI":"10.1111/liv.12306","ISSN":"1478-3231","journalAbbreviation":"Liver Int","language":"en","author":[{"family":"Chinnaratha","given":"Mohamed A."},{"family":"Jeffrey","given":"Gary P."},{"family":"MacQuillan","given":"Gerry"},{"family":"Rossi","given":"Enrico"},{"family":"Boer","given":"Bastiaan W.","non-dropping-particle":"de"},{"family":"Speers","given":"David J."},{"family":"Adams","given":"Leon A."}],"issued":{"date-parts":[["2014",5,1]]}}},{"id":8,"uris":["http://zotero.org/users/2588530/items/ZT8MG3XN"],"uri":["http://zotero.org/users/2588530/items/ZT8MG3XN"],"itemData":{"id":8,"type":"article-journal","title":"Hepascore: An Accurate Validated Predictor of Liver Fibrosis in Chronic Hepatitis C Infection","container-title":"Clinical Chemistry","page":"1867-1873","volume":"51","issue":"10","source":"www.clinchem.org","abstract":"Background: Staging hepatic fibrosis by liver biopsy guides prognosis and treatment of hepatitis C, but is invasive and expensive. We sought to create an algorithm of serum markers that accurately and reliably predict liver fibrosis stage among hepatitis C patients.\nMethods: Ten biochemical markers were measured at time of liver biopsy in 117 untreated hepatitis C patients (training set). Multivariate logistic regression and ROC curve analyses were used to create a predictive model for significant fibrosis (METAVIR F2, F3, and F4), advanced fibrosis (F3 and F4), and cirrhosis (F4). The model was validated in 104 patients from other institutions.\nResults: A model (Hepascore) of bilirubin, γ-glutamyltransferase, hyaluronic acid, α2-macroglobulin, age, and sex produced areas under the ROC curves (AUCs) of 0.85, 0.96, and 0.94 for significant fibrosis, advanced fibrosis, and cirrhosis, respectively. In the training set, a score ≥0.5 (range, 0.0–1.0) was 92% specific and 67% sensitive for significant fibrosis, a score &lt;0.5 was 81% specific and 95% sensitive for advanced fibrosis, and a score &lt;0.84 was 84% specific and 71% sensitive for cirrhosis. Among the validation set, the AUC for significant fibrosis, advanced fibrosis, and cirrhosis were 0.82, 0.90, and 0.89, respectively. A score ≥0.5 provided a specificity and sensitivity of 89% and 63% for significant fibrosis, whereas scores &lt;0.5 had 74% specificity and 88% sensitivity for advanced fibrosis.\nConclusions: A model of 4 serum markers plus age and sex provides clinically useful information regarding different fibrosis stages among hepatitis C patients.","DOI":"10.1373/clinchem.2005.048389","ISSN":"0009-9147, 1530-8561","note":"PMID: 16055434","shortTitle":"Hepascore","journalAbbreviation":"Clinical Chemistry","language":"en","author":[{"family":"Adams","given":"Leon A."},{"family":"Bulsara","given":"Max"},{"family":"Rossi","given":"Enrico"},{"family":"DeBoer","given":"Bastiaan"},{"family":"Speers","given":"David"},{"family":"George","given":"Jacob"},{"family":"Kench","given":"James"},{"family":"Farrell","given":"Geoffrey"},{"family":"McCaughan","given":"Geoffrey W."},{"family":"Jeffrey","given":"Gary P."}],"issued":{"date-parts":[["2005",10,1]]},"PMID":"16055434"}},{"id":6,"uris":["http://zotero.org/users/2588530/items/DPHU4CRA"],"uri":["http://zotero.org/users/2588530/items/DPHU4CRA"],"itemData":{"id":6,"type":"article-journal","title":"The ability of Hepascore to predict liver fibrosis in chronic liver disease: a meta-analysis","container-title":"Liver International","source":"Wiley Online Library","abstract":"Background &amp; Aims\n\nHepascore is a serum model that was developed to assess the severity of liver fibrosis. It has been well validated in common causes of chronic liver disease. This study performed a meta-analysis to evaluate the pooled diagnostic performance of Hepascore and to compare it for different aetiologies of chronic liver disease.\n\n\nMethods\n\nTwo reviewers searched electronic databases from October 2005 to September 2015 for studies that evaluated the diagnostic performance of Hepascore for liver fibrosis in chronic liver disease.\n\n\nResults\n\n21 studies were included. The AUROC was adjusted according to the distribution of fibrosis stages. The mean adjusted AUROC was 0.83 (95% CI, 0.81–0.85) for significant fibrosis, 0.89 (95% CI, 0.85–0.92) for advance fibrosis and 0.93 (95% CI, 0.91–0.95) for cirrhosis. A cut point of 0.50–0.55 achieved a summary sensitivity of 70% and a summary specificity of 79% to predict significant fibrosis. A cut point of 0.50–0.61 had a summary sensitivity of 81% and a summary specificity of 74% to predict advanced fibrosis. A cut point of 0.80–0.84 had a summary sensitivity of 72% and a summary specificity of 0.88% to predict cirrhosis. The accuracy of Hepascore was similar among all disease aetiologies for the prediction of cirrhosis. However, Hepascore had better diagnostic ability for significant and advanced fibrosis in chronic hepatitis C, chronic hepatitis B and alcoholic liver disease than for non-alcoholic fatty liver disease and HIV co-infected viral hepatitis.\n\n\nConclusions\n\nHepascore is a clinically useful measure of liver fibrosis in patients with common causes of chronic liver disease.","DOI":"10.1111/liv.13116","ISSN":"1478-3231","shortTitle":"The ability of Hepascore to predict liver fibrosis in chronic liver disease","journalAbbreviation":"Liver Int","language":"en","author":[{"family":"Huang","given":"Yi"},{"family":"Adams","given":"Leon A."},{"family":"Joseph","given":"John"},{"family":"Bulsara","given":"Max K."},{"family":"Jeffrey","given":"Gary P."}],"issued":{"date-parts":[["2016",4,1]]},"accessed":{"date-parts":[["2016",7,16]]}}}],"schema":"https://github.com/citation-style-language/schema/raw/master/csl-citation.json"} </w:instrText>
      </w:r>
      <w:r w:rsidR="00DB44F3" w:rsidRPr="00843662">
        <w:rPr>
          <w:rFonts w:ascii="Book Antiqua" w:hAnsi="Book Antiqua" w:cs="Times New Roman"/>
          <w:sz w:val="24"/>
          <w:szCs w:val="24"/>
        </w:rPr>
        <w:fldChar w:fldCharType="separate"/>
      </w:r>
      <w:r w:rsidR="00AC6696" w:rsidRPr="00843662">
        <w:rPr>
          <w:rFonts w:ascii="Book Antiqua" w:hAnsi="Book Antiqua" w:cs="Times New Roman"/>
          <w:sz w:val="24"/>
          <w:szCs w:val="24"/>
          <w:vertAlign w:val="superscript"/>
        </w:rPr>
        <w:t>[10–12]</w:t>
      </w:r>
      <w:r w:rsidR="00DB44F3" w:rsidRPr="00843662">
        <w:rPr>
          <w:rFonts w:ascii="Book Antiqua" w:hAnsi="Book Antiqua" w:cs="Times New Roman"/>
          <w:sz w:val="24"/>
          <w:szCs w:val="24"/>
        </w:rPr>
        <w:fldChar w:fldCharType="end"/>
      </w:r>
      <w:r w:rsidR="00DB44F3" w:rsidRPr="00843662">
        <w:rPr>
          <w:rFonts w:ascii="Book Antiqua" w:hAnsi="Book Antiqua" w:cs="Times New Roman"/>
          <w:sz w:val="24"/>
          <w:szCs w:val="24"/>
        </w:rPr>
        <w:t>.</w:t>
      </w:r>
      <w:r w:rsidR="00DC1898" w:rsidRPr="00843662">
        <w:rPr>
          <w:rFonts w:ascii="Book Antiqua" w:hAnsi="Book Antiqua" w:cs="Times New Roman"/>
          <w:sz w:val="24"/>
          <w:szCs w:val="24"/>
        </w:rPr>
        <w:t xml:space="preserve"> </w:t>
      </w:r>
      <w:r w:rsidR="00DA7A00" w:rsidRPr="00843662">
        <w:rPr>
          <w:rFonts w:ascii="Book Antiqua" w:hAnsi="Book Antiqua" w:cs="Times New Roman"/>
          <w:sz w:val="24"/>
          <w:szCs w:val="24"/>
        </w:rPr>
        <w:t xml:space="preserve">The </w:t>
      </w:r>
      <w:proofErr w:type="spellStart"/>
      <w:r w:rsidR="00DC1898" w:rsidRPr="00843662">
        <w:rPr>
          <w:rFonts w:ascii="Book Antiqua" w:hAnsi="Book Antiqua" w:cs="Times New Roman"/>
          <w:sz w:val="24"/>
          <w:szCs w:val="24"/>
        </w:rPr>
        <w:t>Hepascore</w:t>
      </w:r>
      <w:proofErr w:type="spellEnd"/>
      <w:r w:rsidR="00DC1898" w:rsidRPr="00843662">
        <w:rPr>
          <w:rFonts w:ascii="Book Antiqua" w:hAnsi="Book Antiqua" w:cs="Times New Roman"/>
          <w:sz w:val="24"/>
          <w:szCs w:val="24"/>
        </w:rPr>
        <w:t xml:space="preserve"> </w:t>
      </w:r>
      <w:r w:rsidR="000B7B5E" w:rsidRPr="00843662">
        <w:rPr>
          <w:rFonts w:ascii="Book Antiqua" w:hAnsi="Book Antiqua" w:cs="Times New Roman"/>
          <w:sz w:val="24"/>
          <w:szCs w:val="24"/>
        </w:rPr>
        <w:t>result</w:t>
      </w:r>
      <w:r w:rsidR="00DA7A00" w:rsidRPr="00843662">
        <w:rPr>
          <w:rFonts w:ascii="Book Antiqua" w:hAnsi="Book Antiqua" w:cs="Times New Roman"/>
          <w:sz w:val="24"/>
          <w:szCs w:val="24"/>
        </w:rPr>
        <w:t xml:space="preserve"> itself </w:t>
      </w:r>
      <w:r w:rsidR="00DC1898" w:rsidRPr="00843662">
        <w:rPr>
          <w:rFonts w:ascii="Book Antiqua" w:hAnsi="Book Antiqua" w:cs="Times New Roman"/>
          <w:sz w:val="24"/>
          <w:szCs w:val="24"/>
        </w:rPr>
        <w:t>range</w:t>
      </w:r>
      <w:r w:rsidR="000B7B5E" w:rsidRPr="00843662">
        <w:rPr>
          <w:rFonts w:ascii="Book Antiqua" w:hAnsi="Book Antiqua" w:cs="Times New Roman"/>
          <w:sz w:val="24"/>
          <w:szCs w:val="24"/>
        </w:rPr>
        <w:t>s</w:t>
      </w:r>
      <w:r w:rsidR="00DC1898" w:rsidRPr="00843662">
        <w:rPr>
          <w:rFonts w:ascii="Book Antiqua" w:hAnsi="Book Antiqua" w:cs="Times New Roman"/>
          <w:sz w:val="24"/>
          <w:szCs w:val="24"/>
        </w:rPr>
        <w:t xml:space="preserve"> from 0 to 1</w:t>
      </w:r>
      <w:r w:rsidR="009E527B" w:rsidRPr="00843662">
        <w:rPr>
          <w:rFonts w:ascii="Book Antiqua" w:hAnsi="Book Antiqua" w:cs="Times New Roman"/>
          <w:sz w:val="24"/>
          <w:szCs w:val="24"/>
        </w:rPr>
        <w:t>.0</w:t>
      </w:r>
      <w:r w:rsidR="00DC1898" w:rsidRPr="00843662">
        <w:rPr>
          <w:rFonts w:ascii="Book Antiqua" w:hAnsi="Book Antiqua" w:cs="Times New Roman"/>
          <w:sz w:val="24"/>
          <w:szCs w:val="24"/>
        </w:rPr>
        <w:t xml:space="preserve"> </w:t>
      </w:r>
      <w:r w:rsidR="00DC1898" w:rsidRPr="00843662">
        <w:rPr>
          <w:rFonts w:ascii="Book Antiqua" w:hAnsi="Book Antiqua" w:cs="Times New Roman"/>
          <w:sz w:val="24"/>
          <w:szCs w:val="24"/>
        </w:rPr>
        <w:lastRenderedPageBreak/>
        <w:t xml:space="preserve">with a lower value indicating less </w:t>
      </w:r>
      <w:r w:rsidR="005F753F" w:rsidRPr="00843662">
        <w:rPr>
          <w:rFonts w:ascii="Book Antiqua" w:hAnsi="Book Antiqua" w:cs="Times New Roman"/>
          <w:sz w:val="24"/>
          <w:szCs w:val="24"/>
        </w:rPr>
        <w:t xml:space="preserve">severe </w:t>
      </w:r>
      <w:r w:rsidR="00DC1898" w:rsidRPr="00843662">
        <w:rPr>
          <w:rFonts w:ascii="Book Antiqua" w:hAnsi="Book Antiqua" w:cs="Times New Roman"/>
          <w:sz w:val="24"/>
          <w:szCs w:val="24"/>
        </w:rPr>
        <w:t xml:space="preserve">or </w:t>
      </w:r>
      <w:r w:rsidR="005F753F" w:rsidRPr="00843662">
        <w:rPr>
          <w:rFonts w:ascii="Book Antiqua" w:hAnsi="Book Antiqua" w:cs="Times New Roman"/>
          <w:sz w:val="24"/>
          <w:szCs w:val="24"/>
        </w:rPr>
        <w:t>absent liver fibrosis</w:t>
      </w:r>
      <w:r w:rsidR="00983BF2" w:rsidRPr="00843662">
        <w:rPr>
          <w:rFonts w:ascii="Book Antiqua" w:hAnsi="Book Antiqua" w:cs="Times New Roman"/>
          <w:sz w:val="24"/>
          <w:szCs w:val="24"/>
        </w:rPr>
        <w:t xml:space="preserve"> and consequently better liver related clinical outcomes</w:t>
      </w:r>
      <w:r w:rsidR="00547E05" w:rsidRPr="00843662">
        <w:rPr>
          <w:rFonts w:ascii="Book Antiqua" w:hAnsi="Book Antiqua" w:cs="Times New Roman"/>
          <w:sz w:val="24"/>
          <w:szCs w:val="24"/>
        </w:rPr>
        <w:fldChar w:fldCharType="begin"/>
      </w:r>
      <w:r w:rsidR="00AC6696" w:rsidRPr="00843662">
        <w:rPr>
          <w:rFonts w:ascii="Book Antiqua" w:hAnsi="Book Antiqua" w:cs="Times New Roman"/>
          <w:sz w:val="24"/>
          <w:szCs w:val="24"/>
        </w:rPr>
        <w:instrText xml:space="preserve"> ADDIN ZOTERO_ITEM CSL_CITATION {"citationID":"1v8ckhulbc","properties":{"formattedCitation":"{\\rtf \\super [10]\\nosupersub{}}","plainCitation":"[10]"},"citationItems":[{"id":7,"uris":["http://zotero.org/users/2588530/items/UTCM6PJE"],"uri":["http://zotero.org/users/2588530/items/UTCM6PJE"],"itemData":{"id":7,"type":"article-journal","title":"Prediction of morbidity and mortality in patients with chronic hepatitis C by non-invasive liver fibrosis models","container-title":"Liver International","page":"720-727","volume":"34","issue":"5","source":"Wiley Online Library","abstract":"Background &amp; Aims\n\nLiver fibrosis is prognostic of outcomes among patients with chronic hepatitis C (CHC). We evaluated the accuracy of non-invasive markers and liver biopsy in predicting morbidity and mortality in CHC patients.\n\n\nMethods\n\nCompensated CHC patients were evaluated over a 10-year period. Non-invasive markers including Hepascore, FIB-4, APRI and liver biopsy results were retrospectively collated. Follow-up morbidity and mortality data were obtained from the Western Australian Data Linkage System. The prognostic significance of baseline non-invasive markers and biopsy were assessed using Kaplan–Meier analysis.\n\n\nResults\n\nA total of 406 subjects (64% male, mean age 48 ± 11 years) were followed up for 2385 person-years, during which there were 22 (5.4%) deaths including 14 (3.4%) who died from liver disease or required liver transplantation. Sixteen (3.9%) subjects developed liver decompensation. Hepascore and liver biopsy (P &lt; 0.005) but not APRI or FIB-4 were predictive of overall and liver-related mortality as well as liver decompensation. A Hepascore&gt;0.5 was associated with increased overall mortality [Hazard Ratio (95%CI) 6.7 (2.6–17), P &lt; 0.001], liver-related mortality [32.8 (4.3–250), P = 0.001] and risk of future decompensation [11.8 (3.3–41), P &lt; 0.001], whereas a Hepascore ≤0.5 was associated with a 99% probability of not dying from liver-related causes over 10 years. Hepascore had comparable accuracy with liver biopsy in predicting liver-related mortality with AUROC of 0.86 (95%CI 0.80–0.90) and 0.87 (0.79–0.96), respectively.\n\n\nConclusion\n\nHepascore is predictive of overall and liver-related mortality and morbidity in CHC patients with comparable accuracy to liver biopsy. Hepascore may be a useful prognostic marker in clinical practice.","DOI":"10.1111/liv.12306","ISSN":"1478-3231","journalAbbreviation":"Liver Int","language":"en","author":[{"family":"Chinnaratha","given":"Mohamed A."},{"family":"Jeffrey","given":"Gary P."},{"family":"MacQuillan","given":"Gerry"},{"family":"Rossi","given":"Enrico"},{"family":"Boer","given":"Bastiaan W.","non-dropping-particle":"de"},{"family":"Speers","given":"David J."},{"family":"Adams","given":"Leon A."}],"issued":{"date-parts":[["2014",5,1]]}}}],"schema":"https://github.com/citation-style-language/schema/raw/master/csl-citation.json"} </w:instrText>
      </w:r>
      <w:r w:rsidR="00547E05" w:rsidRPr="00843662">
        <w:rPr>
          <w:rFonts w:ascii="Book Antiqua" w:hAnsi="Book Antiqua" w:cs="Times New Roman"/>
          <w:sz w:val="24"/>
          <w:szCs w:val="24"/>
        </w:rPr>
        <w:fldChar w:fldCharType="separate"/>
      </w:r>
      <w:r w:rsidR="00AC6696" w:rsidRPr="00843662">
        <w:rPr>
          <w:rFonts w:ascii="Book Antiqua" w:hAnsi="Book Antiqua" w:cs="Times New Roman"/>
          <w:sz w:val="24"/>
          <w:szCs w:val="24"/>
          <w:vertAlign w:val="superscript"/>
        </w:rPr>
        <w:t>[10]</w:t>
      </w:r>
      <w:r w:rsidR="00547E05" w:rsidRPr="00843662">
        <w:rPr>
          <w:rFonts w:ascii="Book Antiqua" w:hAnsi="Book Antiqua" w:cs="Times New Roman"/>
          <w:sz w:val="24"/>
          <w:szCs w:val="24"/>
        </w:rPr>
        <w:fldChar w:fldCharType="end"/>
      </w:r>
      <w:r w:rsidR="00DC1898" w:rsidRPr="00843662">
        <w:rPr>
          <w:rFonts w:ascii="Book Antiqua" w:hAnsi="Book Antiqua" w:cs="Times New Roman"/>
          <w:sz w:val="24"/>
          <w:szCs w:val="24"/>
        </w:rPr>
        <w:t>.</w:t>
      </w:r>
      <w:r w:rsidR="003F485A" w:rsidRPr="00843662">
        <w:rPr>
          <w:rFonts w:ascii="Book Antiqua" w:hAnsi="Book Antiqua" w:cs="Times New Roman"/>
          <w:sz w:val="24"/>
          <w:szCs w:val="24"/>
        </w:rPr>
        <w:t xml:space="preserve"> </w:t>
      </w:r>
      <w:r w:rsidR="00A02DE2" w:rsidRPr="00843662">
        <w:rPr>
          <w:rFonts w:ascii="Book Antiqua" w:hAnsi="Book Antiqua" w:cs="Times New Roman"/>
          <w:sz w:val="24"/>
          <w:szCs w:val="24"/>
        </w:rPr>
        <w:t>M</w:t>
      </w:r>
      <w:r w:rsidR="003F485A" w:rsidRPr="00843662">
        <w:rPr>
          <w:rFonts w:ascii="Book Antiqua" w:hAnsi="Book Antiqua" w:cs="Times New Roman"/>
          <w:sz w:val="24"/>
          <w:szCs w:val="24"/>
        </w:rPr>
        <w:t>easur</w:t>
      </w:r>
      <w:r w:rsidR="00FF0D74" w:rsidRPr="00843662">
        <w:rPr>
          <w:rFonts w:ascii="Book Antiqua" w:hAnsi="Book Antiqua" w:cs="Times New Roman"/>
          <w:sz w:val="24"/>
          <w:szCs w:val="24"/>
        </w:rPr>
        <w:t xml:space="preserve">ement of </w:t>
      </w:r>
      <w:r w:rsidR="00644E20" w:rsidRPr="00843662">
        <w:rPr>
          <w:rFonts w:ascii="Book Antiqua" w:hAnsi="Book Antiqua" w:cs="Times New Roman"/>
          <w:sz w:val="24"/>
          <w:szCs w:val="24"/>
        </w:rPr>
        <w:t>the</w:t>
      </w:r>
      <w:r w:rsidR="00A02DE2" w:rsidRPr="00843662">
        <w:rPr>
          <w:rFonts w:ascii="Book Antiqua" w:hAnsi="Book Antiqua" w:cs="Times New Roman"/>
          <w:sz w:val="24"/>
          <w:szCs w:val="24"/>
        </w:rPr>
        <w:t xml:space="preserve"> c</w:t>
      </w:r>
      <w:r w:rsidR="00CD67B5" w:rsidRPr="00843662">
        <w:rPr>
          <w:rFonts w:ascii="Book Antiqua" w:hAnsi="Book Antiqua" w:cs="Times New Roman"/>
          <w:sz w:val="24"/>
          <w:szCs w:val="24"/>
        </w:rPr>
        <w:t xml:space="preserve">hange in </w:t>
      </w:r>
      <w:r w:rsidR="00FF0D74" w:rsidRPr="00843662">
        <w:rPr>
          <w:rFonts w:ascii="Book Antiqua" w:hAnsi="Book Antiqua" w:cs="Times New Roman"/>
          <w:sz w:val="24"/>
          <w:szCs w:val="24"/>
        </w:rPr>
        <w:t xml:space="preserve">severity of </w:t>
      </w:r>
      <w:r w:rsidR="00A02DE2" w:rsidRPr="00843662">
        <w:rPr>
          <w:rFonts w:ascii="Book Antiqua" w:hAnsi="Book Antiqua" w:cs="Times New Roman"/>
          <w:sz w:val="24"/>
          <w:szCs w:val="24"/>
        </w:rPr>
        <w:t xml:space="preserve">liver </w:t>
      </w:r>
      <w:r w:rsidR="00CD67B5" w:rsidRPr="00843662">
        <w:rPr>
          <w:rFonts w:ascii="Book Antiqua" w:hAnsi="Book Antiqua" w:cs="Times New Roman"/>
          <w:sz w:val="24"/>
          <w:szCs w:val="24"/>
        </w:rPr>
        <w:t>fibrosis over time is a</w:t>
      </w:r>
      <w:r w:rsidR="00FF0D74" w:rsidRPr="00843662">
        <w:rPr>
          <w:rFonts w:ascii="Book Antiqua" w:hAnsi="Book Antiqua" w:cs="Times New Roman"/>
          <w:sz w:val="24"/>
          <w:szCs w:val="24"/>
        </w:rPr>
        <w:t>lso a</w:t>
      </w:r>
      <w:r w:rsidR="0002492D">
        <w:rPr>
          <w:rFonts w:ascii="Book Antiqua" w:hAnsi="Book Antiqua" w:cs="Times New Roman"/>
          <w:sz w:val="24"/>
          <w:szCs w:val="24"/>
        </w:rPr>
        <w:t xml:space="preserve"> strong prognostic tool in CHC</w:t>
      </w:r>
      <w:r w:rsidR="00CD67B5" w:rsidRPr="00843662">
        <w:rPr>
          <w:rFonts w:ascii="Book Antiqua" w:hAnsi="Book Antiqua" w:cs="Times New Roman"/>
          <w:sz w:val="24"/>
          <w:szCs w:val="24"/>
        </w:rPr>
        <w:fldChar w:fldCharType="begin"/>
      </w:r>
      <w:r w:rsidR="00AC6696" w:rsidRPr="00843662">
        <w:rPr>
          <w:rFonts w:ascii="Book Antiqua" w:hAnsi="Book Antiqua" w:cs="Times New Roman"/>
          <w:sz w:val="24"/>
          <w:szCs w:val="24"/>
        </w:rPr>
        <w:instrText xml:space="preserve"> ADDIN ZOTERO_ITEM CSL_CITATION {"citationID":"iht8a4a4f","properties":{"formattedCitation":"{\\rtf \\super [7]\\nosupersub{}}","plainCitation":"[7]"},"citationItems":[{"id":32,"uris":["http://zotero.org/users/2588530/items/HR3M6INW"],"uri":["http://zotero.org/users/2588530/items/HR3M6INW"],"itemData":{"id":32,"type":"article-journal","title":"Natural history of liver fibrosis progression in patients with chronic hepatitis C","container-title":"The Lancet","page":"825-832","volume":"349","issue":"9055","source":"ScienceDirect","abstract":"SummaryBackground\nOur aim was to assess the natural history of liver fibrosis progression in hepatitis C and the factors associated with this progression.\nMethods\nWe recruited 2235 patients from the Observatoire de i'Hépatite C-(OBSVIRC) population, the Cohorte Hépatite C Pitié-Salpêtrière (DOSVIRC) population, and the original METAVIR population. All the patients had a biopsy sample compatible with chronic hepatitis C as assessed by the METAVIR scoring system (grades the stage of fibrosis on a five-point scale, FO=no fibrosis, F4=cirrhosis, and histological activity on a four-point scale, AO=no activity, A3=severe activity). No patient had received interferon treatment before the liver biopsy sample was obtained. We assessed the effect of nine factors on fibrosis progression: age at biopsy; estimated duration of infection; sex; age at infection; alcohol consumption; hepatitis C virus C (HCV) genotype; HCV viraemia; cause of infection; and histological activity grade. We defined fibrosis progression per year as the ratio between fibrosis stage in METAVIR units and the duration of infection (1 unit=one stage, 4 units=cirrhosis).\nFindings\nThe median rate of fibrosis progression per year was 0·133 fibrosis unit (95% CI 0·125-0-143), which was similar to the estimates from previous studies (0·146 to 0·154). Three independent factors were associated with an increased rate of fibrosis progression: age at infection older than 40 years, daily alcohol consumption of 50 g or more, and male sex. There was no association between fibrosis progression and HCV genotype. The median estimated duration of infection for progression to cirrhosis was 30 years (28–32), ranging from 13 years in men infected after the age of 40 to 42 years in women who did not drink alcohol and were infected before the age of 40. Without treatment, 377 (33%) patients had an expected median time to cirrhosis of less than 20 years, and 356 (31%) will never progress to cirrhosis or will not progress for at least 50 years.\nInterpretation\nThe host factors of ageing, alcohol consumption, and male sex have a stronger association with fibrosis progression than virological factors in HCV infection.","DOI":"10.1016/S0140-6736(96)07642-8","ISSN":"0140-6736","journalAbbreviation":"The Lancet","author":[{"family":"Poynard","given":"Thierry"},{"family":"Bedossa","given":"Pierre"},{"family":"Opolon","given":"Pierre"}],"issued":{"date-parts":[["1997",3,22]]}}}],"schema":"https://github.com/citation-style-language/schema/raw/master/csl-citation.json"} </w:instrText>
      </w:r>
      <w:r w:rsidR="00CD67B5" w:rsidRPr="00843662">
        <w:rPr>
          <w:rFonts w:ascii="Book Antiqua" w:hAnsi="Book Antiqua" w:cs="Times New Roman"/>
          <w:sz w:val="24"/>
          <w:szCs w:val="24"/>
        </w:rPr>
        <w:fldChar w:fldCharType="separate"/>
      </w:r>
      <w:r w:rsidR="00AC6696" w:rsidRPr="00843662">
        <w:rPr>
          <w:rFonts w:ascii="Book Antiqua" w:hAnsi="Book Antiqua" w:cs="Times New Roman"/>
          <w:sz w:val="24"/>
          <w:szCs w:val="24"/>
          <w:vertAlign w:val="superscript"/>
        </w:rPr>
        <w:t>[7]</w:t>
      </w:r>
      <w:r w:rsidR="00CD67B5" w:rsidRPr="00843662">
        <w:rPr>
          <w:rFonts w:ascii="Book Antiqua" w:hAnsi="Book Antiqua" w:cs="Times New Roman"/>
          <w:sz w:val="24"/>
          <w:szCs w:val="24"/>
        </w:rPr>
        <w:fldChar w:fldCharType="end"/>
      </w:r>
      <w:r w:rsidR="00CD67B5" w:rsidRPr="00843662">
        <w:rPr>
          <w:rFonts w:ascii="Book Antiqua" w:hAnsi="Book Antiqua" w:cs="Times New Roman"/>
          <w:sz w:val="24"/>
          <w:szCs w:val="24"/>
        </w:rPr>
        <w:t xml:space="preserve">. </w:t>
      </w:r>
      <w:r w:rsidR="008623FA" w:rsidRPr="00843662">
        <w:rPr>
          <w:rFonts w:ascii="Book Antiqua" w:hAnsi="Book Antiqua" w:cs="Times New Roman"/>
          <w:sz w:val="24"/>
          <w:szCs w:val="24"/>
        </w:rPr>
        <w:t xml:space="preserve">The use of non-invasive serum </w:t>
      </w:r>
      <w:r w:rsidR="00FF0D74" w:rsidRPr="00843662">
        <w:rPr>
          <w:rFonts w:ascii="Book Antiqua" w:hAnsi="Book Antiqua" w:cs="Times New Roman"/>
          <w:sz w:val="24"/>
          <w:szCs w:val="24"/>
        </w:rPr>
        <w:t xml:space="preserve">fibrosis </w:t>
      </w:r>
      <w:r w:rsidR="008623FA" w:rsidRPr="00843662">
        <w:rPr>
          <w:rFonts w:ascii="Book Antiqua" w:hAnsi="Book Antiqua" w:cs="Times New Roman"/>
          <w:sz w:val="24"/>
          <w:szCs w:val="24"/>
        </w:rPr>
        <w:t xml:space="preserve">markers to monitor </w:t>
      </w:r>
      <w:r w:rsidR="00644E20" w:rsidRPr="00843662">
        <w:rPr>
          <w:rFonts w:ascii="Book Antiqua" w:hAnsi="Book Antiqua" w:cs="Times New Roman"/>
          <w:sz w:val="24"/>
          <w:szCs w:val="24"/>
        </w:rPr>
        <w:t xml:space="preserve">regression/progression </w:t>
      </w:r>
      <w:r w:rsidR="00FF0D74" w:rsidRPr="00843662">
        <w:rPr>
          <w:rFonts w:ascii="Book Antiqua" w:hAnsi="Book Antiqua" w:cs="Times New Roman"/>
          <w:sz w:val="24"/>
          <w:szCs w:val="24"/>
        </w:rPr>
        <w:t>of fibrosis</w:t>
      </w:r>
      <w:r w:rsidR="008623FA" w:rsidRPr="00843662">
        <w:rPr>
          <w:rFonts w:ascii="Book Antiqua" w:hAnsi="Book Antiqua" w:cs="Times New Roman"/>
          <w:sz w:val="24"/>
          <w:szCs w:val="24"/>
        </w:rPr>
        <w:t xml:space="preserve"> in </w:t>
      </w:r>
      <w:r w:rsidR="003F485A" w:rsidRPr="00843662">
        <w:rPr>
          <w:rFonts w:ascii="Book Antiqua" w:hAnsi="Book Antiqua" w:cs="Times New Roman"/>
          <w:sz w:val="24"/>
          <w:szCs w:val="24"/>
        </w:rPr>
        <w:t xml:space="preserve">CHC has a significant potential benefit to optimise the clinical management in </w:t>
      </w:r>
      <w:r w:rsidR="008623FA" w:rsidRPr="00843662">
        <w:rPr>
          <w:rFonts w:ascii="Book Antiqua" w:hAnsi="Book Antiqua" w:cs="Times New Roman"/>
          <w:sz w:val="24"/>
          <w:szCs w:val="24"/>
        </w:rPr>
        <w:t>these patients.</w:t>
      </w:r>
      <w:r w:rsidR="00F35F04" w:rsidRPr="00843662">
        <w:rPr>
          <w:rFonts w:ascii="Book Antiqua" w:hAnsi="Book Antiqua" w:cs="Times New Roman"/>
          <w:sz w:val="24"/>
          <w:szCs w:val="24"/>
        </w:rPr>
        <w:t xml:space="preserve"> </w:t>
      </w:r>
      <w:r w:rsidR="003F485A" w:rsidRPr="00843662">
        <w:rPr>
          <w:rFonts w:ascii="Book Antiqua" w:hAnsi="Book Antiqua" w:cs="Times New Roman"/>
          <w:sz w:val="24"/>
          <w:szCs w:val="24"/>
        </w:rPr>
        <w:t>However,</w:t>
      </w:r>
      <w:r w:rsidR="00F24F9C" w:rsidRPr="00843662">
        <w:rPr>
          <w:rFonts w:ascii="Book Antiqua" w:hAnsi="Book Antiqua" w:cs="Times New Roman"/>
          <w:sz w:val="24"/>
          <w:szCs w:val="24"/>
        </w:rPr>
        <w:t xml:space="preserve"> there is </w:t>
      </w:r>
      <w:r w:rsidR="001550AD" w:rsidRPr="00843662">
        <w:rPr>
          <w:rFonts w:ascii="Book Antiqua" w:hAnsi="Book Antiqua" w:cs="Times New Roman"/>
          <w:sz w:val="24"/>
          <w:szCs w:val="24"/>
        </w:rPr>
        <w:t>no information</w:t>
      </w:r>
      <w:r w:rsidR="00F24F9C" w:rsidRPr="00843662">
        <w:rPr>
          <w:rFonts w:ascii="Book Antiqua" w:hAnsi="Book Antiqua" w:cs="Times New Roman"/>
          <w:sz w:val="24"/>
          <w:szCs w:val="24"/>
        </w:rPr>
        <w:t xml:space="preserve"> on </w:t>
      </w:r>
      <w:r w:rsidR="009220CC" w:rsidRPr="00843662">
        <w:rPr>
          <w:rFonts w:ascii="Book Antiqua" w:hAnsi="Book Antiqua" w:cs="Times New Roman"/>
          <w:sz w:val="24"/>
          <w:szCs w:val="24"/>
        </w:rPr>
        <w:t>the value</w:t>
      </w:r>
      <w:r w:rsidR="00F24F9C" w:rsidRPr="00843662">
        <w:rPr>
          <w:rFonts w:ascii="Book Antiqua" w:hAnsi="Book Antiqua" w:cs="Times New Roman"/>
          <w:sz w:val="24"/>
          <w:szCs w:val="24"/>
        </w:rPr>
        <w:t xml:space="preserve"> of </w:t>
      </w:r>
      <w:r w:rsidR="0006504D" w:rsidRPr="00843662">
        <w:rPr>
          <w:rFonts w:ascii="Book Antiqua" w:hAnsi="Book Antiqua" w:cs="Times New Roman"/>
          <w:sz w:val="24"/>
          <w:szCs w:val="24"/>
        </w:rPr>
        <w:t>serial</w:t>
      </w:r>
      <w:r w:rsidR="00F24F9C" w:rsidRPr="00843662">
        <w:rPr>
          <w:rFonts w:ascii="Book Antiqua" w:hAnsi="Book Antiqua" w:cs="Times New Roman"/>
          <w:sz w:val="24"/>
          <w:szCs w:val="24"/>
        </w:rPr>
        <w:t xml:space="preserve"> </w:t>
      </w:r>
      <w:r w:rsidR="003F485A" w:rsidRPr="00843662">
        <w:rPr>
          <w:rFonts w:ascii="Book Antiqua" w:hAnsi="Book Antiqua" w:cs="Times New Roman"/>
          <w:sz w:val="24"/>
          <w:szCs w:val="24"/>
        </w:rPr>
        <w:t>serum</w:t>
      </w:r>
      <w:r w:rsidR="00FF0D74" w:rsidRPr="00843662">
        <w:rPr>
          <w:rFonts w:ascii="Book Antiqua" w:hAnsi="Book Antiqua" w:cs="Times New Roman"/>
          <w:sz w:val="24"/>
          <w:szCs w:val="24"/>
        </w:rPr>
        <w:t xml:space="preserve"> fibrosis</w:t>
      </w:r>
      <w:r w:rsidR="003F485A" w:rsidRPr="00843662">
        <w:rPr>
          <w:rFonts w:ascii="Book Antiqua" w:hAnsi="Book Antiqua" w:cs="Times New Roman"/>
          <w:sz w:val="24"/>
          <w:szCs w:val="24"/>
        </w:rPr>
        <w:t xml:space="preserve"> </w:t>
      </w:r>
      <w:r w:rsidR="00856A7A" w:rsidRPr="00843662">
        <w:rPr>
          <w:rFonts w:ascii="Book Antiqua" w:hAnsi="Book Antiqua" w:cs="Times New Roman"/>
          <w:sz w:val="24"/>
          <w:szCs w:val="24"/>
        </w:rPr>
        <w:t>tests</w:t>
      </w:r>
      <w:r w:rsidR="00F24F9C" w:rsidRPr="00843662">
        <w:rPr>
          <w:rFonts w:ascii="Book Antiqua" w:hAnsi="Book Antiqua" w:cs="Times New Roman"/>
          <w:sz w:val="24"/>
          <w:szCs w:val="24"/>
        </w:rPr>
        <w:t xml:space="preserve"> and the</w:t>
      </w:r>
      <w:r w:rsidR="003F485A" w:rsidRPr="00843662">
        <w:rPr>
          <w:rFonts w:ascii="Book Antiqua" w:hAnsi="Book Antiqua" w:cs="Times New Roman"/>
          <w:sz w:val="24"/>
          <w:szCs w:val="24"/>
        </w:rPr>
        <w:t>ir</w:t>
      </w:r>
      <w:r w:rsidR="00F24F9C" w:rsidRPr="00843662">
        <w:rPr>
          <w:rFonts w:ascii="Book Antiqua" w:hAnsi="Book Antiqua" w:cs="Times New Roman"/>
          <w:sz w:val="24"/>
          <w:szCs w:val="24"/>
        </w:rPr>
        <w:t xml:space="preserve"> change</w:t>
      </w:r>
      <w:r w:rsidR="003F485A" w:rsidRPr="00843662">
        <w:rPr>
          <w:rFonts w:ascii="Book Antiqua" w:hAnsi="Book Antiqua" w:cs="Times New Roman"/>
          <w:sz w:val="24"/>
          <w:szCs w:val="24"/>
        </w:rPr>
        <w:t xml:space="preserve"> over time</w:t>
      </w:r>
      <w:r w:rsidR="00F24F9C" w:rsidRPr="00843662">
        <w:rPr>
          <w:rFonts w:ascii="Book Antiqua" w:hAnsi="Book Antiqua" w:cs="Times New Roman"/>
          <w:sz w:val="24"/>
          <w:szCs w:val="24"/>
        </w:rPr>
        <w:t xml:space="preserve"> in </w:t>
      </w:r>
      <w:r w:rsidR="003F485A" w:rsidRPr="00843662">
        <w:rPr>
          <w:rFonts w:ascii="Book Antiqua" w:hAnsi="Book Antiqua" w:cs="Times New Roman"/>
          <w:sz w:val="24"/>
          <w:szCs w:val="24"/>
        </w:rPr>
        <w:t>determining changes in liver related clinical outcomes</w:t>
      </w:r>
      <w:r w:rsidR="0006504D" w:rsidRPr="00843662">
        <w:rPr>
          <w:rFonts w:ascii="Book Antiqua" w:hAnsi="Book Antiqua" w:cs="Times New Roman"/>
          <w:sz w:val="24"/>
          <w:szCs w:val="24"/>
        </w:rPr>
        <w:t>.</w:t>
      </w:r>
    </w:p>
    <w:p w14:paraId="69067EE2" w14:textId="43CFDF0A" w:rsidR="005F5770" w:rsidRPr="00843662" w:rsidRDefault="00E8316B" w:rsidP="0002492D">
      <w:pPr>
        <w:spacing w:after="0" w:line="360" w:lineRule="auto"/>
        <w:ind w:firstLineChars="100" w:firstLine="240"/>
        <w:jc w:val="both"/>
        <w:rPr>
          <w:rFonts w:ascii="Book Antiqua" w:hAnsi="Book Antiqua" w:cs="Times New Roman"/>
          <w:sz w:val="24"/>
          <w:szCs w:val="24"/>
        </w:rPr>
      </w:pPr>
      <w:r w:rsidRPr="00843662">
        <w:rPr>
          <w:rFonts w:ascii="Book Antiqua" w:hAnsi="Book Antiqua" w:cs="Times New Roman"/>
          <w:sz w:val="24"/>
          <w:szCs w:val="24"/>
        </w:rPr>
        <w:t xml:space="preserve">This aim of this study is to establish if serial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tests (referred to as delta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in those with CHC correlate with the increase and/or decrease in risk of </w:t>
      </w:r>
      <w:r w:rsidR="005A3D76" w:rsidRPr="00843662">
        <w:rPr>
          <w:rFonts w:ascii="Book Antiqua" w:hAnsi="Book Antiqua" w:cs="Times New Roman"/>
          <w:sz w:val="24"/>
          <w:szCs w:val="24"/>
        </w:rPr>
        <w:t>liver related complications.</w:t>
      </w:r>
    </w:p>
    <w:p w14:paraId="5A3F7F1A" w14:textId="77777777" w:rsidR="00C3397E" w:rsidRPr="00843662" w:rsidRDefault="00C3397E" w:rsidP="00843662">
      <w:pPr>
        <w:spacing w:after="0" w:line="360" w:lineRule="auto"/>
        <w:jc w:val="both"/>
        <w:rPr>
          <w:rFonts w:ascii="Book Antiqua" w:hAnsi="Book Antiqua" w:cs="Times New Roman"/>
          <w:sz w:val="24"/>
          <w:szCs w:val="24"/>
        </w:rPr>
      </w:pPr>
    </w:p>
    <w:p w14:paraId="1CD9E8B5" w14:textId="77777777" w:rsidR="0002492D" w:rsidRDefault="0002492D" w:rsidP="00843662">
      <w:pPr>
        <w:spacing w:after="0" w:line="360" w:lineRule="auto"/>
        <w:jc w:val="both"/>
        <w:outlineLvl w:val="0"/>
        <w:rPr>
          <w:rFonts w:ascii="Book Antiqua" w:hAnsi="Book Antiqua" w:cs="Times New Roman"/>
          <w:i/>
          <w:sz w:val="24"/>
          <w:szCs w:val="24"/>
        </w:rPr>
      </w:pPr>
      <w:r w:rsidRPr="00E82915">
        <w:rPr>
          <w:rFonts w:ascii="Book Antiqua" w:hAnsi="Book Antiqua" w:cs="Arial"/>
          <w:b/>
          <w:lang w:val="en-US"/>
        </w:rPr>
        <w:t>MATERIALS AND METHOD</w:t>
      </w:r>
      <w:r w:rsidRPr="00BF6679">
        <w:rPr>
          <w:rFonts w:ascii="Book Antiqua" w:eastAsia="宋体" w:hAnsi="Book Antiqua" w:cs="Arial" w:hint="eastAsia"/>
          <w:b/>
          <w:lang w:val="en-US"/>
        </w:rPr>
        <w:t>S</w:t>
      </w:r>
      <w:r w:rsidRPr="00843662">
        <w:rPr>
          <w:rFonts w:ascii="Book Antiqua" w:hAnsi="Book Antiqua" w:cs="Times New Roman"/>
          <w:i/>
          <w:sz w:val="24"/>
          <w:szCs w:val="24"/>
        </w:rPr>
        <w:t xml:space="preserve"> </w:t>
      </w:r>
    </w:p>
    <w:p w14:paraId="41ADFDE9" w14:textId="6EC11AC7" w:rsidR="005F5770" w:rsidRPr="0002492D" w:rsidRDefault="005F5770" w:rsidP="00843662">
      <w:pPr>
        <w:spacing w:after="0" w:line="360" w:lineRule="auto"/>
        <w:jc w:val="both"/>
        <w:outlineLvl w:val="0"/>
        <w:rPr>
          <w:rFonts w:ascii="Book Antiqua" w:hAnsi="Book Antiqua" w:cs="Times New Roman"/>
          <w:b/>
          <w:i/>
          <w:sz w:val="24"/>
          <w:szCs w:val="24"/>
        </w:rPr>
      </w:pPr>
      <w:r w:rsidRPr="0002492D">
        <w:rPr>
          <w:rFonts w:ascii="Book Antiqua" w:hAnsi="Book Antiqua" w:cs="Times New Roman"/>
          <w:b/>
          <w:i/>
          <w:sz w:val="24"/>
          <w:szCs w:val="24"/>
        </w:rPr>
        <w:t>Cohort</w:t>
      </w:r>
    </w:p>
    <w:p w14:paraId="2BE9079C" w14:textId="5668CFCE" w:rsidR="00425536" w:rsidRPr="00843662" w:rsidRDefault="00D758AE"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Hepatitis C patients who presented to Sir Charles Gairdner Hospital (SCGH) based in Western Australia f</w:t>
      </w:r>
      <w:r w:rsidR="007F0D81" w:rsidRPr="00843662">
        <w:rPr>
          <w:rFonts w:ascii="Book Antiqua" w:hAnsi="Book Antiqua" w:cs="Times New Roman"/>
          <w:sz w:val="24"/>
          <w:szCs w:val="24"/>
        </w:rPr>
        <w:t xml:space="preserve">rom 1992 to 2012 and </w:t>
      </w:r>
      <w:r w:rsidRPr="00843662">
        <w:rPr>
          <w:rFonts w:ascii="Book Antiqua" w:hAnsi="Book Antiqua" w:cs="Times New Roman"/>
          <w:sz w:val="24"/>
          <w:szCs w:val="24"/>
        </w:rPr>
        <w:t xml:space="preserve">who also </w:t>
      </w:r>
      <w:r w:rsidR="007F0D81" w:rsidRPr="00843662">
        <w:rPr>
          <w:rFonts w:ascii="Book Antiqua" w:hAnsi="Book Antiqua" w:cs="Times New Roman"/>
          <w:sz w:val="24"/>
          <w:szCs w:val="24"/>
        </w:rPr>
        <w:t xml:space="preserve">had two </w:t>
      </w:r>
      <w:proofErr w:type="spellStart"/>
      <w:r w:rsidR="007F0D81" w:rsidRPr="00843662">
        <w:rPr>
          <w:rFonts w:ascii="Book Antiqua" w:hAnsi="Book Antiqua" w:cs="Times New Roman"/>
          <w:sz w:val="24"/>
          <w:szCs w:val="24"/>
        </w:rPr>
        <w:t>Hepascore</w:t>
      </w:r>
      <w:proofErr w:type="spellEnd"/>
      <w:r w:rsidR="00425536" w:rsidRPr="00843662">
        <w:rPr>
          <w:rFonts w:ascii="Book Antiqua" w:hAnsi="Book Antiqua" w:cs="Times New Roman"/>
          <w:sz w:val="24"/>
          <w:szCs w:val="24"/>
        </w:rPr>
        <w:t xml:space="preserve"> tests performed were studied.</w:t>
      </w:r>
      <w:r w:rsidR="005959AE" w:rsidRPr="00843662">
        <w:rPr>
          <w:rFonts w:ascii="Book Antiqua" w:hAnsi="Book Antiqua" w:cs="Times New Roman"/>
          <w:sz w:val="24"/>
          <w:szCs w:val="24"/>
        </w:rPr>
        <w:t xml:space="preserve"> </w:t>
      </w:r>
      <w:r w:rsidRPr="00843662">
        <w:rPr>
          <w:rFonts w:ascii="Book Antiqua" w:hAnsi="Book Antiqua" w:cs="Times New Roman"/>
          <w:sz w:val="24"/>
          <w:szCs w:val="24"/>
        </w:rPr>
        <w:t>We defined our i</w:t>
      </w:r>
      <w:r w:rsidR="005959AE" w:rsidRPr="00843662">
        <w:rPr>
          <w:rFonts w:ascii="Book Antiqua" w:hAnsi="Book Antiqua" w:cs="Times New Roman"/>
          <w:sz w:val="24"/>
          <w:szCs w:val="24"/>
        </w:rPr>
        <w:t xml:space="preserve">nclusion criteria </w:t>
      </w:r>
      <w:r w:rsidRPr="00843662">
        <w:rPr>
          <w:rFonts w:ascii="Book Antiqua" w:hAnsi="Book Antiqua" w:cs="Times New Roman"/>
          <w:sz w:val="24"/>
          <w:szCs w:val="24"/>
        </w:rPr>
        <w:t xml:space="preserve">as </w:t>
      </w:r>
      <w:r w:rsidR="005959AE" w:rsidRPr="00843662">
        <w:rPr>
          <w:rFonts w:ascii="Book Antiqua" w:hAnsi="Book Antiqua" w:cs="Times New Roman"/>
          <w:sz w:val="24"/>
          <w:szCs w:val="24"/>
        </w:rPr>
        <w:t xml:space="preserve">all </w:t>
      </w:r>
      <w:r w:rsidRPr="00843662">
        <w:rPr>
          <w:rFonts w:ascii="Book Antiqua" w:hAnsi="Book Antiqua" w:cs="Times New Roman"/>
          <w:sz w:val="24"/>
          <w:szCs w:val="24"/>
        </w:rPr>
        <w:t xml:space="preserve">patients with </w:t>
      </w:r>
      <w:r w:rsidR="0002492D">
        <w:rPr>
          <w:rFonts w:ascii="Book Antiqua" w:hAnsi="Book Antiqua" w:cs="Times New Roman" w:hint="eastAsia"/>
          <w:sz w:val="24"/>
          <w:szCs w:val="24"/>
        </w:rPr>
        <w:t>h</w:t>
      </w:r>
      <w:r w:rsidRPr="00843662">
        <w:rPr>
          <w:rFonts w:ascii="Book Antiqua" w:hAnsi="Book Antiqua" w:cs="Times New Roman"/>
          <w:sz w:val="24"/>
          <w:szCs w:val="24"/>
        </w:rPr>
        <w:t>epatitis C, both treated and untreated. We also included patients regardless of if they achieved a sustained virological response (SVR).</w:t>
      </w:r>
      <w:r w:rsidR="005959AE" w:rsidRPr="00843662">
        <w:rPr>
          <w:rFonts w:ascii="Book Antiqua" w:hAnsi="Book Antiqua" w:cs="Times New Roman"/>
          <w:sz w:val="24"/>
          <w:szCs w:val="24"/>
        </w:rPr>
        <w:t xml:space="preserve"> </w:t>
      </w:r>
      <w:r w:rsidRPr="00843662">
        <w:rPr>
          <w:rFonts w:ascii="Book Antiqua" w:hAnsi="Book Antiqua" w:cs="Times New Roman"/>
          <w:sz w:val="24"/>
          <w:szCs w:val="24"/>
        </w:rPr>
        <w:t>Our e</w:t>
      </w:r>
      <w:r w:rsidR="00425536" w:rsidRPr="00843662">
        <w:rPr>
          <w:rFonts w:ascii="Book Antiqua" w:hAnsi="Book Antiqua" w:cs="Times New Roman"/>
          <w:sz w:val="24"/>
          <w:szCs w:val="24"/>
        </w:rPr>
        <w:t xml:space="preserve">xclusion criteria </w:t>
      </w:r>
      <w:r w:rsidRPr="00843662">
        <w:rPr>
          <w:rFonts w:ascii="Book Antiqua" w:hAnsi="Book Antiqua" w:cs="Times New Roman"/>
          <w:sz w:val="24"/>
          <w:szCs w:val="24"/>
        </w:rPr>
        <w:t>consisted</w:t>
      </w:r>
      <w:r w:rsidR="00425536" w:rsidRPr="00843662">
        <w:rPr>
          <w:rFonts w:ascii="Book Antiqua" w:hAnsi="Book Antiqua" w:cs="Times New Roman"/>
          <w:sz w:val="24"/>
          <w:szCs w:val="24"/>
        </w:rPr>
        <w:t xml:space="preserve"> those with </w:t>
      </w:r>
      <w:r w:rsidRPr="00843662">
        <w:rPr>
          <w:rFonts w:ascii="Book Antiqua" w:hAnsi="Book Antiqua" w:cs="Times New Roman"/>
          <w:sz w:val="24"/>
          <w:szCs w:val="24"/>
        </w:rPr>
        <w:t xml:space="preserve">co-existing </w:t>
      </w:r>
      <w:r w:rsidR="0002492D">
        <w:rPr>
          <w:rFonts w:ascii="Book Antiqua" w:hAnsi="Book Antiqua" w:cs="Times New Roman" w:hint="eastAsia"/>
          <w:sz w:val="24"/>
          <w:szCs w:val="24"/>
        </w:rPr>
        <w:t>h</w:t>
      </w:r>
      <w:r w:rsidR="00A23B1C" w:rsidRPr="00843662">
        <w:rPr>
          <w:rFonts w:ascii="Book Antiqua" w:hAnsi="Book Antiqua" w:cs="Times New Roman"/>
          <w:sz w:val="24"/>
          <w:szCs w:val="24"/>
        </w:rPr>
        <w:t xml:space="preserve">epatitis B </w:t>
      </w:r>
      <w:r w:rsidRPr="00843662">
        <w:rPr>
          <w:rFonts w:ascii="Book Antiqua" w:hAnsi="Book Antiqua" w:cs="Times New Roman"/>
          <w:sz w:val="24"/>
          <w:szCs w:val="24"/>
        </w:rPr>
        <w:t xml:space="preserve">infection, </w:t>
      </w:r>
      <w:r w:rsidR="0002492D" w:rsidRPr="0002492D">
        <w:rPr>
          <w:rFonts w:ascii="Book Antiqua" w:hAnsi="Book Antiqua" w:cs="Times New Roman"/>
          <w:sz w:val="24"/>
          <w:szCs w:val="24"/>
        </w:rPr>
        <w:t>human immunodeficiency virus</w:t>
      </w:r>
      <w:r w:rsidR="00A23B1C" w:rsidRPr="00843662">
        <w:rPr>
          <w:rFonts w:ascii="Book Antiqua" w:hAnsi="Book Antiqua" w:cs="Times New Roman"/>
          <w:sz w:val="24"/>
          <w:szCs w:val="24"/>
        </w:rPr>
        <w:t xml:space="preserve"> </w:t>
      </w:r>
      <w:r w:rsidRPr="00843662">
        <w:rPr>
          <w:rFonts w:ascii="Book Antiqua" w:hAnsi="Book Antiqua" w:cs="Times New Roman"/>
          <w:sz w:val="24"/>
          <w:szCs w:val="24"/>
        </w:rPr>
        <w:t>as well as any other</w:t>
      </w:r>
      <w:r w:rsidR="00425536" w:rsidRPr="00843662">
        <w:rPr>
          <w:rFonts w:ascii="Book Antiqua" w:hAnsi="Book Antiqua" w:cs="Times New Roman"/>
          <w:sz w:val="24"/>
          <w:szCs w:val="24"/>
        </w:rPr>
        <w:t xml:space="preserve"> liver diseases</w:t>
      </w:r>
      <w:r w:rsidRPr="00843662">
        <w:rPr>
          <w:rFonts w:ascii="Book Antiqua" w:hAnsi="Book Antiqua" w:cs="Times New Roman"/>
          <w:sz w:val="24"/>
          <w:szCs w:val="24"/>
        </w:rPr>
        <w:t xml:space="preserve">. We also excluded patients who had received a previous liver transplantation. </w:t>
      </w:r>
      <w:r w:rsidR="00727844" w:rsidRPr="00843662">
        <w:rPr>
          <w:rFonts w:ascii="Book Antiqua" w:hAnsi="Book Antiqua" w:cs="Times New Roman"/>
          <w:sz w:val="24"/>
          <w:szCs w:val="24"/>
        </w:rPr>
        <w:t>We received e</w:t>
      </w:r>
      <w:r w:rsidR="00560982" w:rsidRPr="00843662">
        <w:rPr>
          <w:rFonts w:ascii="Book Antiqua" w:hAnsi="Book Antiqua" w:cs="Times New Roman"/>
          <w:sz w:val="24"/>
          <w:szCs w:val="24"/>
        </w:rPr>
        <w:t xml:space="preserve">thics approval </w:t>
      </w:r>
      <w:r w:rsidR="00727844" w:rsidRPr="00843662">
        <w:rPr>
          <w:rFonts w:ascii="Book Antiqua" w:hAnsi="Book Antiqua" w:cs="Times New Roman"/>
          <w:sz w:val="24"/>
          <w:szCs w:val="24"/>
        </w:rPr>
        <w:t xml:space="preserve">for this study from </w:t>
      </w:r>
      <w:r w:rsidR="006364FB" w:rsidRPr="00843662">
        <w:rPr>
          <w:rFonts w:ascii="Book Antiqua" w:hAnsi="Book Antiqua" w:cs="Times New Roman"/>
          <w:sz w:val="24"/>
          <w:szCs w:val="24"/>
        </w:rPr>
        <w:t>the</w:t>
      </w:r>
      <w:r w:rsidR="00560982" w:rsidRPr="00843662">
        <w:rPr>
          <w:rFonts w:ascii="Book Antiqua" w:hAnsi="Book Antiqua" w:cs="Times New Roman"/>
          <w:sz w:val="24"/>
          <w:szCs w:val="24"/>
        </w:rPr>
        <w:t xml:space="preserve"> </w:t>
      </w:r>
      <w:r w:rsidR="0002492D">
        <w:rPr>
          <w:rFonts w:ascii="Book Antiqua" w:hAnsi="Book Antiqua" w:cs="Times New Roman"/>
          <w:sz w:val="24"/>
          <w:szCs w:val="24"/>
        </w:rPr>
        <w:t>Department of Health</w:t>
      </w:r>
      <w:r w:rsidR="00982DFB" w:rsidRPr="00843662">
        <w:rPr>
          <w:rFonts w:ascii="Book Antiqua" w:hAnsi="Book Antiqua" w:cs="Times New Roman"/>
          <w:sz w:val="24"/>
          <w:szCs w:val="24"/>
        </w:rPr>
        <w:t xml:space="preserve"> Ethics Committee and the </w:t>
      </w:r>
      <w:r w:rsidR="00727844" w:rsidRPr="00843662">
        <w:rPr>
          <w:rFonts w:ascii="Book Antiqua" w:hAnsi="Book Antiqua" w:cs="Times New Roman"/>
          <w:sz w:val="24"/>
          <w:szCs w:val="24"/>
        </w:rPr>
        <w:t>SCGH</w:t>
      </w:r>
      <w:r w:rsidR="00982DFB" w:rsidRPr="00843662">
        <w:rPr>
          <w:rFonts w:ascii="Book Antiqua" w:hAnsi="Book Antiqua" w:cs="Times New Roman"/>
          <w:sz w:val="24"/>
          <w:szCs w:val="24"/>
        </w:rPr>
        <w:t xml:space="preserve"> Ethics Committee.</w:t>
      </w:r>
    </w:p>
    <w:p w14:paraId="1E30DA38" w14:textId="77777777" w:rsidR="00C3397E" w:rsidRPr="00843662" w:rsidRDefault="00C3397E" w:rsidP="00843662">
      <w:pPr>
        <w:spacing w:after="0" w:line="360" w:lineRule="auto"/>
        <w:jc w:val="both"/>
        <w:rPr>
          <w:rFonts w:ascii="Book Antiqua" w:hAnsi="Book Antiqua" w:cs="Times New Roman"/>
          <w:sz w:val="24"/>
          <w:szCs w:val="24"/>
        </w:rPr>
      </w:pPr>
    </w:p>
    <w:p w14:paraId="63570378" w14:textId="5967CA51" w:rsidR="003B6325" w:rsidRPr="0002492D" w:rsidRDefault="003B6325" w:rsidP="00843662">
      <w:pPr>
        <w:spacing w:after="0" w:line="360" w:lineRule="auto"/>
        <w:jc w:val="both"/>
        <w:outlineLvl w:val="0"/>
        <w:rPr>
          <w:rFonts w:ascii="Book Antiqua" w:hAnsi="Book Antiqua" w:cs="Times New Roman"/>
          <w:b/>
          <w:i/>
          <w:sz w:val="24"/>
          <w:szCs w:val="24"/>
        </w:rPr>
      </w:pPr>
      <w:r w:rsidRPr="0002492D">
        <w:rPr>
          <w:rFonts w:ascii="Book Antiqua" w:hAnsi="Book Antiqua" w:cs="Times New Roman"/>
          <w:b/>
          <w:i/>
          <w:sz w:val="24"/>
          <w:szCs w:val="24"/>
        </w:rPr>
        <w:t>Data collection</w:t>
      </w:r>
    </w:p>
    <w:p w14:paraId="67EA3A8E" w14:textId="3BC2D8E0" w:rsidR="00B01589" w:rsidRPr="00843662" w:rsidRDefault="00056DD7"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Baseline </w:t>
      </w:r>
      <w:r w:rsidR="00542833" w:rsidRPr="00843662">
        <w:rPr>
          <w:rFonts w:ascii="Book Antiqua" w:hAnsi="Book Antiqua" w:cs="Times New Roman"/>
          <w:sz w:val="24"/>
          <w:szCs w:val="24"/>
        </w:rPr>
        <w:t xml:space="preserve">and second </w:t>
      </w:r>
      <w:proofErr w:type="spellStart"/>
      <w:r w:rsidR="00C95474" w:rsidRPr="00843662">
        <w:rPr>
          <w:rFonts w:ascii="Book Antiqua" w:hAnsi="Book Antiqua" w:cs="Times New Roman"/>
          <w:sz w:val="24"/>
          <w:szCs w:val="24"/>
        </w:rPr>
        <w:t>Hepascore</w:t>
      </w:r>
      <w:proofErr w:type="spellEnd"/>
      <w:r w:rsidR="00C95474" w:rsidRPr="00843662">
        <w:rPr>
          <w:rFonts w:ascii="Book Antiqua" w:hAnsi="Book Antiqua" w:cs="Times New Roman"/>
          <w:sz w:val="24"/>
          <w:szCs w:val="24"/>
        </w:rPr>
        <w:t xml:space="preserve"> test dates</w:t>
      </w:r>
      <w:r w:rsidR="00542833" w:rsidRPr="00843662">
        <w:rPr>
          <w:rFonts w:ascii="Book Antiqua" w:hAnsi="Book Antiqua" w:cs="Times New Roman"/>
          <w:sz w:val="24"/>
          <w:szCs w:val="24"/>
        </w:rPr>
        <w:t xml:space="preserve"> and results</w:t>
      </w:r>
      <w:r w:rsidR="00C95474" w:rsidRPr="00843662">
        <w:rPr>
          <w:rFonts w:ascii="Book Antiqua" w:hAnsi="Book Antiqua" w:cs="Times New Roman"/>
          <w:sz w:val="24"/>
          <w:szCs w:val="24"/>
        </w:rPr>
        <w:t xml:space="preserve"> were collected for each patient. </w:t>
      </w:r>
      <w:r w:rsidR="003A10CB" w:rsidRPr="00843662">
        <w:rPr>
          <w:rFonts w:ascii="Book Antiqua" w:hAnsi="Book Antiqua" w:cs="Times New Roman"/>
          <w:sz w:val="24"/>
          <w:szCs w:val="24"/>
        </w:rPr>
        <w:t xml:space="preserve">The WA </w:t>
      </w:r>
      <w:r w:rsidR="004C3236" w:rsidRPr="00843662">
        <w:rPr>
          <w:rFonts w:ascii="Book Antiqua" w:hAnsi="Book Antiqua" w:cs="Times New Roman"/>
          <w:sz w:val="24"/>
          <w:szCs w:val="24"/>
        </w:rPr>
        <w:t>based Data Linkage System, called WADLS</w:t>
      </w:r>
      <w:r w:rsidR="003A10CB" w:rsidRPr="00843662">
        <w:rPr>
          <w:rFonts w:ascii="Book Antiqua" w:hAnsi="Book Antiqua" w:cs="Times New Roman"/>
          <w:sz w:val="24"/>
          <w:szCs w:val="24"/>
        </w:rPr>
        <w:t xml:space="preserve"> was used to collect long term patient</w:t>
      </w:r>
      <w:r w:rsidR="007F0D81" w:rsidRPr="00843662">
        <w:rPr>
          <w:rFonts w:ascii="Book Antiqua" w:hAnsi="Book Antiqua" w:cs="Times New Roman"/>
          <w:sz w:val="24"/>
          <w:szCs w:val="24"/>
        </w:rPr>
        <w:t xml:space="preserve"> morbidity and mortality </w:t>
      </w:r>
      <w:r w:rsidR="003A10CB" w:rsidRPr="00843662">
        <w:rPr>
          <w:rFonts w:ascii="Book Antiqua" w:hAnsi="Book Antiqua" w:cs="Times New Roman"/>
          <w:sz w:val="24"/>
          <w:szCs w:val="24"/>
        </w:rPr>
        <w:t>figures</w:t>
      </w:r>
      <w:r w:rsidR="003A10CB" w:rsidRPr="00843662">
        <w:rPr>
          <w:rFonts w:ascii="Book Antiqua" w:hAnsi="Book Antiqua" w:cs="Times New Roman"/>
          <w:sz w:val="24"/>
          <w:szCs w:val="24"/>
        </w:rPr>
        <w:fldChar w:fldCharType="begin"/>
      </w:r>
      <w:r w:rsidR="003A10CB" w:rsidRPr="00843662">
        <w:rPr>
          <w:rFonts w:ascii="Book Antiqua" w:hAnsi="Book Antiqua" w:cs="Times New Roman"/>
          <w:sz w:val="24"/>
          <w:szCs w:val="24"/>
        </w:rPr>
        <w:instrText xml:space="preserve"> ADDIN ZOTERO_ITEM CSL_CITATION {"citationID":"1aho94o05d","properties":{"formattedCitation":"{\\rtf \\super [13]\\nosupersub{}}","plainCitation":"[13]"},"citationItems":[{"id":14,"uris":["http://zotero.org/users/2588530/items/ITJTXX26"],"uri":["http://zotero.org/users/2588530/items/ITJTXX26"],"itemData":{"id":14,"type":"article-journal","title":"Population-based linkage of health records in Western Australia: development of a health services research linked database","container-title":"Australian and New Zealand Journal of Public Health","page":"453-459","volume":"23","issue":"5","source":"PubMed","abstract":"OBJECTIVES: To introduce the Western Australian Health Services Research Linked Database as infrastructure to support aetiologic, utilisation and outcomes research. To compare the study population, data resources, technical systems and organisational supports with international best practice in record linkage and health research.\nMETHOD AND RESULTS: The WA Linked Database systematically links the available administrative health data within an Australian State of 1.7 million people. It brings together, initially, six core data elements (birth records, midwives' notifications, cancer registrations, in-patient hospital morbidity, in-patient and public out-patient mental health services data and death records). It will be updated regularly and is designed, in future extensions, to include data on primary, residential and domiciliary care and health surveys. Linkage uses probabilistic matching of patient names and other identifiers. Geocodes for spatial analysis are assigned using address linkage and mapping software. By June 1997, the project had taken 2 1/2 years to develop the system and link seven million core data records from 1980 to 1995.\nCONCLUSIONS: The system is consistent with international benchmarks, from four centres of excellence, for the study population, core datasets, matching and geocoding, and collaborative networks. There are prospects to redress deficiencies in primary medical contact and other data resources, validation studies, tracing systems and a more supportive legal framework.\nIMPLICATIONS: The WA Linked Database will be used in combination with medical record audits to provide a comprehensive evaluation of health system performance.","ISSN":"1326-0200","note":"PMID: 10575763","shortTitle":"Population-based linkage of health records in Western Australia","journalAbbreviation":"Aust N Z J Public Health","language":"eng","author":[{"family":"Holman","given":"C. D."},{"family":"Bass","given":"A. J."},{"family":"Rouse","given":"I. L."},{"family":"Hobbs","given":"M. S."}],"issued":{"date-parts":[["1999",10]]},"PMID":"10575763"}}],"schema":"https://github.com/citation-style-language/schema/raw/master/csl-citation.json"} </w:instrText>
      </w:r>
      <w:r w:rsidR="003A10CB" w:rsidRPr="00843662">
        <w:rPr>
          <w:rFonts w:ascii="Book Antiqua" w:hAnsi="Book Antiqua" w:cs="Times New Roman"/>
          <w:sz w:val="24"/>
          <w:szCs w:val="24"/>
        </w:rPr>
        <w:fldChar w:fldCharType="separate"/>
      </w:r>
      <w:r w:rsidR="003A10CB" w:rsidRPr="00843662">
        <w:rPr>
          <w:rFonts w:ascii="Book Antiqua" w:hAnsi="Book Antiqua" w:cs="Times New Roman"/>
          <w:sz w:val="24"/>
          <w:szCs w:val="24"/>
          <w:vertAlign w:val="superscript"/>
        </w:rPr>
        <w:t>[13]</w:t>
      </w:r>
      <w:r w:rsidR="003A10CB" w:rsidRPr="00843662">
        <w:rPr>
          <w:rFonts w:ascii="Book Antiqua" w:hAnsi="Book Antiqua" w:cs="Times New Roman"/>
          <w:sz w:val="24"/>
          <w:szCs w:val="24"/>
        </w:rPr>
        <w:fldChar w:fldCharType="end"/>
      </w:r>
      <w:r w:rsidR="003A10CB" w:rsidRPr="00843662">
        <w:rPr>
          <w:rFonts w:ascii="Book Antiqua" w:hAnsi="Book Antiqua" w:cs="Times New Roman"/>
          <w:sz w:val="24"/>
          <w:szCs w:val="24"/>
        </w:rPr>
        <w:t xml:space="preserve">. </w:t>
      </w:r>
      <w:r w:rsidR="001240A5" w:rsidRPr="00843662">
        <w:rPr>
          <w:rFonts w:ascii="Book Antiqua" w:hAnsi="Book Antiqua" w:cs="Times New Roman"/>
          <w:sz w:val="24"/>
          <w:szCs w:val="24"/>
        </w:rPr>
        <w:t xml:space="preserve">This </w:t>
      </w:r>
      <w:r w:rsidR="000811D0" w:rsidRPr="00843662">
        <w:rPr>
          <w:rFonts w:ascii="Book Antiqua" w:hAnsi="Book Antiqua" w:cs="Times New Roman"/>
          <w:sz w:val="24"/>
          <w:szCs w:val="24"/>
        </w:rPr>
        <w:t xml:space="preserve">is a </w:t>
      </w:r>
      <w:r w:rsidR="001240A5" w:rsidRPr="00843662">
        <w:rPr>
          <w:rFonts w:ascii="Book Antiqua" w:hAnsi="Book Antiqua" w:cs="Times New Roman"/>
          <w:sz w:val="24"/>
          <w:szCs w:val="24"/>
        </w:rPr>
        <w:t>wide scale</w:t>
      </w:r>
      <w:r w:rsidR="000811D0" w:rsidRPr="00843662">
        <w:rPr>
          <w:rFonts w:ascii="Book Antiqua" w:hAnsi="Book Antiqua" w:cs="Times New Roman"/>
          <w:sz w:val="24"/>
          <w:szCs w:val="24"/>
        </w:rPr>
        <w:t xml:space="preserve"> population based linkage system</w:t>
      </w:r>
      <w:r w:rsidR="00F178A2" w:rsidRPr="00843662">
        <w:rPr>
          <w:rFonts w:ascii="Book Antiqua" w:hAnsi="Book Antiqua" w:cs="Times New Roman"/>
          <w:sz w:val="24"/>
          <w:szCs w:val="24"/>
        </w:rPr>
        <w:t xml:space="preserve"> </w:t>
      </w:r>
      <w:r w:rsidR="001240A5" w:rsidRPr="00843662">
        <w:rPr>
          <w:rFonts w:ascii="Book Antiqua" w:hAnsi="Book Antiqua" w:cs="Times New Roman"/>
          <w:sz w:val="24"/>
          <w:szCs w:val="24"/>
        </w:rPr>
        <w:t xml:space="preserve">that has been used extensively in the past and validated in previous </w:t>
      </w:r>
      <w:r w:rsidR="000811D0" w:rsidRPr="00843662">
        <w:rPr>
          <w:rFonts w:ascii="Book Antiqua" w:hAnsi="Book Antiqua" w:cs="Times New Roman"/>
          <w:sz w:val="24"/>
          <w:szCs w:val="24"/>
        </w:rPr>
        <w:t>population and cohort studies</w:t>
      </w:r>
      <w:r w:rsidR="003B6325" w:rsidRPr="00843662">
        <w:rPr>
          <w:rFonts w:ascii="Book Antiqua" w:hAnsi="Book Antiqua" w:cs="Times New Roman"/>
          <w:sz w:val="24"/>
          <w:szCs w:val="24"/>
        </w:rPr>
        <w:fldChar w:fldCharType="begin"/>
      </w:r>
      <w:r w:rsidR="00AC6696" w:rsidRPr="00843662">
        <w:rPr>
          <w:rFonts w:ascii="Book Antiqua" w:hAnsi="Book Antiqua" w:cs="Times New Roman"/>
          <w:sz w:val="24"/>
          <w:szCs w:val="24"/>
        </w:rPr>
        <w:instrText xml:space="preserve"> ADDIN ZOTERO_ITEM CSL_CITATION {"citationID":"1qamqd61ip","properties":{"formattedCitation":"{\\rtf \\super [14,15]\\nosupersub{}}","plainCitation":"[14,15]"},"citationItems":[{"id":15,"uris":["http://zotero.org/users/2588530/items/NWUDN3Q3"],"uri":["http://zotero.org/users/2588530/items/NWUDN3Q3"],"itemData":{"id":15,"type":"article-journal","title":"The gap in life expectancy from preventable physical illness in psychiatric patients in Western Australia: retrospective analysis of population based registers","container-title":"The BMJ","page":"f2539","volume":"346","source":"www.bmj.com","abstract":"Objective To examine the mortality experience of psychiatric patients in Western Australia compared with the general population.\nDesign Population based study.\nSetting Western Australia, 1985-2005.\nParticipants Psychiatric patients (292 585) registered with mental health services in Western Australia.\nMain outcome measures Trends in life expectancy for psychiatric patients compared with the Western Australian population and causes of excess mortality, including physical health conditions and unnatural causes of death.\nResults When using active prevalence of disorder (contact with services in previous five years), the life expectancy gap increased from 13.5 to 15.9 years for males and from 10.4 to 12.0 years for females between 1985 and 2005. Additionally, 77.7% of excess deaths were attributed to physical health conditions, including cardiovascular disease (29.9%) and cancer (13.5%). Suicide was the cause of 13.9% of excess deaths.\nConclusions Despite knowledge about excess mortality in people with mental illness, the gap in their life expectancy compared with the general population has widened since 1985. With most excess deaths being due to physical health conditions, public efforts should be directed towards improving physical health to reduce mortality in people with mental illness, in addition to ongoing efforts to prevent suicide.","DOI":"10.1136/bmj.f2539","ISSN":"1756-1833","note":"PMID: 23694688","shortTitle":"The gap in life expectancy from preventable physical illness in psychiatric patients in Western Australia","language":"en","author":[{"family":"Lawrence","given":"David"},{"family":"Hancock","given":"Kirsten J."},{"family":"Kisely","given":"Stephen"}],"issued":{"date-parts":[["2013",5,21]]},"PMID":"23694688"}},{"id":22,"uris":["http://zotero.org/users/2588530/items/FBJDZASQ"],"uri":["http://zotero.org/users/2588530/items/FBJDZASQ"],"itemData":{"id":22,"type":"article-journal","title":"Comorbidity and repeat admission to hospital for adverse drug reactions in older adults: retrospective cohort study","container-title":"BMJ","page":"a2752","volume":"338","source":"www.bmj.com","abstract":"Objectives To identify factors that predict repeat admission to hospital for adverse drug reactions (ADRs) in older adults.\nDesign Population based retrospective cohort study.\nSetting All public and private hospitals in Western Australia.\nParticipants 28 548 patients aged ≥60 years with an admission for an ADR during 1980-2000 followed for three years using the Western Australian data linkage system.\nResults 5056 (17.7%) patients had a repeat admission for an ADR. Repeat ADRs were associated with sex (hazard ratio 1.08, 95% confidence interval 1.02 to 1.15, for men), first admission in 1995-9 (2.34, 2.00 to 2.73), length of hospital stay (1.11, 1.05 to 1.18, for stays ≥14 days), and Charlson comorbidity index (1.71, 1.46 to 1.99, for score ≥7); 60% of comorbidities were recorded and taken into account in analysis. In contrast, advancing age had no effect on repeat ADRs. Comorbid congestive cardiac failure (1.56, 1.43 to 1.71), peripheral vascular disease (1.27, 1.09 to 1.48), chronic pulmonary disease (1.61, 1.45 to 1.79), rheumatological disease (1.65, 1.41 to 1.92), mild liver disease (1.48, 1.05 to 2.07), moderate to severe liver disease (1.85, 1.18 to 2.92), moderate diabetes (1.18, 1.07 to 1.30), diabetes with chronic complications (1.91, 1.65 to 2.22), renal disease (1.93, 1.71 to 2.17), any malignancy including lymphoma and leukaemia (1.87, 1.68 to 2.09), and metastatic solid tumours (2.25, 1.92 to 2.64) were strong predictive factors. Comorbidities requiring continuing care predicted a reduced likelihood of repeat hospital admissions for ADRs (cerebrovascular disease 0.85, 0.73 to 0.98; dementia 0.62, 0.49 to 0.78; paraplegia 0.73, 0.59 to 0.89).\nConclusions Comorbidity, but not advancing age, predicts repeat admission for ADRs in older adults, especially those with comorbidities often managed in the community. Awareness of these predictors can help clinicians to identify which older adults are at greater risk of admission for ADRs and, therefore, who might benefit from closer monitoring.","DOI":"10.1136/bmj.a2752","ISSN":"0959-8138, 1468-5833","note":"PMID: 19129307","shortTitle":"Comorbidity and repeat admission to hospital for adverse drug reactions in older adults","journalAbbreviation":"BMJ","language":"en","author":[{"family":"Zhang","given":"Min"},{"family":"Holman","given":"C. D’Arcy J."},{"family":"Price","given":"Sylvie D."},{"family":"Sanfilippo","given":"Frank M."},{"family":"Preen","given":"David B."},{"family":"Bulsara","given":"Max K."}],"issued":{"date-parts":[["2009",1,7]]},"PMID":"19129307"}}],"schema":"https://github.com/citation-style-language/schema/raw/master/csl-citation.json"} </w:instrText>
      </w:r>
      <w:r w:rsidR="003B6325" w:rsidRPr="00843662">
        <w:rPr>
          <w:rFonts w:ascii="Book Antiqua" w:hAnsi="Book Antiqua" w:cs="Times New Roman"/>
          <w:sz w:val="24"/>
          <w:szCs w:val="24"/>
        </w:rPr>
        <w:fldChar w:fldCharType="separate"/>
      </w:r>
      <w:r w:rsidR="00AC6696" w:rsidRPr="00843662">
        <w:rPr>
          <w:rFonts w:ascii="Book Antiqua" w:hAnsi="Book Antiqua" w:cs="Times New Roman"/>
          <w:sz w:val="24"/>
          <w:szCs w:val="24"/>
          <w:vertAlign w:val="superscript"/>
        </w:rPr>
        <w:t>[14,15]</w:t>
      </w:r>
      <w:r w:rsidR="003B6325" w:rsidRPr="00843662">
        <w:rPr>
          <w:rFonts w:ascii="Book Antiqua" w:hAnsi="Book Antiqua" w:cs="Times New Roman"/>
          <w:sz w:val="24"/>
          <w:szCs w:val="24"/>
        </w:rPr>
        <w:fldChar w:fldCharType="end"/>
      </w:r>
      <w:r w:rsidR="000811D0" w:rsidRPr="00843662">
        <w:rPr>
          <w:rFonts w:ascii="Book Antiqua" w:hAnsi="Book Antiqua" w:cs="Times New Roman"/>
          <w:sz w:val="24"/>
          <w:szCs w:val="24"/>
        </w:rPr>
        <w:t xml:space="preserve">. </w:t>
      </w:r>
      <w:r w:rsidR="00363D76" w:rsidRPr="00843662">
        <w:rPr>
          <w:rFonts w:ascii="Book Antiqua" w:hAnsi="Book Antiqua" w:cs="Times New Roman"/>
          <w:sz w:val="24"/>
          <w:szCs w:val="24"/>
        </w:rPr>
        <w:t>The WADLS</w:t>
      </w:r>
      <w:r w:rsidR="000811D0" w:rsidRPr="00843662">
        <w:rPr>
          <w:rFonts w:ascii="Book Antiqua" w:hAnsi="Book Antiqua" w:cs="Times New Roman"/>
          <w:sz w:val="24"/>
          <w:szCs w:val="24"/>
        </w:rPr>
        <w:t xml:space="preserve"> </w:t>
      </w:r>
      <w:r w:rsidR="00620ED1" w:rsidRPr="00843662">
        <w:rPr>
          <w:rFonts w:ascii="Book Antiqua" w:hAnsi="Book Antiqua" w:cs="Times New Roman"/>
          <w:sz w:val="24"/>
          <w:szCs w:val="24"/>
        </w:rPr>
        <w:t>contains</w:t>
      </w:r>
      <w:r w:rsidR="00363D76" w:rsidRPr="00843662">
        <w:rPr>
          <w:rFonts w:ascii="Book Antiqua" w:hAnsi="Book Antiqua" w:cs="Times New Roman"/>
          <w:sz w:val="24"/>
          <w:szCs w:val="24"/>
        </w:rPr>
        <w:t xml:space="preserve"> </w:t>
      </w:r>
      <w:r w:rsidR="00363D76" w:rsidRPr="00843662">
        <w:rPr>
          <w:rFonts w:ascii="Book Antiqua" w:hAnsi="Book Antiqua" w:cs="Times New Roman"/>
          <w:sz w:val="24"/>
          <w:szCs w:val="24"/>
        </w:rPr>
        <w:lastRenderedPageBreak/>
        <w:t>records of</w:t>
      </w:r>
      <w:r w:rsidR="000811D0" w:rsidRPr="00843662">
        <w:rPr>
          <w:rFonts w:ascii="Book Antiqua" w:hAnsi="Book Antiqua" w:cs="Times New Roman"/>
          <w:sz w:val="24"/>
          <w:szCs w:val="24"/>
        </w:rPr>
        <w:t xml:space="preserve"> cancer registrations</w:t>
      </w:r>
      <w:r w:rsidR="00620ED1" w:rsidRPr="00843662">
        <w:rPr>
          <w:rFonts w:ascii="Book Antiqua" w:hAnsi="Book Antiqua" w:cs="Times New Roman"/>
          <w:sz w:val="24"/>
          <w:szCs w:val="24"/>
        </w:rPr>
        <w:t xml:space="preserve"> as well as</w:t>
      </w:r>
      <w:r w:rsidR="000811D0" w:rsidRPr="00843662">
        <w:rPr>
          <w:rFonts w:ascii="Book Antiqua" w:hAnsi="Book Antiqua" w:cs="Times New Roman"/>
          <w:sz w:val="24"/>
          <w:szCs w:val="24"/>
        </w:rPr>
        <w:t xml:space="preserve"> in-patient hospital morbidity and death records of the Western Australian population, from 1966 to the present. </w:t>
      </w:r>
      <w:r w:rsidR="00620ED1" w:rsidRPr="00843662">
        <w:rPr>
          <w:rFonts w:ascii="Book Antiqua" w:hAnsi="Book Antiqua" w:cs="Times New Roman"/>
          <w:sz w:val="24"/>
          <w:szCs w:val="24"/>
        </w:rPr>
        <w:t xml:space="preserve">For this </w:t>
      </w:r>
      <w:r w:rsidR="00C95474" w:rsidRPr="00843662">
        <w:rPr>
          <w:rFonts w:ascii="Book Antiqua" w:hAnsi="Book Antiqua" w:cs="Times New Roman"/>
          <w:sz w:val="24"/>
          <w:szCs w:val="24"/>
        </w:rPr>
        <w:t>study,</w:t>
      </w:r>
      <w:r w:rsidR="00620ED1" w:rsidRPr="00843662">
        <w:rPr>
          <w:rFonts w:ascii="Book Antiqua" w:hAnsi="Book Antiqua" w:cs="Times New Roman"/>
          <w:sz w:val="24"/>
          <w:szCs w:val="24"/>
        </w:rPr>
        <w:t xml:space="preserve"> </w:t>
      </w:r>
      <w:r w:rsidR="00C95474" w:rsidRPr="00843662">
        <w:rPr>
          <w:rFonts w:ascii="Book Antiqua" w:hAnsi="Book Antiqua" w:cs="Times New Roman"/>
          <w:sz w:val="24"/>
          <w:szCs w:val="24"/>
        </w:rPr>
        <w:t xml:space="preserve">the </w:t>
      </w:r>
      <w:r w:rsidR="003B6325" w:rsidRPr="00843662">
        <w:rPr>
          <w:rFonts w:ascii="Book Antiqua" w:hAnsi="Book Antiqua" w:cs="Times New Roman"/>
          <w:sz w:val="24"/>
          <w:szCs w:val="24"/>
        </w:rPr>
        <w:t>events</w:t>
      </w:r>
      <w:r w:rsidR="00C95474" w:rsidRPr="00843662">
        <w:rPr>
          <w:rFonts w:ascii="Book Antiqua" w:hAnsi="Book Antiqua" w:cs="Times New Roman"/>
          <w:sz w:val="24"/>
          <w:szCs w:val="24"/>
        </w:rPr>
        <w:t xml:space="preserve"> collected</w:t>
      </w:r>
      <w:r w:rsidR="003B6325" w:rsidRPr="00843662">
        <w:rPr>
          <w:rFonts w:ascii="Book Antiqua" w:hAnsi="Book Antiqua" w:cs="Times New Roman"/>
          <w:sz w:val="24"/>
          <w:szCs w:val="24"/>
        </w:rPr>
        <w:t xml:space="preserve"> </w:t>
      </w:r>
      <w:r w:rsidR="00C95474" w:rsidRPr="00843662">
        <w:rPr>
          <w:rFonts w:ascii="Book Antiqua" w:hAnsi="Book Antiqua" w:cs="Times New Roman"/>
          <w:sz w:val="24"/>
          <w:szCs w:val="24"/>
        </w:rPr>
        <w:t>were</w:t>
      </w:r>
      <w:r w:rsidR="00620ED1" w:rsidRPr="00843662">
        <w:rPr>
          <w:rFonts w:ascii="Book Antiqua" w:hAnsi="Book Antiqua" w:cs="Times New Roman"/>
          <w:sz w:val="24"/>
          <w:szCs w:val="24"/>
        </w:rPr>
        <w:t xml:space="preserve"> </w:t>
      </w:r>
      <w:r w:rsidR="00F178A2" w:rsidRPr="00843662">
        <w:rPr>
          <w:rFonts w:ascii="Book Antiqua" w:hAnsi="Book Antiqua" w:cs="Times New Roman"/>
          <w:sz w:val="24"/>
          <w:szCs w:val="24"/>
        </w:rPr>
        <w:t xml:space="preserve">all-cause </w:t>
      </w:r>
      <w:r w:rsidR="003B6325" w:rsidRPr="00843662">
        <w:rPr>
          <w:rFonts w:ascii="Book Antiqua" w:hAnsi="Book Antiqua" w:cs="Times New Roman"/>
          <w:sz w:val="24"/>
          <w:szCs w:val="24"/>
        </w:rPr>
        <w:t>mortality,</w:t>
      </w:r>
      <w:r w:rsidR="00F178A2" w:rsidRPr="00843662">
        <w:rPr>
          <w:rFonts w:ascii="Book Antiqua" w:hAnsi="Book Antiqua" w:cs="Times New Roman"/>
          <w:sz w:val="24"/>
          <w:szCs w:val="24"/>
        </w:rPr>
        <w:t xml:space="preserve"> liver related </w:t>
      </w:r>
      <w:r w:rsidR="003B6325" w:rsidRPr="00843662">
        <w:rPr>
          <w:rFonts w:ascii="Book Antiqua" w:hAnsi="Book Antiqua" w:cs="Times New Roman"/>
          <w:sz w:val="24"/>
          <w:szCs w:val="24"/>
        </w:rPr>
        <w:t>mortality</w:t>
      </w:r>
      <w:r w:rsidR="00C95474" w:rsidRPr="00843662">
        <w:rPr>
          <w:rFonts w:ascii="Book Antiqua" w:hAnsi="Book Antiqua" w:cs="Times New Roman"/>
          <w:sz w:val="24"/>
          <w:szCs w:val="24"/>
        </w:rPr>
        <w:t xml:space="preserve">, liver related </w:t>
      </w:r>
      <w:r w:rsidR="003B6325" w:rsidRPr="00843662">
        <w:rPr>
          <w:rFonts w:ascii="Book Antiqua" w:hAnsi="Book Antiqua" w:cs="Times New Roman"/>
          <w:sz w:val="24"/>
          <w:szCs w:val="24"/>
        </w:rPr>
        <w:t>morbidity and cancer registration.</w:t>
      </w:r>
      <w:r w:rsidR="00B0724D" w:rsidRPr="00843662">
        <w:rPr>
          <w:rFonts w:ascii="Book Antiqua" w:hAnsi="Book Antiqua" w:cs="Times New Roman"/>
          <w:sz w:val="24"/>
          <w:szCs w:val="24"/>
        </w:rPr>
        <w:t xml:space="preserve"> </w:t>
      </w:r>
      <w:r w:rsidR="00C95474" w:rsidRPr="00843662">
        <w:rPr>
          <w:rFonts w:ascii="Book Antiqua" w:hAnsi="Book Antiqua" w:cs="Times New Roman"/>
          <w:sz w:val="24"/>
          <w:szCs w:val="24"/>
        </w:rPr>
        <w:t>T</w:t>
      </w:r>
      <w:r w:rsidR="00363D76" w:rsidRPr="00843662">
        <w:rPr>
          <w:rFonts w:ascii="Book Antiqua" w:hAnsi="Book Antiqua" w:cs="Times New Roman"/>
          <w:sz w:val="24"/>
          <w:szCs w:val="24"/>
        </w:rPr>
        <w:t>he WADLS database has previously been used as part</w:t>
      </w:r>
      <w:r w:rsidR="00B0724D" w:rsidRPr="00843662">
        <w:rPr>
          <w:rFonts w:ascii="Book Antiqua" w:hAnsi="Book Antiqua" w:cs="Times New Roman"/>
          <w:sz w:val="24"/>
          <w:szCs w:val="24"/>
        </w:rPr>
        <w:t xml:space="preserve"> of published and validated studies on </w:t>
      </w:r>
      <w:r w:rsidR="00363D76" w:rsidRPr="00843662">
        <w:rPr>
          <w:rFonts w:ascii="Book Antiqua" w:hAnsi="Book Antiqua" w:cs="Times New Roman"/>
          <w:sz w:val="24"/>
          <w:szCs w:val="24"/>
        </w:rPr>
        <w:t xml:space="preserve">liver </w:t>
      </w:r>
      <w:r w:rsidR="00B0724D" w:rsidRPr="00843662">
        <w:rPr>
          <w:rFonts w:ascii="Book Antiqua" w:hAnsi="Book Antiqua" w:cs="Times New Roman"/>
          <w:sz w:val="24"/>
          <w:szCs w:val="24"/>
        </w:rPr>
        <w:t xml:space="preserve">fibrosis assessment and use of </w:t>
      </w:r>
      <w:r w:rsidR="00363D76" w:rsidRPr="00843662">
        <w:rPr>
          <w:rFonts w:ascii="Book Antiqua" w:hAnsi="Book Antiqua" w:cs="Times New Roman"/>
          <w:sz w:val="24"/>
          <w:szCs w:val="24"/>
        </w:rPr>
        <w:t xml:space="preserve">other </w:t>
      </w:r>
      <w:r w:rsidR="00B0724D" w:rsidRPr="00843662">
        <w:rPr>
          <w:rFonts w:ascii="Book Antiqua" w:hAnsi="Book Antiqua" w:cs="Times New Roman"/>
          <w:sz w:val="24"/>
          <w:szCs w:val="24"/>
        </w:rPr>
        <w:t>non-invas</w:t>
      </w:r>
      <w:r w:rsidR="0002492D">
        <w:rPr>
          <w:rFonts w:ascii="Book Antiqua" w:hAnsi="Book Antiqua" w:cs="Times New Roman"/>
          <w:sz w:val="24"/>
          <w:szCs w:val="24"/>
        </w:rPr>
        <w:t xml:space="preserve">ive markers including </w:t>
      </w:r>
      <w:proofErr w:type="spellStart"/>
      <w:r w:rsidR="0002492D">
        <w:rPr>
          <w:rFonts w:ascii="Book Antiqua" w:hAnsi="Book Antiqua" w:cs="Times New Roman"/>
          <w:sz w:val="24"/>
          <w:szCs w:val="24"/>
        </w:rPr>
        <w:t>Hepascore</w:t>
      </w:r>
      <w:proofErr w:type="spellEnd"/>
      <w:r w:rsidR="00B0724D" w:rsidRPr="00843662">
        <w:rPr>
          <w:rFonts w:ascii="Book Antiqua" w:hAnsi="Book Antiqua" w:cs="Times New Roman"/>
          <w:sz w:val="24"/>
          <w:szCs w:val="24"/>
        </w:rPr>
        <w:fldChar w:fldCharType="begin"/>
      </w:r>
      <w:r w:rsidR="00AC6696" w:rsidRPr="00843662">
        <w:rPr>
          <w:rFonts w:ascii="Book Antiqua" w:hAnsi="Book Antiqua" w:cs="Times New Roman"/>
          <w:sz w:val="24"/>
          <w:szCs w:val="24"/>
        </w:rPr>
        <w:instrText xml:space="preserve"> ADDIN ZOTERO_ITEM CSL_CITATION {"citationID":"1i949ae115","properties":{"formattedCitation":"{\\rtf \\super [10,11]\\nosupersub{}}","plainCitation":"[10,11]"},"citationItems":[{"id":8,"uris":["http://zotero.org/users/2588530/items/ZT8MG3XN"],"uri":["http://zotero.org/users/2588530/items/ZT8MG3XN"],"itemData":{"id":8,"type":"article-journal","title":"Hepascore: An Accurate Validated Predictor of Liver Fibrosis in Chronic Hepatitis C Infection","container-title":"Clinical Chemistry","page":"1867-1873","volume":"51","issue":"10","source":"www.clinchem.org","abstract":"Background: Staging hepatic fibrosis by liver biopsy guides prognosis and treatment of hepatitis C, but is invasive and expensive. We sought to create an algorithm of serum markers that accurately and reliably predict liver fibrosis stage among hepatitis C patients.\nMethods: Ten biochemical markers were measured at time of liver biopsy in 117 untreated hepatitis C patients (training set). Multivariate logistic regression and ROC curve analyses were used to create a predictive model for significant fibrosis (METAVIR F2, F3, and F4), advanced fibrosis (F3 and F4), and cirrhosis (F4). The model was validated in 104 patients from other institutions.\nResults: A model (Hepascore) of bilirubin, γ-glutamyltransferase, hyaluronic acid, α2-macroglobulin, age, and sex produced areas under the ROC curves (AUCs) of 0.85, 0.96, and 0.94 for significant fibrosis, advanced fibrosis, and cirrhosis, respectively. In the training set, a score ≥0.5 (range, 0.0–1.0) was 92% specific and 67% sensitive for significant fibrosis, a score &lt;0.5 was 81% specific and 95% sensitive for advanced fibrosis, and a score &lt;0.84 was 84% specific and 71% sensitive for cirrhosis. Among the validation set, the AUC for significant fibrosis, advanced fibrosis, and cirrhosis were 0.82, 0.90, and 0.89, respectively. A score ≥0.5 provided a specificity and sensitivity of 89% and 63% for significant fibrosis, whereas scores &lt;0.5 had 74% specificity and 88% sensitivity for advanced fibrosis.\nConclusions: A model of 4 serum markers plus age and sex provides clinically useful information regarding different fibrosis stages among hepatitis C patients.","DOI":"10.1373/clinchem.2005.048389","ISSN":"0009-9147, 1530-8561","note":"PMID: 16055434","shortTitle":"Hepascore","journalAbbreviation":"Clinical Chemistry","language":"en","author":[{"family":"Adams","given":"Leon A."},{"family":"Bulsara","given":"Max"},{"family":"Rossi","given":"Enrico"},{"family":"DeBoer","given":"Bastiaan"},{"family":"Speers","given":"David"},{"family":"George","given":"Jacob"},{"family":"Kench","given":"James"},{"family":"Farrell","given":"Geoffrey"},{"family":"McCaughan","given":"Geoffrey W."},{"family":"Jeffrey","given":"Gary P."}],"issued":{"date-parts":[["2005",10,1]]},"PMID":"16055434"},"label":"page"},{"id":7,"uris":["http://zotero.org/users/2588530/items/UTCM6PJE"],"uri":["http://zotero.org/users/2588530/items/UTCM6PJE"],"itemData":{"id":7,"type":"article-journal","title":"Prediction of morbidity and mortality in patients with chronic hepatitis C by non-invasive liver fibrosis models","container-title":"Liver International","page":"720-727","volume":"34","issue":"5","source":"Wiley Online Library","abstract":"Background &amp; Aims\n\nLiver fibrosis is prognostic of outcomes among patients with chronic hepatitis C (CHC). We evaluated the accuracy of non-invasive markers and liver biopsy in predicting morbidity and mortality in CHC patients.\n\n\nMethods\n\nCompensated CHC patients were evaluated over a 10-year period. Non-invasive markers including Hepascore, FIB-4, APRI and liver biopsy results were retrospectively collated. Follow-up morbidity and mortality data were obtained from the Western Australian Data Linkage System. The prognostic significance of baseline non-invasive markers and biopsy were assessed using Kaplan–Meier analysis.\n\n\nResults\n\nA total of 406 subjects (64% male, mean age 48 ± 11 years) were followed up for 2385 person-years, during which there were 22 (5.4%) deaths including 14 (3.4%) who died from liver disease or required liver transplantation. Sixteen (3.9%) subjects developed liver decompensation. Hepascore and liver biopsy (P &lt; 0.005) but not APRI or FIB-4 were predictive of overall and liver-related mortality as well as liver decompensation. A Hepascore&gt;0.5 was associated with increased overall mortality [Hazard Ratio (95%CI) 6.7 (2.6–17), P &lt; 0.001], liver-related mortality [32.8 (4.3–250), P = 0.001] and risk of future decompensation [11.8 (3.3–41), P &lt; 0.001], whereas a Hepascore ≤0.5 was associated with a 99% probability of not dying from liver-related causes over 10 years. Hepascore had comparable accuracy with liver biopsy in predicting liver-related mortality with AUROC of 0.86 (95%CI 0.80–0.90) and 0.87 (0.79–0.96), respectively.\n\n\nConclusion\n\nHepascore is predictive of overall and liver-related mortality and morbidity in CHC patients with comparable accuracy to liver biopsy. Hepascore may be a useful prognostic marker in clinical practice.","DOI":"10.1111/liv.12306","ISSN":"1478-3231","journalAbbreviation":"Liver Int","language":"en","author":[{"family":"Chinnaratha","given":"Mohamed A."},{"family":"Jeffrey","given":"Gary P."},{"family":"MacQuillan","given":"Gerry"},{"family":"Rossi","given":"Enrico"},{"family":"Boer","given":"Bastiaan W.","non-dropping-particle":"de"},{"family":"Speers","given":"David J."},{"family":"Adams","given":"Leon A."}],"issued":{"date-parts":[["2014",5,1]]}},"label":"page"}],"schema":"https://github.com/citation-style-language/schema/raw/master/csl-citation.json"} </w:instrText>
      </w:r>
      <w:r w:rsidR="00B0724D" w:rsidRPr="00843662">
        <w:rPr>
          <w:rFonts w:ascii="Book Antiqua" w:hAnsi="Book Antiqua" w:cs="Times New Roman"/>
          <w:sz w:val="24"/>
          <w:szCs w:val="24"/>
        </w:rPr>
        <w:fldChar w:fldCharType="separate"/>
      </w:r>
      <w:r w:rsidR="00AC6696" w:rsidRPr="00843662">
        <w:rPr>
          <w:rFonts w:ascii="Book Antiqua" w:hAnsi="Book Antiqua" w:cs="Times New Roman"/>
          <w:sz w:val="24"/>
          <w:szCs w:val="24"/>
          <w:vertAlign w:val="superscript"/>
        </w:rPr>
        <w:t>[10,11]</w:t>
      </w:r>
      <w:r w:rsidR="00B0724D" w:rsidRPr="00843662">
        <w:rPr>
          <w:rFonts w:ascii="Book Antiqua" w:hAnsi="Book Antiqua" w:cs="Times New Roman"/>
          <w:sz w:val="24"/>
          <w:szCs w:val="24"/>
        </w:rPr>
        <w:fldChar w:fldCharType="end"/>
      </w:r>
      <w:r w:rsidR="00B0724D" w:rsidRPr="00843662">
        <w:rPr>
          <w:rFonts w:ascii="Book Antiqua" w:hAnsi="Book Antiqua" w:cs="Times New Roman"/>
          <w:sz w:val="24"/>
          <w:szCs w:val="24"/>
        </w:rPr>
        <w:t>.</w:t>
      </w:r>
    </w:p>
    <w:p w14:paraId="108675A6" w14:textId="2DE087B2" w:rsidR="008103F4" w:rsidRPr="00843662" w:rsidRDefault="00D33E73" w:rsidP="0002492D">
      <w:pPr>
        <w:spacing w:after="0" w:line="360" w:lineRule="auto"/>
        <w:ind w:firstLineChars="100" w:firstLine="240"/>
        <w:jc w:val="both"/>
        <w:rPr>
          <w:rFonts w:ascii="Book Antiqua" w:hAnsi="Book Antiqua" w:cs="Times New Roman"/>
          <w:sz w:val="24"/>
          <w:szCs w:val="24"/>
        </w:rPr>
      </w:pPr>
      <w:r w:rsidRPr="00843662">
        <w:rPr>
          <w:rFonts w:ascii="Book Antiqua" w:hAnsi="Book Antiqua" w:cs="Times New Roman"/>
          <w:sz w:val="24"/>
          <w:szCs w:val="24"/>
        </w:rPr>
        <w:t>The p</w:t>
      </w:r>
      <w:r w:rsidR="00FF6B2E" w:rsidRPr="00843662">
        <w:rPr>
          <w:rFonts w:ascii="Book Antiqua" w:hAnsi="Book Antiqua" w:cs="Times New Roman"/>
          <w:sz w:val="24"/>
          <w:szCs w:val="24"/>
        </w:rPr>
        <w:t xml:space="preserve">rimary </w:t>
      </w:r>
      <w:r w:rsidR="00256E45" w:rsidRPr="00843662">
        <w:rPr>
          <w:rFonts w:ascii="Book Antiqua" w:hAnsi="Book Antiqua" w:cs="Times New Roman"/>
          <w:sz w:val="24"/>
          <w:szCs w:val="24"/>
        </w:rPr>
        <w:t xml:space="preserve">endpoint </w:t>
      </w:r>
      <w:r w:rsidR="00173ED3" w:rsidRPr="00843662">
        <w:rPr>
          <w:rFonts w:ascii="Book Antiqua" w:hAnsi="Book Antiqua" w:cs="Times New Roman"/>
          <w:sz w:val="24"/>
          <w:szCs w:val="24"/>
        </w:rPr>
        <w:t>for</w:t>
      </w:r>
      <w:r w:rsidR="00256E45" w:rsidRPr="00843662">
        <w:rPr>
          <w:rFonts w:ascii="Book Antiqua" w:hAnsi="Book Antiqua" w:cs="Times New Roman"/>
          <w:sz w:val="24"/>
          <w:szCs w:val="24"/>
        </w:rPr>
        <w:t xml:space="preserve"> this study </w:t>
      </w:r>
      <w:r w:rsidR="0002561D" w:rsidRPr="00843662">
        <w:rPr>
          <w:rFonts w:ascii="Book Antiqua" w:hAnsi="Book Antiqua" w:cs="Times New Roman"/>
          <w:sz w:val="24"/>
          <w:szCs w:val="24"/>
        </w:rPr>
        <w:t xml:space="preserve">was </w:t>
      </w:r>
      <w:r w:rsidR="00620ED1" w:rsidRPr="00843662">
        <w:rPr>
          <w:rFonts w:ascii="Book Antiqua" w:hAnsi="Book Antiqua" w:cs="Times New Roman"/>
          <w:sz w:val="24"/>
          <w:szCs w:val="24"/>
        </w:rPr>
        <w:t>liver related death</w:t>
      </w:r>
      <w:r w:rsidR="0002561D" w:rsidRPr="00843662">
        <w:rPr>
          <w:rFonts w:ascii="Book Antiqua" w:hAnsi="Book Antiqua" w:cs="Times New Roman"/>
          <w:sz w:val="24"/>
          <w:szCs w:val="24"/>
        </w:rPr>
        <w:t xml:space="preserve"> or</w:t>
      </w:r>
      <w:r w:rsidR="00620ED1" w:rsidRPr="00843662">
        <w:rPr>
          <w:rFonts w:ascii="Book Antiqua" w:hAnsi="Book Antiqua" w:cs="Times New Roman"/>
          <w:sz w:val="24"/>
          <w:szCs w:val="24"/>
        </w:rPr>
        <w:t xml:space="preserve"> </w:t>
      </w:r>
      <w:r w:rsidR="00256E45" w:rsidRPr="00843662">
        <w:rPr>
          <w:rFonts w:ascii="Book Antiqua" w:hAnsi="Book Antiqua" w:cs="Times New Roman"/>
          <w:sz w:val="24"/>
          <w:szCs w:val="24"/>
        </w:rPr>
        <w:t>liver transplantation</w:t>
      </w:r>
      <w:r w:rsidR="000917D3" w:rsidRPr="00843662">
        <w:rPr>
          <w:rFonts w:ascii="Book Antiqua" w:hAnsi="Book Antiqua" w:cs="Times New Roman"/>
          <w:sz w:val="24"/>
          <w:szCs w:val="24"/>
        </w:rPr>
        <w:t xml:space="preserve"> (LRD)</w:t>
      </w:r>
      <w:r w:rsidR="0002561D" w:rsidRPr="00843662">
        <w:rPr>
          <w:rFonts w:ascii="Book Antiqua" w:hAnsi="Book Antiqua" w:cs="Times New Roman"/>
          <w:sz w:val="24"/>
          <w:szCs w:val="24"/>
        </w:rPr>
        <w:t>.</w:t>
      </w:r>
      <w:r w:rsidR="005C0CB0" w:rsidRPr="00843662">
        <w:rPr>
          <w:rFonts w:ascii="Book Antiqua" w:hAnsi="Book Antiqua" w:cs="Times New Roman"/>
          <w:sz w:val="24"/>
          <w:szCs w:val="24"/>
        </w:rPr>
        <w:t xml:space="preserve"> </w:t>
      </w:r>
      <w:r w:rsidR="0002561D" w:rsidRPr="00843662">
        <w:rPr>
          <w:rFonts w:ascii="Book Antiqua" w:hAnsi="Book Antiqua" w:cs="Times New Roman"/>
          <w:sz w:val="24"/>
          <w:szCs w:val="24"/>
        </w:rPr>
        <w:t xml:space="preserve">Secondary endpoints </w:t>
      </w:r>
      <w:r w:rsidR="001240A5" w:rsidRPr="00843662">
        <w:rPr>
          <w:rFonts w:ascii="Book Antiqua" w:hAnsi="Book Antiqua" w:cs="Times New Roman"/>
          <w:sz w:val="24"/>
          <w:szCs w:val="24"/>
        </w:rPr>
        <w:t>included</w:t>
      </w:r>
      <w:r w:rsidR="0002561D" w:rsidRPr="00843662">
        <w:rPr>
          <w:rFonts w:ascii="Book Antiqua" w:hAnsi="Book Antiqua" w:cs="Times New Roman"/>
          <w:sz w:val="24"/>
          <w:szCs w:val="24"/>
        </w:rPr>
        <w:t xml:space="preserve"> </w:t>
      </w:r>
      <w:r w:rsidR="001240A5" w:rsidRPr="00843662">
        <w:rPr>
          <w:rFonts w:ascii="Book Antiqua" w:hAnsi="Book Antiqua" w:cs="Times New Roman"/>
          <w:sz w:val="24"/>
          <w:szCs w:val="24"/>
        </w:rPr>
        <w:t xml:space="preserve">onset of hepatocellular carcinoma and </w:t>
      </w:r>
      <w:r w:rsidR="003F02BB" w:rsidRPr="00843662">
        <w:rPr>
          <w:rFonts w:ascii="Book Antiqua" w:hAnsi="Book Antiqua" w:cs="Times New Roman"/>
          <w:sz w:val="24"/>
          <w:szCs w:val="24"/>
        </w:rPr>
        <w:t>liver decompensation</w:t>
      </w:r>
      <w:r w:rsidR="001240A5" w:rsidRPr="00843662">
        <w:rPr>
          <w:rFonts w:ascii="Book Antiqua" w:hAnsi="Book Antiqua" w:cs="Times New Roman"/>
          <w:sz w:val="24"/>
          <w:szCs w:val="24"/>
        </w:rPr>
        <w:t xml:space="preserve"> of all causes (LD)</w:t>
      </w:r>
      <w:r w:rsidR="001467E6" w:rsidRPr="00843662">
        <w:rPr>
          <w:rFonts w:ascii="Book Antiqua" w:hAnsi="Book Antiqua" w:cs="Times New Roman"/>
          <w:sz w:val="24"/>
          <w:szCs w:val="24"/>
        </w:rPr>
        <w:t>.</w:t>
      </w:r>
      <w:r w:rsidR="00CF2A65" w:rsidRPr="00843662">
        <w:rPr>
          <w:rFonts w:ascii="Book Antiqua" w:hAnsi="Book Antiqua" w:cs="Times New Roman"/>
          <w:sz w:val="24"/>
          <w:szCs w:val="24"/>
        </w:rPr>
        <w:t xml:space="preserve"> A composite endpoint </w:t>
      </w:r>
      <w:r w:rsidR="00CE033B" w:rsidRPr="00843662">
        <w:rPr>
          <w:rFonts w:ascii="Book Antiqua" w:hAnsi="Book Antiqua" w:cs="Times New Roman"/>
          <w:sz w:val="24"/>
          <w:szCs w:val="24"/>
        </w:rPr>
        <w:t>included all of</w:t>
      </w:r>
      <w:r w:rsidR="00CF2A65" w:rsidRPr="00843662">
        <w:rPr>
          <w:rFonts w:ascii="Book Antiqua" w:hAnsi="Book Antiqua" w:cs="Times New Roman"/>
          <w:sz w:val="24"/>
          <w:szCs w:val="24"/>
        </w:rPr>
        <w:t xml:space="preserve"> these endpoints</w:t>
      </w:r>
      <w:r w:rsidR="00CE033B" w:rsidRPr="00843662">
        <w:rPr>
          <w:rFonts w:ascii="Book Antiqua" w:hAnsi="Book Antiqua" w:cs="Times New Roman"/>
          <w:sz w:val="24"/>
          <w:szCs w:val="24"/>
        </w:rPr>
        <w:t xml:space="preserve"> but patients were only included once</w:t>
      </w:r>
      <w:r w:rsidR="00CF2A65" w:rsidRPr="00843662">
        <w:rPr>
          <w:rFonts w:ascii="Book Antiqua" w:hAnsi="Book Antiqua" w:cs="Times New Roman"/>
          <w:sz w:val="24"/>
          <w:szCs w:val="24"/>
        </w:rPr>
        <w:t>.</w:t>
      </w:r>
      <w:r w:rsidR="008103F4" w:rsidRPr="00843662">
        <w:rPr>
          <w:rFonts w:ascii="Book Antiqua" w:hAnsi="Book Antiqua" w:cs="Times New Roman"/>
          <w:sz w:val="24"/>
          <w:szCs w:val="24"/>
        </w:rPr>
        <w:t xml:space="preserve"> </w:t>
      </w:r>
      <w:r w:rsidR="007B7C07" w:rsidRPr="00843662">
        <w:rPr>
          <w:rFonts w:ascii="Book Antiqua" w:hAnsi="Book Antiqua" w:cs="Times New Roman"/>
          <w:sz w:val="24"/>
          <w:szCs w:val="24"/>
        </w:rPr>
        <w:t xml:space="preserve">The follow up time used for the analysis of </w:t>
      </w:r>
      <w:r w:rsidR="00DC1898" w:rsidRPr="00843662">
        <w:rPr>
          <w:rFonts w:ascii="Book Antiqua" w:hAnsi="Book Antiqua" w:cs="Times New Roman"/>
          <w:sz w:val="24"/>
          <w:szCs w:val="24"/>
        </w:rPr>
        <w:t>the</w:t>
      </w:r>
      <w:r w:rsidR="007B7C07" w:rsidRPr="00843662">
        <w:rPr>
          <w:rFonts w:ascii="Book Antiqua" w:hAnsi="Book Antiqua" w:cs="Times New Roman"/>
          <w:sz w:val="24"/>
          <w:szCs w:val="24"/>
        </w:rPr>
        <w:t xml:space="preserve"> </w:t>
      </w:r>
      <w:r w:rsidR="00056DD7" w:rsidRPr="00843662">
        <w:rPr>
          <w:rFonts w:ascii="Book Antiqua" w:hAnsi="Book Antiqua" w:cs="Times New Roman"/>
          <w:sz w:val="24"/>
          <w:szCs w:val="24"/>
        </w:rPr>
        <w:t>baseline</w:t>
      </w:r>
      <w:r w:rsidR="007B7C07" w:rsidRPr="00843662">
        <w:rPr>
          <w:rFonts w:ascii="Book Antiqua" w:hAnsi="Book Antiqua" w:cs="Times New Roman"/>
          <w:sz w:val="24"/>
          <w:szCs w:val="24"/>
        </w:rPr>
        <w:t xml:space="preserve"> </w:t>
      </w:r>
      <w:proofErr w:type="spellStart"/>
      <w:r w:rsidR="007B7C07" w:rsidRPr="00843662">
        <w:rPr>
          <w:rFonts w:ascii="Book Antiqua" w:hAnsi="Book Antiqua" w:cs="Times New Roman"/>
          <w:sz w:val="24"/>
          <w:szCs w:val="24"/>
        </w:rPr>
        <w:t>Hepascore</w:t>
      </w:r>
      <w:proofErr w:type="spellEnd"/>
      <w:r w:rsidR="007B7C07" w:rsidRPr="00843662">
        <w:rPr>
          <w:rFonts w:ascii="Book Antiqua" w:hAnsi="Book Antiqua" w:cs="Times New Roman"/>
          <w:sz w:val="24"/>
          <w:szCs w:val="24"/>
        </w:rPr>
        <w:t xml:space="preserve"> test was from </w:t>
      </w:r>
      <w:r w:rsidR="00520CB0" w:rsidRPr="00843662">
        <w:rPr>
          <w:rFonts w:ascii="Book Antiqua" w:hAnsi="Book Antiqua" w:cs="Times New Roman"/>
          <w:sz w:val="24"/>
          <w:szCs w:val="24"/>
        </w:rPr>
        <w:t xml:space="preserve">the </w:t>
      </w:r>
      <w:r w:rsidR="00DC1898" w:rsidRPr="00843662">
        <w:rPr>
          <w:rFonts w:ascii="Book Antiqua" w:hAnsi="Book Antiqua" w:cs="Times New Roman"/>
          <w:sz w:val="24"/>
          <w:szCs w:val="24"/>
        </w:rPr>
        <w:t xml:space="preserve">time of the </w:t>
      </w:r>
      <w:r w:rsidR="00AF671F" w:rsidRPr="00843662">
        <w:rPr>
          <w:rFonts w:ascii="Book Antiqua" w:hAnsi="Book Antiqua" w:cs="Times New Roman"/>
          <w:sz w:val="24"/>
          <w:szCs w:val="24"/>
        </w:rPr>
        <w:t>test until a</w:t>
      </w:r>
      <w:r w:rsidR="00A23B1C" w:rsidRPr="00843662">
        <w:rPr>
          <w:rFonts w:ascii="Book Antiqua" w:hAnsi="Book Antiqua" w:cs="Times New Roman"/>
          <w:sz w:val="24"/>
          <w:szCs w:val="24"/>
        </w:rPr>
        <w:t xml:space="preserve"> primary or secondary</w:t>
      </w:r>
      <w:r w:rsidR="00AF671F" w:rsidRPr="00843662">
        <w:rPr>
          <w:rFonts w:ascii="Book Antiqua" w:hAnsi="Book Antiqua" w:cs="Times New Roman"/>
          <w:sz w:val="24"/>
          <w:szCs w:val="24"/>
        </w:rPr>
        <w:t xml:space="preserve"> end</w:t>
      </w:r>
      <w:r w:rsidR="00520CB0" w:rsidRPr="00843662">
        <w:rPr>
          <w:rFonts w:ascii="Book Antiqua" w:hAnsi="Book Antiqua" w:cs="Times New Roman"/>
          <w:sz w:val="24"/>
          <w:szCs w:val="24"/>
        </w:rPr>
        <w:t xml:space="preserve">point </w:t>
      </w:r>
      <w:r w:rsidR="007B7C07" w:rsidRPr="00843662">
        <w:rPr>
          <w:rFonts w:ascii="Book Antiqua" w:hAnsi="Book Antiqua" w:cs="Times New Roman"/>
          <w:sz w:val="24"/>
          <w:szCs w:val="24"/>
        </w:rPr>
        <w:t xml:space="preserve">or </w:t>
      </w:r>
      <w:r w:rsidR="00A23B1C" w:rsidRPr="00843662">
        <w:rPr>
          <w:rFonts w:ascii="Book Antiqua" w:hAnsi="Book Antiqua" w:cs="Times New Roman"/>
          <w:sz w:val="24"/>
          <w:szCs w:val="24"/>
        </w:rPr>
        <w:t xml:space="preserve">the conclusion </w:t>
      </w:r>
      <w:r w:rsidR="007B7C07" w:rsidRPr="00843662">
        <w:rPr>
          <w:rFonts w:ascii="Book Antiqua" w:hAnsi="Book Antiqua" w:cs="Times New Roman"/>
          <w:sz w:val="24"/>
          <w:szCs w:val="24"/>
        </w:rPr>
        <w:t xml:space="preserve">of </w:t>
      </w:r>
      <w:r w:rsidR="00A23B1C" w:rsidRPr="00843662">
        <w:rPr>
          <w:rFonts w:ascii="Book Antiqua" w:hAnsi="Book Antiqua" w:cs="Times New Roman"/>
          <w:sz w:val="24"/>
          <w:szCs w:val="24"/>
        </w:rPr>
        <w:t xml:space="preserve">the </w:t>
      </w:r>
      <w:r w:rsidR="007B7C07" w:rsidRPr="00843662">
        <w:rPr>
          <w:rFonts w:ascii="Book Antiqua" w:hAnsi="Book Antiqua" w:cs="Times New Roman"/>
          <w:sz w:val="24"/>
          <w:szCs w:val="24"/>
        </w:rPr>
        <w:t xml:space="preserve">study. </w:t>
      </w:r>
      <w:r w:rsidR="00DC1898" w:rsidRPr="00843662">
        <w:rPr>
          <w:rFonts w:ascii="Book Antiqua" w:hAnsi="Book Antiqua" w:cs="Times New Roman"/>
          <w:sz w:val="24"/>
          <w:szCs w:val="24"/>
        </w:rPr>
        <w:t xml:space="preserve">The follow up time used for the analysis of </w:t>
      </w:r>
      <w:r w:rsidR="007B7C07" w:rsidRPr="00843662">
        <w:rPr>
          <w:rFonts w:ascii="Book Antiqua" w:hAnsi="Book Antiqua" w:cs="Times New Roman"/>
          <w:sz w:val="24"/>
          <w:szCs w:val="24"/>
        </w:rPr>
        <w:t xml:space="preserve">delta </w:t>
      </w:r>
      <w:proofErr w:type="spellStart"/>
      <w:r w:rsidR="007B7C07" w:rsidRPr="00843662">
        <w:rPr>
          <w:rFonts w:ascii="Book Antiqua" w:hAnsi="Book Antiqua" w:cs="Times New Roman"/>
          <w:sz w:val="24"/>
          <w:szCs w:val="24"/>
        </w:rPr>
        <w:t>Hepascore</w:t>
      </w:r>
      <w:proofErr w:type="spellEnd"/>
      <w:r w:rsidR="00DC1898" w:rsidRPr="00843662">
        <w:rPr>
          <w:rFonts w:ascii="Book Antiqua" w:hAnsi="Book Antiqua" w:cs="Times New Roman"/>
          <w:sz w:val="24"/>
          <w:szCs w:val="24"/>
        </w:rPr>
        <w:t xml:space="preserve"> was </w:t>
      </w:r>
      <w:r w:rsidR="00520CB0" w:rsidRPr="00843662">
        <w:rPr>
          <w:rFonts w:ascii="Book Antiqua" w:hAnsi="Book Antiqua" w:cs="Times New Roman"/>
          <w:sz w:val="24"/>
          <w:szCs w:val="24"/>
        </w:rPr>
        <w:t xml:space="preserve">from the time of the second </w:t>
      </w:r>
      <w:proofErr w:type="spellStart"/>
      <w:r w:rsidR="00520CB0" w:rsidRPr="00843662">
        <w:rPr>
          <w:rFonts w:ascii="Book Antiqua" w:hAnsi="Book Antiqua" w:cs="Times New Roman"/>
          <w:sz w:val="24"/>
          <w:szCs w:val="24"/>
        </w:rPr>
        <w:t>Hepascore</w:t>
      </w:r>
      <w:proofErr w:type="spellEnd"/>
      <w:r w:rsidR="00520CB0" w:rsidRPr="00843662">
        <w:rPr>
          <w:rFonts w:ascii="Book Antiqua" w:hAnsi="Book Antiqua" w:cs="Times New Roman"/>
          <w:sz w:val="24"/>
          <w:szCs w:val="24"/>
        </w:rPr>
        <w:t xml:space="preserve"> test </w:t>
      </w:r>
      <w:r w:rsidR="00B820DD" w:rsidRPr="00843662">
        <w:rPr>
          <w:rFonts w:ascii="Book Antiqua" w:hAnsi="Book Antiqua" w:cs="Times New Roman"/>
          <w:sz w:val="24"/>
          <w:szCs w:val="24"/>
        </w:rPr>
        <w:t xml:space="preserve">until </w:t>
      </w:r>
      <w:r w:rsidR="00DC1898" w:rsidRPr="00843662">
        <w:rPr>
          <w:rFonts w:ascii="Book Antiqua" w:hAnsi="Book Antiqua" w:cs="Times New Roman"/>
          <w:sz w:val="24"/>
          <w:szCs w:val="24"/>
        </w:rPr>
        <w:t>an end point or end of study was reached</w:t>
      </w:r>
      <w:r w:rsidR="007B7C07" w:rsidRPr="00843662">
        <w:rPr>
          <w:rFonts w:ascii="Book Antiqua" w:hAnsi="Book Antiqua" w:cs="Times New Roman"/>
          <w:sz w:val="24"/>
          <w:szCs w:val="24"/>
        </w:rPr>
        <w:t xml:space="preserve">. </w:t>
      </w:r>
      <w:r w:rsidR="00906B7E" w:rsidRPr="00843662">
        <w:rPr>
          <w:rFonts w:ascii="Book Antiqua" w:hAnsi="Book Antiqua" w:cs="Times New Roman"/>
          <w:sz w:val="24"/>
          <w:szCs w:val="24"/>
        </w:rPr>
        <w:t xml:space="preserve">Delta </w:t>
      </w:r>
      <w:proofErr w:type="spellStart"/>
      <w:r w:rsidR="00906B7E" w:rsidRPr="00843662">
        <w:rPr>
          <w:rFonts w:ascii="Book Antiqua" w:hAnsi="Book Antiqua" w:cs="Times New Roman"/>
          <w:sz w:val="24"/>
          <w:szCs w:val="24"/>
        </w:rPr>
        <w:t>Hepascore</w:t>
      </w:r>
      <w:proofErr w:type="spellEnd"/>
      <w:r w:rsidR="00906B7E" w:rsidRPr="00843662">
        <w:rPr>
          <w:rFonts w:ascii="Book Antiqua" w:hAnsi="Book Antiqua" w:cs="Times New Roman"/>
          <w:sz w:val="24"/>
          <w:szCs w:val="24"/>
        </w:rPr>
        <w:t xml:space="preserve"> was calculated as the second </w:t>
      </w:r>
      <w:proofErr w:type="spellStart"/>
      <w:r w:rsidR="00906B7E" w:rsidRPr="00843662">
        <w:rPr>
          <w:rFonts w:ascii="Book Antiqua" w:hAnsi="Book Antiqua" w:cs="Times New Roman"/>
          <w:sz w:val="24"/>
          <w:szCs w:val="24"/>
        </w:rPr>
        <w:t>Hepascore</w:t>
      </w:r>
      <w:proofErr w:type="spellEnd"/>
      <w:r w:rsidR="00906B7E" w:rsidRPr="00843662">
        <w:rPr>
          <w:rFonts w:ascii="Book Antiqua" w:hAnsi="Book Antiqua" w:cs="Times New Roman"/>
          <w:sz w:val="24"/>
          <w:szCs w:val="24"/>
        </w:rPr>
        <w:t xml:space="preserve"> minus the </w:t>
      </w:r>
      <w:r w:rsidR="00056DD7" w:rsidRPr="00843662">
        <w:rPr>
          <w:rFonts w:ascii="Book Antiqua" w:hAnsi="Book Antiqua" w:cs="Times New Roman"/>
          <w:sz w:val="24"/>
          <w:szCs w:val="24"/>
        </w:rPr>
        <w:t>baseline</w:t>
      </w:r>
      <w:r w:rsidR="00906B7E" w:rsidRPr="00843662">
        <w:rPr>
          <w:rFonts w:ascii="Book Antiqua" w:hAnsi="Book Antiqua" w:cs="Times New Roman"/>
          <w:sz w:val="24"/>
          <w:szCs w:val="24"/>
        </w:rPr>
        <w:t xml:space="preserve"> </w:t>
      </w:r>
      <w:proofErr w:type="spellStart"/>
      <w:r w:rsidR="00906B7E" w:rsidRPr="00843662">
        <w:rPr>
          <w:rFonts w:ascii="Book Antiqua" w:hAnsi="Book Antiqua" w:cs="Times New Roman"/>
          <w:sz w:val="24"/>
          <w:szCs w:val="24"/>
        </w:rPr>
        <w:t>Hepascore</w:t>
      </w:r>
      <w:proofErr w:type="spellEnd"/>
      <w:r w:rsidR="00906B7E" w:rsidRPr="00843662">
        <w:rPr>
          <w:rFonts w:ascii="Book Antiqua" w:hAnsi="Book Antiqua" w:cs="Times New Roman"/>
          <w:sz w:val="24"/>
          <w:szCs w:val="24"/>
        </w:rPr>
        <w:t xml:space="preserve">. </w:t>
      </w:r>
      <w:r w:rsidR="00AF671F" w:rsidRPr="00843662">
        <w:rPr>
          <w:rFonts w:ascii="Book Antiqua" w:hAnsi="Book Antiqua" w:cs="Times New Roman"/>
          <w:sz w:val="24"/>
          <w:szCs w:val="24"/>
        </w:rPr>
        <w:t>Patients who reached an end</w:t>
      </w:r>
      <w:r w:rsidR="007B7C07" w:rsidRPr="00843662">
        <w:rPr>
          <w:rFonts w:ascii="Book Antiqua" w:hAnsi="Book Antiqua" w:cs="Times New Roman"/>
          <w:sz w:val="24"/>
          <w:szCs w:val="24"/>
        </w:rPr>
        <w:t xml:space="preserve">point before the second </w:t>
      </w:r>
      <w:proofErr w:type="spellStart"/>
      <w:r w:rsidR="007B7C07" w:rsidRPr="00843662">
        <w:rPr>
          <w:rFonts w:ascii="Book Antiqua" w:hAnsi="Book Antiqua" w:cs="Times New Roman"/>
          <w:sz w:val="24"/>
          <w:szCs w:val="24"/>
        </w:rPr>
        <w:t>Hepascore</w:t>
      </w:r>
      <w:proofErr w:type="spellEnd"/>
      <w:r w:rsidR="007B7C07" w:rsidRPr="00843662">
        <w:rPr>
          <w:rFonts w:ascii="Book Antiqua" w:hAnsi="Book Antiqua" w:cs="Times New Roman"/>
          <w:sz w:val="24"/>
          <w:szCs w:val="24"/>
        </w:rPr>
        <w:t xml:space="preserve"> test were excluded </w:t>
      </w:r>
      <w:r w:rsidR="006A17C0" w:rsidRPr="00843662">
        <w:rPr>
          <w:rFonts w:ascii="Book Antiqua" w:hAnsi="Book Antiqua" w:cs="Times New Roman"/>
          <w:sz w:val="24"/>
          <w:szCs w:val="24"/>
        </w:rPr>
        <w:t>from</w:t>
      </w:r>
      <w:r w:rsidR="007B7C07" w:rsidRPr="00843662">
        <w:rPr>
          <w:rFonts w:ascii="Book Antiqua" w:hAnsi="Book Antiqua" w:cs="Times New Roman"/>
          <w:sz w:val="24"/>
          <w:szCs w:val="24"/>
        </w:rPr>
        <w:t xml:space="preserve"> delta </w:t>
      </w:r>
      <w:proofErr w:type="spellStart"/>
      <w:r w:rsidR="007B7C07" w:rsidRPr="00843662">
        <w:rPr>
          <w:rFonts w:ascii="Book Antiqua" w:hAnsi="Book Antiqua" w:cs="Times New Roman"/>
          <w:sz w:val="24"/>
          <w:szCs w:val="24"/>
        </w:rPr>
        <w:t>Hepascore</w:t>
      </w:r>
      <w:proofErr w:type="spellEnd"/>
      <w:r w:rsidR="006A17C0" w:rsidRPr="00843662">
        <w:rPr>
          <w:rFonts w:ascii="Book Antiqua" w:hAnsi="Book Antiqua" w:cs="Times New Roman"/>
          <w:sz w:val="24"/>
          <w:szCs w:val="24"/>
        </w:rPr>
        <w:t xml:space="preserve"> analysis</w:t>
      </w:r>
      <w:r w:rsidR="007B7C07" w:rsidRPr="00843662">
        <w:rPr>
          <w:rFonts w:ascii="Book Antiqua" w:hAnsi="Book Antiqua" w:cs="Times New Roman"/>
          <w:sz w:val="24"/>
          <w:szCs w:val="24"/>
        </w:rPr>
        <w:t xml:space="preserve">. </w:t>
      </w:r>
      <w:proofErr w:type="spellStart"/>
      <w:r w:rsidR="00D53C6F" w:rsidRPr="00843662">
        <w:rPr>
          <w:rFonts w:ascii="Book Antiqua" w:hAnsi="Book Antiqua" w:cs="Times New Roman"/>
          <w:sz w:val="24"/>
          <w:szCs w:val="24"/>
        </w:rPr>
        <w:t>Hepascore</w:t>
      </w:r>
      <w:proofErr w:type="spellEnd"/>
      <w:r w:rsidR="00D53C6F" w:rsidRPr="00843662">
        <w:rPr>
          <w:rFonts w:ascii="Book Antiqua" w:hAnsi="Book Antiqua" w:cs="Times New Roman"/>
          <w:sz w:val="24"/>
          <w:szCs w:val="24"/>
        </w:rPr>
        <w:t xml:space="preserve"> is a serum marker that incorporates </w:t>
      </w:r>
      <w:r w:rsidR="00204BC3" w:rsidRPr="00843662">
        <w:rPr>
          <w:rFonts w:ascii="Book Antiqua" w:hAnsi="Book Antiqua" w:cs="Times New Roman"/>
          <w:sz w:val="24"/>
          <w:szCs w:val="24"/>
        </w:rPr>
        <w:t>g</w:t>
      </w:r>
      <w:r w:rsidR="00D53C6F" w:rsidRPr="00843662">
        <w:rPr>
          <w:rFonts w:ascii="Book Antiqua" w:hAnsi="Book Antiqua" w:cs="Times New Roman"/>
          <w:sz w:val="24"/>
          <w:szCs w:val="24"/>
        </w:rPr>
        <w:t>am</w:t>
      </w:r>
      <w:r w:rsidR="00204BC3" w:rsidRPr="00843662">
        <w:rPr>
          <w:rFonts w:ascii="Book Antiqua" w:hAnsi="Book Antiqua" w:cs="Times New Roman"/>
          <w:sz w:val="24"/>
          <w:szCs w:val="24"/>
        </w:rPr>
        <w:t xml:space="preserve">ma </w:t>
      </w:r>
      <w:proofErr w:type="spellStart"/>
      <w:r w:rsidR="00204BC3" w:rsidRPr="00843662">
        <w:rPr>
          <w:rFonts w:ascii="Book Antiqua" w:hAnsi="Book Antiqua" w:cs="Times New Roman"/>
          <w:sz w:val="24"/>
          <w:szCs w:val="24"/>
        </w:rPr>
        <w:t>glutamyl</w:t>
      </w:r>
      <w:proofErr w:type="spellEnd"/>
      <w:r w:rsidR="00204BC3" w:rsidRPr="00843662">
        <w:rPr>
          <w:rFonts w:ascii="Book Antiqua" w:hAnsi="Book Antiqua" w:cs="Times New Roman"/>
          <w:sz w:val="24"/>
          <w:szCs w:val="24"/>
        </w:rPr>
        <w:t xml:space="preserve"> </w:t>
      </w:r>
      <w:proofErr w:type="spellStart"/>
      <w:r w:rsidR="00204BC3" w:rsidRPr="00843662">
        <w:rPr>
          <w:rFonts w:ascii="Book Antiqua" w:hAnsi="Book Antiqua" w:cs="Times New Roman"/>
          <w:sz w:val="24"/>
          <w:szCs w:val="24"/>
        </w:rPr>
        <w:t>transpeptidase</w:t>
      </w:r>
      <w:proofErr w:type="spellEnd"/>
      <w:r w:rsidR="00204BC3" w:rsidRPr="00843662">
        <w:rPr>
          <w:rFonts w:ascii="Book Antiqua" w:hAnsi="Book Antiqua" w:cs="Times New Roman"/>
          <w:sz w:val="24"/>
          <w:szCs w:val="24"/>
        </w:rPr>
        <w:t xml:space="preserve">, hyaluronic acid and </w:t>
      </w:r>
      <w:r w:rsidR="00AE01D3" w:rsidRPr="00843662">
        <w:rPr>
          <w:rFonts w:ascii="Book Antiqua" w:hAnsi="Book Antiqua" w:cs="Times New Roman"/>
          <w:sz w:val="24"/>
          <w:szCs w:val="24"/>
        </w:rPr>
        <w:t>a</w:t>
      </w:r>
      <w:r w:rsidR="00D53C6F" w:rsidRPr="00843662">
        <w:rPr>
          <w:rFonts w:ascii="Book Antiqua" w:hAnsi="Book Antiqua" w:cs="Times New Roman"/>
          <w:sz w:val="24"/>
          <w:szCs w:val="24"/>
        </w:rPr>
        <w:t>lpha 2 macroglobulin</w:t>
      </w:r>
    </w:p>
    <w:p w14:paraId="088006BB" w14:textId="77777777" w:rsidR="00C3397E" w:rsidRPr="00843662" w:rsidRDefault="00C3397E" w:rsidP="00843662">
      <w:pPr>
        <w:spacing w:after="0" w:line="360" w:lineRule="auto"/>
        <w:jc w:val="both"/>
        <w:rPr>
          <w:rFonts w:ascii="Book Antiqua" w:hAnsi="Book Antiqua" w:cs="Times New Roman"/>
          <w:sz w:val="24"/>
          <w:szCs w:val="24"/>
        </w:rPr>
      </w:pPr>
    </w:p>
    <w:p w14:paraId="5EF5CDC6" w14:textId="77777777" w:rsidR="0002492D" w:rsidRPr="0002492D" w:rsidRDefault="0002492D" w:rsidP="00843662">
      <w:pPr>
        <w:spacing w:after="0" w:line="360" w:lineRule="auto"/>
        <w:jc w:val="both"/>
        <w:rPr>
          <w:rFonts w:ascii="Book Antiqua" w:hAnsi="Book Antiqua" w:cs="Arial"/>
          <w:b/>
          <w:i/>
          <w:sz w:val="24"/>
          <w:szCs w:val="24"/>
          <w:lang w:val="en-US"/>
        </w:rPr>
      </w:pPr>
      <w:r w:rsidRPr="0002492D">
        <w:rPr>
          <w:rFonts w:ascii="Book Antiqua" w:hAnsi="Book Antiqua" w:cs="Arial"/>
          <w:b/>
          <w:i/>
          <w:sz w:val="24"/>
          <w:szCs w:val="24"/>
          <w:lang w:val="en-US"/>
        </w:rPr>
        <w:t>Statistical analysi</w:t>
      </w:r>
      <w:r w:rsidRPr="0002492D">
        <w:rPr>
          <w:rFonts w:ascii="Book Antiqua" w:hAnsi="Book Antiqua" w:cs="Arial" w:hint="eastAsia"/>
          <w:b/>
          <w:i/>
          <w:sz w:val="24"/>
          <w:szCs w:val="24"/>
          <w:lang w:val="en-US"/>
        </w:rPr>
        <w:t>s</w:t>
      </w:r>
    </w:p>
    <w:p w14:paraId="57EE3DFE" w14:textId="70038125" w:rsidR="00613696" w:rsidRPr="00843662" w:rsidRDefault="00885452"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Statistics were undertaken using</w:t>
      </w:r>
      <w:r w:rsidR="007F0D81" w:rsidRPr="00843662">
        <w:rPr>
          <w:rFonts w:ascii="Book Antiqua" w:hAnsi="Book Antiqua" w:cs="Times New Roman"/>
          <w:sz w:val="24"/>
          <w:szCs w:val="24"/>
        </w:rPr>
        <w:t xml:space="preserve"> </w:t>
      </w:r>
      <w:r w:rsidRPr="00843662">
        <w:rPr>
          <w:rFonts w:ascii="Book Antiqua" w:hAnsi="Book Antiqua" w:cs="Times New Roman"/>
          <w:sz w:val="24"/>
          <w:szCs w:val="24"/>
        </w:rPr>
        <w:t xml:space="preserve">the SPSS Statistics software package and </w:t>
      </w:r>
      <w:r w:rsidR="007F0D81" w:rsidRPr="00843662">
        <w:rPr>
          <w:rFonts w:ascii="Book Antiqua" w:hAnsi="Book Antiqua" w:cs="Times New Roman"/>
          <w:sz w:val="24"/>
          <w:szCs w:val="24"/>
        </w:rPr>
        <w:t xml:space="preserve">Kaplan–Meier </w:t>
      </w:r>
      <w:r w:rsidRPr="00843662">
        <w:rPr>
          <w:rFonts w:ascii="Book Antiqua" w:hAnsi="Book Antiqua" w:cs="Times New Roman"/>
          <w:sz w:val="24"/>
          <w:szCs w:val="24"/>
        </w:rPr>
        <w:t>survival analysis</w:t>
      </w:r>
      <w:r w:rsidR="00297992" w:rsidRPr="00843662">
        <w:rPr>
          <w:rFonts w:ascii="Book Antiqua" w:hAnsi="Book Antiqua" w:cs="Times New Roman"/>
          <w:sz w:val="24"/>
          <w:szCs w:val="24"/>
        </w:rPr>
        <w:t>.</w:t>
      </w:r>
      <w:r w:rsidR="0087273A" w:rsidRPr="00843662">
        <w:rPr>
          <w:rFonts w:ascii="Book Antiqua" w:hAnsi="Book Antiqua" w:cs="Times New Roman"/>
          <w:sz w:val="24"/>
          <w:szCs w:val="24"/>
        </w:rPr>
        <w:t xml:space="preserve"> </w:t>
      </w:r>
      <w:r w:rsidR="00F21923" w:rsidRPr="00843662">
        <w:rPr>
          <w:rFonts w:ascii="Book Antiqua" w:hAnsi="Book Antiqua" w:cs="Times New Roman"/>
          <w:sz w:val="24"/>
          <w:szCs w:val="24"/>
        </w:rPr>
        <w:t>M</w:t>
      </w:r>
      <w:r w:rsidR="00F9388B" w:rsidRPr="00843662">
        <w:rPr>
          <w:rFonts w:ascii="Book Antiqua" w:hAnsi="Book Antiqua" w:cs="Times New Roman"/>
          <w:sz w:val="24"/>
          <w:szCs w:val="24"/>
        </w:rPr>
        <w:t xml:space="preserve">ultivariate cox regression was used to assess the prognostic significance of an initial </w:t>
      </w:r>
      <w:proofErr w:type="spellStart"/>
      <w:r w:rsidR="00F9388B" w:rsidRPr="00843662">
        <w:rPr>
          <w:rFonts w:ascii="Book Antiqua" w:hAnsi="Book Antiqua" w:cs="Times New Roman"/>
          <w:sz w:val="24"/>
          <w:szCs w:val="24"/>
        </w:rPr>
        <w:t>Hepascore</w:t>
      </w:r>
      <w:proofErr w:type="spellEnd"/>
      <w:r w:rsidR="00F9388B" w:rsidRPr="00843662">
        <w:rPr>
          <w:rFonts w:ascii="Book Antiqua" w:hAnsi="Book Antiqua" w:cs="Times New Roman"/>
          <w:sz w:val="24"/>
          <w:szCs w:val="24"/>
        </w:rPr>
        <w:t xml:space="preserve">, second </w:t>
      </w:r>
      <w:proofErr w:type="spellStart"/>
      <w:r w:rsidR="00F9388B" w:rsidRPr="00843662">
        <w:rPr>
          <w:rFonts w:ascii="Book Antiqua" w:hAnsi="Book Antiqua" w:cs="Times New Roman"/>
          <w:sz w:val="24"/>
          <w:szCs w:val="24"/>
        </w:rPr>
        <w:t>Hepascore</w:t>
      </w:r>
      <w:proofErr w:type="spellEnd"/>
      <w:r w:rsidR="00F9388B" w:rsidRPr="00843662">
        <w:rPr>
          <w:rFonts w:ascii="Book Antiqua" w:hAnsi="Book Antiqua" w:cs="Times New Roman"/>
          <w:sz w:val="24"/>
          <w:szCs w:val="24"/>
        </w:rPr>
        <w:t xml:space="preserve">, and delta </w:t>
      </w:r>
      <w:proofErr w:type="spellStart"/>
      <w:r w:rsidR="00F9388B" w:rsidRPr="00843662">
        <w:rPr>
          <w:rFonts w:ascii="Book Antiqua" w:hAnsi="Book Antiqua" w:cs="Times New Roman"/>
          <w:sz w:val="24"/>
          <w:szCs w:val="24"/>
        </w:rPr>
        <w:t>Hepascore</w:t>
      </w:r>
      <w:proofErr w:type="spellEnd"/>
      <w:r w:rsidR="00F9388B" w:rsidRPr="00843662">
        <w:rPr>
          <w:rFonts w:ascii="Book Antiqua" w:hAnsi="Book Antiqua" w:cs="Times New Roman"/>
          <w:sz w:val="24"/>
          <w:szCs w:val="24"/>
        </w:rPr>
        <w:t xml:space="preserve"> to predict LRD, HCC or LD. </w:t>
      </w:r>
      <w:r w:rsidR="00906B7E" w:rsidRPr="00843662">
        <w:rPr>
          <w:rFonts w:ascii="Book Antiqua" w:hAnsi="Book Antiqua" w:cs="Times New Roman"/>
          <w:sz w:val="24"/>
          <w:szCs w:val="24"/>
        </w:rPr>
        <w:t xml:space="preserve">Significance was defined as </w:t>
      </w:r>
      <w:r w:rsidR="00F46ABD" w:rsidRPr="00F46ABD">
        <w:rPr>
          <w:rFonts w:ascii="Book Antiqua" w:hAnsi="Book Antiqua" w:cs="Times New Roman" w:hint="eastAsia"/>
          <w:i/>
          <w:sz w:val="24"/>
          <w:szCs w:val="24"/>
        </w:rPr>
        <w:t>P</w:t>
      </w:r>
      <w:r w:rsidR="00F9388B" w:rsidRPr="00843662">
        <w:rPr>
          <w:rFonts w:ascii="Book Antiqua" w:hAnsi="Book Antiqua" w:cs="Times New Roman"/>
          <w:sz w:val="24"/>
          <w:szCs w:val="24"/>
        </w:rPr>
        <w:t xml:space="preserve"> </w:t>
      </w:r>
      <w:r w:rsidR="00906B7E" w:rsidRPr="00843662">
        <w:rPr>
          <w:rFonts w:ascii="Book Antiqua" w:hAnsi="Book Antiqua" w:cs="Times New Roman"/>
          <w:sz w:val="24"/>
          <w:szCs w:val="24"/>
        </w:rPr>
        <w:t>&lt;</w:t>
      </w:r>
      <w:r w:rsidR="00F46ABD">
        <w:rPr>
          <w:rFonts w:ascii="Book Antiqua" w:hAnsi="Book Antiqua" w:cs="Times New Roman" w:hint="eastAsia"/>
          <w:sz w:val="24"/>
          <w:szCs w:val="24"/>
        </w:rPr>
        <w:t xml:space="preserve"> </w:t>
      </w:r>
      <w:r w:rsidR="00906B7E" w:rsidRPr="00843662">
        <w:rPr>
          <w:rFonts w:ascii="Book Antiqua" w:hAnsi="Book Antiqua" w:cs="Times New Roman"/>
          <w:sz w:val="24"/>
          <w:szCs w:val="24"/>
        </w:rPr>
        <w:t>0.05</w:t>
      </w:r>
      <w:r w:rsidR="00F9388B" w:rsidRPr="00843662">
        <w:rPr>
          <w:rFonts w:ascii="Book Antiqua" w:hAnsi="Book Antiqua" w:cs="Times New Roman"/>
          <w:sz w:val="24"/>
          <w:szCs w:val="24"/>
        </w:rPr>
        <w:t>.</w:t>
      </w:r>
      <w:r w:rsidR="005A030C" w:rsidRPr="00843662">
        <w:rPr>
          <w:rFonts w:ascii="Book Antiqua" w:hAnsi="Book Antiqua" w:cs="Times New Roman"/>
          <w:sz w:val="24"/>
          <w:szCs w:val="24"/>
        </w:rPr>
        <w:t xml:space="preserve"> </w:t>
      </w:r>
      <w:r w:rsidR="00844053" w:rsidRPr="00843662">
        <w:rPr>
          <w:rFonts w:ascii="Book Antiqua" w:hAnsi="Book Antiqua" w:cs="Times New Roman"/>
          <w:sz w:val="24"/>
          <w:szCs w:val="24"/>
        </w:rPr>
        <w:t>Patients</w:t>
      </w:r>
      <w:r w:rsidR="000C3C7B" w:rsidRPr="00843662">
        <w:rPr>
          <w:rFonts w:ascii="Book Antiqua" w:hAnsi="Book Antiqua" w:cs="Times New Roman"/>
          <w:sz w:val="24"/>
          <w:szCs w:val="24"/>
        </w:rPr>
        <w:t xml:space="preserve"> were </w:t>
      </w:r>
      <w:r w:rsidR="00844053" w:rsidRPr="00843662">
        <w:rPr>
          <w:rFonts w:ascii="Book Antiqua" w:hAnsi="Book Antiqua" w:cs="Times New Roman"/>
          <w:sz w:val="24"/>
          <w:szCs w:val="24"/>
        </w:rPr>
        <w:t>placed</w:t>
      </w:r>
      <w:r w:rsidR="000C3C7B" w:rsidRPr="00843662">
        <w:rPr>
          <w:rFonts w:ascii="Book Antiqua" w:hAnsi="Book Antiqua" w:cs="Times New Roman"/>
          <w:sz w:val="24"/>
          <w:szCs w:val="24"/>
        </w:rPr>
        <w:t xml:space="preserve"> into </w:t>
      </w:r>
      <w:r w:rsidR="00844053" w:rsidRPr="00843662">
        <w:rPr>
          <w:rFonts w:ascii="Book Antiqua" w:hAnsi="Book Antiqua" w:cs="Times New Roman"/>
          <w:sz w:val="24"/>
          <w:szCs w:val="24"/>
        </w:rPr>
        <w:t>groups</w:t>
      </w:r>
      <w:r w:rsidR="00906B7E" w:rsidRPr="00843662">
        <w:rPr>
          <w:rFonts w:ascii="Book Antiqua" w:hAnsi="Book Antiqua" w:cs="Times New Roman"/>
          <w:sz w:val="24"/>
          <w:szCs w:val="24"/>
        </w:rPr>
        <w:t xml:space="preserve"> based on the </w:t>
      </w:r>
      <w:r w:rsidR="00056DD7" w:rsidRPr="00843662">
        <w:rPr>
          <w:rFonts w:ascii="Book Antiqua" w:hAnsi="Book Antiqua" w:cs="Times New Roman"/>
          <w:sz w:val="24"/>
          <w:szCs w:val="24"/>
        </w:rPr>
        <w:t>baseline</w:t>
      </w:r>
      <w:r w:rsidR="00906B7E" w:rsidRPr="00843662">
        <w:rPr>
          <w:rFonts w:ascii="Book Antiqua" w:hAnsi="Book Antiqua" w:cs="Times New Roman"/>
          <w:sz w:val="24"/>
          <w:szCs w:val="24"/>
        </w:rPr>
        <w:t xml:space="preserve"> </w:t>
      </w:r>
      <w:proofErr w:type="spellStart"/>
      <w:r w:rsidR="00906B7E" w:rsidRPr="00843662">
        <w:rPr>
          <w:rFonts w:ascii="Book Antiqua" w:hAnsi="Book Antiqua" w:cs="Times New Roman"/>
          <w:sz w:val="24"/>
          <w:szCs w:val="24"/>
        </w:rPr>
        <w:t>Hepascore</w:t>
      </w:r>
      <w:proofErr w:type="spellEnd"/>
      <w:r w:rsidR="00906B7E" w:rsidRPr="00843662">
        <w:rPr>
          <w:rFonts w:ascii="Book Antiqua" w:hAnsi="Book Antiqua" w:cs="Times New Roman"/>
          <w:sz w:val="24"/>
          <w:szCs w:val="24"/>
        </w:rPr>
        <w:t xml:space="preserve"> value</w:t>
      </w:r>
      <w:r w:rsidR="000C3C7B" w:rsidRPr="00843662">
        <w:rPr>
          <w:rFonts w:ascii="Book Antiqua" w:hAnsi="Book Antiqua" w:cs="Times New Roman"/>
          <w:sz w:val="24"/>
          <w:szCs w:val="24"/>
        </w:rPr>
        <w:t xml:space="preserve"> </w:t>
      </w:r>
      <w:r w:rsidR="00906B7E" w:rsidRPr="00843662">
        <w:rPr>
          <w:rFonts w:ascii="Book Antiqua" w:hAnsi="Book Antiqua" w:cs="Times New Roman"/>
          <w:sz w:val="24"/>
          <w:szCs w:val="24"/>
        </w:rPr>
        <w:t>(</w:t>
      </w:r>
      <w:r w:rsidR="000C3C7B" w:rsidRPr="00843662">
        <w:rPr>
          <w:rFonts w:ascii="Book Antiqua" w:hAnsi="Book Antiqua" w:cs="Times New Roman"/>
          <w:sz w:val="24"/>
          <w:szCs w:val="24"/>
        </w:rPr>
        <w:t>0-0.25, 0</w:t>
      </w:r>
      <w:r w:rsidR="00844053" w:rsidRPr="00843662">
        <w:rPr>
          <w:rFonts w:ascii="Book Antiqua" w:hAnsi="Book Antiqua" w:cs="Times New Roman"/>
          <w:sz w:val="24"/>
          <w:szCs w:val="24"/>
        </w:rPr>
        <w:t>.26-0.5, 0.51-0.75</w:t>
      </w:r>
      <w:r w:rsidR="00906B7E" w:rsidRPr="00843662">
        <w:rPr>
          <w:rFonts w:ascii="Book Antiqua" w:hAnsi="Book Antiqua" w:cs="Times New Roman"/>
          <w:sz w:val="24"/>
          <w:szCs w:val="24"/>
        </w:rPr>
        <w:t>,</w:t>
      </w:r>
      <w:r w:rsidR="00844053" w:rsidRPr="00843662">
        <w:rPr>
          <w:rFonts w:ascii="Book Antiqua" w:hAnsi="Book Antiqua" w:cs="Times New Roman"/>
          <w:sz w:val="24"/>
          <w:szCs w:val="24"/>
        </w:rPr>
        <w:t xml:space="preserve"> 0.76-1.0</w:t>
      </w:r>
      <w:r w:rsidR="00906B7E" w:rsidRPr="00843662">
        <w:rPr>
          <w:rFonts w:ascii="Book Antiqua" w:hAnsi="Book Antiqua" w:cs="Times New Roman"/>
          <w:sz w:val="24"/>
          <w:szCs w:val="24"/>
        </w:rPr>
        <w:t xml:space="preserve">) and the </w:t>
      </w:r>
      <w:r w:rsidR="000C3C7B" w:rsidRPr="00843662">
        <w:rPr>
          <w:rFonts w:ascii="Book Antiqua" w:hAnsi="Book Antiqua" w:cs="Times New Roman"/>
          <w:sz w:val="24"/>
          <w:szCs w:val="24"/>
        </w:rPr>
        <w:t xml:space="preserve">delta </w:t>
      </w:r>
      <w:proofErr w:type="spellStart"/>
      <w:r w:rsidR="000C3C7B" w:rsidRPr="00843662">
        <w:rPr>
          <w:rFonts w:ascii="Book Antiqua" w:hAnsi="Book Antiqua" w:cs="Times New Roman"/>
          <w:sz w:val="24"/>
          <w:szCs w:val="24"/>
        </w:rPr>
        <w:t>Hepascore</w:t>
      </w:r>
      <w:proofErr w:type="spellEnd"/>
      <w:r w:rsidR="00906B7E" w:rsidRPr="00843662">
        <w:rPr>
          <w:rFonts w:ascii="Book Antiqua" w:hAnsi="Book Antiqua" w:cs="Times New Roman"/>
          <w:sz w:val="24"/>
          <w:szCs w:val="24"/>
        </w:rPr>
        <w:t xml:space="preserve"> (</w:t>
      </w:r>
      <w:r w:rsidR="004C5CF6" w:rsidRPr="00843662">
        <w:rPr>
          <w:rFonts w:ascii="Book Antiqua" w:hAnsi="Book Antiqua" w:cs="Times New Roman"/>
          <w:sz w:val="24"/>
          <w:szCs w:val="24"/>
        </w:rPr>
        <w:t>delta</w:t>
      </w:r>
      <w:r w:rsidR="00F46ABD">
        <w:rPr>
          <w:rFonts w:ascii="Book Antiqua" w:hAnsi="Book Antiqua" w:cs="Times New Roman" w:hint="eastAsia"/>
          <w:sz w:val="24"/>
          <w:szCs w:val="24"/>
        </w:rPr>
        <w:t xml:space="preserve"> </w:t>
      </w:r>
      <w:r w:rsidR="00906B7E" w:rsidRPr="00843662">
        <w:rPr>
          <w:rFonts w:ascii="Book Antiqua" w:hAnsi="Book Antiqua" w:cs="Times New Roman"/>
          <w:sz w:val="24"/>
          <w:szCs w:val="24"/>
        </w:rPr>
        <w:t>&lt;</w:t>
      </w:r>
      <w:r w:rsidR="00F46ABD">
        <w:rPr>
          <w:rFonts w:ascii="Book Antiqua" w:hAnsi="Book Antiqua" w:cs="Times New Roman" w:hint="eastAsia"/>
          <w:sz w:val="24"/>
          <w:szCs w:val="24"/>
        </w:rPr>
        <w:t xml:space="preserve"> </w:t>
      </w:r>
      <w:r w:rsidR="00906B7E" w:rsidRPr="00843662">
        <w:rPr>
          <w:rFonts w:ascii="Book Antiqua" w:hAnsi="Book Antiqua" w:cs="Times New Roman"/>
          <w:sz w:val="24"/>
          <w:szCs w:val="24"/>
        </w:rPr>
        <w:t>-0.1,</w:t>
      </w:r>
      <w:r w:rsidR="000C3C7B" w:rsidRPr="00843662">
        <w:rPr>
          <w:rFonts w:ascii="Book Antiqua" w:hAnsi="Book Antiqua" w:cs="Times New Roman"/>
          <w:sz w:val="24"/>
          <w:szCs w:val="24"/>
        </w:rPr>
        <w:t xml:space="preserve"> -0.1</w:t>
      </w:r>
      <w:r w:rsidR="00F46ABD">
        <w:rPr>
          <w:rFonts w:ascii="Book Antiqua" w:hAnsi="Book Antiqua" w:cs="Times New Roman" w:hint="eastAsia"/>
          <w:sz w:val="24"/>
          <w:szCs w:val="24"/>
        </w:rPr>
        <w:t xml:space="preserve"> </w:t>
      </w:r>
      <w:r w:rsidR="000C3C7B" w:rsidRPr="00843662">
        <w:rPr>
          <w:rFonts w:ascii="Book Antiqua" w:hAnsi="Book Antiqua" w:cs="Times New Roman"/>
          <w:sz w:val="24"/>
          <w:szCs w:val="24"/>
        </w:rPr>
        <w:t>≤</w:t>
      </w:r>
      <w:r w:rsidR="00F46ABD">
        <w:rPr>
          <w:rFonts w:ascii="Book Antiqua" w:hAnsi="Book Antiqua" w:cs="Times New Roman" w:hint="eastAsia"/>
          <w:sz w:val="24"/>
          <w:szCs w:val="24"/>
        </w:rPr>
        <w:t xml:space="preserve"> </w:t>
      </w:r>
      <w:r w:rsidR="004C5CF6" w:rsidRPr="00843662">
        <w:rPr>
          <w:rFonts w:ascii="Book Antiqua" w:hAnsi="Book Antiqua" w:cs="Times New Roman"/>
          <w:sz w:val="24"/>
          <w:szCs w:val="24"/>
        </w:rPr>
        <w:t>delta</w:t>
      </w:r>
      <w:r w:rsidR="00F46ABD">
        <w:rPr>
          <w:rFonts w:ascii="Book Antiqua" w:hAnsi="Book Antiqua" w:cs="Times New Roman" w:hint="eastAsia"/>
          <w:sz w:val="24"/>
          <w:szCs w:val="24"/>
        </w:rPr>
        <w:t xml:space="preserve"> </w:t>
      </w:r>
      <w:r w:rsidR="000C3C7B" w:rsidRPr="00843662">
        <w:rPr>
          <w:rFonts w:ascii="Book Antiqua" w:hAnsi="Book Antiqua" w:cs="Times New Roman"/>
          <w:sz w:val="24"/>
          <w:szCs w:val="24"/>
        </w:rPr>
        <w:t>≤</w:t>
      </w:r>
      <w:r w:rsidR="00F46ABD">
        <w:rPr>
          <w:rFonts w:ascii="Book Antiqua" w:hAnsi="Book Antiqua" w:cs="Times New Roman" w:hint="eastAsia"/>
          <w:sz w:val="24"/>
          <w:szCs w:val="24"/>
        </w:rPr>
        <w:t xml:space="preserve"> </w:t>
      </w:r>
      <w:r w:rsidR="000C3C7B" w:rsidRPr="00843662">
        <w:rPr>
          <w:rFonts w:ascii="Book Antiqua" w:hAnsi="Book Antiqua" w:cs="Times New Roman"/>
          <w:sz w:val="24"/>
          <w:szCs w:val="24"/>
        </w:rPr>
        <w:t>0.1</w:t>
      </w:r>
      <w:r w:rsidR="00906B7E" w:rsidRPr="00843662">
        <w:rPr>
          <w:rFonts w:ascii="Book Antiqua" w:hAnsi="Book Antiqua" w:cs="Times New Roman"/>
          <w:sz w:val="24"/>
          <w:szCs w:val="24"/>
        </w:rPr>
        <w:t>,</w:t>
      </w:r>
      <w:r w:rsidR="000C3C7B" w:rsidRPr="00843662">
        <w:rPr>
          <w:rFonts w:ascii="Book Antiqua" w:hAnsi="Book Antiqua" w:cs="Times New Roman"/>
          <w:sz w:val="24"/>
          <w:szCs w:val="24"/>
        </w:rPr>
        <w:t xml:space="preserve"> </w:t>
      </w:r>
      <w:r w:rsidR="004C5CF6" w:rsidRPr="00843662">
        <w:rPr>
          <w:rFonts w:ascii="Book Antiqua" w:hAnsi="Book Antiqua" w:cs="Times New Roman"/>
          <w:sz w:val="24"/>
          <w:szCs w:val="24"/>
        </w:rPr>
        <w:t>delta</w:t>
      </w:r>
      <w:r w:rsidR="00F46ABD">
        <w:rPr>
          <w:rFonts w:ascii="Book Antiqua" w:hAnsi="Book Antiqua" w:cs="Times New Roman" w:hint="eastAsia"/>
          <w:sz w:val="24"/>
          <w:szCs w:val="24"/>
        </w:rPr>
        <w:t xml:space="preserve"> </w:t>
      </w:r>
      <w:r w:rsidR="00906B7E" w:rsidRPr="00843662">
        <w:rPr>
          <w:rFonts w:ascii="Book Antiqua" w:hAnsi="Book Antiqua" w:cs="Times New Roman"/>
          <w:sz w:val="24"/>
          <w:szCs w:val="24"/>
        </w:rPr>
        <w:t>&gt;</w:t>
      </w:r>
      <w:r w:rsidR="00F46ABD">
        <w:rPr>
          <w:rFonts w:ascii="Book Antiqua" w:hAnsi="Book Antiqua" w:cs="Times New Roman" w:hint="eastAsia"/>
          <w:sz w:val="24"/>
          <w:szCs w:val="24"/>
        </w:rPr>
        <w:t xml:space="preserve"> </w:t>
      </w:r>
      <w:r w:rsidR="00906B7E" w:rsidRPr="00843662">
        <w:rPr>
          <w:rFonts w:ascii="Book Antiqua" w:hAnsi="Book Antiqua" w:cs="Times New Roman"/>
          <w:sz w:val="24"/>
          <w:szCs w:val="24"/>
        </w:rPr>
        <w:t>0.1</w:t>
      </w:r>
      <w:r w:rsidR="000C3C7B" w:rsidRPr="00843662">
        <w:rPr>
          <w:rFonts w:ascii="Book Antiqua" w:hAnsi="Book Antiqua" w:cs="Times New Roman"/>
          <w:sz w:val="24"/>
          <w:szCs w:val="24"/>
        </w:rPr>
        <w:t>) for the analysis.</w:t>
      </w:r>
      <w:r w:rsidR="00613696" w:rsidRPr="00843662">
        <w:rPr>
          <w:rFonts w:ascii="Book Antiqua" w:hAnsi="Book Antiqua" w:cs="Times New Roman"/>
          <w:sz w:val="24"/>
          <w:szCs w:val="24"/>
        </w:rPr>
        <w:t xml:space="preserve"> Survival probabilities for using baseline </w:t>
      </w:r>
      <w:proofErr w:type="spellStart"/>
      <w:r w:rsidR="00613696" w:rsidRPr="00843662">
        <w:rPr>
          <w:rFonts w:ascii="Book Antiqua" w:hAnsi="Book Antiqua" w:cs="Times New Roman"/>
          <w:sz w:val="24"/>
          <w:szCs w:val="24"/>
        </w:rPr>
        <w:t>Hepascore</w:t>
      </w:r>
      <w:proofErr w:type="spellEnd"/>
      <w:r w:rsidR="00613696" w:rsidRPr="00843662">
        <w:rPr>
          <w:rFonts w:ascii="Book Antiqua" w:hAnsi="Book Antiqua" w:cs="Times New Roman"/>
          <w:sz w:val="24"/>
          <w:szCs w:val="24"/>
        </w:rPr>
        <w:t xml:space="preserve"> values and delta </w:t>
      </w:r>
      <w:proofErr w:type="spellStart"/>
      <w:r w:rsidR="00613696" w:rsidRPr="00843662">
        <w:rPr>
          <w:rFonts w:ascii="Book Antiqua" w:hAnsi="Book Antiqua" w:cs="Times New Roman"/>
          <w:sz w:val="24"/>
          <w:szCs w:val="24"/>
        </w:rPr>
        <w:t>Hepascore</w:t>
      </w:r>
      <w:proofErr w:type="spellEnd"/>
      <w:r w:rsidR="00613696" w:rsidRPr="00843662">
        <w:rPr>
          <w:rFonts w:ascii="Book Antiqua" w:hAnsi="Book Antiqua" w:cs="Times New Roman"/>
          <w:sz w:val="24"/>
          <w:szCs w:val="24"/>
        </w:rPr>
        <w:t xml:space="preserve"> values were </w:t>
      </w:r>
      <w:r w:rsidR="00844053" w:rsidRPr="00843662">
        <w:rPr>
          <w:rFonts w:ascii="Book Antiqua" w:hAnsi="Book Antiqua" w:cs="Times New Roman"/>
          <w:sz w:val="24"/>
          <w:szCs w:val="24"/>
        </w:rPr>
        <w:t xml:space="preserve">then </w:t>
      </w:r>
      <w:r w:rsidR="00613696" w:rsidRPr="00843662">
        <w:rPr>
          <w:rFonts w:ascii="Book Antiqua" w:hAnsi="Book Antiqua" w:cs="Times New Roman"/>
          <w:sz w:val="24"/>
          <w:szCs w:val="24"/>
        </w:rPr>
        <w:t>calculated using Kaplan-Meier curves with significance calculated using the log rank test</w:t>
      </w:r>
      <w:r w:rsidR="00906B7E" w:rsidRPr="00843662">
        <w:rPr>
          <w:rFonts w:ascii="Book Antiqua" w:hAnsi="Book Antiqua" w:cs="Times New Roman"/>
          <w:sz w:val="24"/>
          <w:szCs w:val="24"/>
        </w:rPr>
        <w:t>.</w:t>
      </w:r>
    </w:p>
    <w:p w14:paraId="6D2459A9" w14:textId="0AE8AAC5" w:rsidR="00C3397E" w:rsidRPr="00F46ABD" w:rsidRDefault="00442803" w:rsidP="00F46ABD">
      <w:pPr>
        <w:spacing w:after="0" w:line="360" w:lineRule="auto"/>
        <w:ind w:firstLineChars="100" w:firstLine="240"/>
        <w:jc w:val="both"/>
        <w:rPr>
          <w:rFonts w:ascii="Book Antiqua" w:hAnsi="Book Antiqua" w:cs="Times New Roman"/>
          <w:sz w:val="24"/>
          <w:szCs w:val="24"/>
        </w:rPr>
      </w:pPr>
      <w:proofErr w:type="gramStart"/>
      <w:r w:rsidRPr="00843662">
        <w:rPr>
          <w:rFonts w:ascii="Book Antiqua" w:hAnsi="Book Antiqua" w:cs="Times New Roman"/>
          <w:sz w:val="24"/>
          <w:szCs w:val="24"/>
        </w:rPr>
        <w:lastRenderedPageBreak/>
        <w:t>Area under Receiver Operating Characteristic (</w:t>
      </w:r>
      <w:r w:rsidR="00FE237E" w:rsidRPr="00843662">
        <w:rPr>
          <w:rFonts w:ascii="Book Antiqua" w:hAnsi="Book Antiqua" w:cs="Times New Roman"/>
          <w:sz w:val="24"/>
          <w:szCs w:val="24"/>
        </w:rPr>
        <w:t>AUROC</w:t>
      </w:r>
      <w:r w:rsidRPr="00843662">
        <w:rPr>
          <w:rFonts w:ascii="Book Antiqua" w:hAnsi="Book Antiqua" w:cs="Times New Roman"/>
          <w:sz w:val="24"/>
          <w:szCs w:val="24"/>
        </w:rPr>
        <w:t>)</w:t>
      </w:r>
      <w:r w:rsidR="00FE237E" w:rsidRPr="00843662">
        <w:rPr>
          <w:rFonts w:ascii="Book Antiqua" w:hAnsi="Book Antiqua" w:cs="Times New Roman"/>
          <w:sz w:val="24"/>
          <w:szCs w:val="24"/>
        </w:rPr>
        <w:t xml:space="preserve"> curves were</w:t>
      </w:r>
      <w:proofErr w:type="gramEnd"/>
      <w:r w:rsidR="00FE237E" w:rsidRPr="00843662">
        <w:rPr>
          <w:rFonts w:ascii="Book Antiqua" w:hAnsi="Book Antiqua" w:cs="Times New Roman"/>
          <w:sz w:val="24"/>
          <w:szCs w:val="24"/>
        </w:rPr>
        <w:t xml:space="preserve"> </w:t>
      </w:r>
      <w:r w:rsidR="00844053" w:rsidRPr="00843662">
        <w:rPr>
          <w:rFonts w:ascii="Book Antiqua" w:hAnsi="Book Antiqua" w:cs="Times New Roman"/>
          <w:sz w:val="24"/>
          <w:szCs w:val="24"/>
        </w:rPr>
        <w:t>calculated</w:t>
      </w:r>
      <w:r w:rsidR="00FE237E" w:rsidRPr="00843662">
        <w:rPr>
          <w:rFonts w:ascii="Book Antiqua" w:hAnsi="Book Antiqua" w:cs="Times New Roman"/>
          <w:sz w:val="24"/>
          <w:szCs w:val="24"/>
        </w:rPr>
        <w:t xml:space="preserve"> to assess the capacity of baseline </w:t>
      </w:r>
      <w:proofErr w:type="spellStart"/>
      <w:r w:rsidR="00FE237E" w:rsidRPr="00843662">
        <w:rPr>
          <w:rFonts w:ascii="Book Antiqua" w:hAnsi="Book Antiqua" w:cs="Times New Roman"/>
          <w:sz w:val="24"/>
          <w:szCs w:val="24"/>
        </w:rPr>
        <w:t>Hepascore</w:t>
      </w:r>
      <w:proofErr w:type="spellEnd"/>
      <w:r w:rsidR="00FE237E" w:rsidRPr="00843662">
        <w:rPr>
          <w:rFonts w:ascii="Book Antiqua" w:hAnsi="Book Antiqua" w:cs="Times New Roman"/>
          <w:sz w:val="24"/>
          <w:szCs w:val="24"/>
        </w:rPr>
        <w:t xml:space="preserve"> and </w:t>
      </w:r>
      <w:r w:rsidR="00A22B58" w:rsidRPr="00843662">
        <w:rPr>
          <w:rFonts w:ascii="Book Antiqua" w:hAnsi="Book Antiqua" w:cs="Times New Roman"/>
          <w:sz w:val="24"/>
          <w:szCs w:val="24"/>
        </w:rPr>
        <w:t>d</w:t>
      </w:r>
      <w:r w:rsidR="00FE237E" w:rsidRPr="00843662">
        <w:rPr>
          <w:rFonts w:ascii="Book Antiqua" w:hAnsi="Book Antiqua" w:cs="Times New Roman"/>
          <w:sz w:val="24"/>
          <w:szCs w:val="24"/>
        </w:rPr>
        <w:t xml:space="preserve">elta </w:t>
      </w:r>
      <w:proofErr w:type="spellStart"/>
      <w:r w:rsidR="00FE237E" w:rsidRPr="00843662">
        <w:rPr>
          <w:rFonts w:ascii="Book Antiqua" w:hAnsi="Book Antiqua" w:cs="Times New Roman"/>
          <w:sz w:val="24"/>
          <w:szCs w:val="24"/>
        </w:rPr>
        <w:t>Hepascore</w:t>
      </w:r>
      <w:proofErr w:type="spellEnd"/>
      <w:r w:rsidR="006D1D39" w:rsidRPr="00843662">
        <w:rPr>
          <w:rFonts w:ascii="Book Antiqua" w:hAnsi="Book Antiqua" w:cs="Times New Roman"/>
          <w:sz w:val="24"/>
          <w:szCs w:val="24"/>
        </w:rPr>
        <w:t xml:space="preserve"> values to predict liver related outcomes</w:t>
      </w:r>
      <w:r w:rsidR="00FE237E" w:rsidRPr="00843662">
        <w:rPr>
          <w:rFonts w:ascii="Book Antiqua" w:hAnsi="Book Antiqua" w:cs="Times New Roman"/>
          <w:sz w:val="24"/>
          <w:szCs w:val="24"/>
        </w:rPr>
        <w:t xml:space="preserve">. </w:t>
      </w:r>
      <w:r w:rsidR="006333A6" w:rsidRPr="00843662">
        <w:rPr>
          <w:rFonts w:ascii="Book Antiqua" w:hAnsi="Book Antiqua" w:cs="Times New Roman"/>
          <w:sz w:val="24"/>
          <w:szCs w:val="24"/>
        </w:rPr>
        <w:t>The optimal time inte</w:t>
      </w:r>
      <w:r w:rsidR="00AF671F" w:rsidRPr="00843662">
        <w:rPr>
          <w:rFonts w:ascii="Book Antiqua" w:hAnsi="Book Antiqua" w:cs="Times New Roman"/>
          <w:sz w:val="24"/>
          <w:szCs w:val="24"/>
        </w:rPr>
        <w:t xml:space="preserve">rval between </w:t>
      </w:r>
      <w:proofErr w:type="spellStart"/>
      <w:r w:rsidR="00AF671F" w:rsidRPr="00843662">
        <w:rPr>
          <w:rFonts w:ascii="Book Antiqua" w:hAnsi="Book Antiqua" w:cs="Times New Roman"/>
          <w:sz w:val="24"/>
          <w:szCs w:val="24"/>
        </w:rPr>
        <w:t>Hepascore</w:t>
      </w:r>
      <w:proofErr w:type="spellEnd"/>
      <w:r w:rsidR="00AF671F" w:rsidRPr="00843662">
        <w:rPr>
          <w:rFonts w:ascii="Book Antiqua" w:hAnsi="Book Antiqua" w:cs="Times New Roman"/>
          <w:sz w:val="24"/>
          <w:szCs w:val="24"/>
        </w:rPr>
        <w:t xml:space="preserve"> tests was</w:t>
      </w:r>
      <w:r w:rsidR="006333A6" w:rsidRPr="00843662">
        <w:rPr>
          <w:rFonts w:ascii="Book Antiqua" w:hAnsi="Book Antiqua" w:cs="Times New Roman"/>
          <w:sz w:val="24"/>
          <w:szCs w:val="24"/>
        </w:rPr>
        <w:t xml:space="preserve"> assessed by </w:t>
      </w:r>
      <w:r w:rsidR="006D1D39" w:rsidRPr="00843662">
        <w:rPr>
          <w:rFonts w:ascii="Book Antiqua" w:hAnsi="Book Antiqua" w:cs="Times New Roman"/>
          <w:sz w:val="24"/>
          <w:szCs w:val="24"/>
        </w:rPr>
        <w:t>Kaplan-Meier analysis</w:t>
      </w:r>
      <w:r w:rsidR="006333A6" w:rsidRPr="00843662">
        <w:rPr>
          <w:rFonts w:ascii="Book Antiqua" w:hAnsi="Book Antiqua" w:cs="Times New Roman"/>
          <w:sz w:val="24"/>
          <w:szCs w:val="24"/>
        </w:rPr>
        <w:t xml:space="preserve"> according to </w:t>
      </w:r>
      <w:r w:rsidR="00A22B58" w:rsidRPr="00843662">
        <w:rPr>
          <w:rFonts w:ascii="Book Antiqua" w:hAnsi="Book Antiqua" w:cs="Times New Roman"/>
          <w:sz w:val="24"/>
          <w:szCs w:val="24"/>
        </w:rPr>
        <w:t xml:space="preserve">the </w:t>
      </w:r>
      <w:r w:rsidR="006333A6" w:rsidRPr="00843662">
        <w:rPr>
          <w:rFonts w:ascii="Book Antiqua" w:hAnsi="Book Antiqua" w:cs="Times New Roman"/>
          <w:sz w:val="24"/>
          <w:szCs w:val="24"/>
        </w:rPr>
        <w:t xml:space="preserve">time between tests: </w:t>
      </w:r>
      <w:r w:rsidR="00590FE4" w:rsidRPr="00843662">
        <w:rPr>
          <w:rFonts w:ascii="Book Antiqua" w:hAnsi="Book Antiqua" w:cs="Times New Roman"/>
          <w:sz w:val="24"/>
          <w:szCs w:val="24"/>
        </w:rPr>
        <w:t>&lt;</w:t>
      </w:r>
      <w:r w:rsidR="00F46ABD">
        <w:rPr>
          <w:rFonts w:ascii="Book Antiqua" w:hAnsi="Book Antiqua" w:cs="Times New Roman" w:hint="eastAsia"/>
          <w:sz w:val="24"/>
          <w:szCs w:val="24"/>
        </w:rPr>
        <w:t xml:space="preserve"> </w:t>
      </w:r>
      <w:r w:rsidR="006333A6" w:rsidRPr="00843662">
        <w:rPr>
          <w:rFonts w:ascii="Book Antiqua" w:hAnsi="Book Antiqua" w:cs="Times New Roman"/>
          <w:sz w:val="24"/>
          <w:szCs w:val="24"/>
        </w:rPr>
        <w:t xml:space="preserve">1 year and </w:t>
      </w:r>
      <w:r w:rsidR="00590FE4" w:rsidRPr="00843662">
        <w:rPr>
          <w:rFonts w:ascii="Book Antiqua" w:hAnsi="Book Antiqua" w:cs="Times New Roman"/>
          <w:sz w:val="24"/>
          <w:szCs w:val="24"/>
        </w:rPr>
        <w:t>≥</w:t>
      </w:r>
      <w:r w:rsidR="00F46ABD">
        <w:rPr>
          <w:rFonts w:ascii="Book Antiqua" w:hAnsi="Book Antiqua" w:cs="Times New Roman" w:hint="eastAsia"/>
          <w:sz w:val="24"/>
          <w:szCs w:val="24"/>
        </w:rPr>
        <w:t xml:space="preserve"> </w:t>
      </w:r>
      <w:r w:rsidR="006333A6" w:rsidRPr="00843662">
        <w:rPr>
          <w:rFonts w:ascii="Book Antiqua" w:hAnsi="Book Antiqua" w:cs="Times New Roman"/>
          <w:sz w:val="24"/>
          <w:szCs w:val="24"/>
        </w:rPr>
        <w:t>1 year</w:t>
      </w:r>
      <w:r w:rsidR="006D1D39" w:rsidRPr="00843662">
        <w:rPr>
          <w:rFonts w:ascii="Book Antiqua" w:hAnsi="Book Antiqua" w:cs="Times New Roman"/>
          <w:sz w:val="24"/>
          <w:szCs w:val="24"/>
        </w:rPr>
        <w:t>.</w:t>
      </w:r>
      <w:r w:rsidR="001F6B56" w:rsidRPr="00843662">
        <w:rPr>
          <w:rFonts w:ascii="Book Antiqua" w:hAnsi="Book Antiqua" w:cs="Times New Roman"/>
          <w:sz w:val="24"/>
          <w:szCs w:val="24"/>
        </w:rPr>
        <w:t xml:space="preserve"> </w:t>
      </w:r>
    </w:p>
    <w:p w14:paraId="12A4552B" w14:textId="77777777" w:rsidR="00C3397E" w:rsidRPr="00843662" w:rsidRDefault="00C3397E" w:rsidP="00843662">
      <w:pPr>
        <w:spacing w:after="0" w:line="360" w:lineRule="auto"/>
        <w:jc w:val="both"/>
        <w:rPr>
          <w:rFonts w:ascii="Book Antiqua" w:hAnsi="Book Antiqua" w:cs="Times New Roman"/>
          <w:sz w:val="24"/>
          <w:szCs w:val="24"/>
        </w:rPr>
      </w:pPr>
    </w:p>
    <w:p w14:paraId="5373ABC3" w14:textId="6C100F63" w:rsidR="005F5770" w:rsidRPr="00843662" w:rsidRDefault="00F46ABD" w:rsidP="00843662">
      <w:pPr>
        <w:spacing w:after="0" w:line="360" w:lineRule="auto"/>
        <w:jc w:val="both"/>
        <w:outlineLvl w:val="0"/>
        <w:rPr>
          <w:rFonts w:ascii="Book Antiqua" w:hAnsi="Book Antiqua" w:cs="Times New Roman"/>
          <w:b/>
          <w:sz w:val="24"/>
          <w:szCs w:val="24"/>
        </w:rPr>
      </w:pPr>
      <w:r w:rsidRPr="00843662">
        <w:rPr>
          <w:rFonts w:ascii="Book Antiqua" w:hAnsi="Book Antiqua" w:cs="Times New Roman"/>
          <w:b/>
          <w:sz w:val="24"/>
          <w:szCs w:val="24"/>
        </w:rPr>
        <w:t>RESULTS</w:t>
      </w:r>
    </w:p>
    <w:p w14:paraId="1CDAE63A" w14:textId="3E0468D7" w:rsidR="008C1BE2" w:rsidRPr="00843662" w:rsidRDefault="00F21923" w:rsidP="00843662">
      <w:pPr>
        <w:spacing w:after="0" w:line="360" w:lineRule="auto"/>
        <w:jc w:val="both"/>
        <w:outlineLvl w:val="0"/>
        <w:rPr>
          <w:rFonts w:ascii="Book Antiqua" w:hAnsi="Book Antiqua" w:cs="Times New Roman"/>
          <w:sz w:val="24"/>
          <w:szCs w:val="24"/>
        </w:rPr>
      </w:pPr>
      <w:r w:rsidRPr="00843662">
        <w:rPr>
          <w:rFonts w:ascii="Book Antiqua" w:hAnsi="Book Antiqua" w:cs="Times New Roman"/>
          <w:sz w:val="24"/>
          <w:szCs w:val="24"/>
        </w:rPr>
        <w:t>A total of</w:t>
      </w:r>
      <w:r w:rsidR="009C49CD" w:rsidRPr="00843662">
        <w:rPr>
          <w:rFonts w:ascii="Book Antiqua" w:hAnsi="Book Antiqua" w:cs="Times New Roman"/>
          <w:sz w:val="24"/>
          <w:szCs w:val="24"/>
        </w:rPr>
        <w:t xml:space="preserve"> </w:t>
      </w:r>
      <w:r w:rsidRPr="00843662">
        <w:rPr>
          <w:rFonts w:ascii="Book Antiqua" w:hAnsi="Book Antiqua" w:cs="Times New Roman"/>
          <w:sz w:val="24"/>
          <w:szCs w:val="24"/>
        </w:rPr>
        <w:t>346</w:t>
      </w:r>
      <w:r w:rsidR="00DE0A87" w:rsidRPr="00843662">
        <w:rPr>
          <w:rFonts w:ascii="Book Antiqua" w:hAnsi="Book Antiqua" w:cs="Times New Roman"/>
          <w:sz w:val="24"/>
          <w:szCs w:val="24"/>
        </w:rPr>
        <w:t xml:space="preserve"> patients </w:t>
      </w:r>
      <w:r w:rsidR="0082722A" w:rsidRPr="00843662">
        <w:rPr>
          <w:rFonts w:ascii="Book Antiqua" w:hAnsi="Book Antiqua" w:cs="Times New Roman"/>
          <w:sz w:val="24"/>
          <w:szCs w:val="24"/>
        </w:rPr>
        <w:t xml:space="preserve">met the inclusion criteria and </w:t>
      </w:r>
      <w:r w:rsidR="00DE0A87" w:rsidRPr="00843662">
        <w:rPr>
          <w:rFonts w:ascii="Book Antiqua" w:hAnsi="Book Antiqua" w:cs="Times New Roman"/>
          <w:sz w:val="24"/>
          <w:szCs w:val="24"/>
        </w:rPr>
        <w:t>were fol</w:t>
      </w:r>
      <w:r w:rsidR="003E75C8" w:rsidRPr="00843662">
        <w:rPr>
          <w:rFonts w:ascii="Book Antiqua" w:hAnsi="Book Antiqua" w:cs="Times New Roman"/>
          <w:sz w:val="24"/>
          <w:szCs w:val="24"/>
        </w:rPr>
        <w:t>lowed for a mean of 5.5 years</w:t>
      </w:r>
      <w:r w:rsidRPr="00843662">
        <w:rPr>
          <w:rFonts w:ascii="Book Antiqua" w:hAnsi="Book Antiqua" w:cs="Times New Roman"/>
          <w:sz w:val="24"/>
          <w:szCs w:val="24"/>
        </w:rPr>
        <w:t>, during which 28 (8.1</w:t>
      </w:r>
      <w:r w:rsidR="00DE0A87" w:rsidRPr="00843662">
        <w:rPr>
          <w:rFonts w:ascii="Book Antiqua" w:hAnsi="Book Antiqua" w:cs="Times New Roman"/>
          <w:sz w:val="24"/>
          <w:szCs w:val="24"/>
        </w:rPr>
        <w:t xml:space="preserve">%) </w:t>
      </w:r>
      <w:r w:rsidR="00B02709" w:rsidRPr="00843662">
        <w:rPr>
          <w:rFonts w:ascii="Book Antiqua" w:hAnsi="Book Antiqua" w:cs="Times New Roman"/>
          <w:sz w:val="24"/>
          <w:szCs w:val="24"/>
        </w:rPr>
        <w:t xml:space="preserve">had </w:t>
      </w:r>
      <w:r w:rsidR="00FD08F0" w:rsidRPr="00843662">
        <w:rPr>
          <w:rFonts w:ascii="Book Antiqua" w:hAnsi="Book Antiqua" w:cs="Times New Roman"/>
          <w:sz w:val="24"/>
          <w:szCs w:val="24"/>
        </w:rPr>
        <w:t xml:space="preserve">a </w:t>
      </w:r>
      <w:r w:rsidR="00B02709" w:rsidRPr="00843662">
        <w:rPr>
          <w:rFonts w:ascii="Book Antiqua" w:hAnsi="Book Antiqua" w:cs="Times New Roman"/>
          <w:sz w:val="24"/>
          <w:szCs w:val="24"/>
        </w:rPr>
        <w:t xml:space="preserve">LRD, </w:t>
      </w:r>
      <w:r w:rsidR="003E75C8" w:rsidRPr="00843662">
        <w:rPr>
          <w:rFonts w:ascii="Book Antiqua" w:hAnsi="Book Antiqua" w:cs="Times New Roman"/>
          <w:sz w:val="24"/>
          <w:szCs w:val="24"/>
        </w:rPr>
        <w:t>developed</w:t>
      </w:r>
      <w:r w:rsidR="00DE0A87" w:rsidRPr="00843662">
        <w:rPr>
          <w:rFonts w:ascii="Book Antiqua" w:hAnsi="Book Antiqua" w:cs="Times New Roman"/>
          <w:sz w:val="24"/>
          <w:szCs w:val="24"/>
        </w:rPr>
        <w:t xml:space="preserve"> </w:t>
      </w:r>
      <w:r w:rsidR="00AB427E" w:rsidRPr="00843662">
        <w:rPr>
          <w:rFonts w:ascii="Book Antiqua" w:hAnsi="Book Antiqua" w:cs="Times New Roman"/>
          <w:sz w:val="24"/>
          <w:szCs w:val="24"/>
        </w:rPr>
        <w:t>LD</w:t>
      </w:r>
      <w:r w:rsidR="00B02709" w:rsidRPr="00843662">
        <w:rPr>
          <w:rFonts w:ascii="Book Antiqua" w:hAnsi="Book Antiqua" w:cs="Times New Roman"/>
          <w:sz w:val="24"/>
          <w:szCs w:val="24"/>
        </w:rPr>
        <w:t xml:space="preserve"> and/or</w:t>
      </w:r>
      <w:r w:rsidR="00DE0A87" w:rsidRPr="00843662">
        <w:rPr>
          <w:rFonts w:ascii="Book Antiqua" w:hAnsi="Book Antiqua" w:cs="Times New Roman"/>
          <w:sz w:val="24"/>
          <w:szCs w:val="24"/>
        </w:rPr>
        <w:t xml:space="preserve"> </w:t>
      </w:r>
      <w:r w:rsidR="00AB427E" w:rsidRPr="00843662">
        <w:rPr>
          <w:rFonts w:ascii="Book Antiqua" w:hAnsi="Book Antiqua" w:cs="Times New Roman"/>
          <w:sz w:val="24"/>
          <w:szCs w:val="24"/>
        </w:rPr>
        <w:t>HCC</w:t>
      </w:r>
      <w:r w:rsidR="00B02709" w:rsidRPr="00843662">
        <w:rPr>
          <w:rFonts w:ascii="Book Antiqua" w:hAnsi="Book Antiqua" w:cs="Times New Roman"/>
          <w:sz w:val="24"/>
          <w:szCs w:val="24"/>
        </w:rPr>
        <w:t xml:space="preserve"> (</w:t>
      </w:r>
      <w:r w:rsidR="001C0B9D" w:rsidRPr="00843662">
        <w:rPr>
          <w:rFonts w:ascii="Book Antiqua" w:hAnsi="Book Antiqua" w:cs="Times New Roman"/>
          <w:sz w:val="24"/>
          <w:szCs w:val="24"/>
        </w:rPr>
        <w:t xml:space="preserve">Table </w:t>
      </w:r>
      <w:r w:rsidR="000D5C7D" w:rsidRPr="00843662">
        <w:rPr>
          <w:rFonts w:ascii="Book Antiqua" w:hAnsi="Book Antiqua" w:cs="Times New Roman"/>
          <w:sz w:val="24"/>
          <w:szCs w:val="24"/>
        </w:rPr>
        <w:t>1</w:t>
      </w:r>
      <w:r w:rsidR="00B02709" w:rsidRPr="00843662">
        <w:rPr>
          <w:rFonts w:ascii="Book Antiqua" w:hAnsi="Book Antiqua" w:cs="Times New Roman"/>
          <w:sz w:val="24"/>
          <w:szCs w:val="24"/>
        </w:rPr>
        <w:t>)</w:t>
      </w:r>
      <w:r w:rsidR="00DE0A87" w:rsidRPr="00843662">
        <w:rPr>
          <w:rFonts w:ascii="Book Antiqua" w:hAnsi="Book Antiqua" w:cs="Times New Roman"/>
          <w:sz w:val="24"/>
          <w:szCs w:val="24"/>
        </w:rPr>
        <w:t>.</w:t>
      </w:r>
      <w:r w:rsidR="00210DF4" w:rsidRPr="00843662">
        <w:rPr>
          <w:rFonts w:ascii="Book Antiqua" w:hAnsi="Book Antiqua" w:cs="Times New Roman"/>
          <w:sz w:val="24"/>
          <w:szCs w:val="24"/>
        </w:rPr>
        <w:t xml:space="preserve"> The mean age of t</w:t>
      </w:r>
      <w:r w:rsidR="003E75C8" w:rsidRPr="00843662">
        <w:rPr>
          <w:rFonts w:ascii="Book Antiqua" w:hAnsi="Book Antiqua" w:cs="Times New Roman"/>
          <w:sz w:val="24"/>
          <w:szCs w:val="24"/>
        </w:rPr>
        <w:t>he cohort was 53.6</w:t>
      </w:r>
      <w:r w:rsidR="00B434C6" w:rsidRPr="00843662">
        <w:rPr>
          <w:rFonts w:ascii="Book Antiqua" w:hAnsi="Book Antiqua" w:cs="Times New Roman"/>
          <w:sz w:val="24"/>
          <w:szCs w:val="24"/>
        </w:rPr>
        <w:t xml:space="preserve"> years</w:t>
      </w:r>
      <w:r w:rsidR="00AB427E" w:rsidRPr="00843662">
        <w:rPr>
          <w:rFonts w:ascii="Book Antiqua" w:hAnsi="Book Antiqua" w:cs="Times New Roman"/>
          <w:sz w:val="24"/>
          <w:szCs w:val="24"/>
        </w:rPr>
        <w:t xml:space="preserve"> and 220 (63.6</w:t>
      </w:r>
      <w:r w:rsidR="00210DF4" w:rsidRPr="00843662">
        <w:rPr>
          <w:rFonts w:ascii="Book Antiqua" w:hAnsi="Book Antiqua" w:cs="Times New Roman"/>
          <w:sz w:val="24"/>
          <w:szCs w:val="24"/>
        </w:rPr>
        <w:t>%) were male.</w:t>
      </w:r>
      <w:r w:rsidR="006049AB" w:rsidRPr="00843662">
        <w:rPr>
          <w:rFonts w:ascii="Book Antiqua" w:hAnsi="Book Antiqua" w:cs="Times New Roman"/>
          <w:sz w:val="24"/>
          <w:szCs w:val="24"/>
        </w:rPr>
        <w:t xml:space="preserve"> Of the</w:t>
      </w:r>
      <w:r w:rsidR="00B434C6" w:rsidRPr="00843662">
        <w:rPr>
          <w:rFonts w:ascii="Book Antiqua" w:hAnsi="Book Antiqua" w:cs="Times New Roman"/>
          <w:sz w:val="24"/>
          <w:szCs w:val="24"/>
        </w:rPr>
        <w:t xml:space="preserve"> total cohort</w:t>
      </w:r>
      <w:r w:rsidR="006049AB" w:rsidRPr="00843662">
        <w:rPr>
          <w:rFonts w:ascii="Book Antiqua" w:hAnsi="Book Antiqua" w:cs="Times New Roman"/>
          <w:sz w:val="24"/>
          <w:szCs w:val="24"/>
        </w:rPr>
        <w:t xml:space="preserve">, </w:t>
      </w:r>
      <w:r w:rsidR="000B7490" w:rsidRPr="00843662">
        <w:rPr>
          <w:rFonts w:ascii="Book Antiqua" w:hAnsi="Book Antiqua" w:cs="Times New Roman"/>
          <w:sz w:val="24"/>
          <w:szCs w:val="24"/>
        </w:rPr>
        <w:t xml:space="preserve">8 (2.3%) had </w:t>
      </w:r>
      <w:r w:rsidR="00FD08F0" w:rsidRPr="00843662">
        <w:rPr>
          <w:rFonts w:ascii="Book Antiqua" w:hAnsi="Book Antiqua" w:cs="Times New Roman"/>
          <w:sz w:val="24"/>
          <w:szCs w:val="24"/>
        </w:rPr>
        <w:t xml:space="preserve">a </w:t>
      </w:r>
      <w:r w:rsidR="000B7490" w:rsidRPr="00843662">
        <w:rPr>
          <w:rFonts w:ascii="Book Antiqua" w:hAnsi="Book Antiqua" w:cs="Times New Roman"/>
          <w:sz w:val="24"/>
          <w:szCs w:val="24"/>
        </w:rPr>
        <w:t xml:space="preserve">LRD, 15 (4.6%) developed </w:t>
      </w:r>
      <w:r w:rsidR="00AB427E" w:rsidRPr="00843662">
        <w:rPr>
          <w:rFonts w:ascii="Book Antiqua" w:hAnsi="Book Antiqua" w:cs="Times New Roman"/>
          <w:sz w:val="24"/>
          <w:szCs w:val="24"/>
        </w:rPr>
        <w:t>LD</w:t>
      </w:r>
      <w:r w:rsidR="000B7490" w:rsidRPr="00843662">
        <w:rPr>
          <w:rFonts w:ascii="Book Antiqua" w:hAnsi="Book Antiqua" w:cs="Times New Roman"/>
          <w:sz w:val="24"/>
          <w:szCs w:val="24"/>
        </w:rPr>
        <w:t xml:space="preserve"> and 16 (4.3%) developed </w:t>
      </w:r>
      <w:r w:rsidR="00AB427E" w:rsidRPr="00843662">
        <w:rPr>
          <w:rFonts w:ascii="Book Antiqua" w:hAnsi="Book Antiqua" w:cs="Times New Roman"/>
          <w:sz w:val="24"/>
          <w:szCs w:val="24"/>
        </w:rPr>
        <w:t>HCC</w:t>
      </w:r>
      <w:r w:rsidR="000B7490" w:rsidRPr="00843662">
        <w:rPr>
          <w:rFonts w:ascii="Book Antiqua" w:hAnsi="Book Antiqua" w:cs="Times New Roman"/>
          <w:sz w:val="24"/>
          <w:szCs w:val="24"/>
        </w:rPr>
        <w:t xml:space="preserve">. </w:t>
      </w:r>
      <w:r w:rsidR="00F82619" w:rsidRPr="00843662">
        <w:rPr>
          <w:rFonts w:ascii="Book Antiqua" w:hAnsi="Book Antiqua" w:cs="Times New Roman"/>
          <w:sz w:val="24"/>
          <w:szCs w:val="24"/>
        </w:rPr>
        <w:t xml:space="preserve">The mean </w:t>
      </w:r>
      <w:r w:rsidR="00056DD7" w:rsidRPr="00843662">
        <w:rPr>
          <w:rFonts w:ascii="Book Antiqua" w:hAnsi="Book Antiqua" w:cs="Times New Roman"/>
          <w:sz w:val="24"/>
          <w:szCs w:val="24"/>
        </w:rPr>
        <w:t>baseline</w:t>
      </w:r>
      <w:r w:rsidR="00F82619" w:rsidRPr="00843662">
        <w:rPr>
          <w:rFonts w:ascii="Book Antiqua" w:hAnsi="Book Antiqua" w:cs="Times New Roman"/>
          <w:sz w:val="24"/>
          <w:szCs w:val="24"/>
        </w:rPr>
        <w:t xml:space="preserve"> and second </w:t>
      </w:r>
      <w:proofErr w:type="spellStart"/>
      <w:r w:rsidR="00F82619" w:rsidRPr="00843662">
        <w:rPr>
          <w:rFonts w:ascii="Book Antiqua" w:hAnsi="Book Antiqua" w:cs="Times New Roman"/>
          <w:sz w:val="24"/>
          <w:szCs w:val="24"/>
        </w:rPr>
        <w:t>Hepascore</w:t>
      </w:r>
      <w:proofErr w:type="spellEnd"/>
      <w:r w:rsidR="00F82619" w:rsidRPr="00843662">
        <w:rPr>
          <w:rFonts w:ascii="Book Antiqua" w:hAnsi="Book Antiqua" w:cs="Times New Roman"/>
          <w:sz w:val="24"/>
          <w:szCs w:val="24"/>
        </w:rPr>
        <w:t xml:space="preserve"> values were 0.48</w:t>
      </w:r>
      <w:r w:rsidR="00BE1171" w:rsidRPr="00843662">
        <w:rPr>
          <w:rFonts w:ascii="Book Antiqua" w:hAnsi="Book Antiqua" w:cs="Times New Roman"/>
          <w:sz w:val="24"/>
          <w:szCs w:val="24"/>
        </w:rPr>
        <w:t xml:space="preserve"> (SD </w:t>
      </w:r>
      <w:r w:rsidR="00783FBA" w:rsidRPr="00843662">
        <w:rPr>
          <w:rFonts w:ascii="Book Antiqua" w:hAnsi="Book Antiqua" w:cs="Times New Roman"/>
          <w:sz w:val="24"/>
          <w:szCs w:val="24"/>
        </w:rPr>
        <w:t>±</w:t>
      </w:r>
      <w:r w:rsidR="009276F8">
        <w:rPr>
          <w:rFonts w:ascii="Book Antiqua" w:hAnsi="Book Antiqua" w:cs="Times New Roman" w:hint="eastAsia"/>
          <w:sz w:val="24"/>
          <w:szCs w:val="24"/>
        </w:rPr>
        <w:t xml:space="preserve"> </w:t>
      </w:r>
      <w:r w:rsidR="00BE1171" w:rsidRPr="00843662">
        <w:rPr>
          <w:rFonts w:ascii="Book Antiqua" w:hAnsi="Book Antiqua" w:cs="Times New Roman"/>
          <w:sz w:val="24"/>
          <w:szCs w:val="24"/>
        </w:rPr>
        <w:t>0.34)</w:t>
      </w:r>
      <w:r w:rsidR="00F82619" w:rsidRPr="00843662">
        <w:rPr>
          <w:rFonts w:ascii="Book Antiqua" w:hAnsi="Book Antiqua" w:cs="Times New Roman"/>
          <w:sz w:val="24"/>
          <w:szCs w:val="24"/>
        </w:rPr>
        <w:t xml:space="preserve"> and 0.57 </w:t>
      </w:r>
      <w:r w:rsidR="00BE1171" w:rsidRPr="00843662">
        <w:rPr>
          <w:rFonts w:ascii="Book Antiqua" w:hAnsi="Book Antiqua" w:cs="Times New Roman"/>
          <w:sz w:val="24"/>
          <w:szCs w:val="24"/>
        </w:rPr>
        <w:t xml:space="preserve">(SD </w:t>
      </w:r>
      <w:r w:rsidR="00783FBA" w:rsidRPr="00843662">
        <w:rPr>
          <w:rFonts w:ascii="Book Antiqua" w:hAnsi="Book Antiqua" w:cs="Times New Roman"/>
          <w:sz w:val="24"/>
          <w:szCs w:val="24"/>
        </w:rPr>
        <w:t>±</w:t>
      </w:r>
      <w:r w:rsidR="009276F8">
        <w:rPr>
          <w:rFonts w:ascii="Book Antiqua" w:hAnsi="Book Antiqua" w:cs="Times New Roman" w:hint="eastAsia"/>
          <w:sz w:val="24"/>
          <w:szCs w:val="24"/>
        </w:rPr>
        <w:t xml:space="preserve"> </w:t>
      </w:r>
      <w:r w:rsidR="00BE1171" w:rsidRPr="00843662">
        <w:rPr>
          <w:rFonts w:ascii="Book Antiqua" w:hAnsi="Book Antiqua" w:cs="Times New Roman"/>
          <w:sz w:val="24"/>
          <w:szCs w:val="24"/>
        </w:rPr>
        <w:t xml:space="preserve">0.34) </w:t>
      </w:r>
      <w:r w:rsidR="00F82619" w:rsidRPr="00843662">
        <w:rPr>
          <w:rFonts w:ascii="Book Antiqua" w:hAnsi="Book Antiqua" w:cs="Times New Roman"/>
          <w:sz w:val="24"/>
          <w:szCs w:val="24"/>
        </w:rPr>
        <w:t xml:space="preserve">respectively and the mean delta </w:t>
      </w:r>
      <w:proofErr w:type="spellStart"/>
      <w:r w:rsidR="00F82619" w:rsidRPr="00843662">
        <w:rPr>
          <w:rFonts w:ascii="Book Antiqua" w:hAnsi="Book Antiqua" w:cs="Times New Roman"/>
          <w:sz w:val="24"/>
          <w:szCs w:val="24"/>
        </w:rPr>
        <w:t>Hepascore</w:t>
      </w:r>
      <w:proofErr w:type="spellEnd"/>
      <w:r w:rsidR="00F82619" w:rsidRPr="00843662">
        <w:rPr>
          <w:rFonts w:ascii="Book Antiqua" w:hAnsi="Book Antiqua" w:cs="Times New Roman"/>
          <w:sz w:val="24"/>
          <w:szCs w:val="24"/>
        </w:rPr>
        <w:t xml:space="preserve"> was 0.09</w:t>
      </w:r>
      <w:r w:rsidR="00F13E0C" w:rsidRPr="00843662">
        <w:rPr>
          <w:rFonts w:ascii="Book Antiqua" w:hAnsi="Book Antiqua" w:cs="Times New Roman"/>
          <w:sz w:val="24"/>
          <w:szCs w:val="24"/>
        </w:rPr>
        <w:t xml:space="preserve"> (SD ±</w:t>
      </w:r>
      <w:r w:rsidR="009276F8">
        <w:rPr>
          <w:rFonts w:ascii="Book Antiqua" w:hAnsi="Book Antiqua" w:cs="Times New Roman" w:hint="eastAsia"/>
          <w:sz w:val="24"/>
          <w:szCs w:val="24"/>
        </w:rPr>
        <w:t xml:space="preserve"> </w:t>
      </w:r>
      <w:r w:rsidR="00F13E0C" w:rsidRPr="00843662">
        <w:rPr>
          <w:rFonts w:ascii="Book Antiqua" w:hAnsi="Book Antiqua" w:cs="Times New Roman"/>
          <w:sz w:val="24"/>
          <w:szCs w:val="24"/>
        </w:rPr>
        <w:t>0.23)</w:t>
      </w:r>
      <w:r w:rsidR="00F82619" w:rsidRPr="00843662">
        <w:rPr>
          <w:rFonts w:ascii="Book Antiqua" w:hAnsi="Book Antiqua" w:cs="Times New Roman"/>
          <w:sz w:val="24"/>
          <w:szCs w:val="24"/>
        </w:rPr>
        <w:t xml:space="preserve">. </w:t>
      </w:r>
      <w:r w:rsidR="006049AB" w:rsidRPr="00843662">
        <w:rPr>
          <w:rFonts w:ascii="Book Antiqua" w:hAnsi="Book Antiqua" w:cs="Times New Roman"/>
          <w:sz w:val="24"/>
          <w:szCs w:val="24"/>
        </w:rPr>
        <w:t xml:space="preserve">The time between </w:t>
      </w:r>
      <w:proofErr w:type="spellStart"/>
      <w:r w:rsidR="006049AB" w:rsidRPr="00843662">
        <w:rPr>
          <w:rFonts w:ascii="Book Antiqua" w:hAnsi="Book Antiqua" w:cs="Times New Roman"/>
          <w:sz w:val="24"/>
          <w:szCs w:val="24"/>
        </w:rPr>
        <w:t>Hepascore</w:t>
      </w:r>
      <w:proofErr w:type="spellEnd"/>
      <w:r w:rsidR="006049AB" w:rsidRPr="00843662">
        <w:rPr>
          <w:rFonts w:ascii="Book Antiqua" w:hAnsi="Book Antiqua" w:cs="Times New Roman"/>
          <w:sz w:val="24"/>
          <w:szCs w:val="24"/>
        </w:rPr>
        <w:t xml:space="preserve"> tests </w:t>
      </w:r>
      <w:r w:rsidR="00885452" w:rsidRPr="00843662">
        <w:rPr>
          <w:rFonts w:ascii="Book Antiqua" w:hAnsi="Book Antiqua" w:cs="Times New Roman"/>
          <w:sz w:val="24"/>
          <w:szCs w:val="24"/>
        </w:rPr>
        <w:t xml:space="preserve">ranged from 0.03 and 12.5 years, with a mean of </w:t>
      </w:r>
      <w:r w:rsidR="006049AB" w:rsidRPr="00843662">
        <w:rPr>
          <w:rFonts w:ascii="Book Antiqua" w:hAnsi="Book Antiqua" w:cs="Times New Roman"/>
          <w:sz w:val="24"/>
          <w:szCs w:val="24"/>
        </w:rPr>
        <w:t xml:space="preserve">3.3 </w:t>
      </w:r>
      <w:r w:rsidR="00B03406" w:rsidRPr="00843662">
        <w:rPr>
          <w:rFonts w:ascii="Book Antiqua" w:hAnsi="Book Antiqua" w:cs="Times New Roman"/>
          <w:sz w:val="24"/>
          <w:szCs w:val="24"/>
        </w:rPr>
        <w:t xml:space="preserve">and the mean follow up time after the second </w:t>
      </w:r>
      <w:proofErr w:type="spellStart"/>
      <w:r w:rsidR="00B03406" w:rsidRPr="00843662">
        <w:rPr>
          <w:rFonts w:ascii="Book Antiqua" w:hAnsi="Book Antiqua" w:cs="Times New Roman"/>
          <w:sz w:val="24"/>
          <w:szCs w:val="24"/>
        </w:rPr>
        <w:t>Hepascore</w:t>
      </w:r>
      <w:proofErr w:type="spellEnd"/>
      <w:r w:rsidR="00B03406" w:rsidRPr="00843662">
        <w:rPr>
          <w:rFonts w:ascii="Book Antiqua" w:hAnsi="Book Antiqua" w:cs="Times New Roman"/>
          <w:sz w:val="24"/>
          <w:szCs w:val="24"/>
        </w:rPr>
        <w:t xml:space="preserve"> was </w:t>
      </w:r>
      <w:r w:rsidR="0072157F" w:rsidRPr="00843662">
        <w:rPr>
          <w:rFonts w:ascii="Book Antiqua" w:hAnsi="Book Antiqua" w:cs="Times New Roman"/>
          <w:sz w:val="24"/>
          <w:szCs w:val="24"/>
        </w:rPr>
        <w:t>2.4</w:t>
      </w:r>
      <w:r w:rsidR="002C28D3" w:rsidRPr="00843662">
        <w:rPr>
          <w:rFonts w:ascii="Book Antiqua" w:hAnsi="Book Antiqua" w:cs="Times New Roman"/>
          <w:sz w:val="24"/>
          <w:szCs w:val="24"/>
        </w:rPr>
        <w:t xml:space="preserve"> </w:t>
      </w:r>
      <w:r w:rsidR="0072157F" w:rsidRPr="00843662">
        <w:rPr>
          <w:rFonts w:ascii="Book Antiqua" w:hAnsi="Book Antiqua" w:cs="Times New Roman"/>
          <w:sz w:val="24"/>
          <w:szCs w:val="24"/>
        </w:rPr>
        <w:t>years</w:t>
      </w:r>
      <w:r w:rsidR="002C28D3" w:rsidRPr="00843662">
        <w:rPr>
          <w:rFonts w:ascii="Book Antiqua" w:hAnsi="Book Antiqua" w:cs="Times New Roman"/>
          <w:sz w:val="24"/>
          <w:szCs w:val="24"/>
        </w:rPr>
        <w:t>.</w:t>
      </w:r>
      <w:r w:rsidR="000B7490" w:rsidRPr="00843662">
        <w:rPr>
          <w:rFonts w:ascii="Book Antiqua" w:hAnsi="Book Antiqua" w:cs="Times New Roman"/>
          <w:sz w:val="24"/>
          <w:szCs w:val="24"/>
        </w:rPr>
        <w:t xml:space="preserve"> </w:t>
      </w:r>
      <w:r w:rsidR="00D33E73" w:rsidRPr="00843662">
        <w:rPr>
          <w:rFonts w:ascii="Book Antiqua" w:hAnsi="Book Antiqua" w:cs="Times New Roman"/>
          <w:sz w:val="24"/>
          <w:szCs w:val="24"/>
        </w:rPr>
        <w:t>M</w:t>
      </w:r>
      <w:r w:rsidR="008C1BE2" w:rsidRPr="00843662">
        <w:rPr>
          <w:rFonts w:ascii="Book Antiqua" w:hAnsi="Book Antiqua" w:cs="Times New Roman"/>
          <w:sz w:val="24"/>
          <w:szCs w:val="24"/>
        </w:rPr>
        <w:t xml:space="preserve">ultivariate cox regression showed that </w:t>
      </w:r>
      <w:r w:rsidR="006D1D39" w:rsidRPr="00843662">
        <w:rPr>
          <w:rFonts w:ascii="Book Antiqua" w:hAnsi="Book Antiqua" w:cs="Times New Roman"/>
          <w:sz w:val="24"/>
          <w:szCs w:val="24"/>
        </w:rPr>
        <w:t>baseline</w:t>
      </w:r>
      <w:r w:rsidR="008C1BE2" w:rsidRPr="00843662">
        <w:rPr>
          <w:rFonts w:ascii="Book Antiqua" w:hAnsi="Book Antiqua" w:cs="Times New Roman"/>
          <w:sz w:val="24"/>
          <w:szCs w:val="24"/>
        </w:rPr>
        <w:t xml:space="preserve"> </w:t>
      </w:r>
      <w:proofErr w:type="spellStart"/>
      <w:r w:rsidR="008C1BE2" w:rsidRPr="00843662">
        <w:rPr>
          <w:rFonts w:ascii="Book Antiqua" w:hAnsi="Book Antiqua" w:cs="Times New Roman"/>
          <w:sz w:val="24"/>
          <w:szCs w:val="24"/>
        </w:rPr>
        <w:t>Hepascore</w:t>
      </w:r>
      <w:proofErr w:type="spellEnd"/>
      <w:r w:rsidR="008C1BE2" w:rsidRPr="00843662">
        <w:rPr>
          <w:rFonts w:ascii="Book Antiqua" w:hAnsi="Book Antiqua" w:cs="Times New Roman"/>
          <w:sz w:val="24"/>
          <w:szCs w:val="24"/>
        </w:rPr>
        <w:t xml:space="preserve"> and delta </w:t>
      </w:r>
      <w:proofErr w:type="spellStart"/>
      <w:r w:rsidR="008C1BE2" w:rsidRPr="00843662">
        <w:rPr>
          <w:rFonts w:ascii="Book Antiqua" w:hAnsi="Book Antiqua" w:cs="Times New Roman"/>
          <w:sz w:val="24"/>
          <w:szCs w:val="24"/>
        </w:rPr>
        <w:t>Hepascore</w:t>
      </w:r>
      <w:proofErr w:type="spellEnd"/>
      <w:r w:rsidR="008C1BE2" w:rsidRPr="00843662">
        <w:rPr>
          <w:rFonts w:ascii="Book Antiqua" w:hAnsi="Book Antiqua" w:cs="Times New Roman"/>
          <w:sz w:val="24"/>
          <w:szCs w:val="24"/>
        </w:rPr>
        <w:t xml:space="preserve"> were independently predictive of</w:t>
      </w:r>
      <w:r w:rsidR="00442803" w:rsidRPr="00843662">
        <w:rPr>
          <w:rFonts w:ascii="Book Antiqua" w:hAnsi="Book Antiqua" w:cs="Times New Roman"/>
          <w:sz w:val="24"/>
          <w:szCs w:val="24"/>
        </w:rPr>
        <w:t xml:space="preserve"> reaching a</w:t>
      </w:r>
      <w:r w:rsidR="008C1BE2" w:rsidRPr="00843662">
        <w:rPr>
          <w:rFonts w:ascii="Book Antiqua" w:hAnsi="Book Antiqua" w:cs="Times New Roman"/>
          <w:sz w:val="24"/>
          <w:szCs w:val="24"/>
        </w:rPr>
        <w:t xml:space="preserve"> </w:t>
      </w:r>
      <w:r w:rsidR="00442803" w:rsidRPr="00843662">
        <w:rPr>
          <w:rFonts w:ascii="Book Antiqua" w:hAnsi="Book Antiqua" w:cs="Times New Roman"/>
          <w:sz w:val="24"/>
          <w:szCs w:val="24"/>
        </w:rPr>
        <w:t>composite clinical endpoint (LRD, HCC, or LD)</w:t>
      </w:r>
      <w:r w:rsidR="008C1BE2" w:rsidRPr="00843662">
        <w:rPr>
          <w:rFonts w:ascii="Book Antiqua" w:hAnsi="Book Antiqua" w:cs="Times New Roman"/>
          <w:sz w:val="24"/>
          <w:szCs w:val="24"/>
        </w:rPr>
        <w:t xml:space="preserve">, with </w:t>
      </w:r>
      <w:r w:rsidR="009276F8" w:rsidRPr="009276F8">
        <w:rPr>
          <w:rFonts w:ascii="Book Antiqua" w:hAnsi="Book Antiqua" w:cs="Times New Roman" w:hint="eastAsia"/>
          <w:i/>
          <w:sz w:val="24"/>
          <w:szCs w:val="24"/>
        </w:rPr>
        <w:t>P</w:t>
      </w:r>
      <w:r w:rsidR="008C1BE2" w:rsidRPr="00843662">
        <w:rPr>
          <w:rFonts w:ascii="Book Antiqua" w:hAnsi="Book Antiqua" w:cs="Times New Roman"/>
          <w:sz w:val="24"/>
          <w:szCs w:val="24"/>
        </w:rPr>
        <w:t xml:space="preserve"> values of 0.0</w:t>
      </w:r>
      <w:r w:rsidR="006D1D39" w:rsidRPr="00843662">
        <w:rPr>
          <w:rFonts w:ascii="Book Antiqua" w:hAnsi="Book Antiqua" w:cs="Times New Roman"/>
          <w:sz w:val="24"/>
          <w:szCs w:val="24"/>
        </w:rPr>
        <w:t>2</w:t>
      </w:r>
      <w:r w:rsidR="008C1BE2" w:rsidRPr="00843662">
        <w:rPr>
          <w:rFonts w:ascii="Book Antiqua" w:hAnsi="Book Antiqua" w:cs="Times New Roman"/>
          <w:sz w:val="24"/>
          <w:szCs w:val="24"/>
        </w:rPr>
        <w:t xml:space="preserve"> and 0.01</w:t>
      </w:r>
      <w:r w:rsidR="006D1D39" w:rsidRPr="00843662">
        <w:rPr>
          <w:rFonts w:ascii="Book Antiqua" w:hAnsi="Book Antiqua" w:cs="Times New Roman"/>
          <w:sz w:val="24"/>
          <w:szCs w:val="24"/>
        </w:rPr>
        <w:t>3</w:t>
      </w:r>
      <w:r w:rsidR="008C1BE2" w:rsidRPr="00843662">
        <w:rPr>
          <w:rFonts w:ascii="Book Antiqua" w:hAnsi="Book Antiqua" w:cs="Times New Roman"/>
          <w:sz w:val="24"/>
          <w:szCs w:val="24"/>
        </w:rPr>
        <w:t xml:space="preserve"> respectively</w:t>
      </w:r>
      <w:r w:rsidR="0055305C" w:rsidRPr="00843662">
        <w:rPr>
          <w:rFonts w:ascii="Book Antiqua" w:hAnsi="Book Antiqua" w:cs="Times New Roman"/>
          <w:sz w:val="24"/>
          <w:szCs w:val="24"/>
        </w:rPr>
        <w:t xml:space="preserve"> (Table 2)</w:t>
      </w:r>
      <w:r w:rsidR="008C1BE2" w:rsidRPr="00843662">
        <w:rPr>
          <w:rFonts w:ascii="Book Antiqua" w:hAnsi="Book Antiqua" w:cs="Times New Roman"/>
          <w:sz w:val="24"/>
          <w:szCs w:val="24"/>
        </w:rPr>
        <w:t>.</w:t>
      </w:r>
    </w:p>
    <w:p w14:paraId="745A7A18" w14:textId="3CE2BB47" w:rsidR="00C3397E" w:rsidRPr="00843662" w:rsidRDefault="006D1D39" w:rsidP="009276F8">
      <w:pPr>
        <w:spacing w:after="0" w:line="360" w:lineRule="auto"/>
        <w:ind w:firstLineChars="100" w:firstLine="240"/>
        <w:jc w:val="both"/>
        <w:rPr>
          <w:rFonts w:ascii="Book Antiqua" w:hAnsi="Book Antiqua" w:cs="Times New Roman"/>
          <w:sz w:val="24"/>
          <w:szCs w:val="24"/>
        </w:rPr>
      </w:pPr>
      <w:r w:rsidRPr="00843662">
        <w:rPr>
          <w:rFonts w:ascii="Book Antiqua" w:hAnsi="Book Antiqua" w:cs="Times New Roman"/>
          <w:sz w:val="24"/>
          <w:szCs w:val="24"/>
        </w:rPr>
        <w:t xml:space="preserve">Patients were grouped into 4 categories according to their </w:t>
      </w:r>
      <w:r w:rsidR="00056DD7" w:rsidRPr="00843662">
        <w:rPr>
          <w:rFonts w:ascii="Book Antiqua" w:hAnsi="Book Antiqua" w:cs="Times New Roman"/>
          <w:sz w:val="24"/>
          <w:szCs w:val="24"/>
        </w:rPr>
        <w:t>baseline</w:t>
      </w:r>
      <w:r w:rsidRPr="00843662">
        <w:rPr>
          <w:rFonts w:ascii="Book Antiqua" w:hAnsi="Book Antiqua" w:cs="Times New Roman"/>
          <w:sz w:val="24"/>
          <w:szCs w:val="24"/>
        </w:rPr>
        <w:t xml:space="preserve">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(0-0.25, 0.</w:t>
      </w:r>
      <w:r w:rsidR="00FD08F0" w:rsidRPr="00843662">
        <w:rPr>
          <w:rFonts w:ascii="Book Antiqua" w:hAnsi="Book Antiqua" w:cs="Times New Roman"/>
          <w:sz w:val="24"/>
          <w:szCs w:val="24"/>
        </w:rPr>
        <w:t xml:space="preserve">26-0.5, 0.51-0.75 and 0.76-1.0). </w:t>
      </w:r>
      <w:r w:rsidR="007D57FE" w:rsidRPr="00843662">
        <w:rPr>
          <w:rFonts w:ascii="Book Antiqua" w:hAnsi="Book Antiqua"/>
          <w:bCs/>
          <w:sz w:val="24"/>
          <w:szCs w:val="24"/>
        </w:rPr>
        <w:t xml:space="preserve">129 (37%) had a </w:t>
      </w:r>
      <w:proofErr w:type="spellStart"/>
      <w:r w:rsidR="007D57FE" w:rsidRPr="00843662">
        <w:rPr>
          <w:rFonts w:ascii="Book Antiqua" w:hAnsi="Book Antiqua"/>
          <w:bCs/>
          <w:sz w:val="24"/>
          <w:szCs w:val="24"/>
        </w:rPr>
        <w:t>Hepascore</w:t>
      </w:r>
      <w:proofErr w:type="spellEnd"/>
      <w:r w:rsidR="007D57FE" w:rsidRPr="00843662">
        <w:rPr>
          <w:rFonts w:ascii="Book Antiqua" w:hAnsi="Book Antiqua"/>
          <w:bCs/>
          <w:sz w:val="24"/>
          <w:szCs w:val="24"/>
        </w:rPr>
        <w:t xml:space="preserve"> ≤</w:t>
      </w:r>
      <w:r w:rsidR="009276F8">
        <w:rPr>
          <w:rFonts w:ascii="Book Antiqua" w:hAnsi="Book Antiqua" w:hint="eastAsia"/>
          <w:bCs/>
          <w:sz w:val="24"/>
          <w:szCs w:val="24"/>
        </w:rPr>
        <w:t xml:space="preserve"> </w:t>
      </w:r>
      <w:r w:rsidR="007D57FE" w:rsidRPr="00843662">
        <w:rPr>
          <w:rFonts w:ascii="Book Antiqua" w:hAnsi="Book Antiqua"/>
          <w:bCs/>
          <w:sz w:val="24"/>
          <w:szCs w:val="24"/>
        </w:rPr>
        <w:t xml:space="preserve">0.25, 73 (21%) had a </w:t>
      </w:r>
      <w:proofErr w:type="spellStart"/>
      <w:r w:rsidR="007D57FE" w:rsidRPr="00843662">
        <w:rPr>
          <w:rFonts w:ascii="Book Antiqua" w:hAnsi="Book Antiqua"/>
          <w:bCs/>
          <w:sz w:val="24"/>
          <w:szCs w:val="24"/>
        </w:rPr>
        <w:t>Hepascore</w:t>
      </w:r>
      <w:proofErr w:type="spellEnd"/>
      <w:r w:rsidR="007D57FE" w:rsidRPr="00843662">
        <w:rPr>
          <w:rFonts w:ascii="Book Antiqua" w:hAnsi="Book Antiqua"/>
          <w:bCs/>
          <w:sz w:val="24"/>
          <w:szCs w:val="24"/>
        </w:rPr>
        <w:t xml:space="preserve"> from 0.26 to 0.5, 43 (12%) had a </w:t>
      </w:r>
      <w:proofErr w:type="spellStart"/>
      <w:r w:rsidR="007D57FE" w:rsidRPr="00843662">
        <w:rPr>
          <w:rFonts w:ascii="Book Antiqua" w:hAnsi="Book Antiqua"/>
          <w:bCs/>
          <w:sz w:val="24"/>
          <w:szCs w:val="24"/>
        </w:rPr>
        <w:t>Hepascore</w:t>
      </w:r>
      <w:proofErr w:type="spellEnd"/>
      <w:r w:rsidR="007D57FE" w:rsidRPr="00843662">
        <w:rPr>
          <w:rFonts w:ascii="Book Antiqua" w:hAnsi="Book Antiqua"/>
          <w:bCs/>
          <w:sz w:val="24"/>
          <w:szCs w:val="24"/>
        </w:rPr>
        <w:t xml:space="preserve"> from 0.51 to 0.75 and 100 (29%) had a </w:t>
      </w:r>
      <w:proofErr w:type="spellStart"/>
      <w:r w:rsidR="007D57FE" w:rsidRPr="00843662">
        <w:rPr>
          <w:rFonts w:ascii="Book Antiqua" w:hAnsi="Book Antiqua"/>
          <w:bCs/>
          <w:sz w:val="24"/>
          <w:szCs w:val="24"/>
        </w:rPr>
        <w:t>Hepascore</w:t>
      </w:r>
      <w:proofErr w:type="spellEnd"/>
      <w:r w:rsidR="007D57FE" w:rsidRPr="00843662">
        <w:rPr>
          <w:rFonts w:ascii="Book Antiqua" w:hAnsi="Book Antiqua"/>
          <w:bCs/>
          <w:sz w:val="24"/>
          <w:szCs w:val="24"/>
        </w:rPr>
        <w:t xml:space="preserve"> &gt;</w:t>
      </w:r>
      <w:r w:rsidR="009276F8">
        <w:rPr>
          <w:rFonts w:ascii="Book Antiqua" w:hAnsi="Book Antiqua" w:hint="eastAsia"/>
          <w:bCs/>
          <w:sz w:val="24"/>
          <w:szCs w:val="24"/>
        </w:rPr>
        <w:t xml:space="preserve"> </w:t>
      </w:r>
      <w:r w:rsidR="007D57FE" w:rsidRPr="00843662">
        <w:rPr>
          <w:rFonts w:ascii="Book Antiqua" w:hAnsi="Book Antiqua"/>
          <w:bCs/>
          <w:sz w:val="24"/>
          <w:szCs w:val="24"/>
        </w:rPr>
        <w:t>0.75.</w:t>
      </w:r>
      <w:r w:rsidR="00843662" w:rsidRPr="00843662">
        <w:rPr>
          <w:rFonts w:ascii="Book Antiqua" w:hAnsi="Book Antiqua"/>
          <w:bCs/>
          <w:sz w:val="24"/>
          <w:szCs w:val="24"/>
        </w:rPr>
        <w:t xml:space="preserve"> </w:t>
      </w:r>
      <w:r w:rsidR="00282AB1" w:rsidRPr="00843662">
        <w:rPr>
          <w:rFonts w:ascii="Book Antiqua" w:hAnsi="Book Antiqua" w:cs="Times New Roman"/>
          <w:sz w:val="24"/>
          <w:szCs w:val="24"/>
        </w:rPr>
        <w:t xml:space="preserve">Kaplan-Meier survival curve </w:t>
      </w:r>
      <w:r w:rsidR="00C44244" w:rsidRPr="00843662">
        <w:rPr>
          <w:rFonts w:ascii="Book Antiqua" w:hAnsi="Book Antiqua" w:cs="Times New Roman"/>
          <w:sz w:val="24"/>
          <w:szCs w:val="24"/>
        </w:rPr>
        <w:t>analysis found that those</w:t>
      </w:r>
      <w:r w:rsidR="00915E6B" w:rsidRPr="00843662">
        <w:rPr>
          <w:rFonts w:ascii="Book Antiqua" w:hAnsi="Book Antiqua" w:cs="Times New Roman"/>
          <w:sz w:val="24"/>
          <w:szCs w:val="24"/>
        </w:rPr>
        <w:t xml:space="preserve"> </w:t>
      </w:r>
      <w:r w:rsidR="00C44244" w:rsidRPr="00843662">
        <w:rPr>
          <w:rFonts w:ascii="Book Antiqua" w:hAnsi="Book Antiqua" w:cs="Times New Roman"/>
          <w:sz w:val="24"/>
          <w:szCs w:val="24"/>
        </w:rPr>
        <w:t>p</w:t>
      </w:r>
      <w:r w:rsidR="00915E6B" w:rsidRPr="00843662">
        <w:rPr>
          <w:rFonts w:ascii="Book Antiqua" w:hAnsi="Book Antiqua" w:cs="Times New Roman"/>
          <w:sz w:val="24"/>
          <w:szCs w:val="24"/>
        </w:rPr>
        <w:t xml:space="preserve">atients </w:t>
      </w:r>
      <w:r w:rsidR="00DE4CC7" w:rsidRPr="00843662">
        <w:rPr>
          <w:rFonts w:ascii="Book Antiqua" w:hAnsi="Book Antiqua" w:cs="Times New Roman"/>
          <w:sz w:val="24"/>
          <w:szCs w:val="24"/>
        </w:rPr>
        <w:t>with a</w:t>
      </w:r>
      <w:r w:rsidR="00FD08F0" w:rsidRPr="00843662">
        <w:rPr>
          <w:rFonts w:ascii="Book Antiqua" w:hAnsi="Book Antiqua" w:cs="Times New Roman"/>
          <w:sz w:val="24"/>
          <w:szCs w:val="24"/>
        </w:rPr>
        <w:t xml:space="preserve"> </w:t>
      </w:r>
      <w:r w:rsidR="00282AB1" w:rsidRPr="00843662">
        <w:rPr>
          <w:rFonts w:ascii="Book Antiqua" w:hAnsi="Book Antiqua" w:cs="Times New Roman"/>
          <w:sz w:val="24"/>
          <w:szCs w:val="24"/>
        </w:rPr>
        <w:t>baseline</w:t>
      </w:r>
      <w:r w:rsidR="00915E6B" w:rsidRPr="00843662">
        <w:rPr>
          <w:rFonts w:ascii="Book Antiqua" w:hAnsi="Book Antiqua" w:cs="Times New Roman"/>
          <w:sz w:val="24"/>
          <w:szCs w:val="24"/>
        </w:rPr>
        <w:t xml:space="preserve"> </w:t>
      </w:r>
      <w:proofErr w:type="spellStart"/>
      <w:r w:rsidR="00915E6B" w:rsidRPr="00843662">
        <w:rPr>
          <w:rFonts w:ascii="Book Antiqua" w:hAnsi="Book Antiqua" w:cs="Times New Roman"/>
          <w:sz w:val="24"/>
          <w:szCs w:val="24"/>
        </w:rPr>
        <w:t>Hepascore</w:t>
      </w:r>
      <w:proofErr w:type="spellEnd"/>
      <w:r w:rsidR="00915E6B" w:rsidRPr="00843662">
        <w:rPr>
          <w:rFonts w:ascii="Book Antiqua" w:hAnsi="Book Antiqua" w:cs="Times New Roman"/>
          <w:sz w:val="24"/>
          <w:szCs w:val="24"/>
        </w:rPr>
        <w:t xml:space="preserve"> &gt;</w:t>
      </w:r>
      <w:r w:rsidR="009276F8">
        <w:rPr>
          <w:rFonts w:ascii="Book Antiqua" w:hAnsi="Book Antiqua" w:cs="Times New Roman" w:hint="eastAsia"/>
          <w:sz w:val="24"/>
          <w:szCs w:val="24"/>
        </w:rPr>
        <w:t xml:space="preserve"> </w:t>
      </w:r>
      <w:r w:rsidR="00915E6B" w:rsidRPr="00843662">
        <w:rPr>
          <w:rFonts w:ascii="Book Antiqua" w:hAnsi="Book Antiqua" w:cs="Times New Roman"/>
          <w:sz w:val="24"/>
          <w:szCs w:val="24"/>
        </w:rPr>
        <w:t>0.75 had a significant</w:t>
      </w:r>
      <w:r w:rsidR="00DE4CC7" w:rsidRPr="00843662">
        <w:rPr>
          <w:rFonts w:ascii="Book Antiqua" w:hAnsi="Book Antiqua" w:cs="Times New Roman"/>
          <w:sz w:val="24"/>
          <w:szCs w:val="24"/>
        </w:rPr>
        <w:t>ly</w:t>
      </w:r>
      <w:r w:rsidR="00915E6B" w:rsidRPr="00843662">
        <w:rPr>
          <w:rFonts w:ascii="Book Antiqua" w:hAnsi="Book Antiqua" w:cs="Times New Roman"/>
          <w:sz w:val="24"/>
          <w:szCs w:val="24"/>
        </w:rPr>
        <w:t xml:space="preserve"> increase</w:t>
      </w:r>
      <w:r w:rsidR="00DE4CC7" w:rsidRPr="00843662">
        <w:rPr>
          <w:rFonts w:ascii="Book Antiqua" w:hAnsi="Book Antiqua" w:cs="Times New Roman"/>
          <w:sz w:val="24"/>
          <w:szCs w:val="24"/>
        </w:rPr>
        <w:t>d rate of LRD</w:t>
      </w:r>
      <w:r w:rsidR="00F11195" w:rsidRPr="00843662">
        <w:rPr>
          <w:rFonts w:ascii="Book Antiqua" w:hAnsi="Book Antiqua" w:cs="Times New Roman"/>
          <w:sz w:val="24"/>
          <w:szCs w:val="24"/>
        </w:rPr>
        <w:t xml:space="preserve"> (</w:t>
      </w:r>
      <w:r w:rsidR="009276F8" w:rsidRPr="009276F8">
        <w:rPr>
          <w:rFonts w:ascii="Book Antiqua" w:hAnsi="Book Antiqua" w:cs="Times New Roman"/>
          <w:i/>
          <w:sz w:val="24"/>
          <w:szCs w:val="24"/>
        </w:rPr>
        <w:t>n</w:t>
      </w:r>
      <w:r w:rsidR="009276F8">
        <w:rPr>
          <w:rFonts w:ascii="Book Antiqua" w:hAnsi="Book Antiqua" w:cs="Times New Roman" w:hint="eastAsia"/>
          <w:sz w:val="24"/>
          <w:szCs w:val="24"/>
        </w:rPr>
        <w:t xml:space="preserve"> </w:t>
      </w:r>
      <w:r w:rsidR="009276F8" w:rsidRPr="00843662">
        <w:rPr>
          <w:rFonts w:ascii="Book Antiqua" w:hAnsi="Book Antiqua"/>
          <w:bCs/>
          <w:sz w:val="24"/>
          <w:szCs w:val="24"/>
        </w:rPr>
        <w:t>≤</w:t>
      </w:r>
      <w:r w:rsidR="009276F8">
        <w:rPr>
          <w:rFonts w:ascii="Book Antiqua" w:hAnsi="Book Antiqua" w:hint="eastAsia"/>
          <w:bCs/>
          <w:sz w:val="24"/>
          <w:szCs w:val="24"/>
        </w:rPr>
        <w:t xml:space="preserve"> </w:t>
      </w:r>
      <w:r w:rsidR="00BC75F8" w:rsidRPr="00843662">
        <w:rPr>
          <w:rFonts w:ascii="Book Antiqua" w:hAnsi="Book Antiqua" w:cs="Times New Roman"/>
          <w:sz w:val="24"/>
          <w:szCs w:val="24"/>
        </w:rPr>
        <w:t>0.001</w:t>
      </w:r>
      <w:r w:rsidR="00F11195" w:rsidRPr="00843662">
        <w:rPr>
          <w:rFonts w:ascii="Book Antiqua" w:hAnsi="Book Antiqua" w:cs="Times New Roman"/>
          <w:sz w:val="24"/>
          <w:szCs w:val="24"/>
        </w:rPr>
        <w:t>)</w:t>
      </w:r>
      <w:r w:rsidR="00DE4CC7" w:rsidRPr="00843662">
        <w:rPr>
          <w:rFonts w:ascii="Book Antiqua" w:hAnsi="Book Antiqua" w:cs="Times New Roman"/>
          <w:sz w:val="24"/>
          <w:szCs w:val="24"/>
        </w:rPr>
        <w:t>, HCC</w:t>
      </w:r>
      <w:r w:rsidR="00F11195" w:rsidRPr="00843662">
        <w:rPr>
          <w:rFonts w:ascii="Book Antiqua" w:hAnsi="Book Antiqua" w:cs="Times New Roman"/>
          <w:sz w:val="24"/>
          <w:szCs w:val="24"/>
        </w:rPr>
        <w:t xml:space="preserve"> (</w:t>
      </w:r>
      <w:r w:rsidR="009276F8" w:rsidRPr="009276F8">
        <w:rPr>
          <w:rFonts w:ascii="Book Antiqua" w:hAnsi="Book Antiqua" w:cs="Times New Roman"/>
          <w:i/>
          <w:sz w:val="24"/>
          <w:szCs w:val="24"/>
        </w:rPr>
        <w:t>n</w:t>
      </w:r>
      <w:r w:rsidR="009276F8">
        <w:rPr>
          <w:rFonts w:ascii="Book Antiqua" w:hAnsi="Book Antiqua" w:cs="Times New Roman" w:hint="eastAsia"/>
          <w:sz w:val="24"/>
          <w:szCs w:val="24"/>
        </w:rPr>
        <w:t xml:space="preserve"> </w:t>
      </w:r>
      <w:r w:rsidR="009276F8" w:rsidRPr="00843662">
        <w:rPr>
          <w:rFonts w:ascii="Book Antiqua" w:hAnsi="Book Antiqua"/>
          <w:bCs/>
          <w:sz w:val="24"/>
          <w:szCs w:val="24"/>
        </w:rPr>
        <w:t>≤</w:t>
      </w:r>
      <w:r w:rsidR="009276F8">
        <w:rPr>
          <w:rFonts w:ascii="Book Antiqua" w:hAnsi="Book Antiqua" w:hint="eastAsia"/>
          <w:bCs/>
          <w:sz w:val="24"/>
          <w:szCs w:val="24"/>
        </w:rPr>
        <w:t xml:space="preserve"> </w:t>
      </w:r>
      <w:r w:rsidR="00BC75F8" w:rsidRPr="00843662">
        <w:rPr>
          <w:rFonts w:ascii="Book Antiqua" w:hAnsi="Book Antiqua" w:cs="Times New Roman"/>
          <w:sz w:val="24"/>
          <w:szCs w:val="24"/>
        </w:rPr>
        <w:t>0.001</w:t>
      </w:r>
      <w:r w:rsidR="00F11195" w:rsidRPr="00843662">
        <w:rPr>
          <w:rFonts w:ascii="Book Antiqua" w:hAnsi="Book Antiqua" w:cs="Times New Roman"/>
          <w:sz w:val="24"/>
          <w:szCs w:val="24"/>
        </w:rPr>
        <w:t>)</w:t>
      </w:r>
      <w:r w:rsidR="00582D7D" w:rsidRPr="00843662">
        <w:rPr>
          <w:rFonts w:ascii="Book Antiqua" w:hAnsi="Book Antiqua" w:cs="Times New Roman"/>
          <w:sz w:val="24"/>
          <w:szCs w:val="24"/>
        </w:rPr>
        <w:t xml:space="preserve">, </w:t>
      </w:r>
      <w:r w:rsidR="00DE4CC7" w:rsidRPr="00843662">
        <w:rPr>
          <w:rFonts w:ascii="Book Antiqua" w:hAnsi="Book Antiqua" w:cs="Times New Roman"/>
          <w:sz w:val="24"/>
          <w:szCs w:val="24"/>
        </w:rPr>
        <w:t>LD</w:t>
      </w:r>
      <w:r w:rsidR="00915E6B" w:rsidRPr="00843662">
        <w:rPr>
          <w:rFonts w:ascii="Book Antiqua" w:hAnsi="Book Antiqua" w:cs="Times New Roman"/>
          <w:sz w:val="24"/>
          <w:szCs w:val="24"/>
        </w:rPr>
        <w:t xml:space="preserve"> </w:t>
      </w:r>
      <w:r w:rsidR="00F11195" w:rsidRPr="00843662">
        <w:rPr>
          <w:rFonts w:ascii="Book Antiqua" w:hAnsi="Book Antiqua" w:cs="Times New Roman"/>
          <w:sz w:val="24"/>
          <w:szCs w:val="24"/>
        </w:rPr>
        <w:t>(</w:t>
      </w:r>
      <w:r w:rsidR="009276F8" w:rsidRPr="009276F8">
        <w:rPr>
          <w:rFonts w:ascii="Book Antiqua" w:hAnsi="Book Antiqua" w:cs="Times New Roman"/>
          <w:i/>
          <w:sz w:val="24"/>
          <w:szCs w:val="24"/>
        </w:rPr>
        <w:t>n</w:t>
      </w:r>
      <w:r w:rsidR="009276F8">
        <w:rPr>
          <w:rFonts w:ascii="Book Antiqua" w:hAnsi="Book Antiqua" w:cs="Times New Roman" w:hint="eastAsia"/>
          <w:sz w:val="24"/>
          <w:szCs w:val="24"/>
        </w:rPr>
        <w:t xml:space="preserve"> </w:t>
      </w:r>
      <w:r w:rsidR="009276F8" w:rsidRPr="00843662">
        <w:rPr>
          <w:rFonts w:ascii="Book Antiqua" w:hAnsi="Book Antiqua"/>
          <w:bCs/>
          <w:sz w:val="24"/>
          <w:szCs w:val="24"/>
        </w:rPr>
        <w:t>≤</w:t>
      </w:r>
      <w:r w:rsidR="009276F8">
        <w:rPr>
          <w:rFonts w:ascii="Book Antiqua" w:hAnsi="Book Antiqua" w:hint="eastAsia"/>
          <w:bCs/>
          <w:sz w:val="24"/>
          <w:szCs w:val="24"/>
        </w:rPr>
        <w:t xml:space="preserve"> </w:t>
      </w:r>
      <w:r w:rsidR="00BC75F8" w:rsidRPr="00843662">
        <w:rPr>
          <w:rFonts w:ascii="Book Antiqua" w:hAnsi="Book Antiqua" w:cs="Times New Roman"/>
          <w:sz w:val="24"/>
          <w:szCs w:val="24"/>
        </w:rPr>
        <w:t>0.001</w:t>
      </w:r>
      <w:r w:rsidR="00F11195" w:rsidRPr="00843662">
        <w:rPr>
          <w:rFonts w:ascii="Book Antiqua" w:hAnsi="Book Antiqua" w:cs="Times New Roman"/>
          <w:sz w:val="24"/>
          <w:szCs w:val="24"/>
        </w:rPr>
        <w:t xml:space="preserve">) </w:t>
      </w:r>
      <w:r w:rsidR="00582D7D" w:rsidRPr="00843662">
        <w:rPr>
          <w:rFonts w:ascii="Book Antiqua" w:hAnsi="Book Antiqua" w:cs="Times New Roman"/>
          <w:sz w:val="24"/>
          <w:szCs w:val="24"/>
        </w:rPr>
        <w:t xml:space="preserve">and </w:t>
      </w:r>
      <w:r w:rsidR="00915E6B" w:rsidRPr="00843662">
        <w:rPr>
          <w:rFonts w:ascii="Book Antiqua" w:hAnsi="Book Antiqua" w:cs="Times New Roman"/>
          <w:sz w:val="24"/>
          <w:szCs w:val="24"/>
        </w:rPr>
        <w:t>compos</w:t>
      </w:r>
      <w:r w:rsidR="00AF671F" w:rsidRPr="00843662">
        <w:rPr>
          <w:rFonts w:ascii="Book Antiqua" w:hAnsi="Book Antiqua" w:cs="Times New Roman"/>
          <w:sz w:val="24"/>
          <w:szCs w:val="24"/>
        </w:rPr>
        <w:t>ite end</w:t>
      </w:r>
      <w:r w:rsidR="00BC75F8" w:rsidRPr="00843662">
        <w:rPr>
          <w:rFonts w:ascii="Book Antiqua" w:hAnsi="Book Antiqua" w:cs="Times New Roman"/>
          <w:sz w:val="24"/>
          <w:szCs w:val="24"/>
        </w:rPr>
        <w:t>point (</w:t>
      </w:r>
      <w:r w:rsidR="009276F8" w:rsidRPr="009276F8">
        <w:rPr>
          <w:rFonts w:ascii="Book Antiqua" w:hAnsi="Book Antiqua" w:cs="Times New Roman" w:hint="eastAsia"/>
          <w:i/>
          <w:sz w:val="24"/>
          <w:szCs w:val="24"/>
        </w:rPr>
        <w:t>P</w:t>
      </w:r>
      <w:r w:rsidR="009276F8">
        <w:rPr>
          <w:rFonts w:ascii="Book Antiqua" w:hAnsi="Book Antiqua" w:cs="Times New Roman" w:hint="eastAsia"/>
          <w:sz w:val="24"/>
          <w:szCs w:val="24"/>
        </w:rPr>
        <w:t xml:space="preserve"> </w:t>
      </w:r>
      <w:r w:rsidR="00915E6B" w:rsidRPr="00843662">
        <w:rPr>
          <w:rFonts w:ascii="Book Antiqua" w:hAnsi="Book Antiqua" w:cs="Times New Roman"/>
          <w:sz w:val="24"/>
          <w:szCs w:val="24"/>
        </w:rPr>
        <w:t>&lt;</w:t>
      </w:r>
      <w:r w:rsidR="009276F8">
        <w:rPr>
          <w:rFonts w:ascii="Book Antiqua" w:hAnsi="Book Antiqua" w:cs="Times New Roman" w:hint="eastAsia"/>
          <w:sz w:val="24"/>
          <w:szCs w:val="24"/>
        </w:rPr>
        <w:t xml:space="preserve"> </w:t>
      </w:r>
      <w:r w:rsidR="00915E6B" w:rsidRPr="00843662">
        <w:rPr>
          <w:rFonts w:ascii="Book Antiqua" w:hAnsi="Book Antiqua" w:cs="Times New Roman"/>
          <w:sz w:val="24"/>
          <w:szCs w:val="24"/>
        </w:rPr>
        <w:t>0.001)</w:t>
      </w:r>
      <w:r w:rsidR="00C44244" w:rsidRPr="00843662">
        <w:rPr>
          <w:rFonts w:ascii="Book Antiqua" w:hAnsi="Book Antiqua" w:cs="Times New Roman"/>
          <w:sz w:val="24"/>
          <w:szCs w:val="24"/>
        </w:rPr>
        <w:t xml:space="preserve"> (</w:t>
      </w:r>
      <w:r w:rsidR="0055305C" w:rsidRPr="00843662">
        <w:rPr>
          <w:rFonts w:ascii="Book Antiqua" w:hAnsi="Book Antiqua" w:cs="Times New Roman"/>
          <w:sz w:val="24"/>
          <w:szCs w:val="24"/>
        </w:rPr>
        <w:t>Table 3, F</w:t>
      </w:r>
      <w:r w:rsidR="00C44244" w:rsidRPr="00843662">
        <w:rPr>
          <w:rFonts w:ascii="Book Antiqua" w:hAnsi="Book Antiqua" w:cs="Times New Roman"/>
          <w:sz w:val="24"/>
          <w:szCs w:val="24"/>
        </w:rPr>
        <w:t>igure 1)</w:t>
      </w:r>
      <w:r w:rsidR="00915E6B" w:rsidRPr="00843662">
        <w:rPr>
          <w:rFonts w:ascii="Book Antiqua" w:hAnsi="Book Antiqua" w:cs="Times New Roman"/>
          <w:sz w:val="24"/>
          <w:szCs w:val="24"/>
        </w:rPr>
        <w:t>.</w:t>
      </w:r>
      <w:r w:rsidR="002A1C3F" w:rsidRPr="00843662">
        <w:rPr>
          <w:rFonts w:ascii="Book Antiqua" w:hAnsi="Book Antiqua" w:cs="Times New Roman"/>
          <w:sz w:val="24"/>
          <w:szCs w:val="24"/>
        </w:rPr>
        <w:t xml:space="preserve"> </w:t>
      </w:r>
      <w:r w:rsidR="00C44244" w:rsidRPr="00843662">
        <w:rPr>
          <w:rFonts w:ascii="Book Antiqua" w:hAnsi="Book Antiqua" w:cs="Times New Roman"/>
          <w:sz w:val="24"/>
          <w:szCs w:val="24"/>
        </w:rPr>
        <w:t>H</w:t>
      </w:r>
      <w:r w:rsidR="001117E4" w:rsidRPr="00843662">
        <w:rPr>
          <w:rFonts w:ascii="Book Antiqua" w:hAnsi="Book Antiqua" w:cs="Times New Roman"/>
          <w:sz w:val="24"/>
          <w:szCs w:val="24"/>
        </w:rPr>
        <w:t>azard ratio</w:t>
      </w:r>
      <w:r w:rsidR="00BC0E6F" w:rsidRPr="00843662">
        <w:rPr>
          <w:rFonts w:ascii="Book Antiqua" w:hAnsi="Book Antiqua" w:cs="Times New Roman"/>
          <w:sz w:val="24"/>
          <w:szCs w:val="24"/>
        </w:rPr>
        <w:t>s</w:t>
      </w:r>
      <w:r w:rsidR="001117E4" w:rsidRPr="00843662">
        <w:rPr>
          <w:rFonts w:ascii="Book Antiqua" w:hAnsi="Book Antiqua" w:cs="Times New Roman"/>
          <w:sz w:val="24"/>
          <w:szCs w:val="24"/>
        </w:rPr>
        <w:t xml:space="preserve"> could not be calculated because </w:t>
      </w:r>
      <w:r w:rsidR="00BC0E6F" w:rsidRPr="00843662">
        <w:rPr>
          <w:rFonts w:ascii="Book Antiqua" w:hAnsi="Book Antiqua" w:cs="Times New Roman"/>
          <w:sz w:val="24"/>
          <w:szCs w:val="24"/>
        </w:rPr>
        <w:t xml:space="preserve">of </w:t>
      </w:r>
      <w:r w:rsidR="00C44244" w:rsidRPr="00843662">
        <w:rPr>
          <w:rFonts w:ascii="Book Antiqua" w:hAnsi="Book Antiqua" w:cs="Times New Roman"/>
          <w:sz w:val="24"/>
          <w:szCs w:val="24"/>
        </w:rPr>
        <w:t>the lack of adverse liver related outcomes in the other three</w:t>
      </w:r>
      <w:r w:rsidR="00236853" w:rsidRPr="00843662">
        <w:rPr>
          <w:rFonts w:ascii="Book Antiqua" w:hAnsi="Book Antiqua" w:cs="Times New Roman"/>
          <w:sz w:val="24"/>
          <w:szCs w:val="24"/>
        </w:rPr>
        <w:t xml:space="preserve"> </w:t>
      </w:r>
      <w:r w:rsidR="00EC24A5" w:rsidRPr="00843662">
        <w:rPr>
          <w:rFonts w:ascii="Book Antiqua" w:hAnsi="Book Antiqua" w:cs="Times New Roman"/>
          <w:sz w:val="24"/>
          <w:szCs w:val="24"/>
        </w:rPr>
        <w:t xml:space="preserve">lower value </w:t>
      </w:r>
      <w:proofErr w:type="spellStart"/>
      <w:r w:rsidR="00236853" w:rsidRPr="00843662">
        <w:rPr>
          <w:rFonts w:ascii="Book Antiqua" w:hAnsi="Book Antiqua" w:cs="Times New Roman"/>
          <w:sz w:val="24"/>
          <w:szCs w:val="24"/>
        </w:rPr>
        <w:t>Hepascore</w:t>
      </w:r>
      <w:proofErr w:type="spellEnd"/>
      <w:r w:rsidR="00C44244" w:rsidRPr="00843662">
        <w:rPr>
          <w:rFonts w:ascii="Book Antiqua" w:hAnsi="Book Antiqua" w:cs="Times New Roman"/>
          <w:sz w:val="24"/>
          <w:szCs w:val="24"/>
        </w:rPr>
        <w:t xml:space="preserve"> groups.</w:t>
      </w:r>
      <w:r w:rsidR="002A1C3F" w:rsidRPr="00843662">
        <w:rPr>
          <w:rFonts w:ascii="Book Antiqua" w:hAnsi="Book Antiqua" w:cs="Times New Roman"/>
          <w:sz w:val="24"/>
          <w:szCs w:val="24"/>
        </w:rPr>
        <w:t xml:space="preserve"> </w:t>
      </w:r>
    </w:p>
    <w:p w14:paraId="353E5CC4" w14:textId="035CEA2E" w:rsidR="004965B1" w:rsidRPr="00843662" w:rsidRDefault="00AB0356" w:rsidP="009276F8">
      <w:pPr>
        <w:spacing w:after="0" w:line="360" w:lineRule="auto"/>
        <w:ind w:firstLineChars="100" w:firstLine="240"/>
        <w:jc w:val="both"/>
        <w:rPr>
          <w:rFonts w:ascii="Book Antiqua" w:hAnsi="Book Antiqua" w:cs="Times New Roman"/>
          <w:sz w:val="24"/>
          <w:szCs w:val="24"/>
        </w:rPr>
      </w:pPr>
      <w:r w:rsidRPr="00843662">
        <w:rPr>
          <w:rFonts w:ascii="Book Antiqua" w:hAnsi="Book Antiqua" w:cs="Times New Roman"/>
          <w:sz w:val="24"/>
          <w:szCs w:val="24"/>
        </w:rPr>
        <w:t>P</w:t>
      </w:r>
      <w:r w:rsidR="004A6F25" w:rsidRPr="00843662">
        <w:rPr>
          <w:rFonts w:ascii="Book Antiqua" w:hAnsi="Book Antiqua" w:cs="Times New Roman"/>
          <w:sz w:val="24"/>
          <w:szCs w:val="24"/>
        </w:rPr>
        <w:t xml:space="preserve">atients </w:t>
      </w:r>
      <w:r w:rsidR="00BC0E6F" w:rsidRPr="00843662">
        <w:rPr>
          <w:rFonts w:ascii="Book Antiqua" w:hAnsi="Book Antiqua" w:cs="Times New Roman"/>
          <w:sz w:val="24"/>
          <w:szCs w:val="24"/>
        </w:rPr>
        <w:t>with</w:t>
      </w:r>
      <w:r w:rsidR="004A6F25" w:rsidRPr="00843662">
        <w:rPr>
          <w:rFonts w:ascii="Book Antiqua" w:hAnsi="Book Antiqua" w:cs="Times New Roman"/>
          <w:sz w:val="24"/>
          <w:szCs w:val="24"/>
        </w:rPr>
        <w:t xml:space="preserve"> a</w:t>
      </w:r>
      <w:r w:rsidRPr="00843662">
        <w:rPr>
          <w:rFonts w:ascii="Book Antiqua" w:hAnsi="Book Antiqua" w:cs="Times New Roman"/>
          <w:sz w:val="24"/>
          <w:szCs w:val="24"/>
        </w:rPr>
        <w:t xml:space="preserve"> baseline </w:t>
      </w:r>
      <w:proofErr w:type="spellStart"/>
      <w:r w:rsidR="004A6F25" w:rsidRPr="00843662">
        <w:rPr>
          <w:rFonts w:ascii="Book Antiqua" w:hAnsi="Book Antiqua" w:cs="Times New Roman"/>
          <w:sz w:val="24"/>
          <w:szCs w:val="24"/>
        </w:rPr>
        <w:t>Hepascore</w:t>
      </w:r>
      <w:proofErr w:type="spellEnd"/>
      <w:r w:rsidR="004A6F25" w:rsidRPr="00843662">
        <w:rPr>
          <w:rFonts w:ascii="Book Antiqua" w:hAnsi="Book Antiqua" w:cs="Times New Roman"/>
          <w:sz w:val="24"/>
          <w:szCs w:val="24"/>
        </w:rPr>
        <w:t xml:space="preserve"> &gt;</w:t>
      </w:r>
      <w:r w:rsidR="009276F8">
        <w:rPr>
          <w:rFonts w:ascii="Book Antiqua" w:hAnsi="Book Antiqua" w:cs="Times New Roman" w:hint="eastAsia"/>
          <w:sz w:val="24"/>
          <w:szCs w:val="24"/>
        </w:rPr>
        <w:t xml:space="preserve"> </w:t>
      </w:r>
      <w:r w:rsidR="004A6F25" w:rsidRPr="00843662">
        <w:rPr>
          <w:rFonts w:ascii="Book Antiqua" w:hAnsi="Book Antiqua" w:cs="Times New Roman"/>
          <w:sz w:val="24"/>
          <w:szCs w:val="24"/>
        </w:rPr>
        <w:t>0.75</w:t>
      </w:r>
      <w:r w:rsidR="00010197" w:rsidRPr="00843662">
        <w:rPr>
          <w:rFonts w:ascii="Book Antiqua" w:hAnsi="Book Antiqua" w:cs="Times New Roman"/>
          <w:sz w:val="24"/>
          <w:szCs w:val="24"/>
        </w:rPr>
        <w:t xml:space="preserve"> </w:t>
      </w:r>
      <w:r w:rsidR="00BC0E6F" w:rsidRPr="00843662">
        <w:rPr>
          <w:rFonts w:ascii="Book Antiqua" w:hAnsi="Book Antiqua" w:cs="Times New Roman"/>
          <w:sz w:val="24"/>
          <w:szCs w:val="24"/>
        </w:rPr>
        <w:t xml:space="preserve">were then analysed </w:t>
      </w:r>
      <w:r w:rsidR="00B35F0B" w:rsidRPr="00843662">
        <w:rPr>
          <w:rFonts w:ascii="Book Antiqua" w:hAnsi="Book Antiqua" w:cs="Times New Roman"/>
          <w:sz w:val="24"/>
          <w:szCs w:val="24"/>
        </w:rPr>
        <w:t xml:space="preserve">using the delta </w:t>
      </w:r>
      <w:proofErr w:type="spellStart"/>
      <w:r w:rsidR="00B35F0B" w:rsidRPr="00843662">
        <w:rPr>
          <w:rFonts w:ascii="Book Antiqua" w:hAnsi="Book Antiqua" w:cs="Times New Roman"/>
          <w:sz w:val="24"/>
          <w:szCs w:val="24"/>
        </w:rPr>
        <w:t>Hepascore</w:t>
      </w:r>
      <w:proofErr w:type="spellEnd"/>
      <w:r w:rsidR="00B35F0B" w:rsidRPr="00843662">
        <w:rPr>
          <w:rFonts w:ascii="Book Antiqua" w:hAnsi="Book Antiqua" w:cs="Times New Roman"/>
          <w:sz w:val="24"/>
          <w:szCs w:val="24"/>
        </w:rPr>
        <w:t xml:space="preserve"> value. The delta </w:t>
      </w:r>
      <w:proofErr w:type="spellStart"/>
      <w:r w:rsidR="00B35F0B" w:rsidRPr="00843662">
        <w:rPr>
          <w:rFonts w:ascii="Book Antiqua" w:hAnsi="Book Antiqua" w:cs="Times New Roman"/>
          <w:sz w:val="24"/>
          <w:szCs w:val="24"/>
        </w:rPr>
        <w:t>Hepascore</w:t>
      </w:r>
      <w:proofErr w:type="spellEnd"/>
      <w:r w:rsidR="00B35F0B" w:rsidRPr="00843662">
        <w:rPr>
          <w:rFonts w:ascii="Book Antiqua" w:hAnsi="Book Antiqua" w:cs="Times New Roman"/>
          <w:sz w:val="24"/>
          <w:szCs w:val="24"/>
        </w:rPr>
        <w:t xml:space="preserve"> values were divided into </w:t>
      </w:r>
      <w:r w:rsidR="00112809" w:rsidRPr="00843662">
        <w:rPr>
          <w:rFonts w:ascii="Book Antiqua" w:hAnsi="Book Antiqua" w:cs="Times New Roman"/>
          <w:sz w:val="24"/>
          <w:szCs w:val="24"/>
        </w:rPr>
        <w:t xml:space="preserve">those with </w:t>
      </w:r>
      <w:r w:rsidR="00B35F0B" w:rsidRPr="00843662">
        <w:rPr>
          <w:rFonts w:ascii="Book Antiqua" w:hAnsi="Book Antiqua" w:cs="Times New Roman"/>
          <w:sz w:val="24"/>
          <w:szCs w:val="24"/>
        </w:rPr>
        <w:t xml:space="preserve">an </w:t>
      </w:r>
      <w:r w:rsidR="00BC0E6F" w:rsidRPr="00843662">
        <w:rPr>
          <w:rFonts w:ascii="Book Antiqua" w:hAnsi="Book Antiqua" w:cs="Times New Roman"/>
          <w:sz w:val="24"/>
          <w:szCs w:val="24"/>
        </w:rPr>
        <w:t xml:space="preserve">improved </w:t>
      </w:r>
      <w:proofErr w:type="spellStart"/>
      <w:r w:rsidR="00BC0E6F" w:rsidRPr="00843662">
        <w:rPr>
          <w:rFonts w:ascii="Book Antiqua" w:hAnsi="Book Antiqua" w:cs="Times New Roman"/>
          <w:sz w:val="24"/>
          <w:szCs w:val="24"/>
        </w:rPr>
        <w:t>Hepascore</w:t>
      </w:r>
      <w:proofErr w:type="spellEnd"/>
      <w:r w:rsidR="00B35F0B" w:rsidRPr="00843662">
        <w:rPr>
          <w:rFonts w:ascii="Book Antiqua" w:hAnsi="Book Antiqua" w:cs="Times New Roman"/>
          <w:sz w:val="24"/>
          <w:szCs w:val="24"/>
        </w:rPr>
        <w:t xml:space="preserve"> </w:t>
      </w:r>
      <w:r w:rsidR="00BC0E6F" w:rsidRPr="00843662">
        <w:rPr>
          <w:rFonts w:ascii="Book Antiqua" w:hAnsi="Book Antiqua" w:cs="Times New Roman"/>
          <w:sz w:val="24"/>
          <w:szCs w:val="24"/>
        </w:rPr>
        <w:t>(delta</w:t>
      </w:r>
      <w:r w:rsidR="009276F8">
        <w:rPr>
          <w:rFonts w:ascii="Book Antiqua" w:hAnsi="Book Antiqua" w:cs="Times New Roman" w:hint="eastAsia"/>
          <w:sz w:val="24"/>
          <w:szCs w:val="24"/>
        </w:rPr>
        <w:t xml:space="preserve"> </w:t>
      </w:r>
      <w:r w:rsidR="00BC0E6F" w:rsidRPr="00843662">
        <w:rPr>
          <w:rFonts w:ascii="Book Antiqua" w:hAnsi="Book Antiqua" w:cs="Times New Roman"/>
          <w:sz w:val="24"/>
          <w:szCs w:val="24"/>
        </w:rPr>
        <w:t>&lt;</w:t>
      </w:r>
      <w:r w:rsidR="009276F8">
        <w:rPr>
          <w:rFonts w:ascii="Book Antiqua" w:hAnsi="Book Antiqua" w:cs="Times New Roman" w:hint="eastAsia"/>
          <w:sz w:val="24"/>
          <w:szCs w:val="24"/>
        </w:rPr>
        <w:t xml:space="preserve"> </w:t>
      </w:r>
      <w:r w:rsidR="00BC0E6F" w:rsidRPr="00843662">
        <w:rPr>
          <w:rFonts w:ascii="Book Antiqua" w:hAnsi="Book Antiqua" w:cs="Times New Roman"/>
          <w:sz w:val="24"/>
          <w:szCs w:val="24"/>
        </w:rPr>
        <w:t xml:space="preserve">-0.1), </w:t>
      </w:r>
      <w:r w:rsidR="00B35F0B" w:rsidRPr="00843662">
        <w:rPr>
          <w:rFonts w:ascii="Book Antiqua" w:hAnsi="Book Antiqua" w:cs="Times New Roman"/>
          <w:sz w:val="24"/>
          <w:szCs w:val="24"/>
        </w:rPr>
        <w:t xml:space="preserve">a </w:t>
      </w:r>
      <w:r w:rsidR="00BC0E6F" w:rsidRPr="00843662">
        <w:rPr>
          <w:rFonts w:ascii="Book Antiqua" w:hAnsi="Book Antiqua" w:cs="Times New Roman"/>
          <w:sz w:val="24"/>
          <w:szCs w:val="24"/>
        </w:rPr>
        <w:t xml:space="preserve">stable </w:t>
      </w:r>
      <w:proofErr w:type="spellStart"/>
      <w:r w:rsidR="00BC0E6F" w:rsidRPr="00843662">
        <w:rPr>
          <w:rFonts w:ascii="Book Antiqua" w:hAnsi="Book Antiqua" w:cs="Times New Roman"/>
          <w:sz w:val="24"/>
          <w:szCs w:val="24"/>
        </w:rPr>
        <w:t>Hepascore</w:t>
      </w:r>
      <w:proofErr w:type="spellEnd"/>
      <w:r w:rsidR="00B35F0B" w:rsidRPr="00843662">
        <w:rPr>
          <w:rFonts w:ascii="Book Antiqua" w:hAnsi="Book Antiqua" w:cs="Times New Roman"/>
          <w:sz w:val="24"/>
          <w:szCs w:val="24"/>
        </w:rPr>
        <w:t xml:space="preserve"> </w:t>
      </w:r>
      <w:r w:rsidR="00BC0E6F" w:rsidRPr="00843662">
        <w:rPr>
          <w:rFonts w:ascii="Book Antiqua" w:hAnsi="Book Antiqua" w:cs="Times New Roman"/>
          <w:sz w:val="24"/>
          <w:szCs w:val="24"/>
        </w:rPr>
        <w:t>(-0.1</w:t>
      </w:r>
      <w:r w:rsidR="009276F8">
        <w:rPr>
          <w:rFonts w:ascii="Book Antiqua" w:hAnsi="Book Antiqua" w:cs="Times New Roman" w:hint="eastAsia"/>
          <w:sz w:val="24"/>
          <w:szCs w:val="24"/>
        </w:rPr>
        <w:t xml:space="preserve"> </w:t>
      </w:r>
      <w:r w:rsidR="00BC0E6F" w:rsidRPr="00843662">
        <w:rPr>
          <w:rFonts w:ascii="Book Antiqua" w:hAnsi="Book Antiqua" w:cs="Times New Roman"/>
          <w:sz w:val="24"/>
          <w:szCs w:val="24"/>
        </w:rPr>
        <w:t>≤</w:t>
      </w:r>
      <w:r w:rsidR="009276F8">
        <w:rPr>
          <w:rFonts w:ascii="Book Antiqua" w:hAnsi="Book Antiqua" w:cs="Times New Roman" w:hint="eastAsia"/>
          <w:sz w:val="24"/>
          <w:szCs w:val="24"/>
        </w:rPr>
        <w:t xml:space="preserve"> </w:t>
      </w:r>
      <w:r w:rsidR="00BC0E6F" w:rsidRPr="00843662">
        <w:rPr>
          <w:rFonts w:ascii="Book Antiqua" w:hAnsi="Book Antiqua" w:cs="Times New Roman"/>
          <w:sz w:val="24"/>
          <w:szCs w:val="24"/>
        </w:rPr>
        <w:t>delta</w:t>
      </w:r>
      <w:r w:rsidR="009276F8">
        <w:rPr>
          <w:rFonts w:ascii="Book Antiqua" w:hAnsi="Book Antiqua" w:cs="Times New Roman" w:hint="eastAsia"/>
          <w:sz w:val="24"/>
          <w:szCs w:val="24"/>
        </w:rPr>
        <w:t xml:space="preserve"> </w:t>
      </w:r>
      <w:r w:rsidR="00BC0E6F" w:rsidRPr="00843662">
        <w:rPr>
          <w:rFonts w:ascii="Book Antiqua" w:hAnsi="Book Antiqua" w:cs="Times New Roman"/>
          <w:sz w:val="24"/>
          <w:szCs w:val="24"/>
        </w:rPr>
        <w:t>≤</w:t>
      </w:r>
      <w:r w:rsidR="009276F8">
        <w:rPr>
          <w:rFonts w:ascii="Book Antiqua" w:hAnsi="Book Antiqua" w:cs="Times New Roman" w:hint="eastAsia"/>
          <w:sz w:val="24"/>
          <w:szCs w:val="24"/>
        </w:rPr>
        <w:t xml:space="preserve"> </w:t>
      </w:r>
      <w:r w:rsidR="00BC0E6F" w:rsidRPr="00843662">
        <w:rPr>
          <w:rFonts w:ascii="Book Antiqua" w:hAnsi="Book Antiqua" w:cs="Times New Roman"/>
          <w:sz w:val="24"/>
          <w:szCs w:val="24"/>
        </w:rPr>
        <w:t xml:space="preserve">0.1) </w:t>
      </w:r>
      <w:r w:rsidR="00B35F0B" w:rsidRPr="00843662">
        <w:rPr>
          <w:rFonts w:ascii="Book Antiqua" w:hAnsi="Book Antiqua" w:cs="Times New Roman"/>
          <w:sz w:val="24"/>
          <w:szCs w:val="24"/>
        </w:rPr>
        <w:t xml:space="preserve">and a </w:t>
      </w:r>
      <w:r w:rsidR="00472B91" w:rsidRPr="00843662">
        <w:rPr>
          <w:rFonts w:ascii="Book Antiqua" w:hAnsi="Book Antiqua" w:cs="Times New Roman"/>
          <w:sz w:val="24"/>
          <w:szCs w:val="24"/>
        </w:rPr>
        <w:lastRenderedPageBreak/>
        <w:t>worse</w:t>
      </w:r>
      <w:r w:rsidR="00112809" w:rsidRPr="00843662">
        <w:rPr>
          <w:rFonts w:ascii="Book Antiqua" w:hAnsi="Book Antiqua" w:cs="Times New Roman"/>
          <w:sz w:val="24"/>
          <w:szCs w:val="24"/>
        </w:rPr>
        <w:t>ned</w:t>
      </w:r>
      <w:r w:rsidR="00BC0E6F" w:rsidRPr="00843662">
        <w:rPr>
          <w:rFonts w:ascii="Book Antiqua" w:hAnsi="Book Antiqua" w:cs="Times New Roman"/>
          <w:sz w:val="24"/>
          <w:szCs w:val="24"/>
        </w:rPr>
        <w:t xml:space="preserve"> </w:t>
      </w:r>
      <w:proofErr w:type="spellStart"/>
      <w:r w:rsidR="00BC0E6F" w:rsidRPr="00843662">
        <w:rPr>
          <w:rFonts w:ascii="Book Antiqua" w:hAnsi="Book Antiqua" w:cs="Times New Roman"/>
          <w:sz w:val="24"/>
          <w:szCs w:val="24"/>
        </w:rPr>
        <w:t>Hepascore</w:t>
      </w:r>
      <w:proofErr w:type="spellEnd"/>
      <w:r w:rsidR="00B35F0B" w:rsidRPr="00843662">
        <w:rPr>
          <w:rFonts w:ascii="Book Antiqua" w:hAnsi="Book Antiqua" w:cs="Times New Roman"/>
          <w:sz w:val="24"/>
          <w:szCs w:val="24"/>
        </w:rPr>
        <w:t xml:space="preserve"> </w:t>
      </w:r>
      <w:r w:rsidR="00BC0E6F" w:rsidRPr="00843662">
        <w:rPr>
          <w:rFonts w:ascii="Book Antiqua" w:hAnsi="Book Antiqua" w:cs="Times New Roman"/>
          <w:sz w:val="24"/>
          <w:szCs w:val="24"/>
        </w:rPr>
        <w:t>(delta</w:t>
      </w:r>
      <w:r w:rsidR="009276F8">
        <w:rPr>
          <w:rFonts w:ascii="Book Antiqua" w:hAnsi="Book Antiqua" w:cs="Times New Roman" w:hint="eastAsia"/>
          <w:sz w:val="24"/>
          <w:szCs w:val="24"/>
        </w:rPr>
        <w:t xml:space="preserve"> </w:t>
      </w:r>
      <w:r w:rsidR="00BC0E6F" w:rsidRPr="00843662">
        <w:rPr>
          <w:rFonts w:ascii="Book Antiqua" w:hAnsi="Book Antiqua" w:cs="Times New Roman"/>
          <w:sz w:val="24"/>
          <w:szCs w:val="24"/>
        </w:rPr>
        <w:t>&gt;</w:t>
      </w:r>
      <w:r w:rsidR="009276F8">
        <w:rPr>
          <w:rFonts w:ascii="Book Antiqua" w:hAnsi="Book Antiqua" w:cs="Times New Roman" w:hint="eastAsia"/>
          <w:sz w:val="24"/>
          <w:szCs w:val="24"/>
        </w:rPr>
        <w:t xml:space="preserve"> </w:t>
      </w:r>
      <w:r w:rsidR="00BC0E6F" w:rsidRPr="00843662">
        <w:rPr>
          <w:rFonts w:ascii="Book Antiqua" w:hAnsi="Book Antiqua" w:cs="Times New Roman"/>
          <w:sz w:val="24"/>
          <w:szCs w:val="24"/>
        </w:rPr>
        <w:t>0.1).</w:t>
      </w:r>
      <w:r w:rsidR="00843662" w:rsidRPr="00843662">
        <w:rPr>
          <w:rFonts w:ascii="Book Antiqua" w:hAnsi="Book Antiqua" w:cs="Times New Roman"/>
          <w:sz w:val="24"/>
          <w:szCs w:val="24"/>
        </w:rPr>
        <w:t xml:space="preserve"> </w:t>
      </w:r>
      <w:r w:rsidR="00B35F0B" w:rsidRPr="00843662">
        <w:rPr>
          <w:rFonts w:ascii="Book Antiqua" w:hAnsi="Book Antiqua" w:cs="Times New Roman"/>
          <w:sz w:val="24"/>
          <w:szCs w:val="24"/>
        </w:rPr>
        <w:t>Survival curve analysis found that in those with an</w:t>
      </w:r>
      <w:r w:rsidR="008A65DA" w:rsidRPr="00843662">
        <w:rPr>
          <w:rFonts w:ascii="Book Antiqua" w:hAnsi="Book Antiqua" w:cs="Times New Roman"/>
          <w:sz w:val="24"/>
          <w:szCs w:val="24"/>
        </w:rPr>
        <w:t xml:space="preserve"> improved </w:t>
      </w:r>
      <w:proofErr w:type="spellStart"/>
      <w:r w:rsidR="008A65DA" w:rsidRPr="00843662">
        <w:rPr>
          <w:rFonts w:ascii="Book Antiqua" w:hAnsi="Book Antiqua" w:cs="Times New Roman"/>
          <w:sz w:val="24"/>
          <w:szCs w:val="24"/>
        </w:rPr>
        <w:t>Hepascore</w:t>
      </w:r>
      <w:proofErr w:type="spellEnd"/>
      <w:r w:rsidR="008A65DA" w:rsidRPr="00843662">
        <w:rPr>
          <w:rFonts w:ascii="Book Antiqua" w:hAnsi="Book Antiqua" w:cs="Times New Roman"/>
          <w:sz w:val="24"/>
          <w:szCs w:val="24"/>
        </w:rPr>
        <w:t xml:space="preserve"> </w:t>
      </w:r>
      <w:r w:rsidR="00B35F0B" w:rsidRPr="00843662">
        <w:rPr>
          <w:rFonts w:ascii="Book Antiqua" w:hAnsi="Book Antiqua" w:cs="Times New Roman"/>
          <w:sz w:val="24"/>
          <w:szCs w:val="24"/>
        </w:rPr>
        <w:t xml:space="preserve">there was </w:t>
      </w:r>
      <w:r w:rsidR="008A65DA" w:rsidRPr="00843662">
        <w:rPr>
          <w:rFonts w:ascii="Book Antiqua" w:hAnsi="Book Antiqua" w:cs="Times New Roman"/>
          <w:sz w:val="24"/>
          <w:szCs w:val="24"/>
        </w:rPr>
        <w:t>a significant</w:t>
      </w:r>
      <w:r w:rsidR="001307EF" w:rsidRPr="00843662">
        <w:rPr>
          <w:rFonts w:ascii="Book Antiqua" w:hAnsi="Book Antiqua" w:cs="Times New Roman"/>
          <w:sz w:val="24"/>
          <w:szCs w:val="24"/>
        </w:rPr>
        <w:t xml:space="preserve">ly decreased risk of LRD, LD </w:t>
      </w:r>
      <w:r w:rsidR="008A65DA" w:rsidRPr="00843662">
        <w:rPr>
          <w:rFonts w:ascii="Book Antiqua" w:hAnsi="Book Antiqua" w:cs="Times New Roman"/>
          <w:sz w:val="24"/>
          <w:szCs w:val="24"/>
        </w:rPr>
        <w:t>and</w:t>
      </w:r>
      <w:r w:rsidR="001307EF" w:rsidRPr="00843662">
        <w:rPr>
          <w:rFonts w:ascii="Book Antiqua" w:hAnsi="Book Antiqua" w:cs="Times New Roman"/>
          <w:sz w:val="24"/>
          <w:szCs w:val="24"/>
        </w:rPr>
        <w:t xml:space="preserve"> a</w:t>
      </w:r>
      <w:r w:rsidR="008A65DA" w:rsidRPr="00843662">
        <w:rPr>
          <w:rFonts w:ascii="Book Antiqua" w:hAnsi="Book Antiqua" w:cs="Times New Roman"/>
          <w:sz w:val="24"/>
          <w:szCs w:val="24"/>
        </w:rPr>
        <w:t xml:space="preserve"> composite </w:t>
      </w:r>
      <w:r w:rsidR="001D47DF" w:rsidRPr="00843662">
        <w:rPr>
          <w:rFonts w:ascii="Book Antiqua" w:hAnsi="Book Antiqua" w:cs="Times New Roman"/>
          <w:sz w:val="24"/>
          <w:szCs w:val="24"/>
        </w:rPr>
        <w:t>endpoint</w:t>
      </w:r>
      <w:r w:rsidR="008A65DA" w:rsidRPr="00843662">
        <w:rPr>
          <w:rFonts w:ascii="Book Antiqua" w:hAnsi="Book Antiqua" w:cs="Times New Roman"/>
          <w:sz w:val="24"/>
          <w:szCs w:val="24"/>
        </w:rPr>
        <w:t xml:space="preserve"> (</w:t>
      </w:r>
      <w:r w:rsidR="009276F8" w:rsidRPr="009276F8">
        <w:rPr>
          <w:rFonts w:ascii="Book Antiqua" w:hAnsi="Book Antiqua" w:cs="Times New Roman" w:hint="eastAsia"/>
          <w:i/>
          <w:sz w:val="24"/>
          <w:szCs w:val="24"/>
        </w:rPr>
        <w:t>P</w:t>
      </w:r>
      <w:r w:rsidR="009276F8">
        <w:rPr>
          <w:rFonts w:ascii="Book Antiqua" w:hAnsi="Book Antiqua" w:cs="Times New Roman" w:hint="eastAsia"/>
          <w:sz w:val="24"/>
          <w:szCs w:val="24"/>
        </w:rPr>
        <w:t xml:space="preserve"> </w:t>
      </w:r>
      <w:r w:rsidR="001307EF" w:rsidRPr="00843662">
        <w:rPr>
          <w:rFonts w:ascii="Book Antiqua" w:hAnsi="Book Antiqua" w:cs="Times New Roman"/>
          <w:sz w:val="24"/>
          <w:szCs w:val="24"/>
        </w:rPr>
        <w:t>=</w:t>
      </w:r>
      <w:r w:rsidR="009276F8">
        <w:rPr>
          <w:rFonts w:ascii="Book Antiqua" w:hAnsi="Book Antiqua" w:cs="Times New Roman" w:hint="eastAsia"/>
          <w:sz w:val="24"/>
          <w:szCs w:val="24"/>
        </w:rPr>
        <w:t xml:space="preserve"> </w:t>
      </w:r>
      <w:r w:rsidR="001307EF" w:rsidRPr="00843662">
        <w:rPr>
          <w:rFonts w:ascii="Book Antiqua" w:hAnsi="Book Antiqua" w:cs="Times New Roman"/>
          <w:sz w:val="24"/>
          <w:szCs w:val="24"/>
        </w:rPr>
        <w:t xml:space="preserve">0.048, </w:t>
      </w:r>
      <w:r w:rsidR="009276F8" w:rsidRPr="009276F8">
        <w:rPr>
          <w:rFonts w:ascii="Book Antiqua" w:hAnsi="Book Antiqua" w:cs="Times New Roman" w:hint="eastAsia"/>
          <w:i/>
          <w:sz w:val="24"/>
          <w:szCs w:val="24"/>
        </w:rPr>
        <w:t>P</w:t>
      </w:r>
      <w:r w:rsidR="009276F8" w:rsidRPr="00843662">
        <w:rPr>
          <w:rFonts w:ascii="Book Antiqua" w:hAnsi="Book Antiqua" w:cs="Times New Roman"/>
          <w:sz w:val="24"/>
          <w:szCs w:val="24"/>
        </w:rPr>
        <w:t xml:space="preserve"> </w:t>
      </w:r>
      <w:r w:rsidR="001307EF" w:rsidRPr="00843662">
        <w:rPr>
          <w:rFonts w:ascii="Book Antiqua" w:hAnsi="Book Antiqua" w:cs="Times New Roman"/>
          <w:sz w:val="24"/>
          <w:szCs w:val="24"/>
        </w:rPr>
        <w:t>=</w:t>
      </w:r>
      <w:r w:rsidR="009276F8">
        <w:rPr>
          <w:rFonts w:ascii="Book Antiqua" w:hAnsi="Book Antiqua" w:cs="Times New Roman" w:hint="eastAsia"/>
          <w:sz w:val="24"/>
          <w:szCs w:val="24"/>
        </w:rPr>
        <w:t xml:space="preserve"> </w:t>
      </w:r>
      <w:r w:rsidR="001307EF" w:rsidRPr="00843662">
        <w:rPr>
          <w:rFonts w:ascii="Book Antiqua" w:hAnsi="Book Antiqua" w:cs="Times New Roman"/>
          <w:sz w:val="24"/>
          <w:szCs w:val="24"/>
        </w:rPr>
        <w:t xml:space="preserve">0.001, </w:t>
      </w:r>
      <w:r w:rsidR="009276F8" w:rsidRPr="009276F8">
        <w:rPr>
          <w:rFonts w:ascii="Book Antiqua" w:hAnsi="Book Antiqua" w:cs="Times New Roman" w:hint="eastAsia"/>
          <w:i/>
          <w:sz w:val="24"/>
          <w:szCs w:val="24"/>
        </w:rPr>
        <w:t>P</w:t>
      </w:r>
      <w:r w:rsidR="009276F8" w:rsidRPr="00843662">
        <w:rPr>
          <w:rFonts w:ascii="Book Antiqua" w:hAnsi="Book Antiqua" w:cs="Times New Roman"/>
          <w:sz w:val="24"/>
          <w:szCs w:val="24"/>
        </w:rPr>
        <w:t xml:space="preserve"> </w:t>
      </w:r>
      <w:r w:rsidR="00FB13ED" w:rsidRPr="00843662">
        <w:rPr>
          <w:rFonts w:ascii="Book Antiqua" w:hAnsi="Book Antiqua" w:cs="Times New Roman"/>
          <w:sz w:val="24"/>
          <w:szCs w:val="24"/>
        </w:rPr>
        <w:t>=</w:t>
      </w:r>
      <w:r w:rsidR="009276F8">
        <w:rPr>
          <w:rFonts w:ascii="Book Antiqua" w:hAnsi="Book Antiqua" w:cs="Times New Roman" w:hint="eastAsia"/>
          <w:sz w:val="24"/>
          <w:szCs w:val="24"/>
        </w:rPr>
        <w:t xml:space="preserve"> </w:t>
      </w:r>
      <w:r w:rsidR="00FB13ED" w:rsidRPr="00843662">
        <w:rPr>
          <w:rFonts w:ascii="Book Antiqua" w:hAnsi="Book Antiqua" w:cs="Times New Roman"/>
          <w:sz w:val="24"/>
          <w:szCs w:val="24"/>
        </w:rPr>
        <w:t>0.004</w:t>
      </w:r>
      <w:r w:rsidR="001307EF" w:rsidRPr="00843662">
        <w:rPr>
          <w:rFonts w:ascii="Book Antiqua" w:hAnsi="Book Antiqua" w:cs="Times New Roman"/>
          <w:sz w:val="24"/>
          <w:szCs w:val="24"/>
        </w:rPr>
        <w:t xml:space="preserve"> respectively</w:t>
      </w:r>
      <w:r w:rsidR="00FB13ED" w:rsidRPr="00843662">
        <w:rPr>
          <w:rFonts w:ascii="Book Antiqua" w:hAnsi="Book Antiqua" w:cs="Times New Roman"/>
          <w:sz w:val="24"/>
          <w:szCs w:val="24"/>
        </w:rPr>
        <w:t>)</w:t>
      </w:r>
      <w:r w:rsidR="008A65DA" w:rsidRPr="00843662">
        <w:rPr>
          <w:rFonts w:ascii="Book Antiqua" w:hAnsi="Book Antiqua" w:cs="Times New Roman"/>
          <w:sz w:val="24"/>
          <w:szCs w:val="24"/>
        </w:rPr>
        <w:t xml:space="preserve"> </w:t>
      </w:r>
      <w:r w:rsidR="003E22DD" w:rsidRPr="00843662">
        <w:rPr>
          <w:rFonts w:ascii="Book Antiqua" w:hAnsi="Book Antiqua" w:cs="Times New Roman"/>
          <w:sz w:val="24"/>
          <w:szCs w:val="24"/>
        </w:rPr>
        <w:t xml:space="preserve">as shown in Figure </w:t>
      </w:r>
      <w:r w:rsidR="005E2AA0" w:rsidRPr="00843662">
        <w:rPr>
          <w:rFonts w:ascii="Book Antiqua" w:hAnsi="Book Antiqua" w:cs="Times New Roman"/>
          <w:sz w:val="24"/>
          <w:szCs w:val="24"/>
        </w:rPr>
        <w:t>2</w:t>
      </w:r>
      <w:r w:rsidR="00A71974" w:rsidRPr="00843662">
        <w:rPr>
          <w:rFonts w:ascii="Book Antiqua" w:hAnsi="Book Antiqua" w:cs="Times New Roman"/>
          <w:sz w:val="24"/>
          <w:szCs w:val="24"/>
        </w:rPr>
        <w:t>.</w:t>
      </w:r>
      <w:r w:rsidR="00C06169" w:rsidRPr="00843662">
        <w:rPr>
          <w:rFonts w:ascii="Book Antiqua" w:hAnsi="Book Antiqua" w:cs="Times New Roman"/>
          <w:sz w:val="24"/>
          <w:szCs w:val="24"/>
        </w:rPr>
        <w:t xml:space="preserve"> </w:t>
      </w:r>
      <w:r w:rsidR="009276F8">
        <w:rPr>
          <w:rFonts w:ascii="Book Antiqua" w:hAnsi="Book Antiqua" w:cs="Times New Roman" w:hint="eastAsia"/>
          <w:sz w:val="24"/>
          <w:szCs w:val="24"/>
        </w:rPr>
        <w:t>Twelve</w:t>
      </w:r>
      <w:r w:rsidR="001D47DF" w:rsidRPr="00843662">
        <w:rPr>
          <w:rFonts w:ascii="Book Antiqua" w:hAnsi="Book Antiqua" w:cs="Times New Roman"/>
          <w:sz w:val="24"/>
          <w:szCs w:val="24"/>
        </w:rPr>
        <w:t xml:space="preserve"> (17%) </w:t>
      </w:r>
      <w:r w:rsidR="005A1B9E" w:rsidRPr="00843662">
        <w:rPr>
          <w:rFonts w:ascii="Book Antiqua" w:hAnsi="Book Antiqua" w:cs="Times New Roman"/>
          <w:sz w:val="24"/>
          <w:szCs w:val="24"/>
        </w:rPr>
        <w:t xml:space="preserve">patients with a stable or </w:t>
      </w:r>
      <w:r w:rsidR="00472B91" w:rsidRPr="00843662">
        <w:rPr>
          <w:rFonts w:ascii="Book Antiqua" w:hAnsi="Book Antiqua" w:cs="Times New Roman"/>
          <w:sz w:val="24"/>
          <w:szCs w:val="24"/>
        </w:rPr>
        <w:t>worse</w:t>
      </w:r>
      <w:r w:rsidR="00112809" w:rsidRPr="00843662">
        <w:rPr>
          <w:rFonts w:ascii="Book Antiqua" w:hAnsi="Book Antiqua" w:cs="Times New Roman"/>
          <w:sz w:val="24"/>
          <w:szCs w:val="24"/>
        </w:rPr>
        <w:t>ned</w:t>
      </w:r>
      <w:r w:rsidR="00B35F0B" w:rsidRPr="00843662">
        <w:rPr>
          <w:rFonts w:ascii="Book Antiqua" w:hAnsi="Book Antiqua" w:cs="Times New Roman"/>
          <w:sz w:val="24"/>
          <w:szCs w:val="24"/>
        </w:rPr>
        <w:t xml:space="preserve"> </w:t>
      </w:r>
      <w:proofErr w:type="spellStart"/>
      <w:r w:rsidR="005A1B9E" w:rsidRPr="00843662">
        <w:rPr>
          <w:rFonts w:ascii="Book Antiqua" w:hAnsi="Book Antiqua" w:cs="Times New Roman"/>
          <w:sz w:val="24"/>
          <w:szCs w:val="24"/>
        </w:rPr>
        <w:t>Hepascore</w:t>
      </w:r>
      <w:proofErr w:type="spellEnd"/>
      <w:r w:rsidR="001D47DF" w:rsidRPr="00843662">
        <w:rPr>
          <w:rFonts w:ascii="Book Antiqua" w:hAnsi="Book Antiqua" w:cs="Times New Roman"/>
          <w:sz w:val="24"/>
          <w:szCs w:val="24"/>
        </w:rPr>
        <w:t xml:space="preserve"> </w:t>
      </w:r>
      <w:r w:rsidR="00056DD7" w:rsidRPr="00843662">
        <w:rPr>
          <w:rFonts w:ascii="Book Antiqua" w:hAnsi="Book Antiqua" w:cs="Times New Roman"/>
          <w:sz w:val="24"/>
          <w:szCs w:val="24"/>
        </w:rPr>
        <w:t>reached</w:t>
      </w:r>
      <w:r w:rsidR="001D47DF" w:rsidRPr="00843662">
        <w:rPr>
          <w:rFonts w:ascii="Book Antiqua" w:hAnsi="Book Antiqua" w:cs="Times New Roman"/>
          <w:sz w:val="24"/>
          <w:szCs w:val="24"/>
        </w:rPr>
        <w:t xml:space="preserve"> </w:t>
      </w:r>
      <w:r w:rsidR="005A1B9E" w:rsidRPr="00843662">
        <w:rPr>
          <w:rFonts w:ascii="Book Antiqua" w:hAnsi="Book Antiqua" w:cs="Times New Roman"/>
          <w:sz w:val="24"/>
          <w:szCs w:val="24"/>
        </w:rPr>
        <w:t>a composite end</w:t>
      </w:r>
      <w:r w:rsidR="001D47DF" w:rsidRPr="00843662">
        <w:rPr>
          <w:rFonts w:ascii="Book Antiqua" w:hAnsi="Book Antiqua" w:cs="Times New Roman"/>
          <w:sz w:val="24"/>
          <w:szCs w:val="24"/>
        </w:rPr>
        <w:t xml:space="preserve"> </w:t>
      </w:r>
      <w:r w:rsidR="005A1B9E" w:rsidRPr="00843662">
        <w:rPr>
          <w:rFonts w:ascii="Book Antiqua" w:hAnsi="Book Antiqua" w:cs="Times New Roman"/>
          <w:sz w:val="24"/>
          <w:szCs w:val="24"/>
        </w:rPr>
        <w:t>point</w:t>
      </w:r>
      <w:r w:rsidR="00056DD7" w:rsidRPr="00843662">
        <w:rPr>
          <w:rFonts w:ascii="Book Antiqua" w:hAnsi="Book Antiqua" w:cs="Times New Roman"/>
          <w:sz w:val="24"/>
          <w:szCs w:val="24"/>
        </w:rPr>
        <w:t xml:space="preserve"> in contrast with </w:t>
      </w:r>
      <w:r w:rsidR="000E5028" w:rsidRPr="00843662">
        <w:rPr>
          <w:rFonts w:ascii="Book Antiqua" w:hAnsi="Book Antiqua" w:cs="Times New Roman"/>
          <w:sz w:val="24"/>
          <w:szCs w:val="24"/>
        </w:rPr>
        <w:t xml:space="preserve">those </w:t>
      </w:r>
      <w:r w:rsidR="00056DD7" w:rsidRPr="00843662">
        <w:rPr>
          <w:rFonts w:ascii="Book Antiqua" w:hAnsi="Book Antiqua" w:cs="Times New Roman"/>
          <w:sz w:val="24"/>
          <w:szCs w:val="24"/>
        </w:rPr>
        <w:t>patients</w:t>
      </w:r>
      <w:r w:rsidR="00472B91" w:rsidRPr="00843662">
        <w:rPr>
          <w:rFonts w:ascii="Book Antiqua" w:hAnsi="Book Antiqua" w:cs="Times New Roman"/>
          <w:sz w:val="24"/>
          <w:szCs w:val="24"/>
        </w:rPr>
        <w:t xml:space="preserve"> </w:t>
      </w:r>
      <w:r w:rsidR="00056DD7" w:rsidRPr="00843662">
        <w:rPr>
          <w:rFonts w:ascii="Book Antiqua" w:hAnsi="Book Antiqua" w:cs="Times New Roman"/>
          <w:sz w:val="24"/>
          <w:szCs w:val="24"/>
        </w:rPr>
        <w:t>who had</w:t>
      </w:r>
      <w:r w:rsidR="00472B91" w:rsidRPr="00843662">
        <w:rPr>
          <w:rFonts w:ascii="Book Antiqua" w:hAnsi="Book Antiqua" w:cs="Times New Roman"/>
          <w:sz w:val="24"/>
          <w:szCs w:val="24"/>
        </w:rPr>
        <w:t xml:space="preserve"> an improved </w:t>
      </w:r>
      <w:proofErr w:type="spellStart"/>
      <w:r w:rsidR="00472B91" w:rsidRPr="00843662">
        <w:rPr>
          <w:rFonts w:ascii="Book Antiqua" w:hAnsi="Book Antiqua" w:cs="Times New Roman"/>
          <w:sz w:val="24"/>
          <w:szCs w:val="24"/>
        </w:rPr>
        <w:t>Hepascore</w:t>
      </w:r>
      <w:proofErr w:type="spellEnd"/>
      <w:r w:rsidR="000E5028" w:rsidRPr="00843662">
        <w:rPr>
          <w:rFonts w:ascii="Book Antiqua" w:hAnsi="Book Antiqua" w:cs="Times New Roman"/>
          <w:sz w:val="24"/>
          <w:szCs w:val="24"/>
        </w:rPr>
        <w:t>, who ha</w:t>
      </w:r>
      <w:r w:rsidR="00242E91" w:rsidRPr="00843662">
        <w:rPr>
          <w:rFonts w:ascii="Book Antiqua" w:hAnsi="Book Antiqua" w:cs="Times New Roman"/>
          <w:sz w:val="24"/>
          <w:szCs w:val="24"/>
        </w:rPr>
        <w:t>d</w:t>
      </w:r>
      <w:r w:rsidR="000E5028" w:rsidRPr="00843662">
        <w:rPr>
          <w:rFonts w:ascii="Book Antiqua" w:hAnsi="Book Antiqua" w:cs="Times New Roman"/>
          <w:sz w:val="24"/>
          <w:szCs w:val="24"/>
        </w:rPr>
        <w:t xml:space="preserve"> no </w:t>
      </w:r>
      <w:r w:rsidR="00242E91" w:rsidRPr="00843662">
        <w:rPr>
          <w:rFonts w:ascii="Book Antiqua" w:hAnsi="Book Antiqua" w:cs="Times New Roman"/>
          <w:sz w:val="24"/>
          <w:szCs w:val="24"/>
        </w:rPr>
        <w:t xml:space="preserve">negative </w:t>
      </w:r>
      <w:r w:rsidR="000E5028" w:rsidRPr="00843662">
        <w:rPr>
          <w:rFonts w:ascii="Book Antiqua" w:hAnsi="Book Antiqua" w:cs="Times New Roman"/>
          <w:sz w:val="24"/>
          <w:szCs w:val="24"/>
        </w:rPr>
        <w:t>outcomes</w:t>
      </w:r>
      <w:r w:rsidR="005A1B9E" w:rsidRPr="00843662">
        <w:rPr>
          <w:rFonts w:ascii="Book Antiqua" w:hAnsi="Book Antiqua" w:cs="Times New Roman"/>
          <w:sz w:val="24"/>
          <w:szCs w:val="24"/>
        </w:rPr>
        <w:t>.</w:t>
      </w:r>
      <w:r w:rsidR="00EA0696" w:rsidRPr="00843662">
        <w:rPr>
          <w:rFonts w:ascii="Book Antiqua" w:hAnsi="Book Antiqua" w:cs="Times New Roman"/>
          <w:sz w:val="24"/>
          <w:szCs w:val="24"/>
        </w:rPr>
        <w:t xml:space="preserve"> </w:t>
      </w:r>
      <w:r w:rsidR="00944290" w:rsidRPr="00843662">
        <w:rPr>
          <w:rFonts w:ascii="Book Antiqua" w:hAnsi="Book Antiqua" w:cs="Times New Roman"/>
          <w:sz w:val="24"/>
          <w:szCs w:val="24"/>
        </w:rPr>
        <w:t>C</w:t>
      </w:r>
      <w:r w:rsidR="00472B91" w:rsidRPr="00843662">
        <w:rPr>
          <w:rFonts w:ascii="Book Antiqua" w:hAnsi="Book Antiqua" w:cs="Times New Roman"/>
          <w:sz w:val="24"/>
          <w:szCs w:val="24"/>
        </w:rPr>
        <w:t>ompar</w:t>
      </w:r>
      <w:r w:rsidR="00944290" w:rsidRPr="00843662">
        <w:rPr>
          <w:rFonts w:ascii="Book Antiqua" w:hAnsi="Book Antiqua" w:cs="Times New Roman"/>
          <w:sz w:val="24"/>
          <w:szCs w:val="24"/>
        </w:rPr>
        <w:t>ison</w:t>
      </w:r>
      <w:r w:rsidR="00472B91" w:rsidRPr="00843662">
        <w:rPr>
          <w:rFonts w:ascii="Book Antiqua" w:hAnsi="Book Antiqua" w:cs="Times New Roman"/>
          <w:sz w:val="24"/>
          <w:szCs w:val="24"/>
        </w:rPr>
        <w:t xml:space="preserve"> </w:t>
      </w:r>
      <w:r w:rsidR="00944290" w:rsidRPr="00843662">
        <w:rPr>
          <w:rFonts w:ascii="Book Antiqua" w:hAnsi="Book Antiqua" w:cs="Times New Roman"/>
          <w:sz w:val="24"/>
          <w:szCs w:val="24"/>
        </w:rPr>
        <w:t xml:space="preserve">between </w:t>
      </w:r>
      <w:r w:rsidR="00472B91" w:rsidRPr="00843662">
        <w:rPr>
          <w:rFonts w:ascii="Book Antiqua" w:hAnsi="Book Antiqua" w:cs="Times New Roman"/>
          <w:sz w:val="24"/>
          <w:szCs w:val="24"/>
        </w:rPr>
        <w:t xml:space="preserve">those patients with a stable </w:t>
      </w:r>
      <w:proofErr w:type="spellStart"/>
      <w:r w:rsidR="00472B91" w:rsidRPr="00843662">
        <w:rPr>
          <w:rFonts w:ascii="Book Antiqua" w:hAnsi="Book Antiqua" w:cs="Times New Roman"/>
          <w:sz w:val="24"/>
          <w:szCs w:val="24"/>
        </w:rPr>
        <w:t>Hepascore</w:t>
      </w:r>
      <w:proofErr w:type="spellEnd"/>
      <w:r w:rsidR="00472B91" w:rsidRPr="00843662">
        <w:rPr>
          <w:rFonts w:ascii="Book Antiqua" w:hAnsi="Book Antiqua" w:cs="Times New Roman"/>
          <w:sz w:val="24"/>
          <w:szCs w:val="24"/>
        </w:rPr>
        <w:t xml:space="preserve"> and those with a worse </w:t>
      </w:r>
      <w:proofErr w:type="spellStart"/>
      <w:r w:rsidR="00472B91" w:rsidRPr="00843662">
        <w:rPr>
          <w:rFonts w:ascii="Book Antiqua" w:hAnsi="Book Antiqua" w:cs="Times New Roman"/>
          <w:sz w:val="24"/>
          <w:szCs w:val="24"/>
        </w:rPr>
        <w:t>Hepascore</w:t>
      </w:r>
      <w:proofErr w:type="spellEnd"/>
      <w:r w:rsidR="00472B91" w:rsidRPr="00843662">
        <w:rPr>
          <w:rFonts w:ascii="Book Antiqua" w:hAnsi="Book Antiqua" w:cs="Times New Roman"/>
          <w:sz w:val="24"/>
          <w:szCs w:val="24"/>
        </w:rPr>
        <w:t xml:space="preserve"> </w:t>
      </w:r>
      <w:r w:rsidR="00944290" w:rsidRPr="00843662">
        <w:rPr>
          <w:rFonts w:ascii="Book Antiqua" w:hAnsi="Book Antiqua" w:cs="Times New Roman"/>
          <w:sz w:val="24"/>
          <w:szCs w:val="24"/>
        </w:rPr>
        <w:t xml:space="preserve">was not possible </w:t>
      </w:r>
      <w:r w:rsidR="00472B91" w:rsidRPr="00843662">
        <w:rPr>
          <w:rFonts w:ascii="Book Antiqua" w:hAnsi="Book Antiqua" w:cs="Times New Roman"/>
          <w:sz w:val="24"/>
          <w:szCs w:val="24"/>
        </w:rPr>
        <w:t xml:space="preserve">as </w:t>
      </w:r>
      <w:r w:rsidR="00EA0696" w:rsidRPr="00843662">
        <w:rPr>
          <w:rFonts w:ascii="Book Antiqua" w:hAnsi="Book Antiqua" w:cs="Times New Roman"/>
          <w:sz w:val="24"/>
          <w:szCs w:val="24"/>
        </w:rPr>
        <w:t>19.5% of patients had a</w:t>
      </w:r>
      <w:r w:rsidR="00472B91" w:rsidRPr="00843662">
        <w:rPr>
          <w:rFonts w:ascii="Book Antiqua" w:hAnsi="Book Antiqua" w:cs="Times New Roman"/>
          <w:sz w:val="24"/>
          <w:szCs w:val="24"/>
        </w:rPr>
        <w:t xml:space="preserve"> </w:t>
      </w:r>
      <w:r w:rsidR="00282AB1" w:rsidRPr="00843662">
        <w:rPr>
          <w:rFonts w:ascii="Book Antiqua" w:hAnsi="Book Antiqua" w:cs="Times New Roman"/>
          <w:sz w:val="24"/>
          <w:szCs w:val="24"/>
        </w:rPr>
        <w:t>baseline</w:t>
      </w:r>
      <w:r w:rsidR="00EA0696" w:rsidRPr="00843662">
        <w:rPr>
          <w:rFonts w:ascii="Book Antiqua" w:hAnsi="Book Antiqua" w:cs="Times New Roman"/>
          <w:sz w:val="24"/>
          <w:szCs w:val="24"/>
        </w:rPr>
        <w:t xml:space="preserve"> </w:t>
      </w:r>
      <w:proofErr w:type="spellStart"/>
      <w:r w:rsidR="00EA0696" w:rsidRPr="00843662">
        <w:rPr>
          <w:rFonts w:ascii="Book Antiqua" w:hAnsi="Book Antiqua" w:cs="Times New Roman"/>
          <w:sz w:val="24"/>
          <w:szCs w:val="24"/>
        </w:rPr>
        <w:t>Hepascore</w:t>
      </w:r>
      <w:proofErr w:type="spellEnd"/>
      <w:r w:rsidR="00EA0696" w:rsidRPr="00843662">
        <w:rPr>
          <w:rFonts w:ascii="Book Antiqua" w:hAnsi="Book Antiqua" w:cs="Times New Roman"/>
          <w:sz w:val="24"/>
          <w:szCs w:val="24"/>
        </w:rPr>
        <w:t xml:space="preserve"> value </w:t>
      </w:r>
      <w:r w:rsidR="00AB587B" w:rsidRPr="00843662">
        <w:rPr>
          <w:rFonts w:ascii="Book Antiqua" w:hAnsi="Book Antiqua" w:cs="Times New Roman"/>
          <w:sz w:val="24"/>
          <w:szCs w:val="24"/>
        </w:rPr>
        <w:t>&gt;</w:t>
      </w:r>
      <w:r w:rsidR="009276F8">
        <w:rPr>
          <w:rFonts w:ascii="Book Antiqua" w:hAnsi="Book Antiqua" w:cs="Times New Roman" w:hint="eastAsia"/>
          <w:sz w:val="24"/>
          <w:szCs w:val="24"/>
        </w:rPr>
        <w:t xml:space="preserve"> </w:t>
      </w:r>
      <w:r w:rsidR="00EA0696" w:rsidRPr="00843662">
        <w:rPr>
          <w:rFonts w:ascii="Book Antiqua" w:hAnsi="Book Antiqua" w:cs="Times New Roman"/>
          <w:sz w:val="24"/>
          <w:szCs w:val="24"/>
        </w:rPr>
        <w:t>0.9</w:t>
      </w:r>
      <w:r w:rsidR="00AB587B" w:rsidRPr="00843662">
        <w:rPr>
          <w:rFonts w:ascii="Book Antiqua" w:hAnsi="Book Antiqua" w:cs="Times New Roman"/>
          <w:sz w:val="24"/>
          <w:szCs w:val="24"/>
        </w:rPr>
        <w:t xml:space="preserve"> </w:t>
      </w:r>
      <w:r w:rsidR="00944290" w:rsidRPr="00843662">
        <w:rPr>
          <w:rFonts w:ascii="Book Antiqua" w:hAnsi="Book Antiqua" w:cs="Times New Roman"/>
          <w:sz w:val="24"/>
          <w:szCs w:val="24"/>
        </w:rPr>
        <w:t xml:space="preserve">(the maximum </w:t>
      </w:r>
      <w:proofErr w:type="spellStart"/>
      <w:r w:rsidR="00944290" w:rsidRPr="00843662">
        <w:rPr>
          <w:rFonts w:ascii="Book Antiqua" w:hAnsi="Book Antiqua" w:cs="Times New Roman"/>
          <w:sz w:val="24"/>
          <w:szCs w:val="24"/>
        </w:rPr>
        <w:t>Hepascore</w:t>
      </w:r>
      <w:proofErr w:type="spellEnd"/>
      <w:r w:rsidR="00944290" w:rsidRPr="00843662">
        <w:rPr>
          <w:rFonts w:ascii="Book Antiqua" w:hAnsi="Book Antiqua" w:cs="Times New Roman"/>
          <w:sz w:val="24"/>
          <w:szCs w:val="24"/>
        </w:rPr>
        <w:t xml:space="preserve"> value is limited to 1.0)</w:t>
      </w:r>
      <w:r w:rsidR="000E5028" w:rsidRPr="00843662">
        <w:rPr>
          <w:rFonts w:ascii="Book Antiqua" w:hAnsi="Book Antiqua" w:cs="Times New Roman"/>
          <w:sz w:val="24"/>
          <w:szCs w:val="24"/>
        </w:rPr>
        <w:t>.</w:t>
      </w:r>
      <w:r w:rsidR="004965B1" w:rsidRPr="00843662">
        <w:rPr>
          <w:rFonts w:ascii="Book Antiqua" w:hAnsi="Book Antiqua" w:cs="Times New Roman"/>
          <w:sz w:val="24"/>
          <w:szCs w:val="24"/>
        </w:rPr>
        <w:t xml:space="preserve"> </w:t>
      </w:r>
      <w:r w:rsidR="009276F8">
        <w:rPr>
          <w:rFonts w:ascii="Book Antiqua" w:hAnsi="Book Antiqua" w:cs="Times New Roman" w:hint="eastAsia"/>
          <w:sz w:val="24"/>
          <w:szCs w:val="24"/>
        </w:rPr>
        <w:t>T</w:t>
      </w:r>
      <w:r w:rsidR="009276F8" w:rsidRPr="009276F8">
        <w:rPr>
          <w:rFonts w:ascii="Book Antiqua" w:hAnsi="Book Antiqua" w:cs="Times New Roman"/>
          <w:sz w:val="24"/>
          <w:szCs w:val="24"/>
        </w:rPr>
        <w:t>hirty</w:t>
      </w:r>
      <w:r w:rsidR="009276F8">
        <w:rPr>
          <w:rFonts w:ascii="Book Antiqua" w:hAnsi="Book Antiqua" w:cs="Times New Roman" w:hint="eastAsia"/>
          <w:sz w:val="24"/>
          <w:szCs w:val="24"/>
        </w:rPr>
        <w:t>-eight</w:t>
      </w:r>
      <w:r w:rsidR="004965B1" w:rsidRPr="00843662">
        <w:rPr>
          <w:rFonts w:ascii="Book Antiqua" w:hAnsi="Book Antiqua" w:cs="Times New Roman"/>
          <w:sz w:val="24"/>
          <w:szCs w:val="24"/>
        </w:rPr>
        <w:t xml:space="preserve"> (11%) patients had anti-viral treatment and reached a sustained viral response (SVR). Of those achieving SVR only 4 patients reached an endpoint. Excluding these patients from the analysis made no difference to the </w:t>
      </w:r>
      <w:r w:rsidR="00C10B7F" w:rsidRPr="00843662">
        <w:rPr>
          <w:rFonts w:ascii="Book Antiqua" w:hAnsi="Book Antiqua" w:cs="Times New Roman"/>
          <w:sz w:val="24"/>
          <w:szCs w:val="24"/>
        </w:rPr>
        <w:t>results</w:t>
      </w:r>
      <w:r w:rsidR="004965B1" w:rsidRPr="00843662">
        <w:rPr>
          <w:rFonts w:ascii="Book Antiqua" w:hAnsi="Book Antiqua" w:cs="Times New Roman"/>
          <w:sz w:val="24"/>
          <w:szCs w:val="24"/>
        </w:rPr>
        <w:t>.</w:t>
      </w:r>
    </w:p>
    <w:p w14:paraId="14ADF8E9" w14:textId="08BC4F41" w:rsidR="00236853" w:rsidRPr="00843662" w:rsidRDefault="00BC0E6F" w:rsidP="00E129C3">
      <w:pPr>
        <w:spacing w:after="0" w:line="360" w:lineRule="auto"/>
        <w:ind w:firstLineChars="100" w:firstLine="240"/>
        <w:jc w:val="both"/>
        <w:rPr>
          <w:rFonts w:ascii="Book Antiqua" w:hAnsi="Book Antiqua" w:cs="Times New Roman"/>
          <w:sz w:val="24"/>
          <w:szCs w:val="24"/>
        </w:rPr>
      </w:pPr>
      <w:r w:rsidRPr="00843662">
        <w:rPr>
          <w:rFonts w:ascii="Book Antiqua" w:hAnsi="Book Antiqua" w:cs="Times New Roman"/>
          <w:sz w:val="24"/>
          <w:szCs w:val="24"/>
        </w:rPr>
        <w:t xml:space="preserve">AUROC analysis </w:t>
      </w:r>
      <w:r w:rsidR="00AF671F" w:rsidRPr="00843662">
        <w:rPr>
          <w:rFonts w:ascii="Book Antiqua" w:hAnsi="Book Antiqua" w:cs="Times New Roman"/>
          <w:sz w:val="24"/>
          <w:szCs w:val="24"/>
        </w:rPr>
        <w:t xml:space="preserve">was </w:t>
      </w:r>
      <w:r w:rsidR="00236853" w:rsidRPr="00843662">
        <w:rPr>
          <w:rFonts w:ascii="Book Antiqua" w:hAnsi="Book Antiqua" w:cs="Times New Roman"/>
          <w:sz w:val="24"/>
          <w:szCs w:val="24"/>
        </w:rPr>
        <w:t xml:space="preserve">performed using </w:t>
      </w:r>
      <w:r w:rsidRPr="00843662">
        <w:rPr>
          <w:rFonts w:ascii="Book Antiqua" w:hAnsi="Book Antiqua" w:cs="Times New Roman"/>
          <w:sz w:val="24"/>
          <w:szCs w:val="24"/>
        </w:rPr>
        <w:t xml:space="preserve">the baseline </w:t>
      </w:r>
      <w:proofErr w:type="spellStart"/>
      <w:r w:rsidRPr="00843662">
        <w:rPr>
          <w:rFonts w:ascii="Book Antiqua" w:hAnsi="Book Antiqua" w:cs="Times New Roman"/>
          <w:sz w:val="24"/>
          <w:szCs w:val="24"/>
        </w:rPr>
        <w:t>Hepascore</w:t>
      </w:r>
      <w:proofErr w:type="spellEnd"/>
      <w:r w:rsidR="00236853" w:rsidRPr="00843662">
        <w:rPr>
          <w:rFonts w:ascii="Book Antiqua" w:hAnsi="Book Antiqua" w:cs="Times New Roman"/>
          <w:sz w:val="24"/>
          <w:szCs w:val="24"/>
        </w:rPr>
        <w:t xml:space="preserve"> alone</w:t>
      </w:r>
      <w:r w:rsidRPr="00843662">
        <w:rPr>
          <w:rFonts w:ascii="Book Antiqua" w:hAnsi="Book Antiqua" w:cs="Times New Roman"/>
          <w:sz w:val="24"/>
          <w:szCs w:val="24"/>
        </w:rPr>
        <w:t xml:space="preserve"> </w:t>
      </w:r>
      <w:r w:rsidR="00236853" w:rsidRPr="00843662">
        <w:rPr>
          <w:rFonts w:ascii="Book Antiqua" w:hAnsi="Book Antiqua" w:cs="Times New Roman"/>
          <w:sz w:val="24"/>
          <w:szCs w:val="24"/>
        </w:rPr>
        <w:t xml:space="preserve">and </w:t>
      </w:r>
      <w:r w:rsidR="006E0E29" w:rsidRPr="00843662">
        <w:rPr>
          <w:rFonts w:ascii="Book Antiqua" w:hAnsi="Book Antiqua" w:cs="Times New Roman"/>
          <w:sz w:val="24"/>
          <w:szCs w:val="24"/>
        </w:rPr>
        <w:t xml:space="preserve">with a combination of the </w:t>
      </w:r>
      <w:r w:rsidR="00236853" w:rsidRPr="00843662">
        <w:rPr>
          <w:rFonts w:ascii="Book Antiqua" w:hAnsi="Book Antiqua" w:cs="Times New Roman"/>
          <w:sz w:val="24"/>
          <w:szCs w:val="24"/>
        </w:rPr>
        <w:t xml:space="preserve">baseline </w:t>
      </w:r>
      <w:proofErr w:type="spellStart"/>
      <w:r w:rsidR="00236853" w:rsidRPr="00843662">
        <w:rPr>
          <w:rFonts w:ascii="Book Antiqua" w:hAnsi="Book Antiqua" w:cs="Times New Roman"/>
          <w:sz w:val="24"/>
          <w:szCs w:val="24"/>
        </w:rPr>
        <w:t>Hepascore</w:t>
      </w:r>
      <w:proofErr w:type="spellEnd"/>
      <w:r w:rsidR="00236853" w:rsidRPr="00843662">
        <w:rPr>
          <w:rFonts w:ascii="Book Antiqua" w:hAnsi="Book Antiqua" w:cs="Times New Roman"/>
          <w:sz w:val="24"/>
          <w:szCs w:val="24"/>
        </w:rPr>
        <w:t xml:space="preserve"> and </w:t>
      </w:r>
      <w:r w:rsidRPr="00843662">
        <w:rPr>
          <w:rFonts w:ascii="Book Antiqua" w:hAnsi="Book Antiqua" w:cs="Times New Roman"/>
          <w:sz w:val="24"/>
          <w:szCs w:val="24"/>
        </w:rPr>
        <w:t xml:space="preserve">delta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(Table </w:t>
      </w:r>
      <w:r w:rsidR="00A843BB" w:rsidRPr="00843662">
        <w:rPr>
          <w:rFonts w:ascii="Book Antiqua" w:hAnsi="Book Antiqua" w:cs="Times New Roman"/>
          <w:sz w:val="24"/>
          <w:szCs w:val="24"/>
        </w:rPr>
        <w:t>4</w:t>
      </w:r>
      <w:r w:rsidRPr="00843662">
        <w:rPr>
          <w:rFonts w:ascii="Book Antiqua" w:hAnsi="Book Antiqua" w:cs="Times New Roman"/>
          <w:sz w:val="24"/>
          <w:szCs w:val="24"/>
        </w:rPr>
        <w:t xml:space="preserve">). There was a marked improvement in the AUROC for the </w:t>
      </w:r>
      <w:r w:rsidR="006E0E29" w:rsidRPr="00843662">
        <w:rPr>
          <w:rFonts w:ascii="Book Antiqua" w:hAnsi="Book Antiqua" w:cs="Times New Roman"/>
          <w:sz w:val="24"/>
          <w:szCs w:val="24"/>
        </w:rPr>
        <w:t xml:space="preserve">combined </w:t>
      </w:r>
      <w:r w:rsidRPr="00843662">
        <w:rPr>
          <w:rFonts w:ascii="Book Antiqua" w:hAnsi="Book Antiqua" w:cs="Times New Roman"/>
          <w:sz w:val="24"/>
          <w:szCs w:val="24"/>
        </w:rPr>
        <w:t xml:space="preserve">baseline and delta </w:t>
      </w:r>
      <w:proofErr w:type="spellStart"/>
      <w:r w:rsidRPr="00843662">
        <w:rPr>
          <w:rFonts w:ascii="Book Antiqua" w:hAnsi="Book Antiqua" w:cs="Times New Roman"/>
          <w:sz w:val="24"/>
          <w:szCs w:val="24"/>
        </w:rPr>
        <w:t>Hepascore</w:t>
      </w:r>
      <w:proofErr w:type="spellEnd"/>
      <w:r w:rsidR="00236853" w:rsidRPr="00843662">
        <w:rPr>
          <w:rFonts w:ascii="Book Antiqua" w:hAnsi="Book Antiqua" w:cs="Times New Roman"/>
          <w:sz w:val="24"/>
          <w:szCs w:val="24"/>
        </w:rPr>
        <w:t xml:space="preserve"> values</w:t>
      </w:r>
      <w:r w:rsidRPr="00843662">
        <w:rPr>
          <w:rFonts w:ascii="Book Antiqua" w:hAnsi="Book Antiqua" w:cs="Times New Roman"/>
          <w:sz w:val="24"/>
          <w:szCs w:val="24"/>
        </w:rPr>
        <w:t xml:space="preserve"> compared to baseline </w:t>
      </w:r>
      <w:proofErr w:type="spellStart"/>
      <w:r w:rsidRPr="00843662">
        <w:rPr>
          <w:rFonts w:ascii="Book Antiqua" w:hAnsi="Book Antiqua" w:cs="Times New Roman"/>
          <w:sz w:val="24"/>
          <w:szCs w:val="24"/>
        </w:rPr>
        <w:t>Hepascore</w:t>
      </w:r>
      <w:proofErr w:type="spellEnd"/>
      <w:r w:rsidR="00236853" w:rsidRPr="00843662">
        <w:rPr>
          <w:rFonts w:ascii="Book Antiqua" w:hAnsi="Book Antiqua" w:cs="Times New Roman"/>
          <w:sz w:val="24"/>
          <w:szCs w:val="24"/>
        </w:rPr>
        <w:t xml:space="preserve"> values</w:t>
      </w:r>
      <w:r w:rsidRPr="00843662">
        <w:rPr>
          <w:rFonts w:ascii="Book Antiqua" w:hAnsi="Book Antiqua" w:cs="Times New Roman"/>
          <w:sz w:val="24"/>
          <w:szCs w:val="24"/>
        </w:rPr>
        <w:t xml:space="preserve"> alone with an AUROC for LRD of 0.95 and 0.89, for LD </w:t>
      </w:r>
      <w:r w:rsidR="00EB34F1" w:rsidRPr="00843662">
        <w:rPr>
          <w:rFonts w:ascii="Book Antiqua" w:hAnsi="Book Antiqua" w:cs="Times New Roman"/>
          <w:sz w:val="24"/>
          <w:szCs w:val="24"/>
        </w:rPr>
        <w:t xml:space="preserve">of </w:t>
      </w:r>
      <w:r w:rsidRPr="00843662">
        <w:rPr>
          <w:rFonts w:ascii="Book Antiqua" w:hAnsi="Book Antiqua" w:cs="Times New Roman"/>
          <w:sz w:val="24"/>
          <w:szCs w:val="24"/>
        </w:rPr>
        <w:t xml:space="preserve">0.77 and 0.75 and for HCC </w:t>
      </w:r>
      <w:r w:rsidR="00EB34F1" w:rsidRPr="00843662">
        <w:rPr>
          <w:rFonts w:ascii="Book Antiqua" w:hAnsi="Book Antiqua" w:cs="Times New Roman"/>
          <w:sz w:val="24"/>
          <w:szCs w:val="24"/>
        </w:rPr>
        <w:t xml:space="preserve">of </w:t>
      </w:r>
      <w:r w:rsidRPr="00843662">
        <w:rPr>
          <w:rFonts w:ascii="Book Antiqua" w:hAnsi="Book Antiqua" w:cs="Times New Roman"/>
          <w:sz w:val="24"/>
          <w:szCs w:val="24"/>
        </w:rPr>
        <w:t>0.93 and 0.87</w:t>
      </w:r>
      <w:r w:rsidR="00EB34F1" w:rsidRPr="00843662">
        <w:rPr>
          <w:rFonts w:ascii="Book Antiqua" w:hAnsi="Book Antiqua" w:cs="Times New Roman"/>
          <w:sz w:val="24"/>
          <w:szCs w:val="24"/>
        </w:rPr>
        <w:t>,</w:t>
      </w:r>
      <w:r w:rsidRPr="00843662">
        <w:rPr>
          <w:rFonts w:ascii="Book Antiqua" w:hAnsi="Book Antiqua" w:cs="Times New Roman"/>
          <w:sz w:val="24"/>
          <w:szCs w:val="24"/>
        </w:rPr>
        <w:t xml:space="preserve"> respectively (Table </w:t>
      </w:r>
      <w:r w:rsidR="00A843BB" w:rsidRPr="00843662">
        <w:rPr>
          <w:rFonts w:ascii="Book Antiqua" w:hAnsi="Book Antiqua" w:cs="Times New Roman"/>
          <w:sz w:val="24"/>
          <w:szCs w:val="24"/>
        </w:rPr>
        <w:t>4</w:t>
      </w:r>
      <w:r w:rsidRPr="00843662">
        <w:rPr>
          <w:rFonts w:ascii="Book Antiqua" w:hAnsi="Book Antiqua" w:cs="Times New Roman"/>
          <w:sz w:val="24"/>
          <w:szCs w:val="24"/>
        </w:rPr>
        <w:t>).</w:t>
      </w:r>
    </w:p>
    <w:p w14:paraId="60C2A301" w14:textId="31D7A7E8" w:rsidR="00145520" w:rsidRPr="00843662" w:rsidRDefault="00B16F63" w:rsidP="005E7518">
      <w:pPr>
        <w:spacing w:after="0" w:line="360" w:lineRule="auto"/>
        <w:ind w:firstLineChars="100" w:firstLine="240"/>
        <w:jc w:val="both"/>
        <w:rPr>
          <w:rFonts w:ascii="Book Antiqua" w:hAnsi="Book Antiqua" w:cs="Times New Roman"/>
          <w:sz w:val="24"/>
          <w:szCs w:val="24"/>
        </w:rPr>
      </w:pPr>
      <w:r w:rsidRPr="00843662">
        <w:rPr>
          <w:rFonts w:ascii="Book Antiqua" w:hAnsi="Book Antiqua" w:cs="Times New Roman"/>
          <w:sz w:val="24"/>
          <w:szCs w:val="24"/>
        </w:rPr>
        <w:t xml:space="preserve">Sub-group analysis </w:t>
      </w:r>
      <w:r w:rsidR="00BE0FEC" w:rsidRPr="00843662">
        <w:rPr>
          <w:rFonts w:ascii="Book Antiqua" w:hAnsi="Book Antiqua" w:cs="Times New Roman"/>
          <w:sz w:val="24"/>
          <w:szCs w:val="24"/>
        </w:rPr>
        <w:t xml:space="preserve">was then completed to determine the minimum </w:t>
      </w:r>
      <w:r w:rsidRPr="00843662">
        <w:rPr>
          <w:rFonts w:ascii="Book Antiqua" w:hAnsi="Book Antiqua" w:cs="Times New Roman"/>
          <w:sz w:val="24"/>
          <w:szCs w:val="24"/>
        </w:rPr>
        <w:t>time required</w:t>
      </w:r>
      <w:r w:rsidR="00BE0FEC" w:rsidRPr="00843662">
        <w:rPr>
          <w:rFonts w:ascii="Book Antiqua" w:hAnsi="Book Antiqua" w:cs="Times New Roman"/>
          <w:sz w:val="24"/>
          <w:szCs w:val="24"/>
        </w:rPr>
        <w:t xml:space="preserve"> between </w:t>
      </w:r>
      <w:proofErr w:type="spellStart"/>
      <w:r w:rsidR="00BE0FEC" w:rsidRPr="00843662">
        <w:rPr>
          <w:rFonts w:ascii="Book Antiqua" w:hAnsi="Book Antiqua" w:cs="Times New Roman"/>
          <w:sz w:val="24"/>
          <w:szCs w:val="24"/>
        </w:rPr>
        <w:t>Hepascore</w:t>
      </w:r>
      <w:proofErr w:type="spellEnd"/>
      <w:r w:rsidR="00BE0FEC" w:rsidRPr="00843662">
        <w:rPr>
          <w:rFonts w:ascii="Book Antiqua" w:hAnsi="Book Antiqua" w:cs="Times New Roman"/>
          <w:sz w:val="24"/>
          <w:szCs w:val="24"/>
        </w:rPr>
        <w:t xml:space="preserve"> tests</w:t>
      </w:r>
      <w:r w:rsidRPr="00843662">
        <w:rPr>
          <w:rFonts w:ascii="Book Antiqua" w:hAnsi="Book Antiqua" w:cs="Times New Roman"/>
          <w:sz w:val="24"/>
          <w:szCs w:val="24"/>
        </w:rPr>
        <w:t xml:space="preserve"> to determine delta </w:t>
      </w:r>
      <w:proofErr w:type="spellStart"/>
      <w:r w:rsidRPr="00843662">
        <w:rPr>
          <w:rFonts w:ascii="Book Antiqua" w:hAnsi="Book Antiqua" w:cs="Times New Roman"/>
          <w:sz w:val="24"/>
          <w:szCs w:val="24"/>
        </w:rPr>
        <w:t>Hepascore</w:t>
      </w:r>
      <w:proofErr w:type="spellEnd"/>
      <w:r w:rsidR="00BE0FEC" w:rsidRPr="00843662">
        <w:rPr>
          <w:rFonts w:ascii="Book Antiqua" w:hAnsi="Book Antiqua" w:cs="Times New Roman"/>
          <w:sz w:val="24"/>
          <w:szCs w:val="24"/>
        </w:rPr>
        <w:t xml:space="preserve">. Survival curve analysis found that in those patients with a baseline </w:t>
      </w:r>
      <w:proofErr w:type="spellStart"/>
      <w:r w:rsidR="00BE0FEC" w:rsidRPr="00843662">
        <w:rPr>
          <w:rFonts w:ascii="Book Antiqua" w:hAnsi="Book Antiqua" w:cs="Times New Roman"/>
          <w:sz w:val="24"/>
          <w:szCs w:val="24"/>
        </w:rPr>
        <w:t>Hepascore</w:t>
      </w:r>
      <w:proofErr w:type="spellEnd"/>
      <w:r w:rsidR="00BE0FEC" w:rsidRPr="00843662">
        <w:rPr>
          <w:rFonts w:ascii="Book Antiqua" w:hAnsi="Book Antiqua" w:cs="Times New Roman"/>
          <w:sz w:val="24"/>
          <w:szCs w:val="24"/>
        </w:rPr>
        <w:t xml:space="preserve"> &gt;</w:t>
      </w:r>
      <w:r w:rsidR="005E7518">
        <w:rPr>
          <w:rFonts w:ascii="Book Antiqua" w:hAnsi="Book Antiqua" w:cs="Times New Roman" w:hint="eastAsia"/>
          <w:sz w:val="24"/>
          <w:szCs w:val="24"/>
        </w:rPr>
        <w:t xml:space="preserve"> </w:t>
      </w:r>
      <w:r w:rsidR="00BE0FEC" w:rsidRPr="00843662">
        <w:rPr>
          <w:rFonts w:ascii="Book Antiqua" w:hAnsi="Book Antiqua" w:cs="Times New Roman"/>
          <w:sz w:val="24"/>
          <w:szCs w:val="24"/>
        </w:rPr>
        <w:t>0.75, delta</w:t>
      </w:r>
      <w:r w:rsidR="00B95301" w:rsidRPr="00843662">
        <w:rPr>
          <w:rFonts w:ascii="Book Antiqua" w:hAnsi="Book Antiqua" w:cs="Times New Roman"/>
          <w:sz w:val="24"/>
          <w:szCs w:val="24"/>
        </w:rPr>
        <w:t xml:space="preserve"> </w:t>
      </w:r>
      <w:proofErr w:type="spellStart"/>
      <w:r w:rsidR="00B95301" w:rsidRPr="00843662">
        <w:rPr>
          <w:rFonts w:ascii="Book Antiqua" w:hAnsi="Book Antiqua" w:cs="Times New Roman"/>
          <w:sz w:val="24"/>
          <w:szCs w:val="24"/>
        </w:rPr>
        <w:t>Hepascore</w:t>
      </w:r>
      <w:proofErr w:type="spellEnd"/>
      <w:r w:rsidR="00B95301" w:rsidRPr="00843662">
        <w:rPr>
          <w:rFonts w:ascii="Book Antiqua" w:hAnsi="Book Antiqua" w:cs="Times New Roman"/>
          <w:sz w:val="24"/>
          <w:szCs w:val="24"/>
        </w:rPr>
        <w:t xml:space="preserve"> </w:t>
      </w:r>
      <w:r w:rsidR="00BE0FEC" w:rsidRPr="00843662">
        <w:rPr>
          <w:rFonts w:ascii="Book Antiqua" w:hAnsi="Book Antiqua" w:cs="Times New Roman"/>
          <w:sz w:val="24"/>
          <w:szCs w:val="24"/>
        </w:rPr>
        <w:t xml:space="preserve">is only </w:t>
      </w:r>
      <w:r w:rsidR="00B95301" w:rsidRPr="00843662">
        <w:rPr>
          <w:rFonts w:ascii="Book Antiqua" w:hAnsi="Book Antiqua" w:cs="Times New Roman"/>
          <w:sz w:val="24"/>
          <w:szCs w:val="24"/>
        </w:rPr>
        <w:t xml:space="preserve">predictive of </w:t>
      </w:r>
      <w:r w:rsidRPr="00843662">
        <w:rPr>
          <w:rFonts w:ascii="Book Antiqua" w:hAnsi="Book Antiqua" w:cs="Times New Roman"/>
          <w:sz w:val="24"/>
          <w:szCs w:val="24"/>
        </w:rPr>
        <w:t xml:space="preserve">a </w:t>
      </w:r>
      <w:r w:rsidR="00540EC0" w:rsidRPr="00843662">
        <w:rPr>
          <w:rFonts w:ascii="Book Antiqua" w:hAnsi="Book Antiqua" w:cs="Times New Roman"/>
          <w:sz w:val="24"/>
          <w:szCs w:val="24"/>
        </w:rPr>
        <w:t xml:space="preserve">composite </w:t>
      </w:r>
      <w:r w:rsidRPr="00843662">
        <w:rPr>
          <w:rFonts w:ascii="Book Antiqua" w:hAnsi="Book Antiqua" w:cs="Times New Roman"/>
          <w:sz w:val="24"/>
          <w:szCs w:val="24"/>
        </w:rPr>
        <w:t>endpoint</w:t>
      </w:r>
      <w:r w:rsidR="002E5838" w:rsidRPr="00843662">
        <w:rPr>
          <w:rFonts w:ascii="Book Antiqua" w:hAnsi="Book Antiqua" w:cs="Times New Roman"/>
          <w:sz w:val="24"/>
          <w:szCs w:val="24"/>
        </w:rPr>
        <w:t xml:space="preserve"> </w:t>
      </w:r>
      <w:r w:rsidRPr="00843662">
        <w:rPr>
          <w:rFonts w:ascii="Book Antiqua" w:hAnsi="Book Antiqua" w:cs="Times New Roman"/>
          <w:sz w:val="24"/>
          <w:szCs w:val="24"/>
        </w:rPr>
        <w:t>if</w:t>
      </w:r>
      <w:r w:rsidR="00540EC0" w:rsidRPr="00843662">
        <w:rPr>
          <w:rFonts w:ascii="Book Antiqua" w:hAnsi="Book Antiqua" w:cs="Times New Roman"/>
          <w:sz w:val="24"/>
          <w:szCs w:val="24"/>
        </w:rPr>
        <w:t xml:space="preserve"> the</w:t>
      </w:r>
      <w:r w:rsidR="00B95301" w:rsidRPr="00843662">
        <w:rPr>
          <w:rFonts w:ascii="Book Antiqua" w:hAnsi="Book Antiqua" w:cs="Times New Roman"/>
          <w:sz w:val="24"/>
          <w:szCs w:val="24"/>
        </w:rPr>
        <w:t xml:space="preserve"> tim</w:t>
      </w:r>
      <w:r w:rsidR="00956F60" w:rsidRPr="00843662">
        <w:rPr>
          <w:rFonts w:ascii="Book Antiqua" w:hAnsi="Book Antiqua" w:cs="Times New Roman"/>
          <w:sz w:val="24"/>
          <w:szCs w:val="24"/>
        </w:rPr>
        <w:t xml:space="preserve">e between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tests</w:t>
      </w:r>
      <w:r w:rsidR="00956F60" w:rsidRPr="00843662">
        <w:rPr>
          <w:rFonts w:ascii="Book Antiqua" w:hAnsi="Book Antiqua" w:cs="Times New Roman"/>
          <w:sz w:val="24"/>
          <w:szCs w:val="24"/>
        </w:rPr>
        <w:t xml:space="preserve"> </w:t>
      </w:r>
      <w:r w:rsidRPr="00843662">
        <w:rPr>
          <w:rFonts w:ascii="Book Antiqua" w:hAnsi="Book Antiqua" w:cs="Times New Roman"/>
          <w:sz w:val="24"/>
          <w:szCs w:val="24"/>
        </w:rPr>
        <w:t>is more than one year</w:t>
      </w:r>
      <w:r w:rsidR="00540EC0" w:rsidRPr="00843662">
        <w:rPr>
          <w:rFonts w:ascii="Book Antiqua" w:hAnsi="Book Antiqua" w:cs="Times New Roman"/>
          <w:sz w:val="24"/>
          <w:szCs w:val="24"/>
        </w:rPr>
        <w:t xml:space="preserve"> </w:t>
      </w:r>
      <w:r w:rsidR="006018BE" w:rsidRPr="00843662">
        <w:rPr>
          <w:rFonts w:ascii="Book Antiqua" w:hAnsi="Book Antiqua" w:cs="Times New Roman"/>
          <w:sz w:val="24"/>
          <w:szCs w:val="24"/>
        </w:rPr>
        <w:t>(</w:t>
      </w:r>
      <w:r w:rsidR="005E7518" w:rsidRPr="005E7518">
        <w:rPr>
          <w:rFonts w:ascii="Book Antiqua" w:hAnsi="Book Antiqua" w:cs="Times New Roman" w:hint="eastAsia"/>
          <w:i/>
          <w:sz w:val="24"/>
          <w:szCs w:val="24"/>
        </w:rPr>
        <w:t>P</w:t>
      </w:r>
      <w:r w:rsidR="005E7518">
        <w:rPr>
          <w:rFonts w:ascii="Book Antiqua" w:hAnsi="Book Antiqua" w:cs="Times New Roman" w:hint="eastAsia"/>
          <w:sz w:val="24"/>
          <w:szCs w:val="24"/>
        </w:rPr>
        <w:t xml:space="preserve"> </w:t>
      </w:r>
      <w:r w:rsidR="0091135E" w:rsidRPr="00843662">
        <w:rPr>
          <w:rFonts w:ascii="Book Antiqua" w:hAnsi="Book Antiqua" w:cs="Times New Roman"/>
          <w:sz w:val="24"/>
          <w:szCs w:val="24"/>
        </w:rPr>
        <w:t>=</w:t>
      </w:r>
      <w:r w:rsidR="005E7518">
        <w:rPr>
          <w:rFonts w:ascii="Book Antiqua" w:hAnsi="Book Antiqua" w:cs="Times New Roman" w:hint="eastAsia"/>
          <w:sz w:val="24"/>
          <w:szCs w:val="24"/>
        </w:rPr>
        <w:t xml:space="preserve"> </w:t>
      </w:r>
      <w:r w:rsidR="0091135E" w:rsidRPr="00843662">
        <w:rPr>
          <w:rFonts w:ascii="Book Antiqua" w:hAnsi="Book Antiqua" w:cs="Times New Roman"/>
          <w:sz w:val="24"/>
          <w:szCs w:val="24"/>
        </w:rPr>
        <w:t>0.0</w:t>
      </w:r>
      <w:r w:rsidR="00EB07D2" w:rsidRPr="00843662">
        <w:rPr>
          <w:rFonts w:ascii="Book Antiqua" w:hAnsi="Book Antiqua" w:cs="Times New Roman"/>
          <w:sz w:val="24"/>
          <w:szCs w:val="24"/>
        </w:rPr>
        <w:t>3</w:t>
      </w:r>
      <w:r w:rsidR="00BE0FEC" w:rsidRPr="00843662">
        <w:rPr>
          <w:rFonts w:ascii="Book Antiqua" w:hAnsi="Book Antiqua" w:cs="Times New Roman"/>
          <w:sz w:val="24"/>
          <w:szCs w:val="24"/>
        </w:rPr>
        <w:t>) (Figure 3).</w:t>
      </w:r>
    </w:p>
    <w:p w14:paraId="58479EDD" w14:textId="77777777" w:rsidR="00C3397E" w:rsidRPr="00843662" w:rsidRDefault="00C3397E" w:rsidP="00843662">
      <w:pPr>
        <w:spacing w:after="0" w:line="360" w:lineRule="auto"/>
        <w:jc w:val="both"/>
        <w:rPr>
          <w:rFonts w:ascii="Book Antiqua" w:hAnsi="Book Antiqua" w:cs="Times New Roman"/>
          <w:sz w:val="24"/>
          <w:szCs w:val="24"/>
        </w:rPr>
      </w:pPr>
    </w:p>
    <w:p w14:paraId="146BC234" w14:textId="7B38E0EB" w:rsidR="006B0362" w:rsidRPr="00843662" w:rsidRDefault="005E7518"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DISCUSSION</w:t>
      </w:r>
    </w:p>
    <w:p w14:paraId="249C5545" w14:textId="097C0FEF" w:rsidR="006614C5" w:rsidRPr="00843662" w:rsidRDefault="006E25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No previous studies </w:t>
      </w:r>
      <w:r w:rsidR="00BC3DCB" w:rsidRPr="00843662">
        <w:rPr>
          <w:rFonts w:ascii="Book Antiqua" w:hAnsi="Book Antiqua" w:cs="Times New Roman"/>
          <w:sz w:val="24"/>
          <w:szCs w:val="24"/>
        </w:rPr>
        <w:t xml:space="preserve">have </w:t>
      </w:r>
      <w:r w:rsidR="00B44DC4" w:rsidRPr="00843662">
        <w:rPr>
          <w:rFonts w:ascii="Book Antiqua" w:hAnsi="Book Antiqua" w:cs="Times New Roman"/>
          <w:sz w:val="24"/>
          <w:szCs w:val="24"/>
        </w:rPr>
        <w:t>reported the use of</w:t>
      </w:r>
      <w:r w:rsidRPr="00843662">
        <w:rPr>
          <w:rFonts w:ascii="Book Antiqua" w:hAnsi="Book Antiqua" w:cs="Times New Roman"/>
          <w:sz w:val="24"/>
          <w:szCs w:val="24"/>
        </w:rPr>
        <w:t xml:space="preserve"> repeated non-invasive serum fibrosis markers to predict improved </w:t>
      </w:r>
      <w:r w:rsidR="00F62BFF" w:rsidRPr="00843662">
        <w:rPr>
          <w:rFonts w:ascii="Book Antiqua" w:hAnsi="Book Antiqua" w:cs="Times New Roman"/>
          <w:sz w:val="24"/>
          <w:szCs w:val="24"/>
        </w:rPr>
        <w:t xml:space="preserve">liver related </w:t>
      </w:r>
      <w:r w:rsidRPr="00843662">
        <w:rPr>
          <w:rFonts w:ascii="Book Antiqua" w:hAnsi="Book Antiqua" w:cs="Times New Roman"/>
          <w:sz w:val="24"/>
          <w:szCs w:val="24"/>
        </w:rPr>
        <w:t>clinical outcomes.</w:t>
      </w:r>
      <w:r w:rsidR="006614C5" w:rsidRPr="00843662">
        <w:rPr>
          <w:rFonts w:ascii="Book Antiqua" w:hAnsi="Book Antiqua" w:cs="Times New Roman"/>
          <w:sz w:val="24"/>
          <w:szCs w:val="24"/>
        </w:rPr>
        <w:t xml:space="preserve"> In this well documented cohort </w:t>
      </w:r>
      <w:r w:rsidR="00B03406" w:rsidRPr="00843662">
        <w:rPr>
          <w:rFonts w:ascii="Book Antiqua" w:hAnsi="Book Antiqua" w:cs="Times New Roman"/>
          <w:sz w:val="24"/>
          <w:szCs w:val="24"/>
        </w:rPr>
        <w:t xml:space="preserve">of CHC </w:t>
      </w:r>
      <w:r w:rsidR="00B44DC4" w:rsidRPr="00843662">
        <w:rPr>
          <w:rFonts w:ascii="Book Antiqua" w:hAnsi="Book Antiqua" w:cs="Times New Roman"/>
          <w:sz w:val="24"/>
          <w:szCs w:val="24"/>
        </w:rPr>
        <w:t>patients</w:t>
      </w:r>
      <w:r w:rsidR="00E06FC9" w:rsidRPr="00843662">
        <w:rPr>
          <w:rFonts w:ascii="Book Antiqua" w:hAnsi="Book Antiqua"/>
          <w:sz w:val="24"/>
          <w:szCs w:val="24"/>
        </w:rPr>
        <w:t xml:space="preserve"> </w:t>
      </w:r>
      <w:r w:rsidR="00E06FC9" w:rsidRPr="00843662">
        <w:rPr>
          <w:rFonts w:ascii="Book Antiqua" w:hAnsi="Book Antiqua" w:cs="Times New Roman"/>
          <w:sz w:val="24"/>
          <w:szCs w:val="24"/>
        </w:rPr>
        <w:t>with a long follow up period</w:t>
      </w:r>
      <w:r w:rsidR="00056F0A" w:rsidRPr="00843662">
        <w:rPr>
          <w:rFonts w:ascii="Book Antiqua" w:hAnsi="Book Antiqua" w:cs="Times New Roman"/>
          <w:sz w:val="24"/>
          <w:szCs w:val="24"/>
        </w:rPr>
        <w:t>,</w:t>
      </w:r>
      <w:r w:rsidR="00B44DC4" w:rsidRPr="00843662">
        <w:rPr>
          <w:rFonts w:ascii="Book Antiqua" w:hAnsi="Book Antiqua" w:cs="Times New Roman"/>
          <w:sz w:val="24"/>
          <w:szCs w:val="24"/>
        </w:rPr>
        <w:t xml:space="preserve"> </w:t>
      </w:r>
      <w:r w:rsidR="00132444" w:rsidRPr="00843662">
        <w:rPr>
          <w:rFonts w:ascii="Book Antiqua" w:hAnsi="Book Antiqua" w:cs="Times New Roman"/>
          <w:sz w:val="24"/>
          <w:szCs w:val="24"/>
        </w:rPr>
        <w:t>8.1</w:t>
      </w:r>
      <w:r w:rsidR="00B03406" w:rsidRPr="00843662">
        <w:rPr>
          <w:rFonts w:ascii="Book Antiqua" w:hAnsi="Book Antiqua" w:cs="Times New Roman"/>
          <w:sz w:val="24"/>
          <w:szCs w:val="24"/>
        </w:rPr>
        <w:t xml:space="preserve">% </w:t>
      </w:r>
      <w:r w:rsidR="00B44DC4" w:rsidRPr="00843662">
        <w:rPr>
          <w:rFonts w:ascii="Book Antiqua" w:hAnsi="Book Antiqua" w:cs="Times New Roman"/>
          <w:sz w:val="24"/>
          <w:szCs w:val="24"/>
        </w:rPr>
        <w:t xml:space="preserve">had an adverse </w:t>
      </w:r>
      <w:r w:rsidR="00B03406" w:rsidRPr="00843662">
        <w:rPr>
          <w:rFonts w:ascii="Book Antiqua" w:hAnsi="Book Antiqua" w:cs="Times New Roman"/>
          <w:sz w:val="24"/>
          <w:szCs w:val="24"/>
        </w:rPr>
        <w:t>liver related outcome</w:t>
      </w:r>
      <w:r w:rsidR="00056F0A" w:rsidRPr="00843662">
        <w:rPr>
          <w:rFonts w:ascii="Book Antiqua" w:hAnsi="Book Antiqua" w:cs="Times New Roman"/>
          <w:sz w:val="24"/>
          <w:szCs w:val="24"/>
        </w:rPr>
        <w:t xml:space="preserve"> after </w:t>
      </w:r>
      <w:r w:rsidR="00B03406" w:rsidRPr="00843662">
        <w:rPr>
          <w:rFonts w:ascii="Book Antiqua" w:hAnsi="Book Antiqua" w:cs="Times New Roman"/>
          <w:sz w:val="24"/>
          <w:szCs w:val="24"/>
        </w:rPr>
        <w:t xml:space="preserve">a mean of 5.5 years </w:t>
      </w:r>
      <w:r w:rsidR="00B44DC4" w:rsidRPr="00843662">
        <w:rPr>
          <w:rFonts w:ascii="Book Antiqua" w:hAnsi="Book Antiqua" w:cs="Times New Roman"/>
          <w:sz w:val="24"/>
          <w:szCs w:val="24"/>
        </w:rPr>
        <w:t xml:space="preserve">of </w:t>
      </w:r>
      <w:r w:rsidR="00B03406" w:rsidRPr="00843662">
        <w:rPr>
          <w:rFonts w:ascii="Book Antiqua" w:hAnsi="Book Antiqua" w:cs="Times New Roman"/>
          <w:sz w:val="24"/>
          <w:szCs w:val="24"/>
        </w:rPr>
        <w:t xml:space="preserve">follow up. Cox regression found that </w:t>
      </w:r>
      <w:r w:rsidR="006E7824" w:rsidRPr="00843662">
        <w:rPr>
          <w:rFonts w:ascii="Book Antiqua" w:hAnsi="Book Antiqua" w:cs="Times New Roman"/>
          <w:sz w:val="24"/>
          <w:szCs w:val="24"/>
        </w:rPr>
        <w:t>a high (&gt;</w:t>
      </w:r>
      <w:r w:rsidR="005E7518">
        <w:rPr>
          <w:rFonts w:ascii="Book Antiqua" w:hAnsi="Book Antiqua" w:cs="Times New Roman" w:hint="eastAsia"/>
          <w:sz w:val="24"/>
          <w:szCs w:val="24"/>
        </w:rPr>
        <w:t xml:space="preserve"> </w:t>
      </w:r>
      <w:r w:rsidR="006E7824" w:rsidRPr="00843662">
        <w:rPr>
          <w:rFonts w:ascii="Book Antiqua" w:hAnsi="Book Antiqua" w:cs="Times New Roman"/>
          <w:sz w:val="24"/>
          <w:szCs w:val="24"/>
        </w:rPr>
        <w:t>0.75)</w:t>
      </w:r>
      <w:r w:rsidR="00B03406" w:rsidRPr="00843662">
        <w:rPr>
          <w:rFonts w:ascii="Book Antiqua" w:hAnsi="Book Antiqua" w:cs="Times New Roman"/>
          <w:sz w:val="24"/>
          <w:szCs w:val="24"/>
        </w:rPr>
        <w:t xml:space="preserve"> </w:t>
      </w:r>
      <w:r w:rsidR="006E7824" w:rsidRPr="00843662">
        <w:rPr>
          <w:rFonts w:ascii="Book Antiqua" w:hAnsi="Book Antiqua" w:cs="Times New Roman"/>
          <w:sz w:val="24"/>
          <w:szCs w:val="24"/>
        </w:rPr>
        <w:t>base</w:t>
      </w:r>
      <w:r w:rsidR="000E5028" w:rsidRPr="00843662">
        <w:rPr>
          <w:rFonts w:ascii="Book Antiqua" w:hAnsi="Book Antiqua" w:cs="Times New Roman"/>
          <w:sz w:val="24"/>
          <w:szCs w:val="24"/>
        </w:rPr>
        <w:t>line</w:t>
      </w:r>
      <w:r w:rsidR="00B03406" w:rsidRPr="00843662">
        <w:rPr>
          <w:rFonts w:ascii="Book Antiqua" w:hAnsi="Book Antiqua" w:cs="Times New Roman"/>
          <w:sz w:val="24"/>
          <w:szCs w:val="24"/>
        </w:rPr>
        <w:t xml:space="preserve"> </w:t>
      </w:r>
      <w:proofErr w:type="spellStart"/>
      <w:r w:rsidR="00B03406" w:rsidRPr="00843662">
        <w:rPr>
          <w:rFonts w:ascii="Book Antiqua" w:hAnsi="Book Antiqua" w:cs="Times New Roman"/>
          <w:sz w:val="24"/>
          <w:szCs w:val="24"/>
        </w:rPr>
        <w:t>Hepascore</w:t>
      </w:r>
      <w:proofErr w:type="spellEnd"/>
      <w:r w:rsidR="00F62BFF" w:rsidRPr="00843662">
        <w:rPr>
          <w:rFonts w:ascii="Book Antiqua" w:hAnsi="Book Antiqua" w:cs="Times New Roman"/>
          <w:sz w:val="24"/>
          <w:szCs w:val="24"/>
        </w:rPr>
        <w:t xml:space="preserve"> v</w:t>
      </w:r>
      <w:r w:rsidR="00B03406" w:rsidRPr="00843662">
        <w:rPr>
          <w:rFonts w:ascii="Book Antiqua" w:hAnsi="Book Antiqua" w:cs="Times New Roman"/>
          <w:sz w:val="24"/>
          <w:szCs w:val="24"/>
        </w:rPr>
        <w:t xml:space="preserve">alue was independently associated with </w:t>
      </w:r>
      <w:r w:rsidR="00F62BFF" w:rsidRPr="00843662">
        <w:rPr>
          <w:rFonts w:ascii="Book Antiqua" w:hAnsi="Book Antiqua" w:cs="Times New Roman"/>
          <w:sz w:val="24"/>
          <w:szCs w:val="24"/>
        </w:rPr>
        <w:t xml:space="preserve">increased rates of adverse liver related outcomes </w:t>
      </w:r>
      <w:r w:rsidR="00BE7D63" w:rsidRPr="00843662">
        <w:rPr>
          <w:rFonts w:ascii="Book Antiqua" w:hAnsi="Book Antiqua" w:cs="Times New Roman"/>
          <w:sz w:val="24"/>
          <w:szCs w:val="24"/>
        </w:rPr>
        <w:lastRenderedPageBreak/>
        <w:t>(</w:t>
      </w:r>
      <w:r w:rsidR="005E7518" w:rsidRPr="005E7518">
        <w:rPr>
          <w:rFonts w:ascii="Book Antiqua" w:hAnsi="Book Antiqua" w:cs="Times New Roman" w:hint="eastAsia"/>
          <w:i/>
          <w:sz w:val="24"/>
          <w:szCs w:val="24"/>
        </w:rPr>
        <w:t>P</w:t>
      </w:r>
      <w:r w:rsidR="005E7518">
        <w:rPr>
          <w:rFonts w:ascii="Book Antiqua" w:hAnsi="Book Antiqua" w:cs="Times New Roman" w:hint="eastAsia"/>
          <w:sz w:val="24"/>
          <w:szCs w:val="24"/>
        </w:rPr>
        <w:t xml:space="preserve"> </w:t>
      </w:r>
      <w:r w:rsidR="00BE7D63" w:rsidRPr="00843662">
        <w:rPr>
          <w:rFonts w:ascii="Book Antiqua" w:hAnsi="Book Antiqua" w:cs="Times New Roman"/>
          <w:sz w:val="24"/>
          <w:szCs w:val="24"/>
        </w:rPr>
        <w:t>&lt;</w:t>
      </w:r>
      <w:r w:rsidR="005E7518">
        <w:rPr>
          <w:rFonts w:ascii="Book Antiqua" w:hAnsi="Book Antiqua" w:cs="Times New Roman" w:hint="eastAsia"/>
          <w:sz w:val="24"/>
          <w:szCs w:val="24"/>
        </w:rPr>
        <w:t xml:space="preserve"> </w:t>
      </w:r>
      <w:r w:rsidR="00BE7D63" w:rsidRPr="00843662">
        <w:rPr>
          <w:rFonts w:ascii="Book Antiqua" w:hAnsi="Book Antiqua" w:cs="Times New Roman"/>
          <w:sz w:val="24"/>
          <w:szCs w:val="24"/>
        </w:rPr>
        <w:t>0.001</w:t>
      </w:r>
      <w:r w:rsidR="00F62BFF" w:rsidRPr="00843662">
        <w:rPr>
          <w:rFonts w:ascii="Book Antiqua" w:hAnsi="Book Antiqua" w:cs="Times New Roman"/>
          <w:sz w:val="24"/>
          <w:szCs w:val="24"/>
        </w:rPr>
        <w:t>)</w:t>
      </w:r>
      <w:r w:rsidR="00EB34F1" w:rsidRPr="00843662">
        <w:rPr>
          <w:rFonts w:ascii="Book Antiqua" w:hAnsi="Book Antiqua" w:cs="Times New Roman"/>
          <w:sz w:val="24"/>
          <w:szCs w:val="24"/>
        </w:rPr>
        <w:t>,</w:t>
      </w:r>
      <w:r w:rsidR="00F62BFF" w:rsidRPr="00843662">
        <w:rPr>
          <w:rFonts w:ascii="Book Antiqua" w:hAnsi="Book Antiqua" w:cs="Times New Roman"/>
          <w:sz w:val="24"/>
          <w:szCs w:val="24"/>
        </w:rPr>
        <w:t xml:space="preserve"> consistent with previous </w:t>
      </w:r>
      <w:r w:rsidR="005E7518">
        <w:rPr>
          <w:rFonts w:ascii="Book Antiqua" w:hAnsi="Book Antiqua" w:cs="Times New Roman"/>
          <w:sz w:val="24"/>
          <w:szCs w:val="24"/>
        </w:rPr>
        <w:t>reports</w:t>
      </w:r>
      <w:r w:rsidR="00AA57C4" w:rsidRPr="00843662">
        <w:rPr>
          <w:rFonts w:ascii="Book Antiqua" w:hAnsi="Book Antiqua" w:cs="Times New Roman"/>
          <w:sz w:val="24"/>
          <w:szCs w:val="24"/>
        </w:rPr>
        <w:fldChar w:fldCharType="begin"/>
      </w:r>
      <w:r w:rsidR="00AC6696" w:rsidRPr="00843662">
        <w:rPr>
          <w:rFonts w:ascii="Book Antiqua" w:hAnsi="Book Antiqua" w:cs="Times New Roman"/>
          <w:sz w:val="24"/>
          <w:szCs w:val="24"/>
        </w:rPr>
        <w:instrText xml:space="preserve"> ADDIN ZOTERO_ITEM CSL_CITATION {"citationID":"VcF8t86W","properties":{"formattedCitation":"{\\rtf \\super [11,12]\\nosupersub{}}","plainCitation":"[11,12]"},"citationItems":[{"id":6,"uris":["http://zotero.org/users/2588530/items/DPHU4CRA"],"uri":["http://zotero.org/users/2588530/items/DPHU4CRA"],"itemData":{"id":6,"type":"article-journal","title":"The ability of Hepascore to predict liver fibrosis in chronic liver disease: a meta-analysis","container-title":"Liver International","source":"Wiley Online Library","abstract":"Background &amp; Aims\n\nHepascore is a serum model that was developed to assess the severity of liver fibrosis. It has been well validated in common causes of chronic liver disease. This study performed a meta-analysis to evaluate the pooled diagnostic performance of Hepascore and to compare it for different aetiologies of chronic liver disease.\n\n\nMethods\n\nTwo reviewers searched electronic databases from October 2005 to September 2015 for studies that evaluated the diagnostic performance of Hepascore for liver fibrosis in chronic liver disease.\n\n\nResults\n\n21 studies were included. The AUROC was adjusted according to the distribution of fibrosis stages. The mean adjusted AUROC was 0.83 (95% CI, 0.81–0.85) for significant fibrosis, 0.89 (95% CI, 0.85–0.92) for advance fibrosis and 0.93 (95% CI, 0.91–0.95) for cirrhosis. A cut point of 0.50–0.55 achieved a summary sensitivity of 70% and a summary specificity of 79% to predict significant fibrosis. A cut point of 0.50–0.61 had a summary sensitivity of 81% and a summary specificity of 74% to predict advanced fibrosis. A cut point of 0.80–0.84 had a summary sensitivity of 72% and a summary specificity of 0.88% to predict cirrhosis. The accuracy of Hepascore was similar among all disease aetiologies for the prediction of cirrhosis. However, Hepascore had better diagnostic ability for significant and advanced fibrosis in chronic hepatitis C, chronic hepatitis B and alcoholic liver disease than for non-alcoholic fatty liver disease and HIV co-infected viral hepatitis.\n\n\nConclusions\n\nHepascore is a clinically useful measure of liver fibrosis in patients with common causes of chronic liver disease.","DOI":"10.1111/liv.13116","ISSN":"1478-3231","shortTitle":"The ability of Hepascore to predict liver fibrosis in chronic liver disease","journalAbbreviation":"Liver Int","language":"en","author":[{"family":"Huang","given":"Yi"},{"family":"Adams","given":"Leon A."},{"family":"Joseph","given":"John"},{"family":"Bulsara","given":"Max K."},{"family":"Jeffrey","given":"Gary P."}],"issued":{"date-parts":[["2016",4,1]]},"accessed":{"date-parts":[["2016",7,16]]}},"label":"page"},{"id":8,"uris":["http://zotero.org/users/2588530/items/ZT8MG3XN"],"uri":["http://zotero.org/users/2588530/items/ZT8MG3XN"],"itemData":{"id":8,"type":"article-journal","title":"Hepascore: An Accurate Validated Predictor of Liver Fibrosis in Chronic Hepatitis C Infection","container-title":"Clinical Chemistry","page":"1867-1873","volume":"51","issue":"10","source":"www.clinchem.org","abstract":"Background: Staging hepatic fibrosis by liver biopsy guides prognosis and treatment of hepatitis C, but is invasive and expensive. We sought to create an algorithm of serum markers that accurately and reliably predict liver fibrosis stage among hepatitis C patients.\nMethods: Ten biochemical markers were measured at time of liver biopsy in 117 untreated hepatitis C patients (training set). Multivariate logistic regression and ROC curve analyses were used to create a predictive model for significant fibrosis (METAVIR F2, F3, and F4), advanced fibrosis (F3 and F4), and cirrhosis (F4). The model was validated in 104 patients from other institutions.\nResults: A model (Hepascore) of bilirubin, γ-glutamyltransferase, hyaluronic acid, α2-macroglobulin, age, and sex produced areas under the ROC curves (AUCs) of 0.85, 0.96, and 0.94 for significant fibrosis, advanced fibrosis, and cirrhosis, respectively. In the training set, a score ≥0.5 (range, 0.0–1.0) was 92% specific and 67% sensitive for significant fibrosis, a score &lt;0.5 was 81% specific and 95% sensitive for advanced fibrosis, and a score &lt;0.84 was 84% specific and 71% sensitive for cirrhosis. Among the validation set, the AUC for significant fibrosis, advanced fibrosis, and cirrhosis were 0.82, 0.90, and 0.89, respectively. A score ≥0.5 provided a specificity and sensitivity of 89% and 63% for significant fibrosis, whereas scores &lt;0.5 had 74% specificity and 88% sensitivity for advanced fibrosis.\nConclusions: A model of 4 serum markers plus age and sex provides clinically useful information regarding different fibrosis stages among hepatitis C patients.","DOI":"10.1373/clinchem.2005.048389","ISSN":"0009-9147, 1530-8561","note":"PMID: 16055434","shortTitle":"Hepascore","journalAbbreviation":"Clinical Chemistry","language":"en","author":[{"family":"Adams","given":"Leon A."},{"family":"Bulsara","given":"Max"},{"family":"Rossi","given":"Enrico"},{"family":"DeBoer","given":"Bastiaan"},{"family":"Speers","given":"David"},{"family":"George","given":"Jacob"},{"family":"Kench","given":"James"},{"family":"Farrell","given":"Geoffrey"},{"family":"McCaughan","given":"Geoffrey W."},{"family":"Jeffrey","given":"Gary P."}],"issued":{"date-parts":[["2005",10,1]]},"PMID":"16055434"},"label":"page"}],"schema":"https://github.com/citation-style-language/schema/raw/master/csl-citation.json"} </w:instrText>
      </w:r>
      <w:r w:rsidR="00AA57C4" w:rsidRPr="00843662">
        <w:rPr>
          <w:rFonts w:ascii="Book Antiqua" w:hAnsi="Book Antiqua" w:cs="Times New Roman"/>
          <w:sz w:val="24"/>
          <w:szCs w:val="24"/>
        </w:rPr>
        <w:fldChar w:fldCharType="separate"/>
      </w:r>
      <w:r w:rsidR="00AC6696" w:rsidRPr="00843662">
        <w:rPr>
          <w:rFonts w:ascii="Book Antiqua" w:hAnsi="Book Antiqua" w:cs="Times New Roman"/>
          <w:sz w:val="24"/>
          <w:szCs w:val="24"/>
          <w:vertAlign w:val="superscript"/>
        </w:rPr>
        <w:t>[11,12]</w:t>
      </w:r>
      <w:r w:rsidR="00AA57C4" w:rsidRPr="00843662">
        <w:rPr>
          <w:rFonts w:ascii="Book Antiqua" w:hAnsi="Book Antiqua" w:cs="Times New Roman"/>
          <w:sz w:val="24"/>
          <w:szCs w:val="24"/>
        </w:rPr>
        <w:fldChar w:fldCharType="end"/>
      </w:r>
      <w:r w:rsidR="00F62BFF" w:rsidRPr="00843662">
        <w:rPr>
          <w:rFonts w:ascii="Book Antiqua" w:hAnsi="Book Antiqua" w:cs="Times New Roman"/>
          <w:sz w:val="24"/>
          <w:szCs w:val="24"/>
        </w:rPr>
        <w:t xml:space="preserve">. Importantly the delta </w:t>
      </w:r>
      <w:proofErr w:type="spellStart"/>
      <w:r w:rsidR="00F62BFF" w:rsidRPr="00843662">
        <w:rPr>
          <w:rFonts w:ascii="Book Antiqua" w:hAnsi="Book Antiqua" w:cs="Times New Roman"/>
          <w:sz w:val="24"/>
          <w:szCs w:val="24"/>
        </w:rPr>
        <w:t>Hepascore</w:t>
      </w:r>
      <w:proofErr w:type="spellEnd"/>
      <w:r w:rsidR="00F62BFF" w:rsidRPr="00843662">
        <w:rPr>
          <w:rFonts w:ascii="Book Antiqua" w:hAnsi="Book Antiqua" w:cs="Times New Roman"/>
          <w:sz w:val="24"/>
          <w:szCs w:val="24"/>
        </w:rPr>
        <w:t xml:space="preserve"> was also independently associated </w:t>
      </w:r>
      <w:r w:rsidR="006E7824" w:rsidRPr="00843662">
        <w:rPr>
          <w:rFonts w:ascii="Book Antiqua" w:hAnsi="Book Antiqua" w:cs="Times New Roman"/>
          <w:sz w:val="24"/>
          <w:szCs w:val="24"/>
        </w:rPr>
        <w:t xml:space="preserve">with predicting </w:t>
      </w:r>
      <w:r w:rsidR="00321C28" w:rsidRPr="00843662">
        <w:rPr>
          <w:rFonts w:ascii="Book Antiqua" w:hAnsi="Book Antiqua" w:cs="Times New Roman"/>
          <w:sz w:val="24"/>
          <w:szCs w:val="24"/>
        </w:rPr>
        <w:t>a</w:t>
      </w:r>
      <w:r w:rsidR="006E7824" w:rsidRPr="00843662">
        <w:rPr>
          <w:rFonts w:ascii="Book Antiqua" w:hAnsi="Book Antiqua" w:cs="Times New Roman"/>
          <w:sz w:val="24"/>
          <w:szCs w:val="24"/>
        </w:rPr>
        <w:t xml:space="preserve"> composite clinical endpoint (LRD, HCC, LD) </w:t>
      </w:r>
      <w:r w:rsidR="008C133B" w:rsidRPr="00843662">
        <w:rPr>
          <w:rFonts w:ascii="Book Antiqua" w:hAnsi="Book Antiqua" w:cs="Times New Roman"/>
          <w:sz w:val="24"/>
          <w:szCs w:val="24"/>
        </w:rPr>
        <w:t>(</w:t>
      </w:r>
      <w:r w:rsidR="005E7518" w:rsidRPr="005E7518">
        <w:rPr>
          <w:rFonts w:ascii="Book Antiqua" w:hAnsi="Book Antiqua" w:cs="Times New Roman" w:hint="eastAsia"/>
          <w:i/>
          <w:sz w:val="24"/>
          <w:szCs w:val="24"/>
        </w:rPr>
        <w:t>P</w:t>
      </w:r>
      <w:r w:rsidR="005E7518" w:rsidRPr="00843662">
        <w:rPr>
          <w:rFonts w:ascii="Book Antiqua" w:hAnsi="Book Antiqua" w:cs="Times New Roman"/>
          <w:sz w:val="24"/>
          <w:szCs w:val="24"/>
        </w:rPr>
        <w:t xml:space="preserve"> </w:t>
      </w:r>
      <w:r w:rsidR="008C133B" w:rsidRPr="00843662">
        <w:rPr>
          <w:rFonts w:ascii="Book Antiqua" w:hAnsi="Book Antiqua" w:cs="Times New Roman"/>
          <w:sz w:val="24"/>
          <w:szCs w:val="24"/>
        </w:rPr>
        <w:t>=</w:t>
      </w:r>
      <w:r w:rsidR="005E7518">
        <w:rPr>
          <w:rFonts w:ascii="Book Antiqua" w:hAnsi="Book Antiqua" w:cs="Times New Roman" w:hint="eastAsia"/>
          <w:sz w:val="24"/>
          <w:szCs w:val="24"/>
        </w:rPr>
        <w:t xml:space="preserve"> </w:t>
      </w:r>
      <w:r w:rsidR="008C133B" w:rsidRPr="00843662">
        <w:rPr>
          <w:rFonts w:ascii="Book Antiqua" w:hAnsi="Book Antiqua" w:cs="Times New Roman"/>
          <w:sz w:val="24"/>
          <w:szCs w:val="24"/>
        </w:rPr>
        <w:t>0.004</w:t>
      </w:r>
      <w:r w:rsidR="00F62BFF" w:rsidRPr="00843662">
        <w:rPr>
          <w:rFonts w:ascii="Book Antiqua" w:hAnsi="Book Antiqua" w:cs="Times New Roman"/>
          <w:sz w:val="24"/>
          <w:szCs w:val="24"/>
        </w:rPr>
        <w:t>).</w:t>
      </w:r>
      <w:r w:rsidR="002E1496" w:rsidRPr="00843662">
        <w:rPr>
          <w:rFonts w:ascii="Book Antiqua" w:hAnsi="Book Antiqua" w:cs="Times New Roman"/>
          <w:sz w:val="24"/>
          <w:szCs w:val="24"/>
        </w:rPr>
        <w:t xml:space="preserve"> </w:t>
      </w:r>
      <w:r w:rsidR="00D42910" w:rsidRPr="00843662">
        <w:rPr>
          <w:rFonts w:ascii="Book Antiqua" w:hAnsi="Book Antiqua" w:cs="Times New Roman"/>
          <w:sz w:val="24"/>
          <w:szCs w:val="24"/>
        </w:rPr>
        <w:t xml:space="preserve">The AUROC for predicting the composite end point using the initial </w:t>
      </w:r>
      <w:proofErr w:type="spellStart"/>
      <w:r w:rsidR="00D42910" w:rsidRPr="00843662">
        <w:rPr>
          <w:rFonts w:ascii="Book Antiqua" w:hAnsi="Book Antiqua" w:cs="Times New Roman"/>
          <w:sz w:val="24"/>
          <w:szCs w:val="24"/>
        </w:rPr>
        <w:t>Hepascore</w:t>
      </w:r>
      <w:proofErr w:type="spellEnd"/>
      <w:r w:rsidR="00D42910" w:rsidRPr="00843662">
        <w:rPr>
          <w:rFonts w:ascii="Book Antiqua" w:hAnsi="Book Antiqua" w:cs="Times New Roman"/>
          <w:sz w:val="24"/>
          <w:szCs w:val="24"/>
        </w:rPr>
        <w:t xml:space="preserve"> and delta </w:t>
      </w:r>
      <w:proofErr w:type="spellStart"/>
      <w:r w:rsidR="00D42910" w:rsidRPr="00843662">
        <w:rPr>
          <w:rFonts w:ascii="Book Antiqua" w:hAnsi="Book Antiqua" w:cs="Times New Roman"/>
          <w:sz w:val="24"/>
          <w:szCs w:val="24"/>
        </w:rPr>
        <w:t>Hepascore</w:t>
      </w:r>
      <w:proofErr w:type="spellEnd"/>
      <w:r w:rsidR="00D42910" w:rsidRPr="00843662">
        <w:rPr>
          <w:rFonts w:ascii="Book Antiqua" w:hAnsi="Book Antiqua" w:cs="Times New Roman"/>
          <w:sz w:val="24"/>
          <w:szCs w:val="24"/>
        </w:rPr>
        <w:t xml:space="preserve"> was 0.84</w:t>
      </w:r>
      <w:r w:rsidR="00EB34F1" w:rsidRPr="00843662">
        <w:rPr>
          <w:rFonts w:ascii="Book Antiqua" w:hAnsi="Book Antiqua" w:cs="Times New Roman"/>
          <w:sz w:val="24"/>
          <w:szCs w:val="24"/>
        </w:rPr>
        <w:t>,</w:t>
      </w:r>
      <w:r w:rsidR="000B68D7" w:rsidRPr="00843662">
        <w:rPr>
          <w:rFonts w:ascii="Book Antiqua" w:hAnsi="Book Antiqua" w:cs="Times New Roman"/>
          <w:sz w:val="24"/>
          <w:szCs w:val="24"/>
        </w:rPr>
        <w:t xml:space="preserve"> </w:t>
      </w:r>
      <w:r w:rsidR="00EB34F1" w:rsidRPr="00843662">
        <w:rPr>
          <w:rFonts w:ascii="Book Antiqua" w:hAnsi="Book Antiqua" w:cs="Times New Roman"/>
          <w:sz w:val="24"/>
          <w:szCs w:val="24"/>
        </w:rPr>
        <w:t>which</w:t>
      </w:r>
      <w:r w:rsidR="00D42910" w:rsidRPr="00843662">
        <w:rPr>
          <w:rFonts w:ascii="Book Antiqua" w:hAnsi="Book Antiqua" w:cs="Times New Roman"/>
          <w:sz w:val="24"/>
          <w:szCs w:val="24"/>
        </w:rPr>
        <w:t xml:space="preserve"> was increased compared to the AUROC using </w:t>
      </w:r>
      <w:proofErr w:type="spellStart"/>
      <w:r w:rsidR="00D42910" w:rsidRPr="00843662">
        <w:rPr>
          <w:rFonts w:ascii="Book Antiqua" w:hAnsi="Book Antiqua" w:cs="Times New Roman"/>
          <w:sz w:val="24"/>
          <w:szCs w:val="24"/>
        </w:rPr>
        <w:t>Hepascore</w:t>
      </w:r>
      <w:proofErr w:type="spellEnd"/>
      <w:r w:rsidR="00D42910" w:rsidRPr="00843662">
        <w:rPr>
          <w:rFonts w:ascii="Book Antiqua" w:hAnsi="Book Antiqua" w:cs="Times New Roman"/>
          <w:sz w:val="24"/>
          <w:szCs w:val="24"/>
        </w:rPr>
        <w:t xml:space="preserve"> alone</w:t>
      </w:r>
      <w:r w:rsidR="000B68D7" w:rsidRPr="00843662">
        <w:rPr>
          <w:rFonts w:ascii="Book Antiqua" w:hAnsi="Book Antiqua" w:cs="Times New Roman"/>
          <w:sz w:val="24"/>
          <w:szCs w:val="24"/>
        </w:rPr>
        <w:t xml:space="preserve"> </w:t>
      </w:r>
      <w:r w:rsidR="00EB34F1" w:rsidRPr="00843662">
        <w:rPr>
          <w:rFonts w:ascii="Book Antiqua" w:hAnsi="Book Antiqua" w:cs="Times New Roman"/>
          <w:sz w:val="24"/>
          <w:szCs w:val="24"/>
        </w:rPr>
        <w:t>(</w:t>
      </w:r>
      <w:r w:rsidR="00D42910" w:rsidRPr="00843662">
        <w:rPr>
          <w:rFonts w:ascii="Book Antiqua" w:hAnsi="Book Antiqua" w:cs="Times New Roman"/>
          <w:sz w:val="24"/>
          <w:szCs w:val="24"/>
        </w:rPr>
        <w:t>0.8</w:t>
      </w:r>
      <w:r w:rsidR="008F4D47" w:rsidRPr="00843662">
        <w:rPr>
          <w:rFonts w:ascii="Book Antiqua" w:hAnsi="Book Antiqua" w:cs="Times New Roman"/>
          <w:sz w:val="24"/>
          <w:szCs w:val="24"/>
        </w:rPr>
        <w:t>0</w:t>
      </w:r>
      <w:r w:rsidR="00EB34F1" w:rsidRPr="00843662">
        <w:rPr>
          <w:rFonts w:ascii="Book Antiqua" w:hAnsi="Book Antiqua" w:cs="Times New Roman"/>
          <w:sz w:val="24"/>
          <w:szCs w:val="24"/>
        </w:rPr>
        <w:t>)</w:t>
      </w:r>
      <w:r w:rsidR="008F4D47" w:rsidRPr="00843662">
        <w:rPr>
          <w:rFonts w:ascii="Book Antiqua" w:hAnsi="Book Antiqua" w:cs="Times New Roman"/>
          <w:sz w:val="24"/>
          <w:szCs w:val="24"/>
        </w:rPr>
        <w:t>.</w:t>
      </w:r>
    </w:p>
    <w:p w14:paraId="6A9DB889" w14:textId="3D9D092B" w:rsidR="00C95AF7" w:rsidRPr="00843662" w:rsidRDefault="00BC3DCB" w:rsidP="005E7518">
      <w:pPr>
        <w:spacing w:after="0" w:line="360" w:lineRule="auto"/>
        <w:ind w:firstLineChars="100" w:firstLine="240"/>
        <w:jc w:val="both"/>
        <w:rPr>
          <w:rFonts w:ascii="Book Antiqua" w:hAnsi="Book Antiqua" w:cs="Times New Roman"/>
          <w:sz w:val="24"/>
          <w:szCs w:val="24"/>
        </w:rPr>
      </w:pPr>
      <w:r w:rsidRPr="00843662">
        <w:rPr>
          <w:rFonts w:ascii="Book Antiqua" w:hAnsi="Book Antiqua" w:cs="Times New Roman"/>
          <w:sz w:val="24"/>
          <w:szCs w:val="24"/>
        </w:rPr>
        <w:t>Patients with a</w:t>
      </w:r>
      <w:r w:rsidR="006E25A5" w:rsidRPr="00843662">
        <w:rPr>
          <w:rFonts w:ascii="Book Antiqua" w:hAnsi="Book Antiqua" w:cs="Times New Roman"/>
          <w:sz w:val="24"/>
          <w:szCs w:val="24"/>
        </w:rPr>
        <w:t>n initial</w:t>
      </w:r>
      <w:r w:rsidR="00180BF1" w:rsidRPr="00843662">
        <w:rPr>
          <w:rFonts w:ascii="Book Antiqua" w:hAnsi="Book Antiqua" w:cs="Times New Roman"/>
          <w:sz w:val="24"/>
          <w:szCs w:val="24"/>
        </w:rPr>
        <w:t xml:space="preserve"> </w:t>
      </w:r>
      <w:proofErr w:type="spellStart"/>
      <w:r w:rsidR="00180BF1" w:rsidRPr="00843662">
        <w:rPr>
          <w:rFonts w:ascii="Book Antiqua" w:hAnsi="Book Antiqua" w:cs="Times New Roman"/>
          <w:sz w:val="24"/>
          <w:szCs w:val="24"/>
        </w:rPr>
        <w:t>Hepascore</w:t>
      </w:r>
      <w:proofErr w:type="spellEnd"/>
      <w:r w:rsidR="00180BF1" w:rsidRPr="00843662">
        <w:rPr>
          <w:rFonts w:ascii="Book Antiqua" w:hAnsi="Book Antiqua" w:cs="Times New Roman"/>
          <w:sz w:val="24"/>
          <w:szCs w:val="24"/>
        </w:rPr>
        <w:t xml:space="preserve"> </w:t>
      </w:r>
      <w:r w:rsidR="006E25A5" w:rsidRPr="00843662">
        <w:rPr>
          <w:rFonts w:ascii="Book Antiqua" w:hAnsi="Book Antiqua" w:cs="Times New Roman"/>
          <w:sz w:val="24"/>
          <w:szCs w:val="24"/>
        </w:rPr>
        <w:t xml:space="preserve">value </w:t>
      </w:r>
      <w:r w:rsidR="00051C5D" w:rsidRPr="00843662">
        <w:rPr>
          <w:rFonts w:ascii="Book Antiqua" w:hAnsi="Book Antiqua" w:cs="Times New Roman"/>
          <w:sz w:val="24"/>
          <w:szCs w:val="24"/>
        </w:rPr>
        <w:t>greater</w:t>
      </w:r>
      <w:r w:rsidR="00180BF1" w:rsidRPr="00843662">
        <w:rPr>
          <w:rFonts w:ascii="Book Antiqua" w:hAnsi="Book Antiqua" w:cs="Times New Roman"/>
          <w:sz w:val="24"/>
          <w:szCs w:val="24"/>
        </w:rPr>
        <w:t xml:space="preserve"> than 0.75 </w:t>
      </w:r>
      <w:r w:rsidRPr="00843662">
        <w:rPr>
          <w:rFonts w:ascii="Book Antiqua" w:hAnsi="Book Antiqua" w:cs="Times New Roman"/>
          <w:sz w:val="24"/>
          <w:szCs w:val="24"/>
        </w:rPr>
        <w:t xml:space="preserve">had an </w:t>
      </w:r>
      <w:r w:rsidR="00180BF1" w:rsidRPr="00843662">
        <w:rPr>
          <w:rFonts w:ascii="Book Antiqua" w:hAnsi="Book Antiqua" w:cs="Times New Roman"/>
          <w:sz w:val="24"/>
          <w:szCs w:val="24"/>
        </w:rPr>
        <w:t xml:space="preserve">increased risk of </w:t>
      </w:r>
      <w:r w:rsidR="00837C93" w:rsidRPr="00843662">
        <w:rPr>
          <w:rFonts w:ascii="Book Antiqua" w:hAnsi="Book Antiqua" w:cs="Times New Roman"/>
          <w:sz w:val="24"/>
          <w:szCs w:val="24"/>
        </w:rPr>
        <w:t>developing</w:t>
      </w:r>
      <w:r w:rsidR="00180BF1" w:rsidRPr="00843662">
        <w:rPr>
          <w:rFonts w:ascii="Book Antiqua" w:hAnsi="Book Antiqua" w:cs="Times New Roman"/>
          <w:sz w:val="24"/>
          <w:szCs w:val="24"/>
        </w:rPr>
        <w:t xml:space="preserve"> a</w:t>
      </w:r>
      <w:r w:rsidRPr="00843662">
        <w:rPr>
          <w:rFonts w:ascii="Book Antiqua" w:hAnsi="Book Antiqua" w:cs="Times New Roman"/>
          <w:sz w:val="24"/>
          <w:szCs w:val="24"/>
        </w:rPr>
        <w:t xml:space="preserve">n adverse </w:t>
      </w:r>
      <w:r w:rsidR="006E25A5" w:rsidRPr="00843662">
        <w:rPr>
          <w:rFonts w:ascii="Book Antiqua" w:hAnsi="Book Antiqua" w:cs="Times New Roman"/>
          <w:sz w:val="24"/>
          <w:szCs w:val="24"/>
        </w:rPr>
        <w:t xml:space="preserve">liver related </w:t>
      </w:r>
      <w:r w:rsidR="00180BF1" w:rsidRPr="00843662">
        <w:rPr>
          <w:rFonts w:ascii="Book Antiqua" w:hAnsi="Book Antiqua" w:cs="Times New Roman"/>
          <w:sz w:val="24"/>
          <w:szCs w:val="24"/>
        </w:rPr>
        <w:t>end point</w:t>
      </w:r>
      <w:r w:rsidR="006E25A5" w:rsidRPr="00843662">
        <w:rPr>
          <w:rFonts w:ascii="Book Antiqua" w:hAnsi="Book Antiqua" w:cs="Times New Roman"/>
          <w:sz w:val="24"/>
          <w:szCs w:val="24"/>
        </w:rPr>
        <w:t xml:space="preserve"> and this </w:t>
      </w:r>
      <w:r w:rsidR="00180BF1" w:rsidRPr="00843662">
        <w:rPr>
          <w:rFonts w:ascii="Book Antiqua" w:hAnsi="Book Antiqua" w:cs="Times New Roman"/>
          <w:sz w:val="24"/>
          <w:szCs w:val="24"/>
        </w:rPr>
        <w:t>equate</w:t>
      </w:r>
      <w:r w:rsidR="006E25A5" w:rsidRPr="00843662">
        <w:rPr>
          <w:rFonts w:ascii="Book Antiqua" w:hAnsi="Book Antiqua" w:cs="Times New Roman"/>
          <w:sz w:val="24"/>
          <w:szCs w:val="24"/>
        </w:rPr>
        <w:t>d</w:t>
      </w:r>
      <w:r w:rsidR="00180BF1" w:rsidRPr="00843662">
        <w:rPr>
          <w:rFonts w:ascii="Book Antiqua" w:hAnsi="Book Antiqua" w:cs="Times New Roman"/>
          <w:sz w:val="24"/>
          <w:szCs w:val="24"/>
        </w:rPr>
        <w:t xml:space="preserve"> to a </w:t>
      </w:r>
      <w:r w:rsidR="00051C5D" w:rsidRPr="00843662">
        <w:rPr>
          <w:rFonts w:ascii="Book Antiqua" w:hAnsi="Book Antiqua" w:cs="Times New Roman"/>
          <w:sz w:val="24"/>
          <w:szCs w:val="24"/>
        </w:rPr>
        <w:t>5-year</w:t>
      </w:r>
      <w:r w:rsidR="00180BF1" w:rsidRPr="00843662">
        <w:rPr>
          <w:rFonts w:ascii="Book Antiqua" w:hAnsi="Book Antiqua" w:cs="Times New Roman"/>
          <w:sz w:val="24"/>
          <w:szCs w:val="24"/>
        </w:rPr>
        <w:t xml:space="preserve"> risk of 10%</w:t>
      </w:r>
      <w:r w:rsidR="006E25A5" w:rsidRPr="00843662">
        <w:rPr>
          <w:rFonts w:ascii="Book Antiqua" w:hAnsi="Book Antiqua" w:cs="Times New Roman"/>
          <w:sz w:val="24"/>
          <w:szCs w:val="24"/>
        </w:rPr>
        <w:t xml:space="preserve"> and </w:t>
      </w:r>
      <w:r w:rsidR="00180BF1" w:rsidRPr="00843662">
        <w:rPr>
          <w:rFonts w:ascii="Book Antiqua" w:hAnsi="Book Antiqua" w:cs="Times New Roman"/>
          <w:sz w:val="24"/>
          <w:szCs w:val="24"/>
        </w:rPr>
        <w:t xml:space="preserve">a </w:t>
      </w:r>
      <w:r w:rsidR="00051C5D" w:rsidRPr="00843662">
        <w:rPr>
          <w:rFonts w:ascii="Book Antiqua" w:hAnsi="Book Antiqua" w:cs="Times New Roman"/>
          <w:sz w:val="24"/>
          <w:szCs w:val="24"/>
        </w:rPr>
        <w:t>10-year</w:t>
      </w:r>
      <w:r w:rsidR="00180BF1" w:rsidRPr="00843662">
        <w:rPr>
          <w:rFonts w:ascii="Book Antiqua" w:hAnsi="Book Antiqua" w:cs="Times New Roman"/>
          <w:sz w:val="24"/>
          <w:szCs w:val="24"/>
        </w:rPr>
        <w:t xml:space="preserve"> risk of 35%</w:t>
      </w:r>
      <w:r w:rsidR="008A525B" w:rsidRPr="00843662">
        <w:rPr>
          <w:rFonts w:ascii="Book Antiqua" w:hAnsi="Book Antiqua" w:cs="Times New Roman"/>
          <w:sz w:val="24"/>
          <w:szCs w:val="24"/>
        </w:rPr>
        <w:t>.</w:t>
      </w:r>
      <w:r w:rsidR="00601A38" w:rsidRPr="00843662">
        <w:rPr>
          <w:rFonts w:ascii="Book Antiqua" w:hAnsi="Book Antiqua" w:cs="Times New Roman"/>
          <w:sz w:val="24"/>
          <w:szCs w:val="24"/>
        </w:rPr>
        <w:t xml:space="preserve"> </w:t>
      </w:r>
      <w:r w:rsidRPr="00843662">
        <w:rPr>
          <w:rFonts w:ascii="Book Antiqua" w:hAnsi="Book Antiqua" w:cs="Times New Roman"/>
          <w:sz w:val="24"/>
          <w:szCs w:val="24"/>
        </w:rPr>
        <w:t xml:space="preserve">CHC patients with an initial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w:t>
      </w:r>
      <w:r w:rsidR="002E1496" w:rsidRPr="00843662">
        <w:rPr>
          <w:rFonts w:ascii="Book Antiqua" w:hAnsi="Book Antiqua" w:cs="Times New Roman"/>
          <w:sz w:val="24"/>
          <w:szCs w:val="24"/>
        </w:rPr>
        <w:t xml:space="preserve">less than or equal to </w:t>
      </w:r>
      <w:r w:rsidRPr="00843662">
        <w:rPr>
          <w:rFonts w:ascii="Book Antiqua" w:hAnsi="Book Antiqua" w:cs="Times New Roman"/>
          <w:sz w:val="24"/>
          <w:szCs w:val="24"/>
        </w:rPr>
        <w:t>0.75 had a negligible</w:t>
      </w:r>
      <w:r w:rsidR="00EB34F1" w:rsidRPr="00843662">
        <w:rPr>
          <w:rFonts w:ascii="Book Antiqua" w:hAnsi="Book Antiqua" w:cs="Times New Roman"/>
          <w:sz w:val="24"/>
          <w:szCs w:val="24"/>
        </w:rPr>
        <w:t xml:space="preserve"> (%)</w:t>
      </w:r>
      <w:r w:rsidRPr="00843662">
        <w:rPr>
          <w:rFonts w:ascii="Book Antiqua" w:hAnsi="Book Antiqua" w:cs="Times New Roman"/>
          <w:sz w:val="24"/>
          <w:szCs w:val="24"/>
        </w:rPr>
        <w:t xml:space="preserve"> risk for developing these complications</w:t>
      </w:r>
      <w:r w:rsidR="00EB34F1" w:rsidRPr="00843662">
        <w:rPr>
          <w:rFonts w:ascii="Book Antiqua" w:hAnsi="Book Antiqua" w:cs="Times New Roman"/>
          <w:sz w:val="24"/>
          <w:szCs w:val="24"/>
        </w:rPr>
        <w:t xml:space="preserve"> over 10 years</w:t>
      </w:r>
      <w:r w:rsidRPr="00843662">
        <w:rPr>
          <w:rFonts w:ascii="Book Antiqua" w:hAnsi="Book Antiqua" w:cs="Times New Roman"/>
          <w:sz w:val="24"/>
          <w:szCs w:val="24"/>
        </w:rPr>
        <w:t xml:space="preserve">. </w:t>
      </w:r>
      <w:r w:rsidR="006614C5" w:rsidRPr="00843662">
        <w:rPr>
          <w:rFonts w:ascii="Book Antiqua" w:hAnsi="Book Antiqua" w:cs="Times New Roman"/>
          <w:sz w:val="24"/>
          <w:szCs w:val="24"/>
        </w:rPr>
        <w:t>Further</w:t>
      </w:r>
      <w:r w:rsidR="006E25A5" w:rsidRPr="00843662">
        <w:rPr>
          <w:rFonts w:ascii="Book Antiqua" w:hAnsi="Book Antiqua" w:cs="Times New Roman"/>
          <w:sz w:val="24"/>
          <w:szCs w:val="24"/>
        </w:rPr>
        <w:t xml:space="preserve"> analysis found that in </w:t>
      </w:r>
      <w:r w:rsidR="006614C5" w:rsidRPr="00843662">
        <w:rPr>
          <w:rFonts w:ascii="Book Antiqua" w:hAnsi="Book Antiqua" w:cs="Times New Roman"/>
          <w:sz w:val="24"/>
          <w:szCs w:val="24"/>
        </w:rPr>
        <w:t xml:space="preserve">patients </w:t>
      </w:r>
      <w:r w:rsidR="006E25A5" w:rsidRPr="00843662">
        <w:rPr>
          <w:rFonts w:ascii="Book Antiqua" w:hAnsi="Book Antiqua" w:cs="Times New Roman"/>
          <w:sz w:val="24"/>
          <w:szCs w:val="24"/>
        </w:rPr>
        <w:t xml:space="preserve">with a </w:t>
      </w:r>
      <w:r w:rsidR="00C95AF7" w:rsidRPr="00843662">
        <w:rPr>
          <w:rFonts w:ascii="Book Antiqua" w:hAnsi="Book Antiqua" w:cs="Times New Roman"/>
          <w:sz w:val="24"/>
          <w:szCs w:val="24"/>
        </w:rPr>
        <w:t>baseline</w:t>
      </w:r>
      <w:r w:rsidR="00051C5D" w:rsidRPr="00843662">
        <w:rPr>
          <w:rFonts w:ascii="Book Antiqua" w:hAnsi="Book Antiqua" w:cs="Times New Roman"/>
          <w:sz w:val="24"/>
          <w:szCs w:val="24"/>
        </w:rPr>
        <w:t xml:space="preserve"> </w:t>
      </w:r>
      <w:proofErr w:type="spellStart"/>
      <w:r w:rsidR="00051C5D" w:rsidRPr="00843662">
        <w:rPr>
          <w:rFonts w:ascii="Book Antiqua" w:hAnsi="Book Antiqua" w:cs="Times New Roman"/>
          <w:sz w:val="24"/>
          <w:szCs w:val="24"/>
        </w:rPr>
        <w:t>Hepascore</w:t>
      </w:r>
      <w:proofErr w:type="spellEnd"/>
      <w:r w:rsidR="00051C5D" w:rsidRPr="00843662">
        <w:rPr>
          <w:rFonts w:ascii="Book Antiqua" w:hAnsi="Book Antiqua" w:cs="Times New Roman"/>
          <w:sz w:val="24"/>
          <w:szCs w:val="24"/>
        </w:rPr>
        <w:t xml:space="preserve"> greater than </w:t>
      </w:r>
      <w:r w:rsidR="00180BF1" w:rsidRPr="00843662">
        <w:rPr>
          <w:rFonts w:ascii="Book Antiqua" w:hAnsi="Book Antiqua" w:cs="Times New Roman"/>
          <w:sz w:val="24"/>
          <w:szCs w:val="24"/>
        </w:rPr>
        <w:t xml:space="preserve">0.75 </w:t>
      </w:r>
      <w:r w:rsidR="00B44DC4" w:rsidRPr="00843662">
        <w:rPr>
          <w:rFonts w:ascii="Book Antiqua" w:hAnsi="Book Antiqua" w:cs="Times New Roman"/>
          <w:sz w:val="24"/>
          <w:szCs w:val="24"/>
        </w:rPr>
        <w:t xml:space="preserve">and </w:t>
      </w:r>
      <w:r w:rsidRPr="00843662">
        <w:rPr>
          <w:rFonts w:ascii="Book Antiqua" w:hAnsi="Book Antiqua" w:cs="Times New Roman"/>
          <w:sz w:val="24"/>
          <w:szCs w:val="24"/>
        </w:rPr>
        <w:t xml:space="preserve">who had </w:t>
      </w:r>
      <w:r w:rsidR="006614C5" w:rsidRPr="00843662">
        <w:rPr>
          <w:rFonts w:ascii="Book Antiqua" w:hAnsi="Book Antiqua" w:cs="Times New Roman"/>
          <w:sz w:val="24"/>
          <w:szCs w:val="24"/>
        </w:rPr>
        <w:t xml:space="preserve">a subsequent improvement in their second </w:t>
      </w:r>
      <w:proofErr w:type="spellStart"/>
      <w:r w:rsidR="006614C5" w:rsidRPr="00843662">
        <w:rPr>
          <w:rFonts w:ascii="Book Antiqua" w:hAnsi="Book Antiqua" w:cs="Times New Roman"/>
          <w:sz w:val="24"/>
          <w:szCs w:val="24"/>
        </w:rPr>
        <w:t>Hepascore</w:t>
      </w:r>
      <w:proofErr w:type="spellEnd"/>
      <w:r w:rsidR="006614C5" w:rsidRPr="00843662">
        <w:rPr>
          <w:rFonts w:ascii="Book Antiqua" w:hAnsi="Book Antiqua" w:cs="Times New Roman"/>
          <w:sz w:val="24"/>
          <w:szCs w:val="24"/>
        </w:rPr>
        <w:t xml:space="preserve"> of more than 0.1</w:t>
      </w:r>
      <w:r w:rsidR="008F4D47" w:rsidRPr="00843662">
        <w:rPr>
          <w:rFonts w:ascii="Book Antiqua" w:hAnsi="Book Antiqua" w:cs="Times New Roman"/>
          <w:sz w:val="24"/>
          <w:szCs w:val="24"/>
        </w:rPr>
        <w:t xml:space="preserve"> (</w:t>
      </w:r>
      <w:r w:rsidR="004C5CF6" w:rsidRPr="00843662">
        <w:rPr>
          <w:rFonts w:ascii="Book Antiqua" w:hAnsi="Book Antiqua" w:cs="Times New Roman"/>
          <w:sz w:val="24"/>
          <w:szCs w:val="24"/>
        </w:rPr>
        <w:t>delta</w:t>
      </w:r>
      <w:r w:rsidR="005E7518">
        <w:rPr>
          <w:rFonts w:ascii="Book Antiqua" w:hAnsi="Book Antiqua" w:cs="Times New Roman" w:hint="eastAsia"/>
          <w:sz w:val="24"/>
          <w:szCs w:val="24"/>
        </w:rPr>
        <w:t xml:space="preserve"> </w:t>
      </w:r>
      <w:r w:rsidR="008F4D47" w:rsidRPr="00843662">
        <w:rPr>
          <w:rFonts w:ascii="Book Antiqua" w:hAnsi="Book Antiqua" w:cs="Times New Roman"/>
          <w:sz w:val="24"/>
          <w:szCs w:val="24"/>
        </w:rPr>
        <w:t>&lt;</w:t>
      </w:r>
      <w:r w:rsidR="005E7518">
        <w:rPr>
          <w:rFonts w:ascii="Book Antiqua" w:hAnsi="Book Antiqua" w:cs="Times New Roman" w:hint="eastAsia"/>
          <w:sz w:val="24"/>
          <w:szCs w:val="24"/>
        </w:rPr>
        <w:t xml:space="preserve"> </w:t>
      </w:r>
      <w:r w:rsidR="008F4D47" w:rsidRPr="00843662">
        <w:rPr>
          <w:rFonts w:ascii="Book Antiqua" w:hAnsi="Book Antiqua" w:cs="Times New Roman"/>
          <w:sz w:val="24"/>
          <w:szCs w:val="24"/>
        </w:rPr>
        <w:t>-0.1),</w:t>
      </w:r>
      <w:r w:rsidR="006614C5" w:rsidRPr="00843662">
        <w:rPr>
          <w:rFonts w:ascii="Book Antiqua" w:hAnsi="Book Antiqua" w:cs="Times New Roman"/>
          <w:sz w:val="24"/>
          <w:szCs w:val="24"/>
        </w:rPr>
        <w:t xml:space="preserve"> no </w:t>
      </w:r>
      <w:r w:rsidR="00B44DC4" w:rsidRPr="00843662">
        <w:rPr>
          <w:rFonts w:ascii="Book Antiqua" w:hAnsi="Book Antiqua" w:cs="Times New Roman"/>
          <w:sz w:val="24"/>
          <w:szCs w:val="24"/>
        </w:rPr>
        <w:t xml:space="preserve">adverse liver related </w:t>
      </w:r>
      <w:r w:rsidR="00180BF1" w:rsidRPr="00843662">
        <w:rPr>
          <w:rFonts w:ascii="Book Antiqua" w:hAnsi="Book Antiqua" w:cs="Times New Roman"/>
          <w:sz w:val="24"/>
          <w:szCs w:val="24"/>
        </w:rPr>
        <w:t>end point</w:t>
      </w:r>
      <w:r w:rsidR="006614C5" w:rsidRPr="00843662">
        <w:rPr>
          <w:rFonts w:ascii="Book Antiqua" w:hAnsi="Book Antiqua" w:cs="Times New Roman"/>
          <w:sz w:val="24"/>
          <w:szCs w:val="24"/>
        </w:rPr>
        <w:t>s</w:t>
      </w:r>
      <w:r w:rsidR="00180BF1" w:rsidRPr="00843662">
        <w:rPr>
          <w:rFonts w:ascii="Book Antiqua" w:hAnsi="Book Antiqua" w:cs="Times New Roman"/>
          <w:sz w:val="24"/>
          <w:szCs w:val="24"/>
        </w:rPr>
        <w:t xml:space="preserve"> </w:t>
      </w:r>
      <w:r w:rsidR="00B44DC4" w:rsidRPr="00843662">
        <w:rPr>
          <w:rFonts w:ascii="Book Antiqua" w:hAnsi="Book Antiqua" w:cs="Times New Roman"/>
          <w:sz w:val="24"/>
          <w:szCs w:val="24"/>
        </w:rPr>
        <w:t xml:space="preserve">occurred after </w:t>
      </w:r>
      <w:r w:rsidR="00C95AF7" w:rsidRPr="00843662">
        <w:rPr>
          <w:rFonts w:ascii="Book Antiqua" w:hAnsi="Book Antiqua" w:cs="Times New Roman"/>
          <w:sz w:val="24"/>
          <w:szCs w:val="24"/>
        </w:rPr>
        <w:t xml:space="preserve">a mean of </w:t>
      </w:r>
      <w:r w:rsidR="002C28D3" w:rsidRPr="00843662">
        <w:rPr>
          <w:rFonts w:ascii="Book Antiqua" w:hAnsi="Book Antiqua" w:cs="Times New Roman"/>
          <w:sz w:val="24"/>
          <w:szCs w:val="24"/>
        </w:rPr>
        <w:t>2.5 years</w:t>
      </w:r>
      <w:r w:rsidR="0090757B" w:rsidRPr="00843662">
        <w:rPr>
          <w:rFonts w:ascii="Book Antiqua" w:hAnsi="Book Antiqua" w:cs="Times New Roman"/>
          <w:sz w:val="24"/>
          <w:szCs w:val="24"/>
        </w:rPr>
        <w:t xml:space="preserve">. </w:t>
      </w:r>
      <w:r w:rsidR="002E1496" w:rsidRPr="00843662">
        <w:rPr>
          <w:rFonts w:ascii="Book Antiqua" w:hAnsi="Book Antiqua" w:cs="Times New Roman"/>
          <w:sz w:val="24"/>
          <w:szCs w:val="24"/>
        </w:rPr>
        <w:t>In contrast</w:t>
      </w:r>
      <w:r w:rsidR="00C95AF7" w:rsidRPr="00843662">
        <w:rPr>
          <w:rFonts w:ascii="Book Antiqua" w:hAnsi="Book Antiqua" w:cs="Times New Roman"/>
          <w:sz w:val="24"/>
          <w:szCs w:val="24"/>
        </w:rPr>
        <w:t>,</w:t>
      </w:r>
      <w:r w:rsidR="002E1496" w:rsidRPr="00843662">
        <w:rPr>
          <w:rFonts w:ascii="Book Antiqua" w:hAnsi="Book Antiqua" w:cs="Times New Roman"/>
          <w:sz w:val="24"/>
          <w:szCs w:val="24"/>
        </w:rPr>
        <w:t xml:space="preserve"> those CHC patients with </w:t>
      </w:r>
      <w:r w:rsidR="00051C5D" w:rsidRPr="00843662">
        <w:rPr>
          <w:rFonts w:ascii="Book Antiqua" w:hAnsi="Book Antiqua" w:cs="Times New Roman"/>
          <w:sz w:val="24"/>
          <w:szCs w:val="24"/>
        </w:rPr>
        <w:t>a</w:t>
      </w:r>
      <w:r w:rsidR="002E1496" w:rsidRPr="00843662">
        <w:rPr>
          <w:rFonts w:ascii="Book Antiqua" w:hAnsi="Book Antiqua" w:cs="Times New Roman"/>
          <w:sz w:val="24"/>
          <w:szCs w:val="24"/>
        </w:rPr>
        <w:t>n initial</w:t>
      </w:r>
      <w:r w:rsidR="00051C5D" w:rsidRPr="00843662">
        <w:rPr>
          <w:rFonts w:ascii="Book Antiqua" w:hAnsi="Book Antiqua" w:cs="Times New Roman"/>
          <w:sz w:val="24"/>
          <w:szCs w:val="24"/>
        </w:rPr>
        <w:t xml:space="preserve"> </w:t>
      </w:r>
      <w:proofErr w:type="spellStart"/>
      <w:r w:rsidR="00051C5D" w:rsidRPr="00843662">
        <w:rPr>
          <w:rFonts w:ascii="Book Antiqua" w:hAnsi="Book Antiqua" w:cs="Times New Roman"/>
          <w:sz w:val="24"/>
          <w:szCs w:val="24"/>
        </w:rPr>
        <w:t>Hepascore</w:t>
      </w:r>
      <w:proofErr w:type="spellEnd"/>
      <w:r w:rsidR="00051C5D" w:rsidRPr="00843662">
        <w:rPr>
          <w:rFonts w:ascii="Book Antiqua" w:hAnsi="Book Antiqua" w:cs="Times New Roman"/>
          <w:sz w:val="24"/>
          <w:szCs w:val="24"/>
        </w:rPr>
        <w:t xml:space="preserve"> greater than 0.75 </w:t>
      </w:r>
      <w:r w:rsidR="002E1496" w:rsidRPr="00843662">
        <w:rPr>
          <w:rFonts w:ascii="Book Antiqua" w:hAnsi="Book Antiqua" w:cs="Times New Roman"/>
          <w:sz w:val="24"/>
          <w:szCs w:val="24"/>
        </w:rPr>
        <w:t xml:space="preserve">and who had a stable </w:t>
      </w:r>
      <w:r w:rsidR="00180BF1" w:rsidRPr="00843662">
        <w:rPr>
          <w:rFonts w:ascii="Book Antiqua" w:hAnsi="Book Antiqua" w:cs="Times New Roman"/>
          <w:sz w:val="24"/>
          <w:szCs w:val="24"/>
        </w:rPr>
        <w:t xml:space="preserve">or </w:t>
      </w:r>
      <w:r w:rsidR="000B68D7" w:rsidRPr="00843662">
        <w:rPr>
          <w:rFonts w:ascii="Book Antiqua" w:hAnsi="Book Antiqua" w:cs="Times New Roman"/>
          <w:sz w:val="24"/>
          <w:szCs w:val="24"/>
        </w:rPr>
        <w:t>worsened</w:t>
      </w:r>
      <w:r w:rsidR="007D31DA" w:rsidRPr="00843662">
        <w:rPr>
          <w:rFonts w:ascii="Book Antiqua" w:hAnsi="Book Antiqua" w:cs="Times New Roman"/>
          <w:sz w:val="24"/>
          <w:szCs w:val="24"/>
        </w:rPr>
        <w:t xml:space="preserve"> </w:t>
      </w:r>
      <w:r w:rsidR="002E1496" w:rsidRPr="00843662">
        <w:rPr>
          <w:rFonts w:ascii="Book Antiqua" w:hAnsi="Book Antiqua" w:cs="Times New Roman"/>
          <w:sz w:val="24"/>
          <w:szCs w:val="24"/>
        </w:rPr>
        <w:t xml:space="preserve">delta </w:t>
      </w:r>
      <w:proofErr w:type="spellStart"/>
      <w:r w:rsidR="002E1496" w:rsidRPr="00843662">
        <w:rPr>
          <w:rFonts w:ascii="Book Antiqua" w:hAnsi="Book Antiqua" w:cs="Times New Roman"/>
          <w:sz w:val="24"/>
          <w:szCs w:val="24"/>
        </w:rPr>
        <w:t>Hepascore</w:t>
      </w:r>
      <w:proofErr w:type="spellEnd"/>
      <w:r w:rsidR="002E1496" w:rsidRPr="00843662">
        <w:rPr>
          <w:rFonts w:ascii="Book Antiqua" w:hAnsi="Book Antiqua" w:cs="Times New Roman"/>
          <w:sz w:val="24"/>
          <w:szCs w:val="24"/>
        </w:rPr>
        <w:t xml:space="preserve"> there was an </w:t>
      </w:r>
      <w:r w:rsidR="00180BF1" w:rsidRPr="00843662">
        <w:rPr>
          <w:rFonts w:ascii="Book Antiqua" w:hAnsi="Book Antiqua" w:cs="Times New Roman"/>
          <w:sz w:val="24"/>
          <w:szCs w:val="24"/>
        </w:rPr>
        <w:t xml:space="preserve">increased risk of </w:t>
      </w:r>
      <w:r w:rsidR="00C95AF7" w:rsidRPr="00843662">
        <w:rPr>
          <w:rFonts w:ascii="Book Antiqua" w:hAnsi="Book Antiqua" w:cs="Times New Roman"/>
          <w:sz w:val="24"/>
          <w:szCs w:val="24"/>
        </w:rPr>
        <w:t xml:space="preserve">experiencing </w:t>
      </w:r>
      <w:r w:rsidR="00180BF1" w:rsidRPr="00843662">
        <w:rPr>
          <w:rFonts w:ascii="Book Antiqua" w:hAnsi="Book Antiqua" w:cs="Times New Roman"/>
          <w:sz w:val="24"/>
          <w:szCs w:val="24"/>
        </w:rPr>
        <w:t>a</w:t>
      </w:r>
      <w:r w:rsidR="00C95AF7" w:rsidRPr="00843662">
        <w:rPr>
          <w:rFonts w:ascii="Book Antiqua" w:hAnsi="Book Antiqua" w:cs="Times New Roman"/>
          <w:sz w:val="24"/>
          <w:szCs w:val="24"/>
        </w:rPr>
        <w:t>n adverse liver related outcome</w:t>
      </w:r>
      <w:r w:rsidR="00051C5D" w:rsidRPr="00843662">
        <w:rPr>
          <w:rFonts w:ascii="Book Antiqua" w:hAnsi="Book Antiqua" w:cs="Times New Roman"/>
          <w:sz w:val="24"/>
          <w:szCs w:val="24"/>
        </w:rPr>
        <w:t>.</w:t>
      </w:r>
      <w:r w:rsidR="00843662" w:rsidRPr="00843662">
        <w:rPr>
          <w:rFonts w:ascii="Book Antiqua" w:hAnsi="Book Antiqua" w:cs="Times New Roman"/>
          <w:sz w:val="24"/>
          <w:szCs w:val="24"/>
        </w:rPr>
        <w:t xml:space="preserve"> </w:t>
      </w:r>
      <w:proofErr w:type="spellStart"/>
      <w:r w:rsidR="00C95AF7" w:rsidRPr="00843662">
        <w:rPr>
          <w:rFonts w:ascii="Book Antiqua" w:hAnsi="Book Antiqua" w:cs="Times New Roman"/>
          <w:sz w:val="24"/>
          <w:szCs w:val="24"/>
        </w:rPr>
        <w:t>Hepascore</w:t>
      </w:r>
      <w:proofErr w:type="spellEnd"/>
      <w:r w:rsidR="00C95AF7" w:rsidRPr="00843662">
        <w:rPr>
          <w:rFonts w:ascii="Book Antiqua" w:hAnsi="Book Antiqua" w:cs="Times New Roman"/>
          <w:sz w:val="24"/>
          <w:szCs w:val="24"/>
        </w:rPr>
        <w:t xml:space="preserve"> has a range of values from 0 to 1.0, therefore only t</w:t>
      </w:r>
      <w:r w:rsidR="005B2109" w:rsidRPr="00843662">
        <w:rPr>
          <w:rFonts w:ascii="Book Antiqua" w:hAnsi="Book Antiqua" w:cs="Times New Roman"/>
          <w:sz w:val="24"/>
          <w:szCs w:val="24"/>
        </w:rPr>
        <w:t xml:space="preserve">hose </w:t>
      </w:r>
      <w:r w:rsidR="00C95AF7" w:rsidRPr="00843662">
        <w:rPr>
          <w:rFonts w:ascii="Book Antiqua" w:hAnsi="Book Antiqua" w:cs="Times New Roman"/>
          <w:sz w:val="24"/>
          <w:szCs w:val="24"/>
        </w:rPr>
        <w:t xml:space="preserve">patients </w:t>
      </w:r>
      <w:r w:rsidR="005B2109" w:rsidRPr="00843662">
        <w:rPr>
          <w:rFonts w:ascii="Book Antiqua" w:hAnsi="Book Antiqua" w:cs="Times New Roman"/>
          <w:sz w:val="24"/>
          <w:szCs w:val="24"/>
        </w:rPr>
        <w:t xml:space="preserve">with a </w:t>
      </w:r>
      <w:r w:rsidR="00C95AF7" w:rsidRPr="00843662">
        <w:rPr>
          <w:rFonts w:ascii="Book Antiqua" w:hAnsi="Book Antiqua" w:cs="Times New Roman"/>
          <w:sz w:val="24"/>
          <w:szCs w:val="24"/>
        </w:rPr>
        <w:t xml:space="preserve">baseline </w:t>
      </w:r>
      <w:proofErr w:type="spellStart"/>
      <w:r w:rsidR="00C95AF7" w:rsidRPr="00843662">
        <w:rPr>
          <w:rFonts w:ascii="Book Antiqua" w:hAnsi="Book Antiqua" w:cs="Times New Roman"/>
          <w:sz w:val="24"/>
          <w:szCs w:val="24"/>
        </w:rPr>
        <w:t>Hepascore</w:t>
      </w:r>
      <w:proofErr w:type="spellEnd"/>
      <w:r w:rsidR="00C95AF7" w:rsidRPr="00843662">
        <w:rPr>
          <w:rFonts w:ascii="Book Antiqua" w:hAnsi="Book Antiqua" w:cs="Times New Roman"/>
          <w:sz w:val="24"/>
          <w:szCs w:val="24"/>
        </w:rPr>
        <w:t xml:space="preserve"> below 0.9 could have an increased delta </w:t>
      </w:r>
      <w:proofErr w:type="spellStart"/>
      <w:r w:rsidR="00C95AF7" w:rsidRPr="00843662">
        <w:rPr>
          <w:rFonts w:ascii="Book Antiqua" w:hAnsi="Book Antiqua" w:cs="Times New Roman"/>
          <w:sz w:val="24"/>
          <w:szCs w:val="24"/>
        </w:rPr>
        <w:t>Hepascore</w:t>
      </w:r>
      <w:proofErr w:type="spellEnd"/>
      <w:r w:rsidR="00C95AF7" w:rsidRPr="00843662">
        <w:rPr>
          <w:rFonts w:ascii="Book Antiqua" w:hAnsi="Book Antiqua" w:cs="Times New Roman"/>
          <w:sz w:val="24"/>
          <w:szCs w:val="24"/>
        </w:rPr>
        <w:t xml:space="preserve"> (</w:t>
      </w:r>
      <w:r w:rsidR="004C5CF6" w:rsidRPr="00843662">
        <w:rPr>
          <w:rFonts w:ascii="Book Antiqua" w:hAnsi="Book Antiqua" w:cs="Times New Roman"/>
          <w:sz w:val="24"/>
          <w:szCs w:val="24"/>
        </w:rPr>
        <w:t>delta</w:t>
      </w:r>
      <w:r w:rsidR="005E7518">
        <w:rPr>
          <w:rFonts w:ascii="Book Antiqua" w:hAnsi="Book Antiqua" w:cs="Times New Roman" w:hint="eastAsia"/>
          <w:sz w:val="24"/>
          <w:szCs w:val="24"/>
        </w:rPr>
        <w:t xml:space="preserve"> </w:t>
      </w:r>
      <w:r w:rsidR="00C95AF7" w:rsidRPr="00843662">
        <w:rPr>
          <w:rFonts w:ascii="Book Antiqua" w:hAnsi="Book Antiqua" w:cs="Times New Roman"/>
          <w:sz w:val="24"/>
          <w:szCs w:val="24"/>
        </w:rPr>
        <w:t>&gt;</w:t>
      </w:r>
      <w:r w:rsidR="005E7518">
        <w:rPr>
          <w:rFonts w:ascii="Book Antiqua" w:hAnsi="Book Antiqua" w:cs="Times New Roman" w:hint="eastAsia"/>
          <w:sz w:val="24"/>
          <w:szCs w:val="24"/>
        </w:rPr>
        <w:t xml:space="preserve"> </w:t>
      </w:r>
      <w:r w:rsidR="00C95AF7" w:rsidRPr="00843662">
        <w:rPr>
          <w:rFonts w:ascii="Book Antiqua" w:hAnsi="Book Antiqua" w:cs="Times New Roman"/>
          <w:sz w:val="24"/>
          <w:szCs w:val="24"/>
        </w:rPr>
        <w:t xml:space="preserve">0.1) </w:t>
      </w:r>
      <w:r w:rsidR="007D31DA" w:rsidRPr="00843662">
        <w:rPr>
          <w:rFonts w:ascii="Book Antiqua" w:hAnsi="Book Antiqua" w:cs="Times New Roman"/>
          <w:sz w:val="24"/>
          <w:szCs w:val="24"/>
        </w:rPr>
        <w:t>on subsequent testing</w:t>
      </w:r>
      <w:r w:rsidR="00C95AF7" w:rsidRPr="00843662">
        <w:rPr>
          <w:rFonts w:ascii="Book Antiqua" w:hAnsi="Book Antiqua" w:cs="Times New Roman"/>
          <w:sz w:val="24"/>
          <w:szCs w:val="24"/>
        </w:rPr>
        <w:t>. This limited the value of sub-group analysis comparing worsening (</w:t>
      </w:r>
      <w:r w:rsidR="004C5CF6" w:rsidRPr="00843662">
        <w:rPr>
          <w:rFonts w:ascii="Book Antiqua" w:hAnsi="Book Antiqua" w:cs="Times New Roman"/>
          <w:sz w:val="24"/>
          <w:szCs w:val="24"/>
        </w:rPr>
        <w:t>delta</w:t>
      </w:r>
      <w:r w:rsidR="005E7518">
        <w:rPr>
          <w:rFonts w:ascii="Book Antiqua" w:hAnsi="Book Antiqua" w:cs="Times New Roman" w:hint="eastAsia"/>
          <w:sz w:val="24"/>
          <w:szCs w:val="24"/>
        </w:rPr>
        <w:t xml:space="preserve"> </w:t>
      </w:r>
      <w:r w:rsidR="00C95AF7" w:rsidRPr="00843662">
        <w:rPr>
          <w:rFonts w:ascii="Book Antiqua" w:hAnsi="Book Antiqua" w:cs="Times New Roman"/>
          <w:sz w:val="24"/>
          <w:szCs w:val="24"/>
        </w:rPr>
        <w:t>&gt;</w:t>
      </w:r>
      <w:r w:rsidR="005E7518">
        <w:rPr>
          <w:rFonts w:ascii="Book Antiqua" w:hAnsi="Book Antiqua" w:cs="Times New Roman" w:hint="eastAsia"/>
          <w:sz w:val="24"/>
          <w:szCs w:val="24"/>
        </w:rPr>
        <w:t xml:space="preserve"> </w:t>
      </w:r>
      <w:r w:rsidR="00C95AF7" w:rsidRPr="00843662">
        <w:rPr>
          <w:rFonts w:ascii="Book Antiqua" w:hAnsi="Book Antiqua" w:cs="Times New Roman"/>
          <w:sz w:val="24"/>
          <w:szCs w:val="24"/>
        </w:rPr>
        <w:t>0.1) or stable (-0.1</w:t>
      </w:r>
      <w:r w:rsidR="005E7518">
        <w:rPr>
          <w:rFonts w:ascii="Book Antiqua" w:hAnsi="Book Antiqua" w:cs="Times New Roman" w:hint="eastAsia"/>
          <w:sz w:val="24"/>
          <w:szCs w:val="24"/>
        </w:rPr>
        <w:t xml:space="preserve"> </w:t>
      </w:r>
      <w:r w:rsidR="00C95AF7" w:rsidRPr="00843662">
        <w:rPr>
          <w:rFonts w:ascii="Book Antiqua" w:hAnsi="Book Antiqua" w:cs="Times New Roman"/>
          <w:sz w:val="24"/>
          <w:szCs w:val="24"/>
        </w:rPr>
        <w:t>≤</w:t>
      </w:r>
      <w:r w:rsidR="005E7518">
        <w:rPr>
          <w:rFonts w:ascii="Book Antiqua" w:hAnsi="Book Antiqua" w:cs="Times New Roman" w:hint="eastAsia"/>
          <w:sz w:val="24"/>
          <w:szCs w:val="24"/>
        </w:rPr>
        <w:t xml:space="preserve"> </w:t>
      </w:r>
      <w:r w:rsidR="004C5CF6" w:rsidRPr="00843662">
        <w:rPr>
          <w:rFonts w:ascii="Book Antiqua" w:hAnsi="Book Antiqua" w:cs="Times New Roman"/>
          <w:sz w:val="24"/>
          <w:szCs w:val="24"/>
        </w:rPr>
        <w:t>delta</w:t>
      </w:r>
      <w:r w:rsidR="005E7518">
        <w:rPr>
          <w:rFonts w:ascii="Book Antiqua" w:hAnsi="Book Antiqua" w:cs="Times New Roman" w:hint="eastAsia"/>
          <w:sz w:val="24"/>
          <w:szCs w:val="24"/>
        </w:rPr>
        <w:t xml:space="preserve"> </w:t>
      </w:r>
      <w:r w:rsidR="00C95AF7" w:rsidRPr="00843662">
        <w:rPr>
          <w:rFonts w:ascii="Book Antiqua" w:hAnsi="Book Antiqua" w:cs="Times New Roman"/>
          <w:sz w:val="24"/>
          <w:szCs w:val="24"/>
        </w:rPr>
        <w:t>≤</w:t>
      </w:r>
      <w:r w:rsidR="005E7518">
        <w:rPr>
          <w:rFonts w:ascii="Book Antiqua" w:hAnsi="Book Antiqua" w:cs="Times New Roman" w:hint="eastAsia"/>
          <w:sz w:val="24"/>
          <w:szCs w:val="24"/>
        </w:rPr>
        <w:t xml:space="preserve"> </w:t>
      </w:r>
      <w:r w:rsidR="00C95AF7" w:rsidRPr="00843662">
        <w:rPr>
          <w:rFonts w:ascii="Book Antiqua" w:hAnsi="Book Antiqua" w:cs="Times New Roman"/>
          <w:sz w:val="24"/>
          <w:szCs w:val="24"/>
        </w:rPr>
        <w:t xml:space="preserve">0.1) delta </w:t>
      </w:r>
      <w:proofErr w:type="spellStart"/>
      <w:r w:rsidR="00C95AF7" w:rsidRPr="00843662">
        <w:rPr>
          <w:rFonts w:ascii="Book Antiqua" w:hAnsi="Book Antiqua" w:cs="Times New Roman"/>
          <w:sz w:val="24"/>
          <w:szCs w:val="24"/>
        </w:rPr>
        <w:t>Hepascore</w:t>
      </w:r>
      <w:proofErr w:type="spellEnd"/>
      <w:r w:rsidR="00C95AF7" w:rsidRPr="00843662">
        <w:rPr>
          <w:rFonts w:ascii="Book Antiqua" w:hAnsi="Book Antiqua" w:cs="Times New Roman"/>
          <w:sz w:val="24"/>
          <w:szCs w:val="24"/>
        </w:rPr>
        <w:t xml:space="preserve"> values</w:t>
      </w:r>
      <w:r w:rsidR="0079370C" w:rsidRPr="00843662">
        <w:rPr>
          <w:rFonts w:ascii="Book Antiqua" w:hAnsi="Book Antiqua" w:cs="Times New Roman"/>
          <w:sz w:val="24"/>
          <w:szCs w:val="24"/>
        </w:rPr>
        <w:t xml:space="preserve"> in those with an initial </w:t>
      </w:r>
      <w:proofErr w:type="spellStart"/>
      <w:r w:rsidR="0079370C" w:rsidRPr="00843662">
        <w:rPr>
          <w:rFonts w:ascii="Book Antiqua" w:hAnsi="Book Antiqua" w:cs="Times New Roman"/>
          <w:sz w:val="24"/>
          <w:szCs w:val="24"/>
        </w:rPr>
        <w:t>Hepascore</w:t>
      </w:r>
      <w:proofErr w:type="spellEnd"/>
      <w:r w:rsidR="0079370C" w:rsidRPr="00843662">
        <w:rPr>
          <w:rFonts w:ascii="Book Antiqua" w:hAnsi="Book Antiqua" w:cs="Times New Roman"/>
          <w:sz w:val="24"/>
          <w:szCs w:val="24"/>
        </w:rPr>
        <w:t xml:space="preserve"> greater than 0.75</w:t>
      </w:r>
      <w:r w:rsidR="00C3397E" w:rsidRPr="00843662">
        <w:rPr>
          <w:rFonts w:ascii="Book Antiqua" w:hAnsi="Book Antiqua" w:cs="Times New Roman"/>
          <w:sz w:val="24"/>
          <w:szCs w:val="24"/>
        </w:rPr>
        <w:t>.</w:t>
      </w:r>
    </w:p>
    <w:p w14:paraId="6F5E92E9" w14:textId="244DED4F" w:rsidR="00205CA9" w:rsidRPr="00843662" w:rsidRDefault="00601A38" w:rsidP="005E7518">
      <w:pPr>
        <w:spacing w:after="0" w:line="360" w:lineRule="auto"/>
        <w:ind w:firstLineChars="100" w:firstLine="240"/>
        <w:jc w:val="both"/>
        <w:rPr>
          <w:rFonts w:ascii="Book Antiqua" w:hAnsi="Book Antiqua" w:cs="Times New Roman"/>
          <w:sz w:val="24"/>
          <w:szCs w:val="24"/>
        </w:rPr>
      </w:pPr>
      <w:r w:rsidRPr="00843662">
        <w:rPr>
          <w:rFonts w:ascii="Book Antiqua" w:hAnsi="Book Antiqua" w:cs="Times New Roman"/>
          <w:sz w:val="24"/>
          <w:szCs w:val="24"/>
        </w:rPr>
        <w:t xml:space="preserve">The </w:t>
      </w:r>
      <w:r w:rsidR="0079370C" w:rsidRPr="00843662">
        <w:rPr>
          <w:rFonts w:ascii="Book Antiqua" w:hAnsi="Book Antiqua" w:cs="Times New Roman"/>
          <w:sz w:val="24"/>
          <w:szCs w:val="24"/>
        </w:rPr>
        <w:t xml:space="preserve">minimum time interval </w:t>
      </w:r>
      <w:r w:rsidRPr="00843662">
        <w:rPr>
          <w:rFonts w:ascii="Book Antiqua" w:hAnsi="Book Antiqua" w:cs="Times New Roman"/>
          <w:sz w:val="24"/>
          <w:szCs w:val="24"/>
        </w:rPr>
        <w:t xml:space="preserve">between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tests</w:t>
      </w:r>
      <w:r w:rsidR="0079370C" w:rsidRPr="00843662">
        <w:rPr>
          <w:rFonts w:ascii="Book Antiqua" w:hAnsi="Book Antiqua" w:cs="Times New Roman"/>
          <w:sz w:val="24"/>
          <w:szCs w:val="24"/>
        </w:rPr>
        <w:t xml:space="preserve"> that resulted in </w:t>
      </w:r>
      <w:r w:rsidR="00FF0D74" w:rsidRPr="00843662">
        <w:rPr>
          <w:rFonts w:ascii="Book Antiqua" w:hAnsi="Book Antiqua" w:cs="Times New Roman"/>
          <w:sz w:val="24"/>
          <w:szCs w:val="24"/>
        </w:rPr>
        <w:t>useful clinical information was one</w:t>
      </w:r>
      <w:r w:rsidRPr="00843662">
        <w:rPr>
          <w:rFonts w:ascii="Book Antiqua" w:hAnsi="Book Antiqua" w:cs="Times New Roman"/>
          <w:sz w:val="24"/>
          <w:szCs w:val="24"/>
        </w:rPr>
        <w:t xml:space="preserve"> </w:t>
      </w:r>
      <w:r w:rsidR="002453D3" w:rsidRPr="00843662">
        <w:rPr>
          <w:rFonts w:ascii="Book Antiqua" w:hAnsi="Book Antiqua" w:cs="Times New Roman"/>
          <w:sz w:val="24"/>
          <w:szCs w:val="24"/>
        </w:rPr>
        <w:t>year</w:t>
      </w:r>
      <w:r w:rsidR="00FF0D74" w:rsidRPr="00843662">
        <w:rPr>
          <w:rFonts w:ascii="Book Antiqua" w:hAnsi="Book Antiqua" w:cs="Times New Roman"/>
          <w:sz w:val="24"/>
          <w:szCs w:val="24"/>
        </w:rPr>
        <w:t xml:space="preserve">. Only when the </w:t>
      </w:r>
      <w:proofErr w:type="spellStart"/>
      <w:r w:rsidR="00FF0D74" w:rsidRPr="00843662">
        <w:rPr>
          <w:rFonts w:ascii="Book Antiqua" w:hAnsi="Book Antiqua" w:cs="Times New Roman"/>
          <w:sz w:val="24"/>
          <w:szCs w:val="24"/>
        </w:rPr>
        <w:t>Hepascore</w:t>
      </w:r>
      <w:proofErr w:type="spellEnd"/>
      <w:r w:rsidR="00FF0D74" w:rsidRPr="00843662">
        <w:rPr>
          <w:rFonts w:ascii="Book Antiqua" w:hAnsi="Book Antiqua" w:cs="Times New Roman"/>
          <w:sz w:val="24"/>
          <w:szCs w:val="24"/>
        </w:rPr>
        <w:t xml:space="preserve"> test interval w</w:t>
      </w:r>
      <w:r w:rsidR="00056F0A" w:rsidRPr="00843662">
        <w:rPr>
          <w:rFonts w:ascii="Book Antiqua" w:hAnsi="Book Antiqua" w:cs="Times New Roman"/>
          <w:sz w:val="24"/>
          <w:szCs w:val="24"/>
        </w:rPr>
        <w:t xml:space="preserve">as one year or more was there a significant association between delta </w:t>
      </w:r>
      <w:proofErr w:type="spellStart"/>
      <w:r w:rsidR="00056F0A" w:rsidRPr="00843662">
        <w:rPr>
          <w:rFonts w:ascii="Book Antiqua" w:hAnsi="Book Antiqua" w:cs="Times New Roman"/>
          <w:sz w:val="24"/>
          <w:szCs w:val="24"/>
        </w:rPr>
        <w:t>Hepascore</w:t>
      </w:r>
      <w:proofErr w:type="spellEnd"/>
      <w:r w:rsidR="00056F0A" w:rsidRPr="00843662">
        <w:rPr>
          <w:rFonts w:ascii="Book Antiqua" w:hAnsi="Book Antiqua" w:cs="Times New Roman"/>
          <w:sz w:val="24"/>
          <w:szCs w:val="24"/>
        </w:rPr>
        <w:t xml:space="preserve"> and the risk of adverse liver related outcomes (</w:t>
      </w:r>
      <w:r w:rsidR="005E7518" w:rsidRPr="005E7518">
        <w:rPr>
          <w:rFonts w:ascii="Book Antiqua" w:hAnsi="Book Antiqua" w:cs="Times New Roman" w:hint="eastAsia"/>
          <w:i/>
          <w:sz w:val="24"/>
          <w:szCs w:val="24"/>
        </w:rPr>
        <w:t>P</w:t>
      </w:r>
      <w:r w:rsidR="005E7518" w:rsidRPr="00843662">
        <w:rPr>
          <w:rFonts w:ascii="Book Antiqua" w:hAnsi="Book Antiqua" w:cs="Times New Roman"/>
          <w:sz w:val="24"/>
          <w:szCs w:val="24"/>
        </w:rPr>
        <w:t xml:space="preserve"> </w:t>
      </w:r>
      <w:r w:rsidR="00056F0A" w:rsidRPr="00843662">
        <w:rPr>
          <w:rFonts w:ascii="Book Antiqua" w:hAnsi="Book Antiqua" w:cs="Times New Roman"/>
          <w:sz w:val="24"/>
          <w:szCs w:val="24"/>
        </w:rPr>
        <w:t>=</w:t>
      </w:r>
      <w:r w:rsidR="005E7518">
        <w:rPr>
          <w:rFonts w:ascii="Book Antiqua" w:hAnsi="Book Antiqua" w:cs="Times New Roman" w:hint="eastAsia"/>
          <w:sz w:val="24"/>
          <w:szCs w:val="24"/>
        </w:rPr>
        <w:t xml:space="preserve"> </w:t>
      </w:r>
      <w:r w:rsidR="00056F0A" w:rsidRPr="00843662">
        <w:rPr>
          <w:rFonts w:ascii="Book Antiqua" w:hAnsi="Book Antiqua" w:cs="Times New Roman"/>
          <w:sz w:val="24"/>
          <w:szCs w:val="24"/>
        </w:rPr>
        <w:t xml:space="preserve">0.03). </w:t>
      </w:r>
      <w:r w:rsidR="00C10A32" w:rsidRPr="00843662">
        <w:rPr>
          <w:rFonts w:ascii="Book Antiqua" w:hAnsi="Book Antiqua" w:cs="Times New Roman"/>
          <w:sz w:val="24"/>
          <w:szCs w:val="24"/>
        </w:rPr>
        <w:t xml:space="preserve">Our findings show that there is a reduced risk of negative outcome </w:t>
      </w:r>
      <w:r w:rsidR="00056F0A" w:rsidRPr="00843662">
        <w:rPr>
          <w:rFonts w:ascii="Book Antiqua" w:hAnsi="Book Antiqua" w:cs="Times New Roman"/>
          <w:sz w:val="24"/>
          <w:szCs w:val="24"/>
        </w:rPr>
        <w:t xml:space="preserve">in CHC patients </w:t>
      </w:r>
      <w:r w:rsidR="00C10A32" w:rsidRPr="00843662">
        <w:rPr>
          <w:rFonts w:ascii="Book Antiqua" w:hAnsi="Book Antiqua" w:cs="Times New Roman"/>
          <w:sz w:val="24"/>
          <w:szCs w:val="24"/>
        </w:rPr>
        <w:t xml:space="preserve">who have an initial </w:t>
      </w:r>
      <w:proofErr w:type="spellStart"/>
      <w:r w:rsidR="00056F0A" w:rsidRPr="00843662">
        <w:rPr>
          <w:rFonts w:ascii="Book Antiqua" w:hAnsi="Book Antiqua" w:cs="Times New Roman"/>
          <w:sz w:val="24"/>
          <w:szCs w:val="24"/>
        </w:rPr>
        <w:t>Hepascore</w:t>
      </w:r>
      <w:proofErr w:type="spellEnd"/>
      <w:r w:rsidR="00056F0A" w:rsidRPr="00843662">
        <w:rPr>
          <w:rFonts w:ascii="Book Antiqua" w:hAnsi="Book Antiqua" w:cs="Times New Roman"/>
          <w:sz w:val="24"/>
          <w:szCs w:val="24"/>
        </w:rPr>
        <w:t xml:space="preserve"> </w:t>
      </w:r>
      <w:r w:rsidR="00C10A32" w:rsidRPr="00843662">
        <w:rPr>
          <w:rFonts w:ascii="Book Antiqua" w:hAnsi="Book Antiqua" w:cs="Times New Roman"/>
          <w:sz w:val="24"/>
          <w:szCs w:val="24"/>
        </w:rPr>
        <w:t xml:space="preserve">over 0.75, but have </w:t>
      </w:r>
      <w:r w:rsidR="00205CA9" w:rsidRPr="00843662">
        <w:rPr>
          <w:rFonts w:ascii="Book Antiqua" w:hAnsi="Book Antiqua" w:cs="Times New Roman"/>
          <w:sz w:val="24"/>
          <w:szCs w:val="24"/>
        </w:rPr>
        <w:t xml:space="preserve">an improved </w:t>
      </w:r>
      <w:r w:rsidR="00C10A32" w:rsidRPr="00843662">
        <w:rPr>
          <w:rFonts w:ascii="Book Antiqua" w:hAnsi="Book Antiqua" w:cs="Times New Roman"/>
          <w:sz w:val="24"/>
          <w:szCs w:val="24"/>
        </w:rPr>
        <w:t xml:space="preserve">delta </w:t>
      </w:r>
      <w:proofErr w:type="spellStart"/>
      <w:r w:rsidR="00C10A32" w:rsidRPr="00843662">
        <w:rPr>
          <w:rFonts w:ascii="Book Antiqua" w:hAnsi="Book Antiqua" w:cs="Times New Roman"/>
          <w:sz w:val="24"/>
          <w:szCs w:val="24"/>
        </w:rPr>
        <w:t>Hepascore</w:t>
      </w:r>
      <w:proofErr w:type="spellEnd"/>
      <w:r w:rsidR="00C10A32" w:rsidRPr="00843662">
        <w:rPr>
          <w:rFonts w:ascii="Book Antiqua" w:hAnsi="Book Antiqua" w:cs="Times New Roman"/>
          <w:sz w:val="24"/>
          <w:szCs w:val="24"/>
        </w:rPr>
        <w:t xml:space="preserve">, and </w:t>
      </w:r>
      <w:r w:rsidR="00205CA9" w:rsidRPr="00843662">
        <w:rPr>
          <w:rFonts w:ascii="Book Antiqua" w:hAnsi="Book Antiqua" w:cs="Times New Roman"/>
          <w:sz w:val="24"/>
          <w:szCs w:val="24"/>
        </w:rPr>
        <w:t xml:space="preserve">will potentially </w:t>
      </w:r>
      <w:r w:rsidR="00FF2838" w:rsidRPr="00843662">
        <w:rPr>
          <w:rFonts w:ascii="Book Antiqua" w:hAnsi="Book Antiqua" w:cs="Times New Roman"/>
          <w:sz w:val="24"/>
          <w:szCs w:val="24"/>
        </w:rPr>
        <w:t>allow a</w:t>
      </w:r>
      <w:r w:rsidR="00205CA9" w:rsidRPr="00843662">
        <w:rPr>
          <w:rFonts w:ascii="Book Antiqua" w:hAnsi="Book Antiqua" w:cs="Times New Roman"/>
          <w:sz w:val="24"/>
          <w:szCs w:val="24"/>
        </w:rPr>
        <w:t xml:space="preserve"> change in clinical management whereby the need for surveillance for </w:t>
      </w:r>
      <w:r w:rsidR="001C022E" w:rsidRPr="00843662">
        <w:rPr>
          <w:rFonts w:ascii="Book Antiqua" w:hAnsi="Book Antiqua" w:cs="Times New Roman"/>
          <w:sz w:val="24"/>
          <w:szCs w:val="24"/>
        </w:rPr>
        <w:t>varices</w:t>
      </w:r>
      <w:r w:rsidR="00205CA9" w:rsidRPr="00843662">
        <w:rPr>
          <w:rFonts w:ascii="Book Antiqua" w:hAnsi="Book Antiqua" w:cs="Times New Roman"/>
          <w:sz w:val="24"/>
          <w:szCs w:val="24"/>
        </w:rPr>
        <w:t xml:space="preserve"> and </w:t>
      </w:r>
      <w:r w:rsidR="00FF2838" w:rsidRPr="00843662">
        <w:rPr>
          <w:rFonts w:ascii="Book Antiqua" w:hAnsi="Book Antiqua" w:cs="Times New Roman"/>
          <w:sz w:val="24"/>
          <w:szCs w:val="24"/>
        </w:rPr>
        <w:t>hepatocellular cancer</w:t>
      </w:r>
      <w:r w:rsidR="00205CA9" w:rsidRPr="00843662">
        <w:rPr>
          <w:rFonts w:ascii="Book Antiqua" w:hAnsi="Book Antiqua" w:cs="Times New Roman"/>
          <w:sz w:val="24"/>
          <w:szCs w:val="24"/>
        </w:rPr>
        <w:t xml:space="preserve"> may</w:t>
      </w:r>
      <w:r w:rsidR="007D31DA" w:rsidRPr="00843662">
        <w:rPr>
          <w:rFonts w:ascii="Book Antiqua" w:hAnsi="Book Antiqua" w:cs="Times New Roman"/>
          <w:sz w:val="24"/>
          <w:szCs w:val="24"/>
        </w:rPr>
        <w:t xml:space="preserve"> </w:t>
      </w:r>
      <w:r w:rsidR="00205CA9" w:rsidRPr="00843662">
        <w:rPr>
          <w:rFonts w:ascii="Book Antiqua" w:hAnsi="Book Antiqua" w:cs="Times New Roman"/>
          <w:sz w:val="24"/>
          <w:szCs w:val="24"/>
        </w:rPr>
        <w:t xml:space="preserve">be </w:t>
      </w:r>
      <w:r w:rsidR="007D31DA" w:rsidRPr="00843662">
        <w:rPr>
          <w:rFonts w:ascii="Book Antiqua" w:hAnsi="Book Antiqua" w:cs="Times New Roman"/>
          <w:sz w:val="24"/>
          <w:szCs w:val="24"/>
        </w:rPr>
        <w:t>reduced</w:t>
      </w:r>
      <w:r w:rsidR="00205CA9" w:rsidRPr="00843662">
        <w:rPr>
          <w:rFonts w:ascii="Book Antiqua" w:hAnsi="Book Antiqua" w:cs="Times New Roman"/>
          <w:sz w:val="24"/>
          <w:szCs w:val="24"/>
        </w:rPr>
        <w:t>.</w:t>
      </w:r>
    </w:p>
    <w:p w14:paraId="5E15DE61" w14:textId="123AD316" w:rsidR="00DB40B2" w:rsidRPr="00843662" w:rsidRDefault="00E06FC9" w:rsidP="005E7518">
      <w:pPr>
        <w:spacing w:after="0" w:line="360" w:lineRule="auto"/>
        <w:ind w:firstLineChars="100" w:firstLine="240"/>
        <w:jc w:val="both"/>
        <w:rPr>
          <w:rFonts w:ascii="Book Antiqua" w:hAnsi="Book Antiqua" w:cs="Times New Roman"/>
          <w:sz w:val="24"/>
          <w:szCs w:val="24"/>
        </w:rPr>
      </w:pPr>
      <w:r w:rsidRPr="00843662">
        <w:rPr>
          <w:rFonts w:ascii="Book Antiqua" w:hAnsi="Book Antiqua" w:cs="Times New Roman"/>
          <w:sz w:val="24"/>
          <w:szCs w:val="24"/>
        </w:rPr>
        <w:t xml:space="preserve">This study has </w:t>
      </w:r>
      <w:r w:rsidR="00FD08F0" w:rsidRPr="00843662">
        <w:rPr>
          <w:rFonts w:ascii="Book Antiqua" w:hAnsi="Book Antiqua" w:cs="Times New Roman"/>
          <w:sz w:val="24"/>
          <w:szCs w:val="24"/>
        </w:rPr>
        <w:t>some</w:t>
      </w:r>
      <w:r w:rsidRPr="00843662">
        <w:rPr>
          <w:rFonts w:ascii="Book Antiqua" w:hAnsi="Book Antiqua" w:cs="Times New Roman"/>
          <w:sz w:val="24"/>
          <w:szCs w:val="24"/>
        </w:rPr>
        <w:t xml:space="preserve"> limitations.</w:t>
      </w:r>
      <w:r w:rsidR="00843662" w:rsidRPr="00843662">
        <w:rPr>
          <w:rFonts w:ascii="Book Antiqua" w:hAnsi="Book Antiqua" w:cs="Times New Roman"/>
          <w:sz w:val="24"/>
          <w:szCs w:val="24"/>
        </w:rPr>
        <w:t xml:space="preserve"> </w:t>
      </w:r>
      <w:r w:rsidRPr="00843662">
        <w:rPr>
          <w:rFonts w:ascii="Book Antiqua" w:hAnsi="Book Antiqua" w:cs="Times New Roman"/>
          <w:sz w:val="24"/>
          <w:szCs w:val="24"/>
        </w:rPr>
        <w:t>Firstly, d</w:t>
      </w:r>
      <w:r w:rsidR="003D4395" w:rsidRPr="00843662">
        <w:rPr>
          <w:rFonts w:ascii="Book Antiqua" w:hAnsi="Book Antiqua" w:cs="Times New Roman"/>
          <w:sz w:val="24"/>
          <w:szCs w:val="24"/>
        </w:rPr>
        <w:t xml:space="preserve">ue to the </w:t>
      </w:r>
      <w:r w:rsidR="002B5F6C" w:rsidRPr="00843662">
        <w:rPr>
          <w:rFonts w:ascii="Book Antiqua" w:hAnsi="Book Antiqua" w:cs="Times New Roman"/>
          <w:sz w:val="24"/>
          <w:szCs w:val="24"/>
        </w:rPr>
        <w:t xml:space="preserve">retrospective </w:t>
      </w:r>
      <w:r w:rsidR="003D4395" w:rsidRPr="00843662">
        <w:rPr>
          <w:rFonts w:ascii="Book Antiqua" w:hAnsi="Book Antiqua" w:cs="Times New Roman"/>
          <w:sz w:val="24"/>
          <w:szCs w:val="24"/>
        </w:rPr>
        <w:t>nature of this study,</w:t>
      </w:r>
      <w:r w:rsidR="00B57450" w:rsidRPr="00843662">
        <w:rPr>
          <w:rFonts w:ascii="Book Antiqua" w:hAnsi="Book Antiqua" w:cs="Times New Roman"/>
          <w:sz w:val="24"/>
          <w:szCs w:val="24"/>
        </w:rPr>
        <w:t xml:space="preserve"> </w:t>
      </w:r>
      <w:r w:rsidR="00205CA9" w:rsidRPr="00843662">
        <w:rPr>
          <w:rFonts w:ascii="Book Antiqua" w:hAnsi="Book Antiqua" w:cs="Times New Roman"/>
          <w:sz w:val="24"/>
          <w:szCs w:val="24"/>
        </w:rPr>
        <w:t xml:space="preserve">the second </w:t>
      </w:r>
      <w:proofErr w:type="spellStart"/>
      <w:r w:rsidR="00B57450" w:rsidRPr="00843662">
        <w:rPr>
          <w:rFonts w:ascii="Book Antiqua" w:hAnsi="Book Antiqua" w:cs="Times New Roman"/>
          <w:sz w:val="24"/>
          <w:szCs w:val="24"/>
        </w:rPr>
        <w:t>Hepascore</w:t>
      </w:r>
      <w:proofErr w:type="spellEnd"/>
      <w:r w:rsidR="00205CA9" w:rsidRPr="00843662">
        <w:rPr>
          <w:rFonts w:ascii="Book Antiqua" w:hAnsi="Book Antiqua" w:cs="Times New Roman"/>
          <w:sz w:val="24"/>
          <w:szCs w:val="24"/>
        </w:rPr>
        <w:t xml:space="preserve"> test</w:t>
      </w:r>
      <w:r w:rsidR="00B57450" w:rsidRPr="00843662">
        <w:rPr>
          <w:rFonts w:ascii="Book Antiqua" w:hAnsi="Book Antiqua" w:cs="Times New Roman"/>
          <w:sz w:val="24"/>
          <w:szCs w:val="24"/>
        </w:rPr>
        <w:t xml:space="preserve"> </w:t>
      </w:r>
      <w:r w:rsidR="003D4395" w:rsidRPr="00843662">
        <w:rPr>
          <w:rFonts w:ascii="Book Antiqua" w:hAnsi="Book Antiqua" w:cs="Times New Roman"/>
          <w:sz w:val="24"/>
          <w:szCs w:val="24"/>
        </w:rPr>
        <w:t>was not</w:t>
      </w:r>
      <w:r w:rsidR="00B57450" w:rsidRPr="00843662">
        <w:rPr>
          <w:rFonts w:ascii="Book Antiqua" w:hAnsi="Book Antiqua" w:cs="Times New Roman"/>
          <w:sz w:val="24"/>
          <w:szCs w:val="24"/>
        </w:rPr>
        <w:t xml:space="preserve"> </w:t>
      </w:r>
      <w:r w:rsidR="00205CA9" w:rsidRPr="00843662">
        <w:rPr>
          <w:rFonts w:ascii="Book Antiqua" w:hAnsi="Book Antiqua" w:cs="Times New Roman"/>
          <w:sz w:val="24"/>
          <w:szCs w:val="24"/>
        </w:rPr>
        <w:t xml:space="preserve">performed </w:t>
      </w:r>
      <w:r w:rsidR="0092145F" w:rsidRPr="00843662">
        <w:rPr>
          <w:rFonts w:ascii="Book Antiqua" w:hAnsi="Book Antiqua" w:cs="Times New Roman"/>
          <w:sz w:val="24"/>
          <w:szCs w:val="24"/>
        </w:rPr>
        <w:t xml:space="preserve">after </w:t>
      </w:r>
      <w:r w:rsidR="003D4395" w:rsidRPr="00843662">
        <w:rPr>
          <w:rFonts w:ascii="Book Antiqua" w:hAnsi="Book Antiqua" w:cs="Times New Roman"/>
          <w:sz w:val="24"/>
          <w:szCs w:val="24"/>
        </w:rPr>
        <w:t xml:space="preserve">a </w:t>
      </w:r>
      <w:r w:rsidR="00FF2838" w:rsidRPr="00843662">
        <w:rPr>
          <w:rFonts w:ascii="Book Antiqua" w:hAnsi="Book Antiqua" w:cs="Times New Roman"/>
          <w:sz w:val="24"/>
          <w:szCs w:val="24"/>
        </w:rPr>
        <w:t>fixed time</w:t>
      </w:r>
      <w:r w:rsidR="003D4395" w:rsidRPr="00843662">
        <w:rPr>
          <w:rFonts w:ascii="Book Antiqua" w:hAnsi="Book Antiqua" w:cs="Times New Roman"/>
          <w:sz w:val="24"/>
          <w:szCs w:val="24"/>
        </w:rPr>
        <w:t xml:space="preserve"> </w:t>
      </w:r>
      <w:r w:rsidR="003D4395" w:rsidRPr="00843662">
        <w:rPr>
          <w:rFonts w:ascii="Book Antiqua" w:hAnsi="Book Antiqua" w:cs="Times New Roman"/>
          <w:sz w:val="24"/>
          <w:szCs w:val="24"/>
        </w:rPr>
        <w:lastRenderedPageBreak/>
        <w:t>period</w:t>
      </w:r>
      <w:r w:rsidRPr="00843662">
        <w:rPr>
          <w:rFonts w:ascii="Book Antiqua" w:hAnsi="Book Antiqua" w:cs="Times New Roman"/>
          <w:sz w:val="24"/>
          <w:szCs w:val="24"/>
        </w:rPr>
        <w:t>.</w:t>
      </w:r>
      <w:r w:rsidR="00847EBD" w:rsidRPr="00843662">
        <w:rPr>
          <w:rFonts w:ascii="Book Antiqua" w:hAnsi="Book Antiqua" w:cs="Times New Roman"/>
          <w:sz w:val="24"/>
          <w:szCs w:val="24"/>
        </w:rPr>
        <w:t xml:space="preserve"> </w:t>
      </w:r>
      <w:r w:rsidR="00720389" w:rsidRPr="00843662">
        <w:rPr>
          <w:rFonts w:ascii="Book Antiqua" w:hAnsi="Book Antiqua" w:cs="Times New Roman"/>
          <w:sz w:val="24"/>
          <w:szCs w:val="24"/>
        </w:rPr>
        <w:t>T</w:t>
      </w:r>
      <w:r w:rsidR="003D4395" w:rsidRPr="00843662">
        <w:rPr>
          <w:rFonts w:ascii="Book Antiqua" w:hAnsi="Book Antiqua" w:cs="Times New Roman"/>
          <w:sz w:val="24"/>
          <w:szCs w:val="24"/>
        </w:rPr>
        <w:t xml:space="preserve">his time period was sufficient to </w:t>
      </w:r>
      <w:r w:rsidRPr="00843662">
        <w:rPr>
          <w:rFonts w:ascii="Book Antiqua" w:hAnsi="Book Antiqua" w:cs="Times New Roman"/>
          <w:sz w:val="24"/>
          <w:szCs w:val="24"/>
        </w:rPr>
        <w:t>demonstrate</w:t>
      </w:r>
      <w:r w:rsidR="00642A83" w:rsidRPr="00843662">
        <w:rPr>
          <w:rFonts w:ascii="Book Antiqua" w:hAnsi="Book Antiqua" w:cs="Times New Roman"/>
          <w:sz w:val="24"/>
          <w:szCs w:val="24"/>
        </w:rPr>
        <w:t xml:space="preserve"> </w:t>
      </w:r>
      <w:r w:rsidR="003D4395" w:rsidRPr="00843662">
        <w:rPr>
          <w:rFonts w:ascii="Book Antiqua" w:hAnsi="Book Antiqua" w:cs="Times New Roman"/>
          <w:sz w:val="24"/>
          <w:szCs w:val="24"/>
        </w:rPr>
        <w:t xml:space="preserve">variation in delta </w:t>
      </w:r>
      <w:proofErr w:type="spellStart"/>
      <w:r w:rsidR="003D4395" w:rsidRPr="00843662">
        <w:rPr>
          <w:rFonts w:ascii="Book Antiqua" w:hAnsi="Book Antiqua" w:cs="Times New Roman"/>
          <w:sz w:val="24"/>
          <w:szCs w:val="24"/>
        </w:rPr>
        <w:t>Hepascore</w:t>
      </w:r>
      <w:proofErr w:type="spellEnd"/>
      <w:r w:rsidR="003D4395" w:rsidRPr="00843662">
        <w:rPr>
          <w:rFonts w:ascii="Book Antiqua" w:hAnsi="Book Antiqua" w:cs="Times New Roman"/>
          <w:sz w:val="24"/>
          <w:szCs w:val="24"/>
        </w:rPr>
        <w:t xml:space="preserve">, however a </w:t>
      </w:r>
      <w:r w:rsidR="00B53FD5" w:rsidRPr="00843662">
        <w:rPr>
          <w:rFonts w:ascii="Book Antiqua" w:hAnsi="Book Antiqua" w:cs="Times New Roman"/>
          <w:sz w:val="24"/>
          <w:szCs w:val="24"/>
        </w:rPr>
        <w:t>fixed</w:t>
      </w:r>
      <w:r w:rsidR="003D4395" w:rsidRPr="00843662">
        <w:rPr>
          <w:rFonts w:ascii="Book Antiqua" w:hAnsi="Book Antiqua" w:cs="Times New Roman"/>
          <w:sz w:val="24"/>
          <w:szCs w:val="24"/>
        </w:rPr>
        <w:t xml:space="preserve"> </w:t>
      </w:r>
      <w:r w:rsidR="00B53FD5" w:rsidRPr="00843662">
        <w:rPr>
          <w:rFonts w:ascii="Book Antiqua" w:hAnsi="Book Antiqua" w:cs="Times New Roman"/>
          <w:sz w:val="24"/>
          <w:szCs w:val="24"/>
        </w:rPr>
        <w:t>follow-up</w:t>
      </w:r>
      <w:r w:rsidR="003D4395" w:rsidRPr="00843662">
        <w:rPr>
          <w:rFonts w:ascii="Book Antiqua" w:hAnsi="Book Antiqua" w:cs="Times New Roman"/>
          <w:sz w:val="24"/>
          <w:szCs w:val="24"/>
        </w:rPr>
        <w:t xml:space="preserve"> period could be established </w:t>
      </w:r>
      <w:r w:rsidR="00720389" w:rsidRPr="00843662">
        <w:rPr>
          <w:rFonts w:ascii="Book Antiqua" w:hAnsi="Book Antiqua" w:cs="Times New Roman"/>
          <w:sz w:val="24"/>
          <w:szCs w:val="24"/>
        </w:rPr>
        <w:t>for</w:t>
      </w:r>
      <w:r w:rsidR="003D4395" w:rsidRPr="00843662">
        <w:rPr>
          <w:rFonts w:ascii="Book Antiqua" w:hAnsi="Book Antiqua" w:cs="Times New Roman"/>
          <w:sz w:val="24"/>
          <w:szCs w:val="24"/>
        </w:rPr>
        <w:t xml:space="preserve"> future research.</w:t>
      </w:r>
      <w:r w:rsidR="00B3109C" w:rsidRPr="00843662">
        <w:rPr>
          <w:rFonts w:ascii="Book Antiqua" w:hAnsi="Book Antiqua" w:cs="Times New Roman"/>
          <w:sz w:val="24"/>
          <w:szCs w:val="24"/>
        </w:rPr>
        <w:t xml:space="preserve"> </w:t>
      </w:r>
      <w:r w:rsidRPr="00843662">
        <w:rPr>
          <w:rFonts w:ascii="Book Antiqua" w:hAnsi="Book Antiqua" w:cs="Times New Roman"/>
          <w:sz w:val="24"/>
          <w:szCs w:val="24"/>
        </w:rPr>
        <w:t xml:space="preserve">Secondly, </w:t>
      </w:r>
      <w:r w:rsidR="001A76C8" w:rsidRPr="00843662">
        <w:rPr>
          <w:rFonts w:ascii="Book Antiqua" w:hAnsi="Book Antiqua" w:cs="Times New Roman"/>
          <w:sz w:val="24"/>
          <w:szCs w:val="24"/>
        </w:rPr>
        <w:t xml:space="preserve">the data linkage system, which has allowed the collection of comprehensive data from a central </w:t>
      </w:r>
      <w:proofErr w:type="gramStart"/>
      <w:r w:rsidR="001A76C8" w:rsidRPr="00843662">
        <w:rPr>
          <w:rFonts w:ascii="Book Antiqua" w:hAnsi="Book Antiqua" w:cs="Times New Roman"/>
          <w:sz w:val="24"/>
          <w:szCs w:val="24"/>
        </w:rPr>
        <w:t>sou</w:t>
      </w:r>
      <w:bookmarkStart w:id="141" w:name="_GoBack"/>
      <w:bookmarkEnd w:id="141"/>
      <w:r w:rsidR="001A76C8" w:rsidRPr="00843662">
        <w:rPr>
          <w:rFonts w:ascii="Book Antiqua" w:hAnsi="Book Antiqua" w:cs="Times New Roman"/>
          <w:sz w:val="24"/>
          <w:szCs w:val="24"/>
        </w:rPr>
        <w:t>rce</w:t>
      </w:r>
      <w:proofErr w:type="gramEnd"/>
      <w:r w:rsidR="00847EBD" w:rsidRPr="00843662">
        <w:rPr>
          <w:rFonts w:ascii="Book Antiqua" w:hAnsi="Book Antiqua" w:cs="Times New Roman"/>
          <w:sz w:val="24"/>
          <w:szCs w:val="24"/>
        </w:rPr>
        <w:t xml:space="preserve"> </w:t>
      </w:r>
      <w:r w:rsidR="009F47CF" w:rsidRPr="00843662">
        <w:rPr>
          <w:rFonts w:ascii="Book Antiqua" w:hAnsi="Book Antiqua" w:cs="Times New Roman"/>
          <w:sz w:val="24"/>
          <w:szCs w:val="24"/>
        </w:rPr>
        <w:t xml:space="preserve">did not include information on </w:t>
      </w:r>
      <w:r w:rsidR="002B5F6C" w:rsidRPr="00843662">
        <w:rPr>
          <w:rFonts w:ascii="Book Antiqua" w:hAnsi="Book Antiqua" w:cs="Times New Roman"/>
          <w:sz w:val="24"/>
          <w:szCs w:val="24"/>
        </w:rPr>
        <w:t xml:space="preserve">alcohol consumption, </w:t>
      </w:r>
      <w:r w:rsidR="00B57450" w:rsidRPr="00843662">
        <w:rPr>
          <w:rFonts w:ascii="Book Antiqua" w:hAnsi="Book Antiqua" w:cs="Times New Roman"/>
          <w:sz w:val="24"/>
          <w:szCs w:val="24"/>
        </w:rPr>
        <w:t xml:space="preserve">diet and </w:t>
      </w:r>
      <w:r w:rsidR="00233EDF" w:rsidRPr="00843662">
        <w:rPr>
          <w:rFonts w:ascii="Book Antiqua" w:hAnsi="Book Antiqua" w:cs="Times New Roman"/>
          <w:sz w:val="24"/>
          <w:szCs w:val="24"/>
        </w:rPr>
        <w:t>exercise</w:t>
      </w:r>
      <w:r w:rsidR="009F47CF" w:rsidRPr="00843662">
        <w:rPr>
          <w:rFonts w:ascii="Book Antiqua" w:hAnsi="Book Antiqua" w:cs="Times New Roman"/>
          <w:sz w:val="24"/>
          <w:szCs w:val="24"/>
        </w:rPr>
        <w:t>.</w:t>
      </w:r>
      <w:r w:rsidR="00366F4B" w:rsidRPr="00843662">
        <w:rPr>
          <w:rFonts w:ascii="Book Antiqua" w:hAnsi="Book Antiqua" w:cs="Times New Roman"/>
          <w:sz w:val="24"/>
          <w:szCs w:val="24"/>
        </w:rPr>
        <w:t xml:space="preserve"> However, we believe that this data would not impact on the results of this study.</w:t>
      </w:r>
    </w:p>
    <w:p w14:paraId="7CEE4B81" w14:textId="4DA51770" w:rsidR="00794B97" w:rsidRPr="00843662" w:rsidRDefault="00794B97" w:rsidP="005E7518">
      <w:pPr>
        <w:spacing w:after="0" w:line="360" w:lineRule="auto"/>
        <w:ind w:firstLineChars="100" w:firstLine="240"/>
        <w:jc w:val="both"/>
        <w:rPr>
          <w:rFonts w:ascii="Book Antiqua" w:hAnsi="Book Antiqua" w:cs="Times New Roman"/>
          <w:sz w:val="24"/>
          <w:szCs w:val="24"/>
        </w:rPr>
      </w:pPr>
      <w:r w:rsidRPr="00843662">
        <w:rPr>
          <w:rFonts w:ascii="Book Antiqua" w:hAnsi="Book Antiqua" w:cs="Times New Roman"/>
          <w:sz w:val="24"/>
          <w:szCs w:val="24"/>
        </w:rPr>
        <w:t xml:space="preserve">In conclusion,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is an accurate predictor of liver-related mortality and morbidity in CHC patients. </w:t>
      </w:r>
      <w:r w:rsidR="001E0615" w:rsidRPr="00843662">
        <w:rPr>
          <w:rFonts w:ascii="Book Antiqua" w:hAnsi="Book Antiqua" w:cs="Times New Roman"/>
          <w:sz w:val="24"/>
          <w:szCs w:val="24"/>
        </w:rPr>
        <w:t>Of note, we have found that there is a decreased risk of mortality and morbidity in CHC patients when the patient has an</w:t>
      </w:r>
      <w:r w:rsidR="000E67CA" w:rsidRPr="00843662">
        <w:rPr>
          <w:rFonts w:ascii="Book Antiqua" w:hAnsi="Book Antiqua" w:cs="Times New Roman"/>
          <w:sz w:val="24"/>
          <w:szCs w:val="24"/>
        </w:rPr>
        <w:t xml:space="preserve"> i</w:t>
      </w:r>
      <w:r w:rsidR="00366F4B" w:rsidRPr="00843662">
        <w:rPr>
          <w:rFonts w:ascii="Book Antiqua" w:hAnsi="Book Antiqua" w:cs="Times New Roman"/>
          <w:sz w:val="24"/>
          <w:szCs w:val="24"/>
        </w:rPr>
        <w:t>mproving d</w:t>
      </w:r>
      <w:r w:rsidR="001E0615" w:rsidRPr="00843662">
        <w:rPr>
          <w:rFonts w:ascii="Book Antiqua" w:hAnsi="Book Antiqua" w:cs="Times New Roman"/>
          <w:sz w:val="24"/>
          <w:szCs w:val="24"/>
        </w:rPr>
        <w:t xml:space="preserve">elta </w:t>
      </w:r>
      <w:proofErr w:type="spellStart"/>
      <w:r w:rsidR="001E0615" w:rsidRPr="00843662">
        <w:rPr>
          <w:rFonts w:ascii="Book Antiqua" w:hAnsi="Book Antiqua" w:cs="Times New Roman"/>
          <w:sz w:val="24"/>
          <w:szCs w:val="24"/>
        </w:rPr>
        <w:t>Hepascore</w:t>
      </w:r>
      <w:proofErr w:type="spellEnd"/>
      <w:r w:rsidR="001E0615" w:rsidRPr="00843662">
        <w:rPr>
          <w:rFonts w:ascii="Book Antiqua" w:hAnsi="Book Antiqua" w:cs="Times New Roman"/>
          <w:sz w:val="24"/>
          <w:szCs w:val="24"/>
        </w:rPr>
        <w:t xml:space="preserve">. </w:t>
      </w:r>
      <w:r w:rsidR="00E06FC9" w:rsidRPr="00843662">
        <w:rPr>
          <w:rFonts w:ascii="Book Antiqua" w:hAnsi="Book Antiqua" w:cs="Times New Roman"/>
          <w:sz w:val="24"/>
          <w:szCs w:val="24"/>
        </w:rPr>
        <w:t>R</w:t>
      </w:r>
      <w:r w:rsidRPr="00843662">
        <w:rPr>
          <w:rFonts w:ascii="Book Antiqua" w:hAnsi="Book Antiqua" w:cs="Times New Roman"/>
          <w:sz w:val="24"/>
          <w:szCs w:val="24"/>
        </w:rPr>
        <w:t xml:space="preserve">epeat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tests</w:t>
      </w:r>
      <w:r w:rsidR="00D61097" w:rsidRPr="00843662">
        <w:rPr>
          <w:rFonts w:ascii="Book Antiqua" w:hAnsi="Book Antiqua" w:cs="Times New Roman"/>
          <w:sz w:val="24"/>
          <w:szCs w:val="24"/>
        </w:rPr>
        <w:t xml:space="preserve">, when performed at a minimum </w:t>
      </w:r>
      <w:r w:rsidR="00C3397E" w:rsidRPr="00843662">
        <w:rPr>
          <w:rFonts w:ascii="Book Antiqua" w:hAnsi="Book Antiqua" w:cs="Times New Roman"/>
          <w:sz w:val="24"/>
          <w:szCs w:val="24"/>
        </w:rPr>
        <w:t>one-year</w:t>
      </w:r>
      <w:r w:rsidR="00D61097" w:rsidRPr="00843662">
        <w:rPr>
          <w:rFonts w:ascii="Book Antiqua" w:hAnsi="Book Antiqua" w:cs="Times New Roman"/>
          <w:sz w:val="24"/>
          <w:szCs w:val="24"/>
        </w:rPr>
        <w:t xml:space="preserve"> interval,</w:t>
      </w:r>
      <w:r w:rsidRPr="00843662">
        <w:rPr>
          <w:rFonts w:ascii="Book Antiqua" w:hAnsi="Book Antiqua" w:cs="Times New Roman"/>
          <w:sz w:val="24"/>
          <w:szCs w:val="24"/>
        </w:rPr>
        <w:t xml:space="preserve"> </w:t>
      </w:r>
      <w:r w:rsidR="00E06FC9" w:rsidRPr="00843662">
        <w:rPr>
          <w:rFonts w:ascii="Book Antiqua" w:hAnsi="Book Antiqua" w:cs="Times New Roman"/>
          <w:sz w:val="24"/>
          <w:szCs w:val="24"/>
        </w:rPr>
        <w:t xml:space="preserve">may </w:t>
      </w:r>
      <w:r w:rsidRPr="00843662">
        <w:rPr>
          <w:rFonts w:ascii="Book Antiqua" w:hAnsi="Book Antiqua" w:cs="Times New Roman"/>
          <w:sz w:val="24"/>
          <w:szCs w:val="24"/>
        </w:rPr>
        <w:t xml:space="preserve">be of value in routine clinical practice </w:t>
      </w:r>
      <w:r w:rsidR="00D61097" w:rsidRPr="00843662">
        <w:rPr>
          <w:rFonts w:ascii="Book Antiqua" w:hAnsi="Book Antiqua" w:cs="Times New Roman"/>
          <w:sz w:val="24"/>
          <w:szCs w:val="24"/>
        </w:rPr>
        <w:t>to predict liver related clinical outcomes and to</w:t>
      </w:r>
      <w:r w:rsidRPr="00843662">
        <w:rPr>
          <w:rFonts w:ascii="Book Antiqua" w:hAnsi="Book Antiqua" w:cs="Times New Roman"/>
          <w:sz w:val="24"/>
          <w:szCs w:val="24"/>
        </w:rPr>
        <w:t xml:space="preserve"> </w:t>
      </w:r>
      <w:r w:rsidR="00E06FC9" w:rsidRPr="00843662">
        <w:rPr>
          <w:rFonts w:ascii="Book Antiqua" w:hAnsi="Book Antiqua" w:cs="Times New Roman"/>
          <w:sz w:val="24"/>
          <w:szCs w:val="24"/>
        </w:rPr>
        <w:t xml:space="preserve">guide </w:t>
      </w:r>
      <w:r w:rsidR="00D61097" w:rsidRPr="00843662">
        <w:rPr>
          <w:rFonts w:ascii="Book Antiqua" w:hAnsi="Book Antiqua" w:cs="Times New Roman"/>
          <w:sz w:val="24"/>
          <w:szCs w:val="24"/>
        </w:rPr>
        <w:t xml:space="preserve">patient </w:t>
      </w:r>
      <w:r w:rsidR="004965B1" w:rsidRPr="00843662">
        <w:rPr>
          <w:rFonts w:ascii="Book Antiqua" w:hAnsi="Book Antiqua" w:cs="Times New Roman"/>
          <w:sz w:val="24"/>
          <w:szCs w:val="24"/>
        </w:rPr>
        <w:t>management</w:t>
      </w:r>
      <w:r w:rsidR="00D61097" w:rsidRPr="00843662">
        <w:rPr>
          <w:rFonts w:ascii="Book Antiqua" w:hAnsi="Book Antiqua" w:cs="Times New Roman"/>
          <w:sz w:val="24"/>
          <w:szCs w:val="24"/>
        </w:rPr>
        <w:t xml:space="preserve">. </w:t>
      </w:r>
    </w:p>
    <w:p w14:paraId="2E95CD17" w14:textId="77777777" w:rsidR="00E46639" w:rsidRPr="00843662" w:rsidRDefault="00E46639" w:rsidP="00843662">
      <w:pPr>
        <w:spacing w:after="0" w:line="360" w:lineRule="auto"/>
        <w:jc w:val="both"/>
        <w:rPr>
          <w:rFonts w:ascii="Book Antiqua" w:hAnsi="Book Antiqua" w:cs="Times New Roman"/>
          <w:b/>
          <w:sz w:val="24"/>
          <w:szCs w:val="24"/>
        </w:rPr>
      </w:pPr>
    </w:p>
    <w:p w14:paraId="6877F5DA" w14:textId="2AF8447D" w:rsidR="00E46639" w:rsidRPr="00843662" w:rsidRDefault="0071565E" w:rsidP="00843662">
      <w:pPr>
        <w:spacing w:after="0" w:line="360" w:lineRule="auto"/>
        <w:jc w:val="both"/>
        <w:rPr>
          <w:rFonts w:ascii="Book Antiqua" w:hAnsi="Book Antiqua" w:cs="Times New Roman"/>
          <w:b/>
          <w:sz w:val="24"/>
          <w:szCs w:val="24"/>
          <w:lang w:val="en-US"/>
        </w:rPr>
      </w:pPr>
      <w:r w:rsidRPr="00843662">
        <w:rPr>
          <w:rFonts w:ascii="Book Antiqua" w:hAnsi="Book Antiqua" w:cs="Times New Roman"/>
          <w:b/>
          <w:sz w:val="24"/>
          <w:szCs w:val="24"/>
          <w:lang w:val="en-US"/>
        </w:rPr>
        <w:t>COMMENTS</w:t>
      </w:r>
    </w:p>
    <w:p w14:paraId="5D1F935F" w14:textId="77777777" w:rsidR="00E46639" w:rsidRPr="00843662" w:rsidRDefault="00E46639" w:rsidP="00843662">
      <w:pPr>
        <w:spacing w:after="0" w:line="360" w:lineRule="auto"/>
        <w:jc w:val="both"/>
        <w:rPr>
          <w:rFonts w:ascii="Book Antiqua" w:hAnsi="Book Antiqua" w:cs="Times New Roman"/>
          <w:b/>
          <w:i/>
          <w:sz w:val="24"/>
          <w:szCs w:val="24"/>
          <w:lang w:val="en-US"/>
        </w:rPr>
      </w:pPr>
      <w:r w:rsidRPr="00843662">
        <w:rPr>
          <w:rFonts w:ascii="Book Antiqua" w:hAnsi="Book Antiqua" w:cs="Times New Roman"/>
          <w:b/>
          <w:i/>
          <w:sz w:val="24"/>
          <w:szCs w:val="24"/>
          <w:lang w:val="en-US"/>
        </w:rPr>
        <w:t>Background</w:t>
      </w:r>
    </w:p>
    <w:p w14:paraId="14360F7B" w14:textId="48160019" w:rsidR="00E46639" w:rsidRPr="00843662" w:rsidRDefault="005C2462" w:rsidP="00843662">
      <w:pPr>
        <w:spacing w:after="0" w:line="360" w:lineRule="auto"/>
        <w:jc w:val="both"/>
        <w:rPr>
          <w:rFonts w:ascii="Book Antiqua" w:hAnsi="Book Antiqua" w:cs="Times New Roman"/>
          <w:b/>
          <w:sz w:val="24"/>
          <w:szCs w:val="24"/>
          <w:lang w:val="en-US"/>
        </w:rPr>
      </w:pPr>
      <w:r w:rsidRPr="00843662">
        <w:rPr>
          <w:rFonts w:ascii="Book Antiqua" w:hAnsi="Book Antiqua" w:cs="Times New Roman"/>
          <w:sz w:val="24"/>
          <w:szCs w:val="24"/>
        </w:rPr>
        <w:t xml:space="preserve">Several non-invasive serum fibrosis markers have been developed and are currently used as non-invasive alternatives to liver biopsy.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is one such marker that is able to predict </w:t>
      </w:r>
      <w:r w:rsidR="0017483C" w:rsidRPr="00843662">
        <w:rPr>
          <w:rFonts w:ascii="Book Antiqua" w:hAnsi="Book Antiqua" w:cs="Times New Roman"/>
          <w:sz w:val="24"/>
          <w:szCs w:val="24"/>
        </w:rPr>
        <w:t>severity of fibrosis</w:t>
      </w:r>
      <w:r w:rsidRPr="00843662">
        <w:rPr>
          <w:rFonts w:ascii="Book Antiqua" w:hAnsi="Book Antiqua" w:cs="Times New Roman"/>
          <w:sz w:val="24"/>
          <w:szCs w:val="24"/>
        </w:rPr>
        <w:t xml:space="preserve">, comparable to liver biopsy. </w:t>
      </w:r>
      <w:r w:rsidR="0017483C" w:rsidRPr="00843662">
        <w:rPr>
          <w:rFonts w:ascii="Book Antiqua" w:hAnsi="Book Antiqua" w:cs="Times New Roman"/>
          <w:sz w:val="24"/>
          <w:szCs w:val="24"/>
        </w:rPr>
        <w:t xml:space="preserve">Recent advances have now demonstrated that serum fibrosis markers </w:t>
      </w:r>
      <w:r w:rsidR="005C1026" w:rsidRPr="00843662">
        <w:rPr>
          <w:rFonts w:ascii="Book Antiqua" w:hAnsi="Book Antiqua" w:cs="Times New Roman"/>
          <w:sz w:val="24"/>
          <w:szCs w:val="24"/>
        </w:rPr>
        <w:t xml:space="preserve">such as </w:t>
      </w:r>
      <w:proofErr w:type="spellStart"/>
      <w:r w:rsidR="005C1026" w:rsidRPr="00843662">
        <w:rPr>
          <w:rFonts w:ascii="Book Antiqua" w:hAnsi="Book Antiqua" w:cs="Times New Roman"/>
          <w:sz w:val="24"/>
          <w:szCs w:val="24"/>
        </w:rPr>
        <w:t>Hepascore</w:t>
      </w:r>
      <w:proofErr w:type="spellEnd"/>
      <w:r w:rsidR="005C1026" w:rsidRPr="00843662">
        <w:rPr>
          <w:rFonts w:ascii="Book Antiqua" w:hAnsi="Book Antiqua" w:cs="Times New Roman"/>
          <w:sz w:val="24"/>
          <w:szCs w:val="24"/>
        </w:rPr>
        <w:t xml:space="preserve"> </w:t>
      </w:r>
      <w:r w:rsidR="0017483C" w:rsidRPr="00843662">
        <w:rPr>
          <w:rFonts w:ascii="Book Antiqua" w:hAnsi="Book Antiqua" w:cs="Times New Roman"/>
          <w:sz w:val="24"/>
          <w:szCs w:val="24"/>
        </w:rPr>
        <w:t>are able to directly predict adverse liver related outcomes rather than just provide a surrogate marker of liver fibrosis</w:t>
      </w:r>
      <w:r w:rsidR="004C78D1" w:rsidRPr="00843662">
        <w:rPr>
          <w:rFonts w:ascii="Book Antiqua" w:hAnsi="Book Antiqua" w:cs="Times New Roman"/>
          <w:sz w:val="24"/>
          <w:szCs w:val="24"/>
        </w:rPr>
        <w:t xml:space="preserve">. </w:t>
      </w:r>
      <w:proofErr w:type="spellStart"/>
      <w:r w:rsidR="004C78D1" w:rsidRPr="00843662">
        <w:rPr>
          <w:rFonts w:ascii="Book Antiqua" w:hAnsi="Book Antiqua" w:cs="Times New Roman"/>
          <w:sz w:val="24"/>
          <w:szCs w:val="24"/>
        </w:rPr>
        <w:t>Hepascore</w:t>
      </w:r>
      <w:proofErr w:type="spellEnd"/>
      <w:r w:rsidR="004C78D1" w:rsidRPr="00843662">
        <w:rPr>
          <w:rFonts w:ascii="Book Antiqua" w:hAnsi="Book Antiqua" w:cs="Times New Roman"/>
          <w:sz w:val="24"/>
          <w:szCs w:val="24"/>
        </w:rPr>
        <w:t xml:space="preserve"> can </w:t>
      </w:r>
      <w:r w:rsidR="005C1026" w:rsidRPr="00843662">
        <w:rPr>
          <w:rFonts w:ascii="Book Antiqua" w:hAnsi="Book Antiqua" w:cs="Times New Roman"/>
          <w:sz w:val="24"/>
          <w:szCs w:val="24"/>
        </w:rPr>
        <w:t xml:space="preserve">also </w:t>
      </w:r>
      <w:r w:rsidR="004C78D1" w:rsidRPr="00843662">
        <w:rPr>
          <w:rFonts w:ascii="Book Antiqua" w:hAnsi="Book Antiqua" w:cs="Times New Roman"/>
          <w:sz w:val="24"/>
          <w:szCs w:val="24"/>
        </w:rPr>
        <w:t xml:space="preserve">be used to monitor regression/progression of fibrosis in </w:t>
      </w:r>
      <w:r w:rsidR="0071565E">
        <w:rPr>
          <w:rFonts w:ascii="Book Antiqua" w:hAnsi="Book Antiqua" w:cs="Times New Roman"/>
          <w:sz w:val="24"/>
          <w:szCs w:val="24"/>
        </w:rPr>
        <w:t xml:space="preserve">chronic </w:t>
      </w:r>
      <w:r w:rsidR="0071565E">
        <w:rPr>
          <w:rFonts w:ascii="Book Antiqua" w:hAnsi="Book Antiqua" w:cs="Times New Roman" w:hint="eastAsia"/>
          <w:sz w:val="24"/>
          <w:szCs w:val="24"/>
        </w:rPr>
        <w:t>h</w:t>
      </w:r>
      <w:r w:rsidR="0071565E">
        <w:rPr>
          <w:rFonts w:ascii="Book Antiqua" w:hAnsi="Book Antiqua" w:cs="Times New Roman"/>
          <w:sz w:val="24"/>
          <w:szCs w:val="24"/>
        </w:rPr>
        <w:t>epatitis C (CHC)</w:t>
      </w:r>
      <w:r w:rsidR="0071565E">
        <w:rPr>
          <w:rFonts w:ascii="Book Antiqua" w:hAnsi="Book Antiqua" w:cs="Times New Roman" w:hint="eastAsia"/>
          <w:sz w:val="24"/>
          <w:szCs w:val="24"/>
        </w:rPr>
        <w:t>.</w:t>
      </w:r>
    </w:p>
    <w:p w14:paraId="78FCA5DD" w14:textId="77777777" w:rsidR="00E46639" w:rsidRPr="00843662" w:rsidRDefault="00E46639" w:rsidP="00843662">
      <w:pPr>
        <w:spacing w:after="0" w:line="360" w:lineRule="auto"/>
        <w:jc w:val="both"/>
        <w:rPr>
          <w:rFonts w:ascii="Book Antiqua" w:hAnsi="Book Antiqua" w:cs="Times New Roman"/>
          <w:b/>
          <w:i/>
          <w:sz w:val="24"/>
          <w:szCs w:val="24"/>
          <w:lang w:val="en-US"/>
        </w:rPr>
      </w:pPr>
      <w:r w:rsidRPr="00843662">
        <w:rPr>
          <w:rFonts w:ascii="Book Antiqua" w:hAnsi="Book Antiqua" w:cs="Times New Roman"/>
          <w:b/>
          <w:i/>
          <w:sz w:val="24"/>
          <w:szCs w:val="24"/>
          <w:lang w:val="en-US"/>
        </w:rPr>
        <w:t>Research frontiers</w:t>
      </w:r>
    </w:p>
    <w:p w14:paraId="74322CC1" w14:textId="23F906F0" w:rsidR="00E46639" w:rsidRPr="00843662" w:rsidRDefault="005C2462" w:rsidP="00843662">
      <w:pPr>
        <w:spacing w:after="0" w:line="360" w:lineRule="auto"/>
        <w:jc w:val="both"/>
        <w:rPr>
          <w:rFonts w:ascii="Book Antiqua" w:hAnsi="Book Antiqua" w:cs="Times New Roman"/>
          <w:b/>
          <w:sz w:val="24"/>
          <w:szCs w:val="24"/>
          <w:lang w:val="en-US"/>
        </w:rPr>
      </w:pPr>
      <w:r w:rsidRPr="00843662">
        <w:rPr>
          <w:rFonts w:ascii="Book Antiqua" w:hAnsi="Book Antiqua" w:cs="Times New Roman"/>
          <w:sz w:val="24"/>
          <w:szCs w:val="24"/>
        </w:rPr>
        <w:t xml:space="preserve">The use of </w:t>
      </w:r>
      <w:proofErr w:type="spellStart"/>
      <w:r w:rsidR="004033A9"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to monitor regression/progression of fibrosis in CHC has a significant potential benefit to optimise the clinical management in these patients. However, there is no information on the value of serial serum fibrosis tests and their change over time in determining changes in liver related clinical outcomes.</w:t>
      </w:r>
    </w:p>
    <w:p w14:paraId="0F0E8B5D" w14:textId="77777777" w:rsidR="0071565E" w:rsidRDefault="0071565E" w:rsidP="00843662">
      <w:pPr>
        <w:spacing w:after="0" w:line="360" w:lineRule="auto"/>
        <w:jc w:val="both"/>
        <w:rPr>
          <w:rFonts w:ascii="Book Antiqua" w:hAnsi="Book Antiqua" w:cs="Times New Roman"/>
          <w:b/>
          <w:i/>
          <w:sz w:val="24"/>
          <w:szCs w:val="24"/>
          <w:lang w:val="en-US"/>
        </w:rPr>
      </w:pPr>
    </w:p>
    <w:p w14:paraId="43EBEA7D" w14:textId="77777777" w:rsidR="00E46639" w:rsidRPr="00843662" w:rsidRDefault="00E46639" w:rsidP="00843662">
      <w:pPr>
        <w:spacing w:after="0" w:line="360" w:lineRule="auto"/>
        <w:jc w:val="both"/>
        <w:rPr>
          <w:rFonts w:ascii="Book Antiqua" w:hAnsi="Book Antiqua" w:cs="Times New Roman"/>
          <w:b/>
          <w:i/>
          <w:sz w:val="24"/>
          <w:szCs w:val="24"/>
          <w:lang w:val="en-US"/>
        </w:rPr>
      </w:pPr>
      <w:r w:rsidRPr="00843662">
        <w:rPr>
          <w:rFonts w:ascii="Book Antiqua" w:hAnsi="Book Antiqua" w:cs="Times New Roman"/>
          <w:b/>
          <w:i/>
          <w:sz w:val="24"/>
          <w:szCs w:val="24"/>
          <w:lang w:val="en-US"/>
        </w:rPr>
        <w:t>Innovations and breakthroughs</w:t>
      </w:r>
    </w:p>
    <w:p w14:paraId="3BFAC04D" w14:textId="4E7DE382" w:rsidR="00E46639" w:rsidRPr="00843662" w:rsidRDefault="00E566E3" w:rsidP="00843662">
      <w:pPr>
        <w:spacing w:after="0" w:line="360" w:lineRule="auto"/>
        <w:jc w:val="both"/>
        <w:rPr>
          <w:rFonts w:ascii="Book Antiqua" w:hAnsi="Book Antiqua" w:cs="Times New Roman"/>
          <w:sz w:val="24"/>
          <w:szCs w:val="24"/>
        </w:rPr>
      </w:pPr>
      <w:proofErr w:type="spellStart"/>
      <w:r w:rsidRPr="00843662">
        <w:rPr>
          <w:rFonts w:ascii="Book Antiqua" w:hAnsi="Book Antiqua" w:cs="Times New Roman"/>
          <w:sz w:val="24"/>
          <w:szCs w:val="24"/>
        </w:rPr>
        <w:lastRenderedPageBreak/>
        <w:t>Hepascore</w:t>
      </w:r>
      <w:proofErr w:type="spellEnd"/>
      <w:r w:rsidRPr="00843662">
        <w:rPr>
          <w:rFonts w:ascii="Book Antiqua" w:hAnsi="Book Antiqua" w:cs="Times New Roman"/>
          <w:sz w:val="24"/>
          <w:szCs w:val="24"/>
        </w:rPr>
        <w:t xml:space="preserve"> was found to an accurate predictor of liver-related mortality and morbidity in CHC patients. </w:t>
      </w:r>
      <w:r w:rsidR="00F672D1" w:rsidRPr="00843662">
        <w:rPr>
          <w:rFonts w:ascii="Book Antiqua" w:hAnsi="Book Antiqua" w:cs="Times New Roman"/>
          <w:sz w:val="24"/>
          <w:szCs w:val="24"/>
        </w:rPr>
        <w:t xml:space="preserve">Of note, </w:t>
      </w:r>
      <w:r w:rsidR="0071565E">
        <w:rPr>
          <w:rFonts w:ascii="Book Antiqua" w:hAnsi="Book Antiqua" w:cs="Times New Roman" w:hint="eastAsia"/>
          <w:sz w:val="24"/>
          <w:szCs w:val="24"/>
        </w:rPr>
        <w:t>the authors</w:t>
      </w:r>
      <w:r w:rsidR="00F672D1" w:rsidRPr="00843662">
        <w:rPr>
          <w:rFonts w:ascii="Book Antiqua" w:hAnsi="Book Antiqua" w:cs="Times New Roman"/>
          <w:sz w:val="24"/>
          <w:szCs w:val="24"/>
        </w:rPr>
        <w:t xml:space="preserve"> have found that there is a decreased risk of mortality and morbidity in CHC patients when the patient has an improving delta </w:t>
      </w:r>
      <w:proofErr w:type="spellStart"/>
      <w:r w:rsidR="00F672D1" w:rsidRPr="00843662">
        <w:rPr>
          <w:rFonts w:ascii="Book Antiqua" w:hAnsi="Book Antiqua" w:cs="Times New Roman"/>
          <w:sz w:val="24"/>
          <w:szCs w:val="24"/>
        </w:rPr>
        <w:t>Hepascore</w:t>
      </w:r>
      <w:proofErr w:type="spellEnd"/>
      <w:r w:rsidR="00F672D1" w:rsidRPr="00843662">
        <w:rPr>
          <w:rFonts w:ascii="Book Antiqua" w:hAnsi="Book Antiqua" w:cs="Times New Roman"/>
          <w:sz w:val="24"/>
          <w:szCs w:val="24"/>
        </w:rPr>
        <w:t xml:space="preserve">. </w:t>
      </w:r>
      <w:r w:rsidRPr="00843662">
        <w:rPr>
          <w:rFonts w:ascii="Book Antiqua" w:hAnsi="Book Antiqua" w:cs="Times New Roman"/>
          <w:sz w:val="24"/>
          <w:szCs w:val="24"/>
        </w:rPr>
        <w:t xml:space="preserve">Repeat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tests, when performed at a minimum one-year interval, are of value in routine clinical practice to predict liver related clinical outcomes and to guide patient management.</w:t>
      </w:r>
    </w:p>
    <w:p w14:paraId="08E93506" w14:textId="77777777" w:rsidR="005B5C63" w:rsidRDefault="005B5C63" w:rsidP="00843662">
      <w:pPr>
        <w:spacing w:after="0" w:line="360" w:lineRule="auto"/>
        <w:jc w:val="both"/>
        <w:rPr>
          <w:rFonts w:ascii="Book Antiqua" w:hAnsi="Book Antiqua" w:cs="Times New Roman"/>
          <w:b/>
          <w:i/>
          <w:sz w:val="24"/>
          <w:szCs w:val="24"/>
          <w:lang w:val="en-US"/>
        </w:rPr>
      </w:pPr>
    </w:p>
    <w:p w14:paraId="1DB02311" w14:textId="3B91993A" w:rsidR="00E46639" w:rsidRPr="00843662" w:rsidRDefault="0039288B" w:rsidP="00843662">
      <w:pPr>
        <w:spacing w:after="0" w:line="360" w:lineRule="auto"/>
        <w:jc w:val="both"/>
        <w:rPr>
          <w:rFonts w:ascii="Book Antiqua" w:hAnsi="Book Antiqua" w:cs="Times New Roman"/>
          <w:b/>
          <w:i/>
          <w:sz w:val="24"/>
          <w:szCs w:val="24"/>
          <w:lang w:val="en-US"/>
        </w:rPr>
      </w:pPr>
      <w:r>
        <w:rPr>
          <w:rFonts w:ascii="Book Antiqua" w:hAnsi="Book Antiqua" w:cs="Times New Roman"/>
          <w:b/>
          <w:i/>
          <w:sz w:val="24"/>
          <w:szCs w:val="24"/>
          <w:lang w:val="en-US"/>
        </w:rPr>
        <w:t>Applications</w:t>
      </w:r>
    </w:p>
    <w:p w14:paraId="29011848" w14:textId="05CC8993" w:rsidR="00E46639" w:rsidRPr="00843662" w:rsidRDefault="00E566E3" w:rsidP="00843662">
      <w:pPr>
        <w:spacing w:after="0" w:line="360" w:lineRule="auto"/>
        <w:jc w:val="both"/>
        <w:rPr>
          <w:rFonts w:ascii="Book Antiqua" w:hAnsi="Book Antiqua" w:cs="Times New Roman"/>
          <w:b/>
          <w:sz w:val="24"/>
          <w:szCs w:val="24"/>
          <w:lang w:val="en-US"/>
        </w:rPr>
      </w:pPr>
      <w:r w:rsidRPr="00843662">
        <w:rPr>
          <w:rFonts w:ascii="Book Antiqua" w:hAnsi="Book Antiqua" w:cs="Times New Roman"/>
          <w:sz w:val="24"/>
          <w:szCs w:val="24"/>
        </w:rPr>
        <w:t xml:space="preserve">Repeat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tests, when performed at a minimum one-year interval, may be of value in routine clinical practice to predict liver related clinical outcomes and to guide patient management.</w:t>
      </w:r>
    </w:p>
    <w:p w14:paraId="75A3DF00" w14:textId="77777777" w:rsidR="005B5C63" w:rsidRDefault="005B5C63" w:rsidP="00843662">
      <w:pPr>
        <w:spacing w:after="0" w:line="360" w:lineRule="auto"/>
        <w:jc w:val="both"/>
        <w:rPr>
          <w:rFonts w:ascii="Book Antiqua" w:hAnsi="Book Antiqua" w:cs="Times New Roman"/>
          <w:b/>
          <w:i/>
          <w:sz w:val="24"/>
          <w:szCs w:val="24"/>
          <w:lang w:val="en-US"/>
        </w:rPr>
      </w:pPr>
    </w:p>
    <w:p w14:paraId="2A0D4CA3" w14:textId="77777777" w:rsidR="00E46639" w:rsidRPr="00843662" w:rsidRDefault="00E46639" w:rsidP="00843662">
      <w:pPr>
        <w:spacing w:after="0" w:line="360" w:lineRule="auto"/>
        <w:jc w:val="both"/>
        <w:rPr>
          <w:rFonts w:ascii="Book Antiqua" w:hAnsi="Book Antiqua" w:cs="Times New Roman"/>
          <w:b/>
          <w:i/>
          <w:sz w:val="24"/>
          <w:szCs w:val="24"/>
          <w:lang w:val="en-US"/>
        </w:rPr>
      </w:pPr>
      <w:r w:rsidRPr="00843662">
        <w:rPr>
          <w:rFonts w:ascii="Book Antiqua" w:hAnsi="Book Antiqua" w:cs="Times New Roman"/>
          <w:b/>
          <w:i/>
          <w:sz w:val="24"/>
          <w:szCs w:val="24"/>
          <w:lang w:val="en-US"/>
        </w:rPr>
        <w:t>Terminology</w:t>
      </w:r>
    </w:p>
    <w:p w14:paraId="227EBF6F" w14:textId="42AE4CEC" w:rsidR="00AF3DBB" w:rsidRPr="00843662" w:rsidRDefault="00C66823"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SVR</w:t>
      </w:r>
      <w:r w:rsidR="005B5C63">
        <w:rPr>
          <w:rFonts w:ascii="Book Antiqua" w:hAnsi="Book Antiqua" w:cs="Times New Roman" w:hint="eastAsia"/>
          <w:sz w:val="24"/>
          <w:szCs w:val="24"/>
        </w:rPr>
        <w:t>:</w:t>
      </w:r>
      <w:r w:rsidRPr="00843662">
        <w:rPr>
          <w:rFonts w:ascii="Book Antiqua" w:hAnsi="Book Antiqua" w:cs="Times New Roman"/>
          <w:sz w:val="24"/>
          <w:szCs w:val="24"/>
        </w:rPr>
        <w:t xml:space="preserve"> Sustained Viral Response. SVR is specific to Hepatitis C and is</w:t>
      </w:r>
      <w:r w:rsidR="00AF3DBB" w:rsidRPr="00843662">
        <w:rPr>
          <w:rFonts w:ascii="Book Antiqua" w:hAnsi="Book Antiqua" w:cs="Times New Roman"/>
          <w:sz w:val="24"/>
          <w:szCs w:val="24"/>
        </w:rPr>
        <w:t xml:space="preserve"> the absence of </w:t>
      </w:r>
      <w:r w:rsidRPr="00843662">
        <w:rPr>
          <w:rFonts w:ascii="Book Antiqua" w:hAnsi="Book Antiqua" w:cs="Times New Roman"/>
          <w:sz w:val="24"/>
          <w:szCs w:val="24"/>
        </w:rPr>
        <w:t>HCV RNA for</w:t>
      </w:r>
      <w:r w:rsidR="00AF3DBB" w:rsidRPr="00843662">
        <w:rPr>
          <w:rFonts w:ascii="Book Antiqua" w:hAnsi="Book Antiqua" w:cs="Times New Roman"/>
          <w:sz w:val="24"/>
          <w:szCs w:val="24"/>
        </w:rPr>
        <w:t xml:space="preserve"> </w:t>
      </w:r>
      <w:r w:rsidR="005B5C63">
        <w:rPr>
          <w:rFonts w:ascii="Book Antiqua" w:hAnsi="Book Antiqua" w:cs="Times New Roman"/>
          <w:sz w:val="24"/>
          <w:szCs w:val="24"/>
        </w:rPr>
        <w:t xml:space="preserve">24 </w:t>
      </w:r>
      <w:proofErr w:type="spellStart"/>
      <w:r w:rsidR="005B5C63">
        <w:rPr>
          <w:rFonts w:ascii="Book Antiqua" w:hAnsi="Book Antiqua" w:cs="Times New Roman"/>
          <w:sz w:val="24"/>
          <w:szCs w:val="24"/>
        </w:rPr>
        <w:t>w</w:t>
      </w:r>
      <w:r w:rsidRPr="00843662">
        <w:rPr>
          <w:rFonts w:ascii="Book Antiqua" w:hAnsi="Book Antiqua" w:cs="Times New Roman"/>
          <w:sz w:val="24"/>
          <w:szCs w:val="24"/>
        </w:rPr>
        <w:t>k</w:t>
      </w:r>
      <w:proofErr w:type="spellEnd"/>
      <w:r w:rsidRPr="00843662">
        <w:rPr>
          <w:rFonts w:ascii="Book Antiqua" w:hAnsi="Book Antiqua" w:cs="Times New Roman"/>
          <w:sz w:val="24"/>
          <w:szCs w:val="24"/>
        </w:rPr>
        <w:t xml:space="preserve"> after </w:t>
      </w:r>
      <w:r w:rsidR="001C7783" w:rsidRPr="00843662">
        <w:rPr>
          <w:rFonts w:ascii="Book Antiqua" w:hAnsi="Book Antiqua" w:cs="Times New Roman"/>
          <w:sz w:val="24"/>
          <w:szCs w:val="24"/>
        </w:rPr>
        <w:t xml:space="preserve">the </w:t>
      </w:r>
      <w:r w:rsidR="006C282A" w:rsidRPr="00843662">
        <w:rPr>
          <w:rFonts w:ascii="Book Antiqua" w:hAnsi="Book Antiqua" w:cs="Times New Roman"/>
          <w:sz w:val="24"/>
          <w:szCs w:val="24"/>
        </w:rPr>
        <w:t>cessation</w:t>
      </w:r>
      <w:r w:rsidR="001C7783" w:rsidRPr="00843662">
        <w:rPr>
          <w:rFonts w:ascii="Book Antiqua" w:hAnsi="Book Antiqua" w:cs="Times New Roman"/>
          <w:sz w:val="24"/>
          <w:szCs w:val="24"/>
        </w:rPr>
        <w:t xml:space="preserve"> of treatment.</w:t>
      </w:r>
    </w:p>
    <w:p w14:paraId="7CF5ECA3" w14:textId="77777777" w:rsidR="005B5C63" w:rsidRDefault="005B5C63" w:rsidP="00843662">
      <w:pPr>
        <w:spacing w:after="0" w:line="360" w:lineRule="auto"/>
        <w:jc w:val="both"/>
        <w:rPr>
          <w:rFonts w:ascii="Book Antiqua" w:hAnsi="Book Antiqua" w:cs="Times New Roman"/>
          <w:b/>
          <w:i/>
          <w:sz w:val="24"/>
          <w:szCs w:val="24"/>
          <w:lang w:val="en-US"/>
        </w:rPr>
      </w:pPr>
    </w:p>
    <w:p w14:paraId="3B600604" w14:textId="77777777" w:rsidR="00E46639" w:rsidRDefault="00E46639" w:rsidP="00843662">
      <w:pPr>
        <w:spacing w:after="0" w:line="360" w:lineRule="auto"/>
        <w:jc w:val="both"/>
        <w:rPr>
          <w:rFonts w:ascii="Book Antiqua" w:hAnsi="Book Antiqua" w:cs="Times New Roman"/>
          <w:b/>
          <w:i/>
          <w:sz w:val="24"/>
          <w:szCs w:val="24"/>
          <w:lang w:val="en-US"/>
        </w:rPr>
      </w:pPr>
      <w:r w:rsidRPr="00843662">
        <w:rPr>
          <w:rFonts w:ascii="Book Antiqua" w:hAnsi="Book Antiqua" w:cs="Times New Roman"/>
          <w:b/>
          <w:i/>
          <w:sz w:val="24"/>
          <w:szCs w:val="24"/>
          <w:lang w:val="en-US"/>
        </w:rPr>
        <w:t xml:space="preserve">Peer-review </w:t>
      </w:r>
    </w:p>
    <w:p w14:paraId="2CE9C80C" w14:textId="26A0A1B3" w:rsidR="0086098A" w:rsidRPr="00843662" w:rsidRDefault="003C32D5" w:rsidP="00843662">
      <w:pPr>
        <w:spacing w:after="0" w:line="360" w:lineRule="auto"/>
        <w:jc w:val="both"/>
        <w:rPr>
          <w:rFonts w:ascii="Book Antiqua" w:hAnsi="Book Antiqua" w:cs="Times New Roman"/>
          <w:sz w:val="24"/>
          <w:szCs w:val="24"/>
        </w:rPr>
      </w:pPr>
      <w:r w:rsidRPr="003C32D5">
        <w:rPr>
          <w:rFonts w:ascii="Book Antiqua" w:hAnsi="Book Antiqua" w:cs="Times New Roman"/>
          <w:sz w:val="24"/>
          <w:szCs w:val="24"/>
        </w:rPr>
        <w:t xml:space="preserve">Current study was from the group who originally described </w:t>
      </w:r>
      <w:proofErr w:type="spellStart"/>
      <w:r w:rsidRPr="003C32D5">
        <w:rPr>
          <w:rFonts w:ascii="Book Antiqua" w:hAnsi="Book Antiqua" w:cs="Times New Roman"/>
          <w:sz w:val="24"/>
          <w:szCs w:val="24"/>
        </w:rPr>
        <w:t>Hepascore</w:t>
      </w:r>
      <w:proofErr w:type="spellEnd"/>
      <w:r w:rsidRPr="003C32D5">
        <w:rPr>
          <w:rFonts w:ascii="Book Antiqua" w:hAnsi="Book Antiqua" w:cs="Times New Roman"/>
          <w:sz w:val="24"/>
          <w:szCs w:val="24"/>
        </w:rPr>
        <w:t xml:space="preserve"> as a non-invasive marker of fibrosis in patients with chronic hepatitis C. In the current study, the authors use “baseline” </w:t>
      </w:r>
      <w:proofErr w:type="spellStart"/>
      <w:r w:rsidRPr="003C32D5">
        <w:rPr>
          <w:rFonts w:ascii="Book Antiqua" w:hAnsi="Book Antiqua" w:cs="Times New Roman"/>
          <w:sz w:val="24"/>
          <w:szCs w:val="24"/>
        </w:rPr>
        <w:t>Hepascore</w:t>
      </w:r>
      <w:proofErr w:type="spellEnd"/>
      <w:r w:rsidRPr="003C32D5">
        <w:rPr>
          <w:rFonts w:ascii="Book Antiqua" w:hAnsi="Book Antiqua" w:cs="Times New Roman"/>
          <w:sz w:val="24"/>
          <w:szCs w:val="24"/>
        </w:rPr>
        <w:t xml:space="preserve"> as a prognostic indicator. In addition, the authors also found the change in </w:t>
      </w:r>
      <w:proofErr w:type="spellStart"/>
      <w:r w:rsidRPr="003C32D5">
        <w:rPr>
          <w:rFonts w:ascii="Book Antiqua" w:hAnsi="Book Antiqua" w:cs="Times New Roman"/>
          <w:sz w:val="24"/>
          <w:szCs w:val="24"/>
        </w:rPr>
        <w:t>Hepascore</w:t>
      </w:r>
      <w:proofErr w:type="spellEnd"/>
      <w:r w:rsidRPr="003C32D5">
        <w:rPr>
          <w:rFonts w:ascii="Book Antiqua" w:hAnsi="Book Antiqua" w:cs="Times New Roman"/>
          <w:sz w:val="24"/>
          <w:szCs w:val="24"/>
        </w:rPr>
        <w:t xml:space="preserve"> over time (“Delta </w:t>
      </w:r>
      <w:proofErr w:type="spellStart"/>
      <w:r w:rsidRPr="003C32D5">
        <w:rPr>
          <w:rFonts w:ascii="Book Antiqua" w:hAnsi="Book Antiqua" w:cs="Times New Roman"/>
          <w:sz w:val="24"/>
          <w:szCs w:val="24"/>
        </w:rPr>
        <w:t>Hepascore</w:t>
      </w:r>
      <w:proofErr w:type="spellEnd"/>
      <w:r w:rsidRPr="003C32D5">
        <w:rPr>
          <w:rFonts w:ascii="Book Antiqua" w:hAnsi="Book Antiqua" w:cs="Times New Roman"/>
          <w:sz w:val="24"/>
          <w:szCs w:val="24"/>
        </w:rPr>
        <w:t xml:space="preserve">”) was also a predictor of liver related events or death. </w:t>
      </w:r>
      <w:r w:rsidR="0086098A" w:rsidRPr="00843662">
        <w:rPr>
          <w:rFonts w:ascii="Book Antiqua" w:hAnsi="Book Antiqua" w:cs="Times New Roman"/>
          <w:sz w:val="24"/>
          <w:szCs w:val="24"/>
        </w:rPr>
        <w:br w:type="page"/>
      </w:r>
    </w:p>
    <w:p w14:paraId="57450FE8" w14:textId="42525A73" w:rsidR="005F5770" w:rsidRPr="009F04EA" w:rsidRDefault="003C32D5" w:rsidP="009F04EA">
      <w:pPr>
        <w:spacing w:after="0" w:line="360" w:lineRule="auto"/>
        <w:jc w:val="both"/>
        <w:outlineLvl w:val="0"/>
        <w:rPr>
          <w:rFonts w:ascii="Book Antiqua" w:hAnsi="Book Antiqua" w:cs="Times New Roman"/>
          <w:b/>
          <w:sz w:val="24"/>
          <w:szCs w:val="24"/>
        </w:rPr>
      </w:pPr>
      <w:r w:rsidRPr="009F04EA">
        <w:rPr>
          <w:rFonts w:ascii="Book Antiqua" w:hAnsi="Book Antiqua" w:cs="Times New Roman"/>
          <w:b/>
          <w:sz w:val="24"/>
          <w:szCs w:val="24"/>
        </w:rPr>
        <w:lastRenderedPageBreak/>
        <w:t>REFERENCES</w:t>
      </w:r>
    </w:p>
    <w:p w14:paraId="757718A2" w14:textId="77777777" w:rsidR="009F04EA" w:rsidRPr="009F04EA" w:rsidRDefault="009F04EA" w:rsidP="009F04EA">
      <w:pPr>
        <w:spacing w:after="0" w:line="360" w:lineRule="auto"/>
        <w:jc w:val="both"/>
        <w:rPr>
          <w:rFonts w:ascii="Book Antiqua" w:eastAsia="宋体" w:hAnsi="Book Antiqua" w:cs="宋体"/>
          <w:color w:val="000000"/>
          <w:sz w:val="24"/>
          <w:szCs w:val="24"/>
          <w:lang w:val="en-US"/>
        </w:rPr>
      </w:pPr>
      <w:r w:rsidRPr="009F04EA">
        <w:rPr>
          <w:rFonts w:ascii="Book Antiqua" w:eastAsia="宋体" w:hAnsi="Book Antiqua" w:cs="宋体"/>
          <w:color w:val="000000"/>
          <w:sz w:val="24"/>
          <w:szCs w:val="24"/>
          <w:lang w:val="en-US"/>
        </w:rPr>
        <w:t>1 </w:t>
      </w:r>
      <w:r w:rsidRPr="009F04EA">
        <w:rPr>
          <w:rFonts w:ascii="Book Antiqua" w:eastAsia="宋体" w:hAnsi="Book Antiqua" w:cs="宋体"/>
          <w:b/>
          <w:bCs/>
          <w:color w:val="000000"/>
          <w:sz w:val="24"/>
          <w:szCs w:val="24"/>
          <w:lang w:val="en-US"/>
        </w:rPr>
        <w:t>Bansal S</w:t>
      </w:r>
      <w:r w:rsidRPr="009F04EA">
        <w:rPr>
          <w:rFonts w:ascii="Book Antiqua" w:eastAsia="宋体" w:hAnsi="Book Antiqua" w:cs="宋体"/>
          <w:color w:val="000000"/>
          <w:sz w:val="24"/>
          <w:szCs w:val="24"/>
          <w:lang w:val="en-US"/>
        </w:rPr>
        <w:t xml:space="preserve">, </w:t>
      </w:r>
      <w:proofErr w:type="spellStart"/>
      <w:r w:rsidRPr="009F04EA">
        <w:rPr>
          <w:rFonts w:ascii="Book Antiqua" w:eastAsia="宋体" w:hAnsi="Book Antiqua" w:cs="宋体"/>
          <w:color w:val="000000"/>
          <w:sz w:val="24"/>
          <w:szCs w:val="24"/>
          <w:lang w:val="en-US"/>
        </w:rPr>
        <w:t>Singal</w:t>
      </w:r>
      <w:proofErr w:type="spellEnd"/>
      <w:r w:rsidRPr="009F04EA">
        <w:rPr>
          <w:rFonts w:ascii="Book Antiqua" w:eastAsia="宋体" w:hAnsi="Book Antiqua" w:cs="宋体"/>
          <w:color w:val="000000"/>
          <w:sz w:val="24"/>
          <w:szCs w:val="24"/>
          <w:lang w:val="en-US"/>
        </w:rPr>
        <w:t xml:space="preserve"> AK, McGuire BM, </w:t>
      </w:r>
      <w:proofErr w:type="spellStart"/>
      <w:r w:rsidRPr="009F04EA">
        <w:rPr>
          <w:rFonts w:ascii="Book Antiqua" w:eastAsia="宋体" w:hAnsi="Book Antiqua" w:cs="宋体"/>
          <w:color w:val="000000"/>
          <w:sz w:val="24"/>
          <w:szCs w:val="24"/>
          <w:lang w:val="en-US"/>
        </w:rPr>
        <w:t>Anand</w:t>
      </w:r>
      <w:proofErr w:type="spellEnd"/>
      <w:r w:rsidRPr="009F04EA">
        <w:rPr>
          <w:rFonts w:ascii="Book Antiqua" w:eastAsia="宋体" w:hAnsi="Book Antiqua" w:cs="宋体"/>
          <w:color w:val="000000"/>
          <w:sz w:val="24"/>
          <w:szCs w:val="24"/>
          <w:lang w:val="en-US"/>
        </w:rPr>
        <w:t xml:space="preserve"> BS. Impact of all oral anti-hepatitis C virus therapy: A meta-analysis. </w:t>
      </w:r>
      <w:r w:rsidRPr="009F04EA">
        <w:rPr>
          <w:rFonts w:ascii="Book Antiqua" w:eastAsia="宋体" w:hAnsi="Book Antiqua" w:cs="宋体"/>
          <w:i/>
          <w:iCs/>
          <w:color w:val="000000"/>
          <w:sz w:val="24"/>
          <w:szCs w:val="24"/>
          <w:lang w:val="en-US"/>
        </w:rPr>
        <w:t xml:space="preserve">World J </w:t>
      </w:r>
      <w:proofErr w:type="spellStart"/>
      <w:r w:rsidRPr="009F04EA">
        <w:rPr>
          <w:rFonts w:ascii="Book Antiqua" w:eastAsia="宋体" w:hAnsi="Book Antiqua" w:cs="宋体"/>
          <w:i/>
          <w:iCs/>
          <w:color w:val="000000"/>
          <w:sz w:val="24"/>
          <w:szCs w:val="24"/>
          <w:lang w:val="en-US"/>
        </w:rPr>
        <w:t>Hepatol</w:t>
      </w:r>
      <w:proofErr w:type="spellEnd"/>
      <w:r w:rsidRPr="009F04EA">
        <w:rPr>
          <w:rFonts w:ascii="Book Antiqua" w:eastAsia="宋体" w:hAnsi="Book Antiqua" w:cs="宋体"/>
          <w:color w:val="000000"/>
          <w:sz w:val="24"/>
          <w:szCs w:val="24"/>
          <w:lang w:val="en-US"/>
        </w:rPr>
        <w:t> 2015; </w:t>
      </w:r>
      <w:r w:rsidRPr="009F04EA">
        <w:rPr>
          <w:rFonts w:ascii="Book Antiqua" w:eastAsia="宋体" w:hAnsi="Book Antiqua" w:cs="宋体"/>
          <w:b/>
          <w:bCs/>
          <w:color w:val="000000"/>
          <w:sz w:val="24"/>
          <w:szCs w:val="24"/>
          <w:lang w:val="en-US"/>
        </w:rPr>
        <w:t>7</w:t>
      </w:r>
      <w:r w:rsidRPr="009F04EA">
        <w:rPr>
          <w:rFonts w:ascii="Book Antiqua" w:eastAsia="宋体" w:hAnsi="Book Antiqua" w:cs="宋体"/>
          <w:color w:val="000000"/>
          <w:sz w:val="24"/>
          <w:szCs w:val="24"/>
          <w:lang w:val="en-US"/>
        </w:rPr>
        <w:t>: 806-813 [PMID: 25914781 DOI: 10.4254/wjh.v7.i5.806]</w:t>
      </w:r>
    </w:p>
    <w:p w14:paraId="74F8E640" w14:textId="77777777" w:rsidR="009F04EA" w:rsidRPr="009F04EA" w:rsidRDefault="009F04EA" w:rsidP="009F04EA">
      <w:pPr>
        <w:spacing w:after="0" w:line="360" w:lineRule="auto"/>
        <w:jc w:val="both"/>
        <w:rPr>
          <w:rFonts w:ascii="Book Antiqua" w:eastAsia="宋体" w:hAnsi="Book Antiqua" w:cs="宋体"/>
          <w:color w:val="000000"/>
          <w:sz w:val="24"/>
          <w:szCs w:val="24"/>
          <w:lang w:val="en-US"/>
        </w:rPr>
      </w:pPr>
      <w:r w:rsidRPr="009F04EA">
        <w:rPr>
          <w:rFonts w:ascii="Book Antiqua" w:eastAsia="宋体" w:hAnsi="Book Antiqua" w:cs="宋体"/>
          <w:color w:val="000000"/>
          <w:sz w:val="24"/>
          <w:szCs w:val="24"/>
          <w:lang w:val="en-US"/>
        </w:rPr>
        <w:t>2 </w:t>
      </w:r>
      <w:r w:rsidRPr="009F04EA">
        <w:rPr>
          <w:rFonts w:ascii="Book Antiqua" w:eastAsia="宋体" w:hAnsi="Book Antiqua" w:cs="宋体"/>
          <w:b/>
          <w:bCs/>
          <w:color w:val="000000"/>
          <w:sz w:val="24"/>
          <w:szCs w:val="24"/>
          <w:lang w:val="en-US"/>
        </w:rPr>
        <w:t>Smith-Palmer J</w:t>
      </w:r>
      <w:r w:rsidRPr="009F04EA">
        <w:rPr>
          <w:rFonts w:ascii="Book Antiqua" w:eastAsia="宋体" w:hAnsi="Book Antiqua" w:cs="宋体"/>
          <w:color w:val="000000"/>
          <w:sz w:val="24"/>
          <w:szCs w:val="24"/>
          <w:lang w:val="en-US"/>
        </w:rPr>
        <w:t xml:space="preserve">, </w:t>
      </w:r>
      <w:proofErr w:type="spellStart"/>
      <w:r w:rsidRPr="009F04EA">
        <w:rPr>
          <w:rFonts w:ascii="Book Antiqua" w:eastAsia="宋体" w:hAnsi="Book Antiqua" w:cs="宋体"/>
          <w:color w:val="000000"/>
          <w:sz w:val="24"/>
          <w:szCs w:val="24"/>
          <w:lang w:val="en-US"/>
        </w:rPr>
        <w:t>Cerri</w:t>
      </w:r>
      <w:proofErr w:type="spellEnd"/>
      <w:r w:rsidRPr="009F04EA">
        <w:rPr>
          <w:rFonts w:ascii="Book Antiqua" w:eastAsia="宋体" w:hAnsi="Book Antiqua" w:cs="宋体"/>
          <w:color w:val="000000"/>
          <w:sz w:val="24"/>
          <w:szCs w:val="24"/>
          <w:lang w:val="en-US"/>
        </w:rPr>
        <w:t xml:space="preserve"> K, Valentine W. </w:t>
      </w:r>
      <w:proofErr w:type="gramStart"/>
      <w:r w:rsidRPr="009F04EA">
        <w:rPr>
          <w:rFonts w:ascii="Book Antiqua" w:eastAsia="宋体" w:hAnsi="Book Antiqua" w:cs="宋体"/>
          <w:color w:val="000000"/>
          <w:sz w:val="24"/>
          <w:szCs w:val="24"/>
          <w:lang w:val="en-US"/>
        </w:rPr>
        <w:t>Achieving</w:t>
      </w:r>
      <w:proofErr w:type="gramEnd"/>
      <w:r w:rsidRPr="009F04EA">
        <w:rPr>
          <w:rFonts w:ascii="Book Antiqua" w:eastAsia="宋体" w:hAnsi="Book Antiqua" w:cs="宋体"/>
          <w:color w:val="000000"/>
          <w:sz w:val="24"/>
          <w:szCs w:val="24"/>
          <w:lang w:val="en-US"/>
        </w:rPr>
        <w:t xml:space="preserve"> sustained </w:t>
      </w:r>
      <w:proofErr w:type="spellStart"/>
      <w:r w:rsidRPr="009F04EA">
        <w:rPr>
          <w:rFonts w:ascii="Book Antiqua" w:eastAsia="宋体" w:hAnsi="Book Antiqua" w:cs="宋体"/>
          <w:color w:val="000000"/>
          <w:sz w:val="24"/>
          <w:szCs w:val="24"/>
          <w:lang w:val="en-US"/>
        </w:rPr>
        <w:t>virologic</w:t>
      </w:r>
      <w:proofErr w:type="spellEnd"/>
      <w:r w:rsidRPr="009F04EA">
        <w:rPr>
          <w:rFonts w:ascii="Book Antiqua" w:eastAsia="宋体" w:hAnsi="Book Antiqua" w:cs="宋体"/>
          <w:color w:val="000000"/>
          <w:sz w:val="24"/>
          <w:szCs w:val="24"/>
          <w:lang w:val="en-US"/>
        </w:rPr>
        <w:t xml:space="preserve"> response in hepatitis C: a systematic review of the clinical, economic and quality of life benefits. </w:t>
      </w:r>
      <w:r w:rsidRPr="009F04EA">
        <w:rPr>
          <w:rFonts w:ascii="Book Antiqua" w:eastAsia="宋体" w:hAnsi="Book Antiqua" w:cs="宋体"/>
          <w:i/>
          <w:iCs/>
          <w:color w:val="000000"/>
          <w:sz w:val="24"/>
          <w:szCs w:val="24"/>
          <w:lang w:val="en-US"/>
        </w:rPr>
        <w:t>BMC Infect Dis</w:t>
      </w:r>
      <w:r w:rsidRPr="009F04EA">
        <w:rPr>
          <w:rFonts w:ascii="Book Antiqua" w:eastAsia="宋体" w:hAnsi="Book Antiqua" w:cs="宋体"/>
          <w:color w:val="000000"/>
          <w:sz w:val="24"/>
          <w:szCs w:val="24"/>
          <w:lang w:val="en-US"/>
        </w:rPr>
        <w:t> 2015; </w:t>
      </w:r>
      <w:r w:rsidRPr="009F04EA">
        <w:rPr>
          <w:rFonts w:ascii="Book Antiqua" w:eastAsia="宋体" w:hAnsi="Book Antiqua" w:cs="宋体"/>
          <w:b/>
          <w:bCs/>
          <w:color w:val="000000"/>
          <w:sz w:val="24"/>
          <w:szCs w:val="24"/>
          <w:lang w:val="en-US"/>
        </w:rPr>
        <w:t>15</w:t>
      </w:r>
      <w:r w:rsidRPr="009F04EA">
        <w:rPr>
          <w:rFonts w:ascii="Book Antiqua" w:eastAsia="宋体" w:hAnsi="Book Antiqua" w:cs="宋体"/>
          <w:color w:val="000000"/>
          <w:sz w:val="24"/>
          <w:szCs w:val="24"/>
          <w:lang w:val="en-US"/>
        </w:rPr>
        <w:t>: 19 [PMID: 25596623 DOI: 10.1186/s12879-015-0748-8]</w:t>
      </w:r>
    </w:p>
    <w:p w14:paraId="0BA61891" w14:textId="72ED3FB6" w:rsidR="009F04EA" w:rsidRPr="009F04EA" w:rsidRDefault="009F04EA" w:rsidP="009F04EA">
      <w:pPr>
        <w:spacing w:after="0" w:line="360" w:lineRule="auto"/>
        <w:jc w:val="both"/>
        <w:rPr>
          <w:rFonts w:ascii="Book Antiqua" w:eastAsia="宋体" w:hAnsi="Book Antiqua" w:cs="宋体"/>
          <w:color w:val="000000"/>
          <w:sz w:val="24"/>
          <w:szCs w:val="24"/>
          <w:lang w:val="en-US"/>
        </w:rPr>
      </w:pPr>
      <w:r>
        <w:rPr>
          <w:rFonts w:ascii="Book Antiqua" w:eastAsia="宋体" w:hAnsi="Book Antiqua" w:cs="宋体"/>
          <w:color w:val="000000"/>
          <w:sz w:val="24"/>
          <w:szCs w:val="24"/>
          <w:lang w:val="en-US"/>
        </w:rPr>
        <w:t xml:space="preserve">3 </w:t>
      </w:r>
      <w:proofErr w:type="spellStart"/>
      <w:r w:rsidRPr="009F04EA">
        <w:rPr>
          <w:rFonts w:ascii="Book Antiqua" w:eastAsia="宋体" w:hAnsi="Book Antiqua" w:cs="宋体"/>
          <w:b/>
          <w:color w:val="000000"/>
          <w:sz w:val="24"/>
          <w:szCs w:val="24"/>
          <w:lang w:val="en-US"/>
        </w:rPr>
        <w:t>Younossi</w:t>
      </w:r>
      <w:proofErr w:type="spellEnd"/>
      <w:r w:rsidRPr="009F04EA">
        <w:rPr>
          <w:rFonts w:ascii="Book Antiqua" w:eastAsia="宋体" w:hAnsi="Book Antiqua" w:cs="宋体"/>
          <w:b/>
          <w:color w:val="000000"/>
          <w:sz w:val="24"/>
          <w:szCs w:val="24"/>
          <w:lang w:val="en-US"/>
        </w:rPr>
        <w:t xml:space="preserve"> ZM, </w:t>
      </w:r>
      <w:r w:rsidRPr="009F04EA">
        <w:rPr>
          <w:rFonts w:ascii="Book Antiqua" w:eastAsia="宋体" w:hAnsi="Book Antiqua" w:cs="宋体"/>
          <w:color w:val="000000"/>
          <w:sz w:val="24"/>
          <w:szCs w:val="24"/>
          <w:lang w:val="en-US"/>
        </w:rPr>
        <w:t xml:space="preserve">Park H, Saab S, Ahmed A, </w:t>
      </w:r>
      <w:proofErr w:type="spellStart"/>
      <w:r w:rsidRPr="009F04EA">
        <w:rPr>
          <w:rFonts w:ascii="Book Antiqua" w:eastAsia="宋体" w:hAnsi="Book Antiqua" w:cs="宋体"/>
          <w:color w:val="000000"/>
          <w:sz w:val="24"/>
          <w:szCs w:val="24"/>
          <w:lang w:val="en-US"/>
        </w:rPr>
        <w:t>Dieterich</w:t>
      </w:r>
      <w:proofErr w:type="spellEnd"/>
      <w:r w:rsidRPr="009F04EA">
        <w:rPr>
          <w:rFonts w:ascii="Book Antiqua" w:eastAsia="宋体" w:hAnsi="Book Antiqua" w:cs="宋体"/>
          <w:color w:val="000000"/>
          <w:sz w:val="24"/>
          <w:szCs w:val="24"/>
          <w:lang w:val="en-US"/>
        </w:rPr>
        <w:t xml:space="preserve"> D, Gordon SC. Cost-effectiveness of all-oral </w:t>
      </w:r>
      <w:proofErr w:type="spellStart"/>
      <w:r w:rsidRPr="009F04EA">
        <w:rPr>
          <w:rFonts w:ascii="Book Antiqua" w:eastAsia="宋体" w:hAnsi="Book Antiqua" w:cs="宋体"/>
          <w:color w:val="000000"/>
          <w:sz w:val="24"/>
          <w:szCs w:val="24"/>
          <w:lang w:val="en-US"/>
        </w:rPr>
        <w:t>ledipasvir</w:t>
      </w:r>
      <w:proofErr w:type="spellEnd"/>
      <w:r w:rsidRPr="009F04EA">
        <w:rPr>
          <w:rFonts w:ascii="Book Antiqua" w:eastAsia="宋体" w:hAnsi="Book Antiqua" w:cs="宋体"/>
          <w:color w:val="000000"/>
          <w:sz w:val="24"/>
          <w:szCs w:val="24"/>
          <w:lang w:val="en-US"/>
        </w:rPr>
        <w:t>/</w:t>
      </w:r>
      <w:proofErr w:type="spellStart"/>
      <w:r w:rsidRPr="009F04EA">
        <w:rPr>
          <w:rFonts w:ascii="Book Antiqua" w:eastAsia="宋体" w:hAnsi="Book Antiqua" w:cs="宋体"/>
          <w:color w:val="000000"/>
          <w:sz w:val="24"/>
          <w:szCs w:val="24"/>
          <w:lang w:val="en-US"/>
        </w:rPr>
        <w:t>sofosbuvir</w:t>
      </w:r>
      <w:proofErr w:type="spellEnd"/>
      <w:r w:rsidRPr="009F04EA">
        <w:rPr>
          <w:rFonts w:ascii="Book Antiqua" w:eastAsia="宋体" w:hAnsi="Book Antiqua" w:cs="宋体"/>
          <w:color w:val="000000"/>
          <w:sz w:val="24"/>
          <w:szCs w:val="24"/>
          <w:lang w:val="en-US"/>
        </w:rPr>
        <w:t xml:space="preserve"> regimens in patients with chronic hepatitis C virus genotype 1 infection. </w:t>
      </w:r>
      <w:r w:rsidRPr="009F04EA">
        <w:rPr>
          <w:rFonts w:ascii="Book Antiqua" w:eastAsia="宋体" w:hAnsi="Book Antiqua" w:cs="宋体"/>
          <w:i/>
          <w:color w:val="000000"/>
          <w:sz w:val="24"/>
          <w:szCs w:val="24"/>
          <w:lang w:val="en-US"/>
        </w:rPr>
        <w:t xml:space="preserve">Aliment </w:t>
      </w:r>
      <w:proofErr w:type="spellStart"/>
      <w:r w:rsidRPr="009F04EA">
        <w:rPr>
          <w:rFonts w:ascii="Book Antiqua" w:eastAsia="宋体" w:hAnsi="Book Antiqua" w:cs="宋体"/>
          <w:i/>
          <w:color w:val="000000"/>
          <w:sz w:val="24"/>
          <w:szCs w:val="24"/>
          <w:lang w:val="en-US"/>
        </w:rPr>
        <w:t>Pharmacol</w:t>
      </w:r>
      <w:proofErr w:type="spellEnd"/>
      <w:r w:rsidRPr="009F04EA">
        <w:rPr>
          <w:rFonts w:ascii="Book Antiqua" w:eastAsia="宋体" w:hAnsi="Book Antiqua" w:cs="宋体"/>
          <w:i/>
          <w:color w:val="000000"/>
          <w:sz w:val="24"/>
          <w:szCs w:val="24"/>
          <w:lang w:val="en-US"/>
        </w:rPr>
        <w:t xml:space="preserve"> </w:t>
      </w:r>
      <w:proofErr w:type="spellStart"/>
      <w:r w:rsidRPr="009F04EA">
        <w:rPr>
          <w:rFonts w:ascii="Book Antiqua" w:eastAsia="宋体" w:hAnsi="Book Antiqua" w:cs="宋体"/>
          <w:i/>
          <w:color w:val="000000"/>
          <w:sz w:val="24"/>
          <w:szCs w:val="24"/>
          <w:lang w:val="en-US"/>
        </w:rPr>
        <w:t>Ther</w:t>
      </w:r>
      <w:proofErr w:type="spellEnd"/>
      <w:r w:rsidRPr="009F04EA">
        <w:rPr>
          <w:rFonts w:ascii="Book Antiqua" w:eastAsia="宋体" w:hAnsi="Book Antiqua" w:cs="宋体"/>
          <w:color w:val="000000"/>
          <w:sz w:val="24"/>
          <w:szCs w:val="24"/>
          <w:lang w:val="en-US"/>
        </w:rPr>
        <w:t xml:space="preserve"> 2015; </w:t>
      </w:r>
      <w:r w:rsidRPr="009F04EA">
        <w:rPr>
          <w:rFonts w:ascii="Book Antiqua" w:eastAsia="宋体" w:hAnsi="Book Antiqua" w:cs="宋体"/>
          <w:b/>
          <w:color w:val="000000"/>
          <w:sz w:val="24"/>
          <w:szCs w:val="24"/>
          <w:lang w:val="en-US"/>
        </w:rPr>
        <w:t xml:space="preserve">41: </w:t>
      </w:r>
      <w:r w:rsidRPr="009F04EA">
        <w:rPr>
          <w:rFonts w:ascii="Book Antiqua" w:eastAsia="宋体" w:hAnsi="Book Antiqua" w:cs="宋体"/>
          <w:color w:val="000000"/>
          <w:sz w:val="24"/>
          <w:szCs w:val="24"/>
          <w:lang w:val="en-US"/>
        </w:rPr>
        <w:t>544</w:t>
      </w:r>
      <w:r>
        <w:rPr>
          <w:rFonts w:ascii="Book Antiqua" w:eastAsia="宋体" w:hAnsi="Book Antiqua" w:cs="宋体" w:hint="eastAsia"/>
          <w:color w:val="000000"/>
          <w:sz w:val="24"/>
          <w:szCs w:val="24"/>
          <w:lang w:val="en-US"/>
        </w:rPr>
        <w:t>-</w:t>
      </w:r>
      <w:r w:rsidRPr="009F04EA">
        <w:rPr>
          <w:rFonts w:ascii="Book Antiqua" w:eastAsia="宋体" w:hAnsi="Book Antiqua" w:cs="宋体"/>
          <w:color w:val="000000"/>
          <w:sz w:val="24"/>
          <w:szCs w:val="24"/>
          <w:lang w:val="en-US"/>
        </w:rPr>
        <w:t>63 [DOI: 10.1111/apt.13081]</w:t>
      </w:r>
    </w:p>
    <w:p w14:paraId="7E093B21" w14:textId="77777777" w:rsidR="009F04EA" w:rsidRPr="009F04EA" w:rsidRDefault="009F04EA" w:rsidP="009F04EA">
      <w:pPr>
        <w:spacing w:after="0" w:line="360" w:lineRule="auto"/>
        <w:jc w:val="both"/>
        <w:rPr>
          <w:rFonts w:ascii="Book Antiqua" w:eastAsia="宋体" w:hAnsi="Book Antiqua" w:cs="宋体"/>
          <w:color w:val="000000"/>
          <w:sz w:val="24"/>
          <w:szCs w:val="24"/>
          <w:lang w:val="en-US"/>
        </w:rPr>
      </w:pPr>
      <w:r w:rsidRPr="009F04EA">
        <w:rPr>
          <w:rFonts w:ascii="Book Antiqua" w:eastAsia="宋体" w:hAnsi="Book Antiqua" w:cs="宋体"/>
          <w:color w:val="000000"/>
          <w:sz w:val="24"/>
          <w:szCs w:val="24"/>
          <w:lang w:val="en-US"/>
        </w:rPr>
        <w:t>4 </w:t>
      </w:r>
      <w:r w:rsidRPr="009F04EA">
        <w:rPr>
          <w:rFonts w:ascii="Book Antiqua" w:eastAsia="宋体" w:hAnsi="Book Antiqua" w:cs="宋体"/>
          <w:b/>
          <w:bCs/>
          <w:color w:val="000000"/>
          <w:sz w:val="24"/>
          <w:szCs w:val="24"/>
          <w:lang w:val="en-US"/>
        </w:rPr>
        <w:t>Akhtar E</w:t>
      </w:r>
      <w:r w:rsidRPr="009F04EA">
        <w:rPr>
          <w:rFonts w:ascii="Book Antiqua" w:eastAsia="宋体" w:hAnsi="Book Antiqua" w:cs="宋体"/>
          <w:color w:val="000000"/>
          <w:sz w:val="24"/>
          <w:szCs w:val="24"/>
          <w:lang w:val="en-US"/>
        </w:rPr>
        <w:t xml:space="preserve">, Manne V, Saab S. Cirrhosis regression in hepatitis C patients with sustained </w:t>
      </w:r>
      <w:proofErr w:type="spellStart"/>
      <w:r w:rsidRPr="009F04EA">
        <w:rPr>
          <w:rFonts w:ascii="Book Antiqua" w:eastAsia="宋体" w:hAnsi="Book Antiqua" w:cs="宋体"/>
          <w:color w:val="000000"/>
          <w:sz w:val="24"/>
          <w:szCs w:val="24"/>
          <w:lang w:val="en-US"/>
        </w:rPr>
        <w:t>virological</w:t>
      </w:r>
      <w:proofErr w:type="spellEnd"/>
      <w:r w:rsidRPr="009F04EA">
        <w:rPr>
          <w:rFonts w:ascii="Book Antiqua" w:eastAsia="宋体" w:hAnsi="Book Antiqua" w:cs="宋体"/>
          <w:color w:val="000000"/>
          <w:sz w:val="24"/>
          <w:szCs w:val="24"/>
          <w:lang w:val="en-US"/>
        </w:rPr>
        <w:t xml:space="preserve"> response after antiviral therapy: a meta-analysis. </w:t>
      </w:r>
      <w:r w:rsidRPr="009F04EA">
        <w:rPr>
          <w:rFonts w:ascii="Book Antiqua" w:eastAsia="宋体" w:hAnsi="Book Antiqua" w:cs="宋体"/>
          <w:i/>
          <w:iCs/>
          <w:color w:val="000000"/>
          <w:sz w:val="24"/>
          <w:szCs w:val="24"/>
          <w:lang w:val="en-US"/>
        </w:rPr>
        <w:t xml:space="preserve">Liver </w:t>
      </w:r>
      <w:proofErr w:type="spellStart"/>
      <w:r w:rsidRPr="009F04EA">
        <w:rPr>
          <w:rFonts w:ascii="Book Antiqua" w:eastAsia="宋体" w:hAnsi="Book Antiqua" w:cs="宋体"/>
          <w:i/>
          <w:iCs/>
          <w:color w:val="000000"/>
          <w:sz w:val="24"/>
          <w:szCs w:val="24"/>
          <w:lang w:val="en-US"/>
        </w:rPr>
        <w:t>Int</w:t>
      </w:r>
      <w:proofErr w:type="spellEnd"/>
      <w:r w:rsidRPr="009F04EA">
        <w:rPr>
          <w:rFonts w:ascii="Book Antiqua" w:eastAsia="宋体" w:hAnsi="Book Antiqua" w:cs="宋体"/>
          <w:color w:val="000000"/>
          <w:sz w:val="24"/>
          <w:szCs w:val="24"/>
          <w:lang w:val="en-US"/>
        </w:rPr>
        <w:t> 2015; </w:t>
      </w:r>
      <w:r w:rsidRPr="009F04EA">
        <w:rPr>
          <w:rFonts w:ascii="Book Antiqua" w:eastAsia="宋体" w:hAnsi="Book Antiqua" w:cs="宋体"/>
          <w:b/>
          <w:bCs/>
          <w:color w:val="000000"/>
          <w:sz w:val="24"/>
          <w:szCs w:val="24"/>
          <w:lang w:val="en-US"/>
        </w:rPr>
        <w:t>35</w:t>
      </w:r>
      <w:r w:rsidRPr="009F04EA">
        <w:rPr>
          <w:rFonts w:ascii="Book Antiqua" w:eastAsia="宋体" w:hAnsi="Book Antiqua" w:cs="宋体"/>
          <w:color w:val="000000"/>
          <w:sz w:val="24"/>
          <w:szCs w:val="24"/>
          <w:lang w:val="en-US"/>
        </w:rPr>
        <w:t>: 30-36 [PMID: 24766091 DOI: 10.1111/liv.12576]</w:t>
      </w:r>
    </w:p>
    <w:p w14:paraId="432E53A1" w14:textId="21F1F16D" w:rsidR="009F04EA" w:rsidRPr="009F04EA" w:rsidRDefault="009F04EA" w:rsidP="009F04EA">
      <w:pPr>
        <w:spacing w:after="0" w:line="360" w:lineRule="auto"/>
        <w:jc w:val="both"/>
        <w:rPr>
          <w:rFonts w:ascii="Book Antiqua" w:eastAsia="宋体" w:hAnsi="Book Antiqua" w:cs="宋体"/>
          <w:color w:val="000000"/>
          <w:sz w:val="24"/>
          <w:szCs w:val="24"/>
          <w:lang w:val="en-US"/>
        </w:rPr>
      </w:pPr>
      <w:proofErr w:type="gramStart"/>
      <w:r>
        <w:rPr>
          <w:rFonts w:ascii="Book Antiqua" w:eastAsia="宋体" w:hAnsi="Book Antiqua" w:cs="宋体"/>
          <w:color w:val="000000"/>
          <w:sz w:val="24"/>
          <w:szCs w:val="24"/>
          <w:lang w:val="en-US"/>
        </w:rPr>
        <w:t xml:space="preserve">5 </w:t>
      </w:r>
      <w:proofErr w:type="spellStart"/>
      <w:r w:rsidRPr="009F04EA">
        <w:rPr>
          <w:rFonts w:ascii="Book Antiqua" w:eastAsia="宋体" w:hAnsi="Book Antiqua" w:cs="宋体"/>
          <w:b/>
          <w:color w:val="000000"/>
          <w:sz w:val="24"/>
          <w:szCs w:val="24"/>
          <w:lang w:val="en-US"/>
        </w:rPr>
        <w:t>Arif</w:t>
      </w:r>
      <w:proofErr w:type="spellEnd"/>
      <w:r w:rsidRPr="009F04EA">
        <w:rPr>
          <w:rFonts w:ascii="Book Antiqua" w:eastAsia="宋体" w:hAnsi="Book Antiqua" w:cs="宋体"/>
          <w:b/>
          <w:color w:val="000000"/>
          <w:sz w:val="24"/>
          <w:szCs w:val="24"/>
          <w:lang w:val="en-US"/>
        </w:rPr>
        <w:t xml:space="preserve"> A,</w:t>
      </w:r>
      <w:r w:rsidRPr="009F04EA">
        <w:rPr>
          <w:rFonts w:ascii="Book Antiqua" w:eastAsia="宋体" w:hAnsi="Book Antiqua" w:cs="宋体"/>
          <w:color w:val="000000"/>
          <w:sz w:val="24"/>
          <w:szCs w:val="24"/>
          <w:lang w:val="en-US"/>
        </w:rPr>
        <w:t xml:space="preserve"> Levine RA, Sanderson SO, Bank L, </w:t>
      </w:r>
      <w:proofErr w:type="spellStart"/>
      <w:r w:rsidRPr="009F04EA">
        <w:rPr>
          <w:rFonts w:ascii="Book Antiqua" w:eastAsia="宋体" w:hAnsi="Book Antiqua" w:cs="宋体"/>
          <w:color w:val="000000"/>
          <w:sz w:val="24"/>
          <w:szCs w:val="24"/>
          <w:lang w:val="en-US"/>
        </w:rPr>
        <w:t>Velu</w:t>
      </w:r>
      <w:proofErr w:type="spellEnd"/>
      <w:r w:rsidRPr="009F04EA">
        <w:rPr>
          <w:rFonts w:ascii="Book Antiqua" w:eastAsia="宋体" w:hAnsi="Book Antiqua" w:cs="宋体"/>
          <w:color w:val="000000"/>
          <w:sz w:val="24"/>
          <w:szCs w:val="24"/>
          <w:lang w:val="en-US"/>
        </w:rPr>
        <w:t xml:space="preserve"> RP, Shah A, </w:t>
      </w:r>
      <w:proofErr w:type="spellStart"/>
      <w:r w:rsidRPr="009F04EA">
        <w:rPr>
          <w:rFonts w:ascii="Book Antiqua" w:eastAsia="宋体" w:hAnsi="Book Antiqua" w:cs="宋体"/>
          <w:color w:val="000000"/>
          <w:sz w:val="24"/>
          <w:szCs w:val="24"/>
          <w:lang w:val="en-US"/>
        </w:rPr>
        <w:t>Mahl</w:t>
      </w:r>
      <w:proofErr w:type="spellEnd"/>
      <w:r w:rsidRPr="009F04EA">
        <w:rPr>
          <w:rFonts w:ascii="Book Antiqua" w:eastAsia="宋体" w:hAnsi="Book Antiqua" w:cs="宋体"/>
          <w:color w:val="000000"/>
          <w:sz w:val="24"/>
          <w:szCs w:val="24"/>
          <w:lang w:val="en-US"/>
        </w:rPr>
        <w:t xml:space="preserve"> TC, Gregory DH.</w:t>
      </w:r>
      <w:proofErr w:type="gramEnd"/>
      <w:r w:rsidRPr="009F04EA">
        <w:rPr>
          <w:rFonts w:ascii="Book Antiqua" w:eastAsia="宋体" w:hAnsi="Book Antiqua" w:cs="宋体"/>
          <w:color w:val="000000"/>
          <w:sz w:val="24"/>
          <w:szCs w:val="24"/>
          <w:lang w:val="en-US"/>
        </w:rPr>
        <w:t xml:space="preserve"> </w:t>
      </w:r>
      <w:proofErr w:type="gramStart"/>
      <w:r w:rsidRPr="009F04EA">
        <w:rPr>
          <w:rFonts w:ascii="Book Antiqua" w:eastAsia="宋体" w:hAnsi="Book Antiqua" w:cs="宋体"/>
          <w:color w:val="000000"/>
          <w:sz w:val="24"/>
          <w:szCs w:val="24"/>
          <w:lang w:val="en-US"/>
        </w:rPr>
        <w:t>Regression of Fibrosis in Chronic Hepatitis C After Therapy with Interferon and Ribavirin.</w:t>
      </w:r>
      <w:proofErr w:type="gramEnd"/>
      <w:r w:rsidRPr="009F04EA">
        <w:rPr>
          <w:rFonts w:ascii="Book Antiqua" w:eastAsia="宋体" w:hAnsi="Book Antiqua" w:cs="宋体"/>
          <w:color w:val="000000"/>
          <w:sz w:val="24"/>
          <w:szCs w:val="24"/>
          <w:lang w:val="en-US"/>
        </w:rPr>
        <w:t xml:space="preserve"> </w:t>
      </w:r>
      <w:r w:rsidRPr="009F04EA">
        <w:rPr>
          <w:rFonts w:ascii="Book Antiqua" w:eastAsia="宋体" w:hAnsi="Book Antiqua" w:cs="宋体"/>
          <w:i/>
          <w:color w:val="000000"/>
          <w:sz w:val="24"/>
          <w:szCs w:val="24"/>
          <w:lang w:val="en-US"/>
        </w:rPr>
        <w:t xml:space="preserve">Dig Dis </w:t>
      </w:r>
      <w:proofErr w:type="spellStart"/>
      <w:r w:rsidRPr="009F04EA">
        <w:rPr>
          <w:rFonts w:ascii="Book Antiqua" w:eastAsia="宋体" w:hAnsi="Book Antiqua" w:cs="宋体"/>
          <w:i/>
          <w:color w:val="000000"/>
          <w:sz w:val="24"/>
          <w:szCs w:val="24"/>
          <w:lang w:val="en-US"/>
        </w:rPr>
        <w:t>Sci</w:t>
      </w:r>
      <w:proofErr w:type="spellEnd"/>
      <w:r w:rsidRPr="009F04EA">
        <w:rPr>
          <w:rFonts w:ascii="Book Antiqua" w:eastAsia="宋体" w:hAnsi="Book Antiqua" w:cs="宋体"/>
          <w:color w:val="000000"/>
          <w:sz w:val="24"/>
          <w:szCs w:val="24"/>
          <w:lang w:val="en-US"/>
        </w:rPr>
        <w:t xml:space="preserve"> 2003; </w:t>
      </w:r>
      <w:r w:rsidRPr="009F04EA">
        <w:rPr>
          <w:rFonts w:ascii="Book Antiqua" w:eastAsia="宋体" w:hAnsi="Book Antiqua" w:cs="宋体"/>
          <w:b/>
          <w:color w:val="000000"/>
          <w:sz w:val="24"/>
          <w:szCs w:val="24"/>
          <w:lang w:val="en-US"/>
        </w:rPr>
        <w:t xml:space="preserve">48: </w:t>
      </w:r>
      <w:r w:rsidRPr="009F04EA">
        <w:rPr>
          <w:rFonts w:ascii="Book Antiqua" w:eastAsia="宋体" w:hAnsi="Book Antiqua" w:cs="宋体"/>
          <w:color w:val="000000"/>
          <w:sz w:val="24"/>
          <w:szCs w:val="24"/>
          <w:lang w:val="en-US"/>
        </w:rPr>
        <w:t>1425</w:t>
      </w:r>
      <w:r>
        <w:rPr>
          <w:rFonts w:ascii="Book Antiqua" w:eastAsia="宋体" w:hAnsi="Book Antiqua" w:cs="宋体" w:hint="eastAsia"/>
          <w:color w:val="000000"/>
          <w:sz w:val="24"/>
          <w:szCs w:val="24"/>
          <w:lang w:val="en-US"/>
        </w:rPr>
        <w:t>-</w:t>
      </w:r>
      <w:r w:rsidRPr="009F04EA">
        <w:rPr>
          <w:rFonts w:ascii="Book Antiqua" w:eastAsia="宋体" w:hAnsi="Book Antiqua" w:cs="宋体"/>
          <w:color w:val="000000"/>
          <w:sz w:val="24"/>
          <w:szCs w:val="24"/>
          <w:lang w:val="en-US"/>
        </w:rPr>
        <w:t>30 [DOI: 10.1023/A: 1024196201684]</w:t>
      </w:r>
    </w:p>
    <w:p w14:paraId="634B1DE1" w14:textId="77777777" w:rsidR="009F04EA" w:rsidRPr="009F04EA" w:rsidRDefault="009F04EA" w:rsidP="009F04EA">
      <w:pPr>
        <w:spacing w:after="0" w:line="360" w:lineRule="auto"/>
        <w:jc w:val="both"/>
        <w:rPr>
          <w:rFonts w:ascii="Book Antiqua" w:eastAsia="宋体" w:hAnsi="Book Antiqua" w:cs="宋体"/>
          <w:color w:val="000000"/>
          <w:sz w:val="24"/>
          <w:szCs w:val="24"/>
          <w:lang w:val="en-US"/>
        </w:rPr>
      </w:pPr>
      <w:r w:rsidRPr="009F04EA">
        <w:rPr>
          <w:rFonts w:ascii="Book Antiqua" w:eastAsia="宋体" w:hAnsi="Book Antiqua" w:cs="宋体"/>
          <w:color w:val="000000"/>
          <w:sz w:val="24"/>
          <w:szCs w:val="24"/>
          <w:lang w:val="en-US"/>
        </w:rPr>
        <w:t>6 </w:t>
      </w:r>
      <w:proofErr w:type="spellStart"/>
      <w:r w:rsidRPr="009F04EA">
        <w:rPr>
          <w:rFonts w:ascii="Book Antiqua" w:eastAsia="宋体" w:hAnsi="Book Antiqua" w:cs="宋体"/>
          <w:b/>
          <w:bCs/>
          <w:color w:val="000000"/>
          <w:sz w:val="24"/>
          <w:szCs w:val="24"/>
          <w:lang w:val="en-US"/>
        </w:rPr>
        <w:t>Bunchorntavakul</w:t>
      </w:r>
      <w:proofErr w:type="spellEnd"/>
      <w:r w:rsidRPr="009F04EA">
        <w:rPr>
          <w:rFonts w:ascii="Book Antiqua" w:eastAsia="宋体" w:hAnsi="Book Antiqua" w:cs="宋体"/>
          <w:b/>
          <w:bCs/>
          <w:color w:val="000000"/>
          <w:sz w:val="24"/>
          <w:szCs w:val="24"/>
          <w:lang w:val="en-US"/>
        </w:rPr>
        <w:t xml:space="preserve"> C</w:t>
      </w:r>
      <w:r w:rsidRPr="009F04EA">
        <w:rPr>
          <w:rFonts w:ascii="Book Antiqua" w:eastAsia="宋体" w:hAnsi="Book Antiqua" w:cs="宋体"/>
          <w:color w:val="000000"/>
          <w:sz w:val="24"/>
          <w:szCs w:val="24"/>
          <w:lang w:val="en-US"/>
        </w:rPr>
        <w:t xml:space="preserve">, Reddy KR. Treat chronic hepatitis C virus infection in decompensated cirrhosis - pre- or post-liver transplantation? </w:t>
      </w:r>
      <w:proofErr w:type="gramStart"/>
      <w:r w:rsidRPr="009F04EA">
        <w:rPr>
          <w:rFonts w:ascii="Book Antiqua" w:eastAsia="宋体" w:hAnsi="Book Antiqua" w:cs="宋体"/>
          <w:color w:val="000000"/>
          <w:sz w:val="24"/>
          <w:szCs w:val="24"/>
          <w:lang w:val="en-US"/>
        </w:rPr>
        <w:t>the</w:t>
      </w:r>
      <w:proofErr w:type="gramEnd"/>
      <w:r w:rsidRPr="009F04EA">
        <w:rPr>
          <w:rFonts w:ascii="Book Antiqua" w:eastAsia="宋体" w:hAnsi="Book Antiqua" w:cs="宋体"/>
          <w:color w:val="000000"/>
          <w:sz w:val="24"/>
          <w:szCs w:val="24"/>
          <w:lang w:val="en-US"/>
        </w:rPr>
        <w:t xml:space="preserve"> ironic conundrum in the era of effective and well-tolerated therapy. </w:t>
      </w:r>
      <w:r w:rsidRPr="009F04EA">
        <w:rPr>
          <w:rFonts w:ascii="Book Antiqua" w:eastAsia="宋体" w:hAnsi="Book Antiqua" w:cs="宋体"/>
          <w:i/>
          <w:iCs/>
          <w:color w:val="000000"/>
          <w:sz w:val="24"/>
          <w:szCs w:val="24"/>
          <w:lang w:val="en-US"/>
        </w:rPr>
        <w:t xml:space="preserve">J Viral </w:t>
      </w:r>
      <w:proofErr w:type="spellStart"/>
      <w:r w:rsidRPr="009F04EA">
        <w:rPr>
          <w:rFonts w:ascii="Book Antiqua" w:eastAsia="宋体" w:hAnsi="Book Antiqua" w:cs="宋体"/>
          <w:i/>
          <w:iCs/>
          <w:color w:val="000000"/>
          <w:sz w:val="24"/>
          <w:szCs w:val="24"/>
          <w:lang w:val="en-US"/>
        </w:rPr>
        <w:t>Hepat</w:t>
      </w:r>
      <w:proofErr w:type="spellEnd"/>
      <w:r w:rsidRPr="009F04EA">
        <w:rPr>
          <w:rFonts w:ascii="Book Antiqua" w:eastAsia="宋体" w:hAnsi="Book Antiqua" w:cs="宋体"/>
          <w:color w:val="000000"/>
          <w:sz w:val="24"/>
          <w:szCs w:val="24"/>
          <w:lang w:val="en-US"/>
        </w:rPr>
        <w:t> 2016; </w:t>
      </w:r>
      <w:r w:rsidRPr="009F04EA">
        <w:rPr>
          <w:rFonts w:ascii="Book Antiqua" w:eastAsia="宋体" w:hAnsi="Book Antiqua" w:cs="宋体"/>
          <w:b/>
          <w:bCs/>
          <w:color w:val="000000"/>
          <w:sz w:val="24"/>
          <w:szCs w:val="24"/>
          <w:lang w:val="en-US"/>
        </w:rPr>
        <w:t>23</w:t>
      </w:r>
      <w:r w:rsidRPr="009F04EA">
        <w:rPr>
          <w:rFonts w:ascii="Book Antiqua" w:eastAsia="宋体" w:hAnsi="Book Antiqua" w:cs="宋体"/>
          <w:color w:val="000000"/>
          <w:sz w:val="24"/>
          <w:szCs w:val="24"/>
          <w:lang w:val="en-US"/>
        </w:rPr>
        <w:t>: 408-418 [PMID: 27018088 DOI: 10.1111/jvh.12534]</w:t>
      </w:r>
    </w:p>
    <w:p w14:paraId="53C62B23" w14:textId="4D00AE9F" w:rsidR="009F04EA" w:rsidRPr="009F04EA" w:rsidRDefault="009F04EA" w:rsidP="009F04EA">
      <w:pPr>
        <w:spacing w:after="0" w:line="360" w:lineRule="auto"/>
        <w:jc w:val="both"/>
        <w:rPr>
          <w:rFonts w:ascii="Book Antiqua" w:eastAsia="宋体" w:hAnsi="Book Antiqua" w:cs="宋体"/>
          <w:color w:val="000000"/>
          <w:sz w:val="24"/>
          <w:szCs w:val="24"/>
          <w:lang w:val="en-US"/>
        </w:rPr>
      </w:pPr>
      <w:r>
        <w:rPr>
          <w:rFonts w:ascii="Book Antiqua" w:eastAsia="宋体" w:hAnsi="Book Antiqua" w:cs="宋体"/>
          <w:color w:val="000000"/>
          <w:sz w:val="24"/>
          <w:szCs w:val="24"/>
          <w:lang w:val="en-US"/>
        </w:rPr>
        <w:t xml:space="preserve">7 </w:t>
      </w:r>
      <w:proofErr w:type="spellStart"/>
      <w:r w:rsidRPr="009F04EA">
        <w:rPr>
          <w:rFonts w:ascii="Book Antiqua" w:eastAsia="宋体" w:hAnsi="Book Antiqua" w:cs="宋体"/>
          <w:b/>
          <w:color w:val="000000"/>
          <w:sz w:val="24"/>
          <w:szCs w:val="24"/>
          <w:lang w:val="en-US"/>
        </w:rPr>
        <w:t>Poynard</w:t>
      </w:r>
      <w:proofErr w:type="spellEnd"/>
      <w:r w:rsidRPr="009F04EA">
        <w:rPr>
          <w:rFonts w:ascii="Book Antiqua" w:eastAsia="宋体" w:hAnsi="Book Antiqua" w:cs="宋体"/>
          <w:b/>
          <w:color w:val="000000"/>
          <w:sz w:val="24"/>
          <w:szCs w:val="24"/>
          <w:lang w:val="en-US"/>
        </w:rPr>
        <w:t xml:space="preserve"> T,</w:t>
      </w:r>
      <w:r w:rsidRPr="009F04EA">
        <w:rPr>
          <w:rFonts w:ascii="Book Antiqua" w:eastAsia="宋体" w:hAnsi="Book Antiqua" w:cs="宋体"/>
          <w:color w:val="000000"/>
          <w:sz w:val="24"/>
          <w:szCs w:val="24"/>
          <w:lang w:val="en-US"/>
        </w:rPr>
        <w:t xml:space="preserve"> </w:t>
      </w:r>
      <w:proofErr w:type="spellStart"/>
      <w:r w:rsidRPr="009F04EA">
        <w:rPr>
          <w:rFonts w:ascii="Book Antiqua" w:eastAsia="宋体" w:hAnsi="Book Antiqua" w:cs="宋体"/>
          <w:color w:val="000000"/>
          <w:sz w:val="24"/>
          <w:szCs w:val="24"/>
          <w:lang w:val="en-US"/>
        </w:rPr>
        <w:t>Bedossa</w:t>
      </w:r>
      <w:proofErr w:type="spellEnd"/>
      <w:r w:rsidRPr="009F04EA">
        <w:rPr>
          <w:rFonts w:ascii="Book Antiqua" w:eastAsia="宋体" w:hAnsi="Book Antiqua" w:cs="宋体"/>
          <w:color w:val="000000"/>
          <w:sz w:val="24"/>
          <w:szCs w:val="24"/>
          <w:lang w:val="en-US"/>
        </w:rPr>
        <w:t xml:space="preserve"> P, </w:t>
      </w:r>
      <w:proofErr w:type="spellStart"/>
      <w:r w:rsidRPr="009F04EA">
        <w:rPr>
          <w:rFonts w:ascii="Book Antiqua" w:eastAsia="宋体" w:hAnsi="Book Antiqua" w:cs="宋体"/>
          <w:color w:val="000000"/>
          <w:sz w:val="24"/>
          <w:szCs w:val="24"/>
          <w:lang w:val="en-US"/>
        </w:rPr>
        <w:t>Opolon</w:t>
      </w:r>
      <w:proofErr w:type="spellEnd"/>
      <w:r w:rsidRPr="009F04EA">
        <w:rPr>
          <w:rFonts w:ascii="Book Antiqua" w:eastAsia="宋体" w:hAnsi="Book Antiqua" w:cs="宋体"/>
          <w:color w:val="000000"/>
          <w:sz w:val="24"/>
          <w:szCs w:val="24"/>
          <w:lang w:val="en-US"/>
        </w:rPr>
        <w:t xml:space="preserve"> P. Natural history of liver fibrosis progression in patients with chronic hepatitis C. </w:t>
      </w:r>
      <w:r w:rsidRPr="009F04EA">
        <w:rPr>
          <w:rFonts w:ascii="Book Antiqua" w:eastAsia="宋体" w:hAnsi="Book Antiqua" w:cs="宋体"/>
          <w:i/>
          <w:color w:val="000000"/>
          <w:sz w:val="24"/>
          <w:szCs w:val="24"/>
          <w:lang w:val="en-US"/>
        </w:rPr>
        <w:t>The Lancet</w:t>
      </w:r>
      <w:r w:rsidRPr="009F04EA">
        <w:rPr>
          <w:rFonts w:ascii="Book Antiqua" w:eastAsia="宋体" w:hAnsi="Book Antiqua" w:cs="宋体"/>
          <w:color w:val="000000"/>
          <w:sz w:val="24"/>
          <w:szCs w:val="24"/>
          <w:lang w:val="en-US"/>
        </w:rPr>
        <w:t xml:space="preserve"> 1997; </w:t>
      </w:r>
      <w:r w:rsidRPr="009F04EA">
        <w:rPr>
          <w:rFonts w:ascii="Book Antiqua" w:eastAsia="宋体" w:hAnsi="Book Antiqua" w:cs="宋体"/>
          <w:b/>
          <w:color w:val="000000"/>
          <w:sz w:val="24"/>
          <w:szCs w:val="24"/>
          <w:lang w:val="en-US"/>
        </w:rPr>
        <w:t>349:</w:t>
      </w:r>
      <w:r w:rsidRPr="009F04EA">
        <w:rPr>
          <w:rFonts w:ascii="Book Antiqua" w:eastAsia="宋体" w:hAnsi="Book Antiqua" w:cs="宋体"/>
          <w:color w:val="000000"/>
          <w:sz w:val="24"/>
          <w:szCs w:val="24"/>
          <w:lang w:val="en-US"/>
        </w:rPr>
        <w:t xml:space="preserve"> 825</w:t>
      </w:r>
      <w:r>
        <w:rPr>
          <w:rFonts w:ascii="Book Antiqua" w:eastAsia="宋体" w:hAnsi="Book Antiqua" w:cs="宋体" w:hint="eastAsia"/>
          <w:color w:val="000000"/>
          <w:sz w:val="24"/>
          <w:szCs w:val="24"/>
          <w:lang w:val="en-US"/>
        </w:rPr>
        <w:t>-</w:t>
      </w:r>
      <w:r w:rsidRPr="009F04EA">
        <w:rPr>
          <w:rFonts w:ascii="Book Antiqua" w:eastAsia="宋体" w:hAnsi="Book Antiqua" w:cs="宋体"/>
          <w:color w:val="000000"/>
          <w:sz w:val="24"/>
          <w:szCs w:val="24"/>
          <w:lang w:val="en-US"/>
        </w:rPr>
        <w:t>32 [DOI: 10.1016/S0140-6736(96)07642-8]</w:t>
      </w:r>
    </w:p>
    <w:p w14:paraId="7471B4DB" w14:textId="77777777" w:rsidR="009F04EA" w:rsidRPr="009F04EA" w:rsidRDefault="009F04EA" w:rsidP="009F04EA">
      <w:pPr>
        <w:spacing w:after="0" w:line="360" w:lineRule="auto"/>
        <w:jc w:val="both"/>
        <w:rPr>
          <w:rFonts w:ascii="Book Antiqua" w:eastAsia="宋体" w:hAnsi="Book Antiqua" w:cs="宋体"/>
          <w:color w:val="000000"/>
          <w:sz w:val="24"/>
          <w:szCs w:val="24"/>
          <w:lang w:val="en-US"/>
        </w:rPr>
      </w:pPr>
      <w:r w:rsidRPr="009F04EA">
        <w:rPr>
          <w:rFonts w:ascii="Book Antiqua" w:eastAsia="宋体" w:hAnsi="Book Antiqua" w:cs="宋体"/>
          <w:color w:val="000000"/>
          <w:sz w:val="24"/>
          <w:szCs w:val="24"/>
          <w:lang w:val="en-US"/>
        </w:rPr>
        <w:t>8 </w:t>
      </w:r>
      <w:proofErr w:type="spellStart"/>
      <w:r w:rsidRPr="009F04EA">
        <w:rPr>
          <w:rFonts w:ascii="Book Antiqua" w:eastAsia="宋体" w:hAnsi="Book Antiqua" w:cs="宋体"/>
          <w:b/>
          <w:bCs/>
          <w:color w:val="000000"/>
          <w:sz w:val="24"/>
          <w:szCs w:val="24"/>
          <w:lang w:val="en-US"/>
        </w:rPr>
        <w:t>Rockey</w:t>
      </w:r>
      <w:proofErr w:type="spellEnd"/>
      <w:r w:rsidRPr="009F04EA">
        <w:rPr>
          <w:rFonts w:ascii="Book Antiqua" w:eastAsia="宋体" w:hAnsi="Book Antiqua" w:cs="宋体"/>
          <w:b/>
          <w:bCs/>
          <w:color w:val="000000"/>
          <w:sz w:val="24"/>
          <w:szCs w:val="24"/>
          <w:lang w:val="en-US"/>
        </w:rPr>
        <w:t xml:space="preserve"> DC</w:t>
      </w:r>
      <w:r w:rsidRPr="009F04EA">
        <w:rPr>
          <w:rFonts w:ascii="Book Antiqua" w:eastAsia="宋体" w:hAnsi="Book Antiqua" w:cs="宋体"/>
          <w:color w:val="000000"/>
          <w:sz w:val="24"/>
          <w:szCs w:val="24"/>
          <w:lang w:val="en-US"/>
        </w:rPr>
        <w:t>, Bissell DM. Noninvasive measures of liver fibrosis. </w:t>
      </w:r>
      <w:r w:rsidRPr="009F04EA">
        <w:rPr>
          <w:rFonts w:ascii="Book Antiqua" w:eastAsia="宋体" w:hAnsi="Book Antiqua" w:cs="宋体"/>
          <w:i/>
          <w:iCs/>
          <w:color w:val="000000"/>
          <w:sz w:val="24"/>
          <w:szCs w:val="24"/>
          <w:lang w:val="en-US"/>
        </w:rPr>
        <w:t>Hepatology</w:t>
      </w:r>
      <w:r w:rsidRPr="009F04EA">
        <w:rPr>
          <w:rFonts w:ascii="Book Antiqua" w:eastAsia="宋体" w:hAnsi="Book Antiqua" w:cs="宋体"/>
          <w:color w:val="000000"/>
          <w:sz w:val="24"/>
          <w:szCs w:val="24"/>
          <w:lang w:val="en-US"/>
        </w:rPr>
        <w:t> 2006; </w:t>
      </w:r>
      <w:r w:rsidRPr="009F04EA">
        <w:rPr>
          <w:rFonts w:ascii="Book Antiqua" w:eastAsia="宋体" w:hAnsi="Book Antiqua" w:cs="宋体"/>
          <w:b/>
          <w:bCs/>
          <w:color w:val="000000"/>
          <w:sz w:val="24"/>
          <w:szCs w:val="24"/>
          <w:lang w:val="en-US"/>
        </w:rPr>
        <w:t>43</w:t>
      </w:r>
      <w:r w:rsidRPr="009F04EA">
        <w:rPr>
          <w:rFonts w:ascii="Book Antiqua" w:eastAsia="宋体" w:hAnsi="Book Antiqua" w:cs="宋体"/>
          <w:color w:val="000000"/>
          <w:sz w:val="24"/>
          <w:szCs w:val="24"/>
          <w:lang w:val="en-US"/>
        </w:rPr>
        <w:t>: S113-S120 [PMID: 16447288 DOI: 10.1002/hep.21046]</w:t>
      </w:r>
    </w:p>
    <w:p w14:paraId="493418EA" w14:textId="77777777" w:rsidR="009F04EA" w:rsidRPr="009F04EA" w:rsidRDefault="009F04EA" w:rsidP="009F04EA">
      <w:pPr>
        <w:spacing w:after="0" w:line="360" w:lineRule="auto"/>
        <w:jc w:val="both"/>
        <w:rPr>
          <w:rFonts w:ascii="Book Antiqua" w:eastAsia="宋体" w:hAnsi="Book Antiqua" w:cs="宋体"/>
          <w:color w:val="000000"/>
          <w:sz w:val="24"/>
          <w:szCs w:val="24"/>
          <w:lang w:val="en-US"/>
        </w:rPr>
      </w:pPr>
      <w:proofErr w:type="gramStart"/>
      <w:r w:rsidRPr="009F04EA">
        <w:rPr>
          <w:rFonts w:ascii="Book Antiqua" w:eastAsia="宋体" w:hAnsi="Book Antiqua" w:cs="宋体"/>
          <w:color w:val="000000"/>
          <w:sz w:val="24"/>
          <w:szCs w:val="24"/>
          <w:lang w:val="en-US"/>
        </w:rPr>
        <w:t>9 </w:t>
      </w:r>
      <w:r w:rsidRPr="009F04EA">
        <w:rPr>
          <w:rFonts w:ascii="Book Antiqua" w:eastAsia="宋体" w:hAnsi="Book Antiqua" w:cs="宋体"/>
          <w:b/>
          <w:bCs/>
          <w:color w:val="000000"/>
          <w:sz w:val="24"/>
          <w:szCs w:val="24"/>
          <w:lang w:val="en-US"/>
        </w:rPr>
        <w:t>Huang Y</w:t>
      </w:r>
      <w:r w:rsidRPr="009F04EA">
        <w:rPr>
          <w:rFonts w:ascii="Book Antiqua" w:eastAsia="宋体" w:hAnsi="Book Antiqua" w:cs="宋体"/>
          <w:color w:val="000000"/>
          <w:sz w:val="24"/>
          <w:szCs w:val="24"/>
          <w:lang w:val="en-US"/>
        </w:rPr>
        <w:t xml:space="preserve">, Adams LA, </w:t>
      </w:r>
      <w:proofErr w:type="spellStart"/>
      <w:r w:rsidRPr="009F04EA">
        <w:rPr>
          <w:rFonts w:ascii="Book Antiqua" w:eastAsia="宋体" w:hAnsi="Book Antiqua" w:cs="宋体"/>
          <w:color w:val="000000"/>
          <w:sz w:val="24"/>
          <w:szCs w:val="24"/>
          <w:lang w:val="en-US"/>
        </w:rPr>
        <w:t>MacQuillan</w:t>
      </w:r>
      <w:proofErr w:type="spellEnd"/>
      <w:r w:rsidRPr="009F04EA">
        <w:rPr>
          <w:rFonts w:ascii="Book Antiqua" w:eastAsia="宋体" w:hAnsi="Book Antiqua" w:cs="宋体"/>
          <w:color w:val="000000"/>
          <w:sz w:val="24"/>
          <w:szCs w:val="24"/>
          <w:lang w:val="en-US"/>
        </w:rPr>
        <w:t xml:space="preserve"> G, Speers D, Joseph J, Bulsara MK, Jeffrey GP.</w:t>
      </w:r>
      <w:proofErr w:type="gramEnd"/>
      <w:r w:rsidRPr="009F04EA">
        <w:rPr>
          <w:rFonts w:ascii="Book Antiqua" w:eastAsia="宋体" w:hAnsi="Book Antiqua" w:cs="宋体"/>
          <w:color w:val="000000"/>
          <w:sz w:val="24"/>
          <w:szCs w:val="24"/>
          <w:lang w:val="en-US"/>
        </w:rPr>
        <w:t xml:space="preserve"> Serum models accurately predict liver-related clinical outcomes in chronic </w:t>
      </w:r>
      <w:r w:rsidRPr="009F04EA">
        <w:rPr>
          <w:rFonts w:ascii="Book Antiqua" w:eastAsia="宋体" w:hAnsi="Book Antiqua" w:cs="宋体"/>
          <w:color w:val="000000"/>
          <w:sz w:val="24"/>
          <w:szCs w:val="24"/>
          <w:lang w:val="en-US"/>
        </w:rPr>
        <w:lastRenderedPageBreak/>
        <w:t>hepatitis C. </w:t>
      </w:r>
      <w:r w:rsidRPr="009F04EA">
        <w:rPr>
          <w:rFonts w:ascii="Book Antiqua" w:eastAsia="宋体" w:hAnsi="Book Antiqua" w:cs="宋体"/>
          <w:i/>
          <w:iCs/>
          <w:color w:val="000000"/>
          <w:sz w:val="24"/>
          <w:szCs w:val="24"/>
          <w:lang w:val="en-US"/>
        </w:rPr>
        <w:t xml:space="preserve">J </w:t>
      </w:r>
      <w:proofErr w:type="spellStart"/>
      <w:r w:rsidRPr="009F04EA">
        <w:rPr>
          <w:rFonts w:ascii="Book Antiqua" w:eastAsia="宋体" w:hAnsi="Book Antiqua" w:cs="宋体"/>
          <w:i/>
          <w:iCs/>
          <w:color w:val="000000"/>
          <w:sz w:val="24"/>
          <w:szCs w:val="24"/>
          <w:lang w:val="en-US"/>
        </w:rPr>
        <w:t>Gastroenterol</w:t>
      </w:r>
      <w:proofErr w:type="spellEnd"/>
      <w:r w:rsidRPr="009F04EA">
        <w:rPr>
          <w:rFonts w:ascii="Book Antiqua" w:eastAsia="宋体" w:hAnsi="Book Antiqua" w:cs="宋体"/>
          <w:i/>
          <w:iCs/>
          <w:color w:val="000000"/>
          <w:sz w:val="24"/>
          <w:szCs w:val="24"/>
          <w:lang w:val="en-US"/>
        </w:rPr>
        <w:t xml:space="preserve"> </w:t>
      </w:r>
      <w:proofErr w:type="spellStart"/>
      <w:r w:rsidRPr="009F04EA">
        <w:rPr>
          <w:rFonts w:ascii="Book Antiqua" w:eastAsia="宋体" w:hAnsi="Book Antiqua" w:cs="宋体"/>
          <w:i/>
          <w:iCs/>
          <w:color w:val="000000"/>
          <w:sz w:val="24"/>
          <w:szCs w:val="24"/>
          <w:lang w:val="en-US"/>
        </w:rPr>
        <w:t>Hepatol</w:t>
      </w:r>
      <w:proofErr w:type="spellEnd"/>
      <w:r w:rsidRPr="009F04EA">
        <w:rPr>
          <w:rFonts w:ascii="Book Antiqua" w:eastAsia="宋体" w:hAnsi="Book Antiqua" w:cs="宋体"/>
          <w:color w:val="000000"/>
          <w:sz w:val="24"/>
          <w:szCs w:val="24"/>
          <w:lang w:val="en-US"/>
        </w:rPr>
        <w:t> 2016; </w:t>
      </w:r>
      <w:r w:rsidRPr="009F04EA">
        <w:rPr>
          <w:rFonts w:ascii="Book Antiqua" w:eastAsia="宋体" w:hAnsi="Book Antiqua" w:cs="宋体"/>
          <w:b/>
          <w:bCs/>
          <w:color w:val="000000"/>
          <w:sz w:val="24"/>
          <w:szCs w:val="24"/>
          <w:lang w:val="en-US"/>
        </w:rPr>
        <w:t>31</w:t>
      </w:r>
      <w:r w:rsidRPr="009F04EA">
        <w:rPr>
          <w:rFonts w:ascii="Book Antiqua" w:eastAsia="宋体" w:hAnsi="Book Antiqua" w:cs="宋体"/>
          <w:color w:val="000000"/>
          <w:sz w:val="24"/>
          <w:szCs w:val="24"/>
          <w:lang w:val="en-US"/>
        </w:rPr>
        <w:t>: 1736-1741 [PMID: 26945918 DOI: 10.1111/jgh.13333]</w:t>
      </w:r>
    </w:p>
    <w:p w14:paraId="6EAC9D4D" w14:textId="3A148837" w:rsidR="009F04EA" w:rsidRPr="009F04EA" w:rsidRDefault="009F04EA" w:rsidP="009F04EA">
      <w:pPr>
        <w:spacing w:after="0" w:line="360" w:lineRule="auto"/>
        <w:jc w:val="both"/>
        <w:rPr>
          <w:rFonts w:ascii="Book Antiqua" w:eastAsia="宋体" w:hAnsi="Book Antiqua" w:cs="宋体"/>
          <w:color w:val="000000"/>
          <w:sz w:val="24"/>
          <w:szCs w:val="24"/>
          <w:lang w:val="en-US"/>
        </w:rPr>
      </w:pPr>
      <w:r>
        <w:rPr>
          <w:rFonts w:ascii="Book Antiqua" w:eastAsia="宋体" w:hAnsi="Book Antiqua" w:cs="宋体"/>
          <w:color w:val="000000"/>
          <w:sz w:val="24"/>
          <w:szCs w:val="24"/>
          <w:lang w:val="en-US"/>
        </w:rPr>
        <w:t>10</w:t>
      </w:r>
      <w:r w:rsidRPr="009F04EA">
        <w:rPr>
          <w:rFonts w:ascii="Book Antiqua" w:eastAsia="宋体" w:hAnsi="Book Antiqua" w:cs="宋体"/>
          <w:b/>
          <w:color w:val="000000"/>
          <w:sz w:val="24"/>
          <w:szCs w:val="24"/>
          <w:lang w:val="en-US"/>
        </w:rPr>
        <w:t xml:space="preserve"> </w:t>
      </w:r>
      <w:proofErr w:type="spellStart"/>
      <w:r w:rsidRPr="009F04EA">
        <w:rPr>
          <w:rFonts w:ascii="Book Antiqua" w:eastAsia="宋体" w:hAnsi="Book Antiqua" w:cs="宋体"/>
          <w:b/>
          <w:color w:val="000000"/>
          <w:sz w:val="24"/>
          <w:szCs w:val="24"/>
          <w:lang w:val="en-US"/>
        </w:rPr>
        <w:t>Chinnaratha</w:t>
      </w:r>
      <w:proofErr w:type="spellEnd"/>
      <w:r w:rsidRPr="009F04EA">
        <w:rPr>
          <w:rFonts w:ascii="Book Antiqua" w:eastAsia="宋体" w:hAnsi="Book Antiqua" w:cs="宋体"/>
          <w:b/>
          <w:color w:val="000000"/>
          <w:sz w:val="24"/>
          <w:szCs w:val="24"/>
          <w:lang w:val="en-US"/>
        </w:rPr>
        <w:t xml:space="preserve"> MA, </w:t>
      </w:r>
      <w:r w:rsidRPr="009F04EA">
        <w:rPr>
          <w:rFonts w:ascii="Book Antiqua" w:eastAsia="宋体" w:hAnsi="Book Antiqua" w:cs="宋体"/>
          <w:color w:val="000000"/>
          <w:sz w:val="24"/>
          <w:szCs w:val="24"/>
          <w:lang w:val="en-US"/>
        </w:rPr>
        <w:t xml:space="preserve">Jeffrey GP, </w:t>
      </w:r>
      <w:proofErr w:type="spellStart"/>
      <w:r w:rsidRPr="009F04EA">
        <w:rPr>
          <w:rFonts w:ascii="Book Antiqua" w:eastAsia="宋体" w:hAnsi="Book Antiqua" w:cs="宋体"/>
          <w:color w:val="000000"/>
          <w:sz w:val="24"/>
          <w:szCs w:val="24"/>
          <w:lang w:val="en-US"/>
        </w:rPr>
        <w:t>MacQuillan</w:t>
      </w:r>
      <w:proofErr w:type="spellEnd"/>
      <w:r w:rsidRPr="009F04EA">
        <w:rPr>
          <w:rFonts w:ascii="Book Antiqua" w:eastAsia="宋体" w:hAnsi="Book Antiqua" w:cs="宋体"/>
          <w:color w:val="000000"/>
          <w:sz w:val="24"/>
          <w:szCs w:val="24"/>
          <w:lang w:val="en-US"/>
        </w:rPr>
        <w:t xml:space="preserve"> G, Rossi E, de Boer BW, Speers DJ, Adams LA. </w:t>
      </w:r>
      <w:proofErr w:type="gramStart"/>
      <w:r w:rsidRPr="009F04EA">
        <w:rPr>
          <w:rFonts w:ascii="Book Antiqua" w:eastAsia="宋体" w:hAnsi="Book Antiqua" w:cs="宋体"/>
          <w:color w:val="000000"/>
          <w:sz w:val="24"/>
          <w:szCs w:val="24"/>
          <w:lang w:val="en-US"/>
        </w:rPr>
        <w:t>Prediction of morbidity and mortality in patients with chronic hepatitis C by non-invasive liver fibrosis models.</w:t>
      </w:r>
      <w:proofErr w:type="gramEnd"/>
      <w:r w:rsidRPr="009F04EA">
        <w:rPr>
          <w:rFonts w:ascii="Book Antiqua" w:eastAsia="宋体" w:hAnsi="Book Antiqua" w:cs="宋体"/>
          <w:color w:val="000000"/>
          <w:sz w:val="24"/>
          <w:szCs w:val="24"/>
          <w:lang w:val="en-US"/>
        </w:rPr>
        <w:t xml:space="preserve"> </w:t>
      </w:r>
      <w:r w:rsidRPr="009F04EA">
        <w:rPr>
          <w:rFonts w:ascii="Book Antiqua" w:eastAsia="宋体" w:hAnsi="Book Antiqua" w:cs="宋体"/>
          <w:i/>
          <w:color w:val="000000"/>
          <w:sz w:val="24"/>
          <w:szCs w:val="24"/>
          <w:lang w:val="en-US"/>
        </w:rPr>
        <w:t xml:space="preserve">Liver </w:t>
      </w:r>
      <w:proofErr w:type="spellStart"/>
      <w:r w:rsidRPr="009F04EA">
        <w:rPr>
          <w:rFonts w:ascii="Book Antiqua" w:eastAsia="宋体" w:hAnsi="Book Antiqua" w:cs="宋体"/>
          <w:i/>
          <w:color w:val="000000"/>
          <w:sz w:val="24"/>
          <w:szCs w:val="24"/>
          <w:lang w:val="en-US"/>
        </w:rPr>
        <w:t>Int</w:t>
      </w:r>
      <w:proofErr w:type="spellEnd"/>
      <w:r w:rsidRPr="009F04EA">
        <w:rPr>
          <w:rFonts w:ascii="Book Antiqua" w:eastAsia="宋体" w:hAnsi="Book Antiqua" w:cs="宋体"/>
          <w:i/>
          <w:color w:val="000000"/>
          <w:sz w:val="24"/>
          <w:szCs w:val="24"/>
          <w:lang w:val="en-US"/>
        </w:rPr>
        <w:t xml:space="preserve"> </w:t>
      </w:r>
      <w:r w:rsidRPr="009F04EA">
        <w:rPr>
          <w:rFonts w:ascii="Book Antiqua" w:eastAsia="宋体" w:hAnsi="Book Antiqua" w:cs="宋体"/>
          <w:color w:val="000000"/>
          <w:sz w:val="24"/>
          <w:szCs w:val="24"/>
          <w:lang w:val="en-US"/>
        </w:rPr>
        <w:t xml:space="preserve">2014; </w:t>
      </w:r>
      <w:r w:rsidRPr="009F04EA">
        <w:rPr>
          <w:rFonts w:ascii="Book Antiqua" w:eastAsia="宋体" w:hAnsi="Book Antiqua" w:cs="宋体"/>
          <w:b/>
          <w:color w:val="000000"/>
          <w:sz w:val="24"/>
          <w:szCs w:val="24"/>
          <w:lang w:val="en-US"/>
        </w:rPr>
        <w:t xml:space="preserve">34: </w:t>
      </w:r>
      <w:r w:rsidRPr="009F04EA">
        <w:rPr>
          <w:rFonts w:ascii="Book Antiqua" w:eastAsia="宋体" w:hAnsi="Book Antiqua" w:cs="宋体"/>
          <w:color w:val="000000"/>
          <w:sz w:val="24"/>
          <w:szCs w:val="24"/>
          <w:lang w:val="en-US"/>
        </w:rPr>
        <w:t>720</w:t>
      </w:r>
      <w:r>
        <w:rPr>
          <w:rFonts w:ascii="Book Antiqua" w:eastAsia="宋体" w:hAnsi="Book Antiqua" w:cs="宋体" w:hint="eastAsia"/>
          <w:color w:val="000000"/>
          <w:sz w:val="24"/>
          <w:szCs w:val="24"/>
          <w:lang w:val="en-US"/>
        </w:rPr>
        <w:t>-</w:t>
      </w:r>
      <w:r w:rsidRPr="009F04EA">
        <w:rPr>
          <w:rFonts w:ascii="Book Antiqua" w:eastAsia="宋体" w:hAnsi="Book Antiqua" w:cs="宋体"/>
          <w:color w:val="000000"/>
          <w:sz w:val="24"/>
          <w:szCs w:val="24"/>
          <w:lang w:val="en-US"/>
        </w:rPr>
        <w:t>7 [DOI: 10.1111/liv.12306]</w:t>
      </w:r>
    </w:p>
    <w:p w14:paraId="6F1B7A12" w14:textId="77777777" w:rsidR="009F04EA" w:rsidRPr="009F04EA" w:rsidRDefault="009F04EA" w:rsidP="009F04EA">
      <w:pPr>
        <w:spacing w:after="0" w:line="360" w:lineRule="auto"/>
        <w:jc w:val="both"/>
        <w:rPr>
          <w:rFonts w:ascii="Book Antiqua" w:eastAsia="宋体" w:hAnsi="Book Antiqua" w:cs="宋体"/>
          <w:color w:val="000000"/>
          <w:sz w:val="24"/>
          <w:szCs w:val="24"/>
          <w:lang w:val="en-US"/>
        </w:rPr>
      </w:pPr>
      <w:r w:rsidRPr="009F04EA">
        <w:rPr>
          <w:rFonts w:ascii="Book Antiqua" w:eastAsia="宋体" w:hAnsi="Book Antiqua" w:cs="宋体"/>
          <w:color w:val="000000"/>
          <w:sz w:val="24"/>
          <w:szCs w:val="24"/>
          <w:lang w:val="en-US"/>
        </w:rPr>
        <w:t>11 </w:t>
      </w:r>
      <w:r w:rsidRPr="009F04EA">
        <w:rPr>
          <w:rFonts w:ascii="Book Antiqua" w:eastAsia="宋体" w:hAnsi="Book Antiqua" w:cs="宋体"/>
          <w:b/>
          <w:bCs/>
          <w:color w:val="000000"/>
          <w:sz w:val="24"/>
          <w:szCs w:val="24"/>
          <w:lang w:val="en-US"/>
        </w:rPr>
        <w:t>Adams LA</w:t>
      </w:r>
      <w:r w:rsidRPr="009F04EA">
        <w:rPr>
          <w:rFonts w:ascii="Book Antiqua" w:eastAsia="宋体" w:hAnsi="Book Antiqua" w:cs="宋体"/>
          <w:color w:val="000000"/>
          <w:sz w:val="24"/>
          <w:szCs w:val="24"/>
          <w:lang w:val="en-US"/>
        </w:rPr>
        <w:t xml:space="preserve">, Bulsara M, Rossi E, </w:t>
      </w:r>
      <w:proofErr w:type="spellStart"/>
      <w:r w:rsidRPr="009F04EA">
        <w:rPr>
          <w:rFonts w:ascii="Book Antiqua" w:eastAsia="宋体" w:hAnsi="Book Antiqua" w:cs="宋体"/>
          <w:color w:val="000000"/>
          <w:sz w:val="24"/>
          <w:szCs w:val="24"/>
          <w:lang w:val="en-US"/>
        </w:rPr>
        <w:t>DeBoer</w:t>
      </w:r>
      <w:proofErr w:type="spellEnd"/>
      <w:r w:rsidRPr="009F04EA">
        <w:rPr>
          <w:rFonts w:ascii="Book Antiqua" w:eastAsia="宋体" w:hAnsi="Book Antiqua" w:cs="宋体"/>
          <w:color w:val="000000"/>
          <w:sz w:val="24"/>
          <w:szCs w:val="24"/>
          <w:lang w:val="en-US"/>
        </w:rPr>
        <w:t xml:space="preserve"> B, Speers D, George J, Kench J, Farrell G, </w:t>
      </w:r>
      <w:proofErr w:type="spellStart"/>
      <w:r w:rsidRPr="009F04EA">
        <w:rPr>
          <w:rFonts w:ascii="Book Antiqua" w:eastAsia="宋体" w:hAnsi="Book Antiqua" w:cs="宋体"/>
          <w:color w:val="000000"/>
          <w:sz w:val="24"/>
          <w:szCs w:val="24"/>
          <w:lang w:val="en-US"/>
        </w:rPr>
        <w:t>McCaughan</w:t>
      </w:r>
      <w:proofErr w:type="spellEnd"/>
      <w:r w:rsidRPr="009F04EA">
        <w:rPr>
          <w:rFonts w:ascii="Book Antiqua" w:eastAsia="宋体" w:hAnsi="Book Antiqua" w:cs="宋体"/>
          <w:color w:val="000000"/>
          <w:sz w:val="24"/>
          <w:szCs w:val="24"/>
          <w:lang w:val="en-US"/>
        </w:rPr>
        <w:t xml:space="preserve"> GW, Jeffrey GP. </w:t>
      </w:r>
      <w:proofErr w:type="spellStart"/>
      <w:r w:rsidRPr="009F04EA">
        <w:rPr>
          <w:rFonts w:ascii="Book Antiqua" w:eastAsia="宋体" w:hAnsi="Book Antiqua" w:cs="宋体"/>
          <w:color w:val="000000"/>
          <w:sz w:val="24"/>
          <w:szCs w:val="24"/>
          <w:lang w:val="en-US"/>
        </w:rPr>
        <w:t>Hepascore</w:t>
      </w:r>
      <w:proofErr w:type="spellEnd"/>
      <w:r w:rsidRPr="009F04EA">
        <w:rPr>
          <w:rFonts w:ascii="Book Antiqua" w:eastAsia="宋体" w:hAnsi="Book Antiqua" w:cs="宋体"/>
          <w:color w:val="000000"/>
          <w:sz w:val="24"/>
          <w:szCs w:val="24"/>
          <w:lang w:val="en-US"/>
        </w:rPr>
        <w:t>: an accurate validated predictor of liver fibrosis in chronic hepatitis C infection. </w:t>
      </w:r>
      <w:proofErr w:type="spellStart"/>
      <w:r w:rsidRPr="009F04EA">
        <w:rPr>
          <w:rFonts w:ascii="Book Antiqua" w:eastAsia="宋体" w:hAnsi="Book Antiqua" w:cs="宋体"/>
          <w:i/>
          <w:iCs/>
          <w:color w:val="000000"/>
          <w:sz w:val="24"/>
          <w:szCs w:val="24"/>
          <w:lang w:val="en-US"/>
        </w:rPr>
        <w:t>Clin</w:t>
      </w:r>
      <w:proofErr w:type="spellEnd"/>
      <w:r w:rsidRPr="009F04EA">
        <w:rPr>
          <w:rFonts w:ascii="Book Antiqua" w:eastAsia="宋体" w:hAnsi="Book Antiqua" w:cs="宋体"/>
          <w:i/>
          <w:iCs/>
          <w:color w:val="000000"/>
          <w:sz w:val="24"/>
          <w:szCs w:val="24"/>
          <w:lang w:val="en-US"/>
        </w:rPr>
        <w:t xml:space="preserve"> </w:t>
      </w:r>
      <w:proofErr w:type="spellStart"/>
      <w:r w:rsidRPr="009F04EA">
        <w:rPr>
          <w:rFonts w:ascii="Book Antiqua" w:eastAsia="宋体" w:hAnsi="Book Antiqua" w:cs="宋体"/>
          <w:i/>
          <w:iCs/>
          <w:color w:val="000000"/>
          <w:sz w:val="24"/>
          <w:szCs w:val="24"/>
          <w:lang w:val="en-US"/>
        </w:rPr>
        <w:t>Chem</w:t>
      </w:r>
      <w:proofErr w:type="spellEnd"/>
      <w:r w:rsidRPr="009F04EA">
        <w:rPr>
          <w:rFonts w:ascii="Book Antiqua" w:eastAsia="宋体" w:hAnsi="Book Antiqua" w:cs="宋体"/>
          <w:color w:val="000000"/>
          <w:sz w:val="24"/>
          <w:szCs w:val="24"/>
          <w:lang w:val="en-US"/>
        </w:rPr>
        <w:t> 2005; </w:t>
      </w:r>
      <w:r w:rsidRPr="009F04EA">
        <w:rPr>
          <w:rFonts w:ascii="Book Antiqua" w:eastAsia="宋体" w:hAnsi="Book Antiqua" w:cs="宋体"/>
          <w:b/>
          <w:bCs/>
          <w:color w:val="000000"/>
          <w:sz w:val="24"/>
          <w:szCs w:val="24"/>
          <w:lang w:val="en-US"/>
        </w:rPr>
        <w:t>51</w:t>
      </w:r>
      <w:r w:rsidRPr="009F04EA">
        <w:rPr>
          <w:rFonts w:ascii="Book Antiqua" w:eastAsia="宋体" w:hAnsi="Book Antiqua" w:cs="宋体"/>
          <w:color w:val="000000"/>
          <w:sz w:val="24"/>
          <w:szCs w:val="24"/>
          <w:lang w:val="en-US"/>
        </w:rPr>
        <w:t>: 1867-1873 [PMID: 16055434 DOI: 10.1373/clinchem.2005.048389]</w:t>
      </w:r>
    </w:p>
    <w:p w14:paraId="0C270259" w14:textId="1D28202F" w:rsidR="009F04EA" w:rsidRPr="009F04EA" w:rsidRDefault="009F04EA" w:rsidP="009F04EA">
      <w:pPr>
        <w:spacing w:after="0" w:line="360" w:lineRule="auto"/>
        <w:jc w:val="both"/>
        <w:rPr>
          <w:rFonts w:ascii="Book Antiqua" w:eastAsia="宋体" w:hAnsi="Book Antiqua" w:cs="宋体"/>
          <w:color w:val="000000"/>
          <w:sz w:val="24"/>
          <w:szCs w:val="24"/>
          <w:lang w:val="en-US"/>
        </w:rPr>
      </w:pPr>
      <w:proofErr w:type="gramStart"/>
      <w:r>
        <w:rPr>
          <w:rFonts w:ascii="Book Antiqua" w:eastAsia="宋体" w:hAnsi="Book Antiqua" w:cs="宋体"/>
          <w:color w:val="000000"/>
          <w:sz w:val="24"/>
          <w:szCs w:val="24"/>
          <w:lang w:val="en-US"/>
        </w:rPr>
        <w:t xml:space="preserve">12 </w:t>
      </w:r>
      <w:r w:rsidRPr="009F04EA">
        <w:rPr>
          <w:rFonts w:ascii="Book Antiqua" w:eastAsia="宋体" w:hAnsi="Book Antiqua" w:cs="宋体"/>
          <w:b/>
          <w:color w:val="000000"/>
          <w:sz w:val="24"/>
          <w:szCs w:val="24"/>
          <w:lang w:val="en-US"/>
        </w:rPr>
        <w:t xml:space="preserve">Huang Y, </w:t>
      </w:r>
      <w:r w:rsidRPr="009F04EA">
        <w:rPr>
          <w:rFonts w:ascii="Book Antiqua" w:eastAsia="宋体" w:hAnsi="Book Antiqua" w:cs="宋体"/>
          <w:color w:val="000000"/>
          <w:sz w:val="24"/>
          <w:szCs w:val="24"/>
          <w:lang w:val="en-US"/>
        </w:rPr>
        <w:t>Adams LA, Joseph J, Bulsara MK, Jeffrey GP.</w:t>
      </w:r>
      <w:proofErr w:type="gramEnd"/>
      <w:r w:rsidRPr="009F04EA">
        <w:rPr>
          <w:rFonts w:ascii="Book Antiqua" w:eastAsia="宋体" w:hAnsi="Book Antiqua" w:cs="宋体"/>
          <w:color w:val="000000"/>
          <w:sz w:val="24"/>
          <w:szCs w:val="24"/>
          <w:lang w:val="en-US"/>
        </w:rPr>
        <w:t xml:space="preserve"> The ability of </w:t>
      </w:r>
      <w:proofErr w:type="spellStart"/>
      <w:r w:rsidRPr="009F04EA">
        <w:rPr>
          <w:rFonts w:ascii="Book Antiqua" w:eastAsia="宋体" w:hAnsi="Book Antiqua" w:cs="宋体"/>
          <w:color w:val="000000"/>
          <w:sz w:val="24"/>
          <w:szCs w:val="24"/>
          <w:lang w:val="en-US"/>
        </w:rPr>
        <w:t>Hepascore</w:t>
      </w:r>
      <w:proofErr w:type="spellEnd"/>
      <w:r w:rsidRPr="009F04EA">
        <w:rPr>
          <w:rFonts w:ascii="Book Antiqua" w:eastAsia="宋体" w:hAnsi="Book Antiqua" w:cs="宋体"/>
          <w:color w:val="000000"/>
          <w:sz w:val="24"/>
          <w:szCs w:val="24"/>
          <w:lang w:val="en-US"/>
        </w:rPr>
        <w:t xml:space="preserve"> to predict liver fibrosis in chronic liver disease: a meta-analysis. </w:t>
      </w:r>
      <w:r w:rsidRPr="009F04EA">
        <w:rPr>
          <w:rFonts w:ascii="Book Antiqua" w:eastAsia="宋体" w:hAnsi="Book Antiqua" w:cs="宋体"/>
          <w:i/>
          <w:color w:val="000000"/>
          <w:sz w:val="24"/>
          <w:szCs w:val="24"/>
          <w:lang w:val="en-US"/>
        </w:rPr>
        <w:t xml:space="preserve">Liver </w:t>
      </w:r>
      <w:proofErr w:type="spellStart"/>
      <w:r w:rsidRPr="009F04EA">
        <w:rPr>
          <w:rFonts w:ascii="Book Antiqua" w:eastAsia="宋体" w:hAnsi="Book Antiqua" w:cs="宋体"/>
          <w:i/>
          <w:color w:val="000000"/>
          <w:sz w:val="24"/>
          <w:szCs w:val="24"/>
          <w:lang w:val="en-US"/>
        </w:rPr>
        <w:t>Int</w:t>
      </w:r>
      <w:proofErr w:type="spellEnd"/>
      <w:r w:rsidRPr="009F04EA">
        <w:rPr>
          <w:rFonts w:ascii="Book Antiqua" w:eastAsia="宋体" w:hAnsi="Book Antiqua" w:cs="宋体"/>
          <w:i/>
          <w:color w:val="000000"/>
          <w:sz w:val="24"/>
          <w:szCs w:val="24"/>
          <w:lang w:val="en-US"/>
        </w:rPr>
        <w:t xml:space="preserve"> </w:t>
      </w:r>
      <w:r>
        <w:rPr>
          <w:rFonts w:ascii="Book Antiqua" w:eastAsia="宋体" w:hAnsi="Book Antiqua" w:cs="宋体"/>
          <w:color w:val="000000"/>
          <w:sz w:val="24"/>
          <w:szCs w:val="24"/>
          <w:lang w:val="en-US"/>
        </w:rPr>
        <w:t>2016</w:t>
      </w:r>
      <w:r w:rsidRPr="009F04EA">
        <w:rPr>
          <w:rFonts w:ascii="Book Antiqua" w:eastAsia="宋体" w:hAnsi="Book Antiqua" w:cs="宋体"/>
          <w:color w:val="000000"/>
          <w:sz w:val="24"/>
          <w:szCs w:val="24"/>
          <w:lang w:val="en-US"/>
        </w:rPr>
        <w:t xml:space="preserve"> [DOI: 10.1111/liv.13116]</w:t>
      </w:r>
    </w:p>
    <w:p w14:paraId="4F91C2E8" w14:textId="77777777" w:rsidR="009F04EA" w:rsidRPr="009F04EA" w:rsidRDefault="009F04EA" w:rsidP="009F04EA">
      <w:pPr>
        <w:spacing w:after="0" w:line="360" w:lineRule="auto"/>
        <w:jc w:val="both"/>
        <w:rPr>
          <w:rFonts w:ascii="Book Antiqua" w:eastAsia="宋体" w:hAnsi="Book Antiqua" w:cs="宋体"/>
          <w:color w:val="000000"/>
          <w:sz w:val="24"/>
          <w:szCs w:val="24"/>
          <w:lang w:val="en-US"/>
        </w:rPr>
      </w:pPr>
      <w:r w:rsidRPr="009F04EA">
        <w:rPr>
          <w:rFonts w:ascii="Book Antiqua" w:eastAsia="宋体" w:hAnsi="Book Antiqua" w:cs="宋体"/>
          <w:color w:val="000000"/>
          <w:sz w:val="24"/>
          <w:szCs w:val="24"/>
          <w:lang w:val="en-US"/>
        </w:rPr>
        <w:t>13 </w:t>
      </w:r>
      <w:r w:rsidRPr="009F04EA">
        <w:rPr>
          <w:rFonts w:ascii="Book Antiqua" w:eastAsia="宋体" w:hAnsi="Book Antiqua" w:cs="宋体"/>
          <w:b/>
          <w:bCs/>
          <w:color w:val="000000"/>
          <w:sz w:val="24"/>
          <w:szCs w:val="24"/>
          <w:lang w:val="en-US"/>
        </w:rPr>
        <w:t>Holman CD</w:t>
      </w:r>
      <w:r w:rsidRPr="009F04EA">
        <w:rPr>
          <w:rFonts w:ascii="Book Antiqua" w:eastAsia="宋体" w:hAnsi="Book Antiqua" w:cs="宋体"/>
          <w:color w:val="000000"/>
          <w:sz w:val="24"/>
          <w:szCs w:val="24"/>
          <w:lang w:val="en-US"/>
        </w:rPr>
        <w:t>, Bass AJ, Rouse IL, Hobbs MS. Population-based linkage of health records in Western Australia: development of a health services research linked database. </w:t>
      </w:r>
      <w:proofErr w:type="spellStart"/>
      <w:r w:rsidRPr="009F04EA">
        <w:rPr>
          <w:rFonts w:ascii="Book Antiqua" w:eastAsia="宋体" w:hAnsi="Book Antiqua" w:cs="宋体"/>
          <w:i/>
          <w:iCs/>
          <w:color w:val="000000"/>
          <w:sz w:val="24"/>
          <w:szCs w:val="24"/>
          <w:lang w:val="en-US"/>
        </w:rPr>
        <w:t>Aust</w:t>
      </w:r>
      <w:proofErr w:type="spellEnd"/>
      <w:r w:rsidRPr="009F04EA">
        <w:rPr>
          <w:rFonts w:ascii="Book Antiqua" w:eastAsia="宋体" w:hAnsi="Book Antiqua" w:cs="宋体"/>
          <w:i/>
          <w:iCs/>
          <w:color w:val="000000"/>
          <w:sz w:val="24"/>
          <w:szCs w:val="24"/>
          <w:lang w:val="en-US"/>
        </w:rPr>
        <w:t xml:space="preserve"> N Z J Public Health</w:t>
      </w:r>
      <w:r w:rsidRPr="009F04EA">
        <w:rPr>
          <w:rFonts w:ascii="Book Antiqua" w:eastAsia="宋体" w:hAnsi="Book Antiqua" w:cs="宋体"/>
          <w:color w:val="000000"/>
          <w:sz w:val="24"/>
          <w:szCs w:val="24"/>
          <w:lang w:val="en-US"/>
        </w:rPr>
        <w:t> 1999; </w:t>
      </w:r>
      <w:r w:rsidRPr="009F04EA">
        <w:rPr>
          <w:rFonts w:ascii="Book Antiqua" w:eastAsia="宋体" w:hAnsi="Book Antiqua" w:cs="宋体"/>
          <w:b/>
          <w:bCs/>
          <w:color w:val="000000"/>
          <w:sz w:val="24"/>
          <w:szCs w:val="24"/>
          <w:lang w:val="en-US"/>
        </w:rPr>
        <w:t>23</w:t>
      </w:r>
      <w:r w:rsidRPr="009F04EA">
        <w:rPr>
          <w:rFonts w:ascii="Book Antiqua" w:eastAsia="宋体" w:hAnsi="Book Antiqua" w:cs="宋体"/>
          <w:color w:val="000000"/>
          <w:sz w:val="24"/>
          <w:szCs w:val="24"/>
          <w:lang w:val="en-US"/>
        </w:rPr>
        <w:t>: 453-459 [PMID: 10575763]</w:t>
      </w:r>
    </w:p>
    <w:p w14:paraId="25EF2F6D" w14:textId="77777777" w:rsidR="009F04EA" w:rsidRPr="009F04EA" w:rsidRDefault="009F04EA" w:rsidP="009F04EA">
      <w:pPr>
        <w:spacing w:after="0" w:line="360" w:lineRule="auto"/>
        <w:jc w:val="both"/>
        <w:rPr>
          <w:rFonts w:ascii="Book Antiqua" w:eastAsia="宋体" w:hAnsi="Book Antiqua" w:cs="宋体"/>
          <w:color w:val="000000"/>
          <w:sz w:val="24"/>
          <w:szCs w:val="24"/>
          <w:lang w:val="en-US"/>
        </w:rPr>
      </w:pPr>
      <w:proofErr w:type="gramStart"/>
      <w:r w:rsidRPr="009F04EA">
        <w:rPr>
          <w:rFonts w:ascii="Book Antiqua" w:eastAsia="宋体" w:hAnsi="Book Antiqua" w:cs="宋体"/>
          <w:color w:val="000000"/>
          <w:sz w:val="24"/>
          <w:szCs w:val="24"/>
          <w:lang w:val="en-US"/>
        </w:rPr>
        <w:t>14 </w:t>
      </w:r>
      <w:r w:rsidRPr="009F04EA">
        <w:rPr>
          <w:rFonts w:ascii="Book Antiqua" w:eastAsia="宋体" w:hAnsi="Book Antiqua" w:cs="宋体"/>
          <w:b/>
          <w:bCs/>
          <w:color w:val="000000"/>
          <w:sz w:val="24"/>
          <w:szCs w:val="24"/>
          <w:lang w:val="en-US"/>
        </w:rPr>
        <w:t>Lawrence D</w:t>
      </w:r>
      <w:r w:rsidRPr="009F04EA">
        <w:rPr>
          <w:rFonts w:ascii="Book Antiqua" w:eastAsia="宋体" w:hAnsi="Book Antiqua" w:cs="宋体"/>
          <w:color w:val="000000"/>
          <w:sz w:val="24"/>
          <w:szCs w:val="24"/>
          <w:lang w:val="en-US"/>
        </w:rPr>
        <w:t xml:space="preserve">, Hancock KJ, </w:t>
      </w:r>
      <w:proofErr w:type="spellStart"/>
      <w:r w:rsidRPr="009F04EA">
        <w:rPr>
          <w:rFonts w:ascii="Book Antiqua" w:eastAsia="宋体" w:hAnsi="Book Antiqua" w:cs="宋体"/>
          <w:color w:val="000000"/>
          <w:sz w:val="24"/>
          <w:szCs w:val="24"/>
          <w:lang w:val="en-US"/>
        </w:rPr>
        <w:t>Kisely</w:t>
      </w:r>
      <w:proofErr w:type="spellEnd"/>
      <w:r w:rsidRPr="009F04EA">
        <w:rPr>
          <w:rFonts w:ascii="Book Antiqua" w:eastAsia="宋体" w:hAnsi="Book Antiqua" w:cs="宋体"/>
          <w:color w:val="000000"/>
          <w:sz w:val="24"/>
          <w:szCs w:val="24"/>
          <w:lang w:val="en-US"/>
        </w:rPr>
        <w:t xml:space="preserve"> S.</w:t>
      </w:r>
      <w:proofErr w:type="gramEnd"/>
      <w:r w:rsidRPr="009F04EA">
        <w:rPr>
          <w:rFonts w:ascii="Book Antiqua" w:eastAsia="宋体" w:hAnsi="Book Antiqua" w:cs="宋体"/>
          <w:color w:val="000000"/>
          <w:sz w:val="24"/>
          <w:szCs w:val="24"/>
          <w:lang w:val="en-US"/>
        </w:rPr>
        <w:t xml:space="preserve"> The gap in life expectancy from preventable physical illness in psychiatric patients in Western Australia: retrospective analysis of population based registers. </w:t>
      </w:r>
      <w:r w:rsidRPr="009F04EA">
        <w:rPr>
          <w:rFonts w:ascii="Book Antiqua" w:eastAsia="宋体" w:hAnsi="Book Antiqua" w:cs="宋体"/>
          <w:i/>
          <w:iCs/>
          <w:color w:val="000000"/>
          <w:sz w:val="24"/>
          <w:szCs w:val="24"/>
          <w:lang w:val="en-US"/>
        </w:rPr>
        <w:t>BMJ</w:t>
      </w:r>
      <w:r w:rsidRPr="009F04EA">
        <w:rPr>
          <w:rFonts w:ascii="Book Antiqua" w:eastAsia="宋体" w:hAnsi="Book Antiqua" w:cs="宋体"/>
          <w:color w:val="000000"/>
          <w:sz w:val="24"/>
          <w:szCs w:val="24"/>
          <w:lang w:val="en-US"/>
        </w:rPr>
        <w:t> 2013; </w:t>
      </w:r>
      <w:r w:rsidRPr="009F04EA">
        <w:rPr>
          <w:rFonts w:ascii="Book Antiqua" w:eastAsia="宋体" w:hAnsi="Book Antiqua" w:cs="宋体"/>
          <w:b/>
          <w:bCs/>
          <w:color w:val="000000"/>
          <w:sz w:val="24"/>
          <w:szCs w:val="24"/>
          <w:lang w:val="en-US"/>
        </w:rPr>
        <w:t>346</w:t>
      </w:r>
      <w:r w:rsidRPr="009F04EA">
        <w:rPr>
          <w:rFonts w:ascii="Book Antiqua" w:eastAsia="宋体" w:hAnsi="Book Antiqua" w:cs="宋体"/>
          <w:color w:val="000000"/>
          <w:sz w:val="24"/>
          <w:szCs w:val="24"/>
          <w:lang w:val="en-US"/>
        </w:rPr>
        <w:t>: f2539 [PMID: 23694688 DOI: 10.1136/bmj.f2539]</w:t>
      </w:r>
    </w:p>
    <w:p w14:paraId="63FB26B6" w14:textId="77777777" w:rsidR="009F04EA" w:rsidRDefault="009F04EA" w:rsidP="009F04EA">
      <w:pPr>
        <w:spacing w:after="0" w:line="360" w:lineRule="auto"/>
        <w:jc w:val="both"/>
        <w:rPr>
          <w:rFonts w:ascii="Book Antiqua" w:eastAsia="宋体" w:hAnsi="Book Antiqua" w:cs="宋体"/>
          <w:color w:val="000000"/>
          <w:sz w:val="24"/>
          <w:szCs w:val="24"/>
          <w:lang w:val="en-US"/>
        </w:rPr>
      </w:pPr>
      <w:r w:rsidRPr="009F04EA">
        <w:rPr>
          <w:rFonts w:ascii="Book Antiqua" w:eastAsia="宋体" w:hAnsi="Book Antiqua" w:cs="宋体"/>
          <w:color w:val="000000"/>
          <w:sz w:val="24"/>
          <w:szCs w:val="24"/>
          <w:lang w:val="en-US"/>
        </w:rPr>
        <w:t>15 </w:t>
      </w:r>
      <w:r w:rsidRPr="009F04EA">
        <w:rPr>
          <w:rFonts w:ascii="Book Antiqua" w:eastAsia="宋体" w:hAnsi="Book Antiqua" w:cs="宋体"/>
          <w:b/>
          <w:bCs/>
          <w:color w:val="000000"/>
          <w:sz w:val="24"/>
          <w:szCs w:val="24"/>
          <w:lang w:val="en-US"/>
        </w:rPr>
        <w:t>Zhang M</w:t>
      </w:r>
      <w:r w:rsidRPr="009F04EA">
        <w:rPr>
          <w:rFonts w:ascii="Book Antiqua" w:eastAsia="宋体" w:hAnsi="Book Antiqua" w:cs="宋体"/>
          <w:color w:val="000000"/>
          <w:sz w:val="24"/>
          <w:szCs w:val="24"/>
          <w:lang w:val="en-US"/>
        </w:rPr>
        <w:t xml:space="preserve">, Holman CD, Price SD, </w:t>
      </w:r>
      <w:proofErr w:type="spellStart"/>
      <w:r w:rsidRPr="009F04EA">
        <w:rPr>
          <w:rFonts w:ascii="Book Antiqua" w:eastAsia="宋体" w:hAnsi="Book Antiqua" w:cs="宋体"/>
          <w:color w:val="000000"/>
          <w:sz w:val="24"/>
          <w:szCs w:val="24"/>
          <w:lang w:val="en-US"/>
        </w:rPr>
        <w:t>Sanfilippo</w:t>
      </w:r>
      <w:proofErr w:type="spellEnd"/>
      <w:r w:rsidRPr="009F04EA">
        <w:rPr>
          <w:rFonts w:ascii="Book Antiqua" w:eastAsia="宋体" w:hAnsi="Book Antiqua" w:cs="宋体"/>
          <w:color w:val="000000"/>
          <w:sz w:val="24"/>
          <w:szCs w:val="24"/>
          <w:lang w:val="en-US"/>
        </w:rPr>
        <w:t xml:space="preserve"> FM, Preen DB, Bulsara MK. Comorbidity and repeat admission to hospital for adverse drug reactions in older adults: retrospective cohort study. </w:t>
      </w:r>
      <w:r w:rsidRPr="009F04EA">
        <w:rPr>
          <w:rFonts w:ascii="Book Antiqua" w:eastAsia="宋体" w:hAnsi="Book Antiqua" w:cs="宋体"/>
          <w:i/>
          <w:iCs/>
          <w:color w:val="000000"/>
          <w:sz w:val="24"/>
          <w:szCs w:val="24"/>
          <w:lang w:val="en-US"/>
        </w:rPr>
        <w:t>BMJ</w:t>
      </w:r>
      <w:r w:rsidRPr="009F04EA">
        <w:rPr>
          <w:rFonts w:ascii="Book Antiqua" w:eastAsia="宋体" w:hAnsi="Book Antiqua" w:cs="宋体"/>
          <w:color w:val="000000"/>
          <w:sz w:val="24"/>
          <w:szCs w:val="24"/>
          <w:lang w:val="en-US"/>
        </w:rPr>
        <w:t> 2009; </w:t>
      </w:r>
      <w:r w:rsidRPr="009F04EA">
        <w:rPr>
          <w:rFonts w:ascii="Book Antiqua" w:eastAsia="宋体" w:hAnsi="Book Antiqua" w:cs="宋体"/>
          <w:b/>
          <w:bCs/>
          <w:color w:val="000000"/>
          <w:sz w:val="24"/>
          <w:szCs w:val="24"/>
          <w:lang w:val="en-US"/>
        </w:rPr>
        <w:t>338</w:t>
      </w:r>
      <w:r w:rsidRPr="009F04EA">
        <w:rPr>
          <w:rFonts w:ascii="Book Antiqua" w:eastAsia="宋体" w:hAnsi="Book Antiqua" w:cs="宋体"/>
          <w:color w:val="000000"/>
          <w:sz w:val="24"/>
          <w:szCs w:val="24"/>
          <w:lang w:val="en-US"/>
        </w:rPr>
        <w:t>: a2752 [PMID: 19129307 DOI: 10.1136/bmj.a2752]</w:t>
      </w:r>
    </w:p>
    <w:p w14:paraId="4820FC2B" w14:textId="77777777" w:rsidR="009F04EA" w:rsidRPr="009F04EA" w:rsidRDefault="009F04EA" w:rsidP="009F04EA">
      <w:pPr>
        <w:spacing w:after="0" w:line="360" w:lineRule="auto"/>
        <w:jc w:val="both"/>
        <w:rPr>
          <w:rFonts w:ascii="Book Antiqua" w:eastAsia="宋体" w:hAnsi="Book Antiqua" w:cs="宋体"/>
          <w:color w:val="000000"/>
          <w:sz w:val="24"/>
          <w:szCs w:val="24"/>
          <w:lang w:val="en-US"/>
        </w:rPr>
      </w:pPr>
    </w:p>
    <w:p w14:paraId="6F72103B" w14:textId="499C1AAF" w:rsidR="009F04EA" w:rsidRDefault="009F04EA" w:rsidP="003B2A98">
      <w:pPr>
        <w:spacing w:after="0" w:line="360" w:lineRule="auto"/>
        <w:ind w:left="520" w:hangingChars="200" w:hanging="520"/>
        <w:jc w:val="right"/>
        <w:rPr>
          <w:rFonts w:ascii="Verdana" w:hAnsi="Verdana"/>
          <w:color w:val="000000"/>
          <w:sz w:val="17"/>
          <w:szCs w:val="17"/>
          <w:shd w:val="clear" w:color="auto" w:fill="FFFFFF"/>
        </w:rPr>
      </w:pPr>
      <w:r w:rsidRPr="009F04EA">
        <w:rPr>
          <w:rFonts w:ascii="Book Antiqua" w:hAnsi="Book Antiqua"/>
          <w:b/>
          <w:sz w:val="24"/>
          <w:szCs w:val="24"/>
        </w:rPr>
        <w:t>P-</w:t>
      </w:r>
      <w:r w:rsidRPr="009F04EA">
        <w:rPr>
          <w:rFonts w:ascii="Book Antiqua" w:hAnsi="Book Antiqua" w:hint="eastAsia"/>
          <w:b/>
          <w:sz w:val="24"/>
          <w:szCs w:val="24"/>
        </w:rPr>
        <w:t xml:space="preserve"> </w:t>
      </w:r>
      <w:r w:rsidRPr="009F04EA">
        <w:rPr>
          <w:rFonts w:ascii="Book Antiqua" w:hAnsi="Book Antiqua"/>
          <w:b/>
          <w:sz w:val="24"/>
          <w:szCs w:val="24"/>
        </w:rPr>
        <w:t>Reviewer:</w:t>
      </w:r>
      <w:r w:rsidRPr="009F04EA">
        <w:rPr>
          <w:rFonts w:ascii="Book Antiqua" w:hAnsi="Book Antiqua" w:hint="eastAsia"/>
          <w:b/>
          <w:sz w:val="24"/>
          <w:szCs w:val="24"/>
        </w:rPr>
        <w:t xml:space="preserve">  </w:t>
      </w:r>
      <w:r w:rsidRPr="009F04EA">
        <w:rPr>
          <w:rFonts w:ascii="Book Antiqua" w:hAnsi="Book Antiqua"/>
          <w:sz w:val="24"/>
          <w:szCs w:val="24"/>
        </w:rPr>
        <w:t>Cheung</w:t>
      </w:r>
      <w:r w:rsidRPr="009F04EA">
        <w:rPr>
          <w:rFonts w:ascii="Book Antiqua" w:hAnsi="Book Antiqua" w:hint="eastAsia"/>
          <w:sz w:val="24"/>
          <w:szCs w:val="24"/>
        </w:rPr>
        <w:t xml:space="preserve"> R, </w:t>
      </w:r>
      <w:r w:rsidRPr="009F04EA">
        <w:rPr>
          <w:rFonts w:ascii="Book Antiqua" w:hAnsi="Book Antiqua"/>
          <w:sz w:val="24"/>
          <w:szCs w:val="24"/>
        </w:rPr>
        <w:t>Hwang, SG</w:t>
      </w:r>
    </w:p>
    <w:p w14:paraId="4CF589E5" w14:textId="05E5A52B" w:rsidR="009F04EA" w:rsidRPr="009F04EA" w:rsidRDefault="009F04EA" w:rsidP="003B2A98">
      <w:pPr>
        <w:spacing w:after="0" w:line="360" w:lineRule="auto"/>
        <w:ind w:left="520" w:hangingChars="200" w:hanging="520"/>
        <w:jc w:val="right"/>
        <w:rPr>
          <w:rFonts w:ascii="Book Antiqua" w:hAnsi="Book Antiqua"/>
          <w:sz w:val="24"/>
          <w:szCs w:val="24"/>
        </w:rPr>
      </w:pPr>
      <w:r w:rsidRPr="009F04EA">
        <w:rPr>
          <w:rFonts w:ascii="Book Antiqua" w:hAnsi="Book Antiqua"/>
          <w:b/>
          <w:sz w:val="24"/>
          <w:szCs w:val="24"/>
        </w:rPr>
        <w:t>S-</w:t>
      </w:r>
      <w:r w:rsidRPr="009F04EA">
        <w:rPr>
          <w:rFonts w:ascii="Book Antiqua" w:hAnsi="Book Antiqua" w:hint="eastAsia"/>
          <w:b/>
          <w:sz w:val="24"/>
          <w:szCs w:val="24"/>
        </w:rPr>
        <w:t xml:space="preserve"> </w:t>
      </w:r>
      <w:r w:rsidRPr="009F04EA">
        <w:rPr>
          <w:rFonts w:ascii="Book Antiqua" w:hAnsi="Book Antiqua"/>
          <w:b/>
          <w:sz w:val="24"/>
          <w:szCs w:val="24"/>
        </w:rPr>
        <w:t>Editor:</w:t>
      </w:r>
      <w:r w:rsidRPr="009F04EA">
        <w:rPr>
          <w:rFonts w:ascii="Book Antiqua" w:hAnsi="Book Antiqua" w:hint="eastAsia"/>
          <w:sz w:val="24"/>
          <w:szCs w:val="24"/>
        </w:rPr>
        <w:t xml:space="preserve"> </w:t>
      </w:r>
      <w:r>
        <w:rPr>
          <w:rFonts w:ascii="Book Antiqua" w:hAnsi="Book Antiqua" w:hint="eastAsia"/>
          <w:sz w:val="24"/>
          <w:szCs w:val="24"/>
        </w:rPr>
        <w:t xml:space="preserve">Song XX </w:t>
      </w:r>
      <w:r w:rsidRPr="009F04EA">
        <w:rPr>
          <w:rFonts w:ascii="Book Antiqua" w:hAnsi="Book Antiqua"/>
          <w:b/>
          <w:sz w:val="24"/>
          <w:szCs w:val="24"/>
        </w:rPr>
        <w:t>L</w:t>
      </w:r>
      <w:r w:rsidRPr="009F04EA">
        <w:rPr>
          <w:rFonts w:ascii="Book Antiqua" w:hAnsi="Book Antiqua" w:hint="eastAsia"/>
          <w:b/>
          <w:sz w:val="24"/>
          <w:szCs w:val="24"/>
        </w:rPr>
        <w:t xml:space="preserve">- </w:t>
      </w:r>
      <w:r w:rsidRPr="009F04EA">
        <w:rPr>
          <w:rFonts w:ascii="Book Antiqua" w:hAnsi="Book Antiqua"/>
          <w:b/>
          <w:sz w:val="24"/>
          <w:szCs w:val="24"/>
        </w:rPr>
        <w:t>Editor:</w:t>
      </w:r>
      <w:r w:rsidRPr="009F04EA">
        <w:rPr>
          <w:rFonts w:ascii="Book Antiqua" w:hAnsi="Book Antiqua" w:hint="eastAsia"/>
          <w:sz w:val="24"/>
          <w:szCs w:val="24"/>
        </w:rPr>
        <w:t xml:space="preserve">  </w:t>
      </w:r>
      <w:r w:rsidRPr="009F04EA">
        <w:rPr>
          <w:rFonts w:ascii="Book Antiqua" w:hAnsi="Book Antiqua"/>
          <w:sz w:val="24"/>
          <w:szCs w:val="24"/>
        </w:rPr>
        <w:t xml:space="preserve"> </w:t>
      </w:r>
      <w:r w:rsidRPr="009F04EA">
        <w:rPr>
          <w:rFonts w:ascii="Book Antiqua" w:hAnsi="Book Antiqua"/>
          <w:b/>
          <w:sz w:val="24"/>
          <w:szCs w:val="24"/>
        </w:rPr>
        <w:t>E</w:t>
      </w:r>
      <w:r w:rsidRPr="009F04EA">
        <w:rPr>
          <w:rFonts w:ascii="Book Antiqua" w:hAnsi="Book Antiqua" w:hint="eastAsia"/>
          <w:b/>
          <w:sz w:val="24"/>
          <w:szCs w:val="24"/>
        </w:rPr>
        <w:t xml:space="preserve">- </w:t>
      </w:r>
      <w:r w:rsidRPr="009F04EA">
        <w:rPr>
          <w:rFonts w:ascii="Book Antiqua" w:hAnsi="Book Antiqua"/>
          <w:b/>
          <w:sz w:val="24"/>
          <w:szCs w:val="24"/>
        </w:rPr>
        <w:t>Editor:</w:t>
      </w:r>
      <w:r w:rsidRPr="009F04EA">
        <w:rPr>
          <w:rFonts w:ascii="Book Antiqua" w:hAnsi="Book Antiqua" w:hint="eastAsia"/>
          <w:b/>
          <w:sz w:val="24"/>
          <w:szCs w:val="24"/>
        </w:rPr>
        <w:t xml:space="preserve"> </w:t>
      </w:r>
    </w:p>
    <w:p w14:paraId="3476CF25" w14:textId="77777777" w:rsidR="009F04EA" w:rsidRDefault="009F04EA" w:rsidP="009F04EA">
      <w:pPr>
        <w:spacing w:after="0" w:line="360" w:lineRule="auto"/>
        <w:jc w:val="both"/>
        <w:rPr>
          <w:rFonts w:ascii="Book Antiqua" w:eastAsia="宋体" w:hAnsi="Book Antiqua" w:cs="宋体"/>
          <w:color w:val="000000"/>
          <w:sz w:val="24"/>
          <w:szCs w:val="24"/>
        </w:rPr>
      </w:pPr>
    </w:p>
    <w:p w14:paraId="245402BF" w14:textId="624E38C4" w:rsidR="009F04EA" w:rsidRPr="003A77C0" w:rsidRDefault="009F04EA" w:rsidP="009F04EA">
      <w:pPr>
        <w:spacing w:after="0" w:line="360" w:lineRule="auto"/>
        <w:jc w:val="both"/>
        <w:rPr>
          <w:rFonts w:ascii="Book Antiqua" w:hAnsi="Book Antiqua"/>
          <w:b/>
          <w:sz w:val="24"/>
          <w:szCs w:val="24"/>
        </w:rPr>
      </w:pPr>
      <w:r w:rsidRPr="003A77C0">
        <w:rPr>
          <w:rFonts w:ascii="Book Antiqua" w:hAnsi="Book Antiqua"/>
          <w:b/>
          <w:sz w:val="24"/>
          <w:szCs w:val="24"/>
        </w:rPr>
        <w:t xml:space="preserve">Specialty type: </w:t>
      </w:r>
      <w:r w:rsidRPr="009F04EA">
        <w:rPr>
          <w:rFonts w:ascii="Book Antiqua" w:hAnsi="Book Antiqua"/>
          <w:sz w:val="24"/>
          <w:szCs w:val="24"/>
        </w:rPr>
        <w:t>Gastroenterology and hepatology</w:t>
      </w:r>
    </w:p>
    <w:p w14:paraId="45FA12DB" w14:textId="160A73DD" w:rsidR="009F04EA" w:rsidRPr="003A77C0" w:rsidRDefault="009F04EA" w:rsidP="009F04EA">
      <w:pPr>
        <w:spacing w:after="0" w:line="360" w:lineRule="auto"/>
        <w:jc w:val="both"/>
        <w:rPr>
          <w:rFonts w:ascii="Book Antiqua" w:hAnsi="Book Antiqua"/>
          <w:b/>
          <w:sz w:val="24"/>
          <w:szCs w:val="24"/>
        </w:rPr>
      </w:pPr>
      <w:r w:rsidRPr="003A77C0">
        <w:rPr>
          <w:rFonts w:ascii="Book Antiqua" w:hAnsi="Book Antiqua"/>
          <w:b/>
          <w:sz w:val="24"/>
          <w:szCs w:val="24"/>
        </w:rPr>
        <w:t xml:space="preserve">Country of origin: </w:t>
      </w:r>
      <w:r w:rsidRPr="00843662">
        <w:rPr>
          <w:rFonts w:ascii="Book Antiqua" w:hAnsi="Book Antiqua" w:cs="Times New Roman"/>
          <w:sz w:val="24"/>
          <w:szCs w:val="24"/>
        </w:rPr>
        <w:t>Australia</w:t>
      </w:r>
    </w:p>
    <w:p w14:paraId="25B2419D" w14:textId="77777777" w:rsidR="009F04EA" w:rsidRPr="003A77C0" w:rsidRDefault="009F04EA" w:rsidP="009F04EA">
      <w:pPr>
        <w:spacing w:after="0" w:line="360" w:lineRule="auto"/>
        <w:jc w:val="both"/>
        <w:rPr>
          <w:rFonts w:ascii="Book Antiqua" w:hAnsi="Book Antiqua"/>
          <w:b/>
          <w:sz w:val="24"/>
          <w:szCs w:val="24"/>
        </w:rPr>
      </w:pPr>
      <w:r w:rsidRPr="003A77C0">
        <w:rPr>
          <w:rFonts w:ascii="Book Antiqua" w:hAnsi="Book Antiqua"/>
          <w:b/>
          <w:sz w:val="24"/>
          <w:szCs w:val="24"/>
        </w:rPr>
        <w:t>Peer-review report classification</w:t>
      </w:r>
    </w:p>
    <w:p w14:paraId="428BE6A6" w14:textId="6EDF23AD" w:rsidR="009F04EA" w:rsidRPr="003A77C0" w:rsidRDefault="009F04EA" w:rsidP="009F04EA">
      <w:pPr>
        <w:spacing w:after="0" w:line="360" w:lineRule="auto"/>
        <w:jc w:val="both"/>
        <w:rPr>
          <w:rFonts w:ascii="Book Antiqua" w:hAnsi="Book Antiqua"/>
          <w:sz w:val="24"/>
          <w:szCs w:val="24"/>
        </w:rPr>
      </w:pPr>
      <w:r w:rsidRPr="003A77C0">
        <w:rPr>
          <w:rFonts w:ascii="Book Antiqua" w:hAnsi="Book Antiqua"/>
          <w:sz w:val="24"/>
          <w:szCs w:val="24"/>
        </w:rPr>
        <w:lastRenderedPageBreak/>
        <w:t xml:space="preserve">Grade A (Excellent): </w:t>
      </w:r>
      <w:r>
        <w:rPr>
          <w:rFonts w:ascii="Book Antiqua" w:hAnsi="Book Antiqua" w:hint="eastAsia"/>
          <w:sz w:val="24"/>
          <w:szCs w:val="24"/>
        </w:rPr>
        <w:t>A</w:t>
      </w:r>
    </w:p>
    <w:p w14:paraId="0C1C3424" w14:textId="77777777" w:rsidR="009F04EA" w:rsidRPr="003A77C0" w:rsidRDefault="009F04EA" w:rsidP="009F04EA">
      <w:pPr>
        <w:spacing w:after="0" w:line="360" w:lineRule="auto"/>
        <w:jc w:val="both"/>
        <w:rPr>
          <w:rFonts w:ascii="Book Antiqua" w:hAnsi="Book Antiqua"/>
          <w:sz w:val="24"/>
          <w:szCs w:val="24"/>
        </w:rPr>
      </w:pPr>
      <w:r w:rsidRPr="003A77C0">
        <w:rPr>
          <w:rFonts w:ascii="Book Antiqua" w:hAnsi="Book Antiqua"/>
          <w:sz w:val="24"/>
          <w:szCs w:val="24"/>
        </w:rPr>
        <w:t>Grade B (Very good): 0</w:t>
      </w:r>
    </w:p>
    <w:p w14:paraId="310907A5" w14:textId="24597044" w:rsidR="009F04EA" w:rsidRPr="003A77C0" w:rsidRDefault="009F04EA" w:rsidP="009F04EA">
      <w:pPr>
        <w:spacing w:after="0" w:line="360" w:lineRule="auto"/>
        <w:jc w:val="both"/>
        <w:rPr>
          <w:rFonts w:ascii="Book Antiqua" w:hAnsi="Book Antiqua"/>
          <w:sz w:val="24"/>
          <w:szCs w:val="24"/>
        </w:rPr>
      </w:pPr>
      <w:r>
        <w:rPr>
          <w:rFonts w:ascii="Book Antiqua" w:hAnsi="Book Antiqua"/>
          <w:sz w:val="24"/>
          <w:szCs w:val="24"/>
        </w:rPr>
        <w:t xml:space="preserve">Grade C (Good): </w:t>
      </w:r>
      <w:r>
        <w:rPr>
          <w:rFonts w:ascii="Book Antiqua" w:hAnsi="Book Antiqua" w:hint="eastAsia"/>
          <w:sz w:val="24"/>
          <w:szCs w:val="24"/>
        </w:rPr>
        <w:t>C</w:t>
      </w:r>
    </w:p>
    <w:p w14:paraId="4277121E" w14:textId="77777777" w:rsidR="009F04EA" w:rsidRPr="003A77C0" w:rsidRDefault="009F04EA" w:rsidP="009F04EA">
      <w:pPr>
        <w:spacing w:after="0" w:line="360" w:lineRule="auto"/>
        <w:jc w:val="both"/>
        <w:rPr>
          <w:rFonts w:ascii="Book Antiqua" w:hAnsi="Book Antiqua"/>
          <w:sz w:val="24"/>
          <w:szCs w:val="24"/>
        </w:rPr>
      </w:pPr>
      <w:r w:rsidRPr="003A77C0">
        <w:rPr>
          <w:rFonts w:ascii="Book Antiqua" w:hAnsi="Book Antiqua"/>
          <w:sz w:val="24"/>
          <w:szCs w:val="24"/>
        </w:rPr>
        <w:t>Grade D (Fair): 0</w:t>
      </w:r>
    </w:p>
    <w:p w14:paraId="6CFEE62F" w14:textId="77777777" w:rsidR="009F04EA" w:rsidRPr="003A77C0" w:rsidRDefault="009F04EA" w:rsidP="009F04EA">
      <w:pPr>
        <w:spacing w:after="0" w:line="360" w:lineRule="auto"/>
        <w:jc w:val="both"/>
        <w:rPr>
          <w:rFonts w:ascii="Book Antiqua" w:hAnsi="Book Antiqua"/>
          <w:sz w:val="24"/>
          <w:szCs w:val="24"/>
        </w:rPr>
      </w:pPr>
      <w:r w:rsidRPr="003A77C0">
        <w:rPr>
          <w:rFonts w:ascii="Book Antiqua" w:hAnsi="Book Antiqua"/>
          <w:sz w:val="24"/>
          <w:szCs w:val="24"/>
        </w:rPr>
        <w:t>Grade E (Poor): 0</w:t>
      </w:r>
    </w:p>
    <w:p w14:paraId="7A3D7F92" w14:textId="77777777" w:rsidR="009F04EA" w:rsidRPr="009F04EA" w:rsidRDefault="009F04EA" w:rsidP="009F04EA">
      <w:pPr>
        <w:spacing w:after="0" w:line="360" w:lineRule="auto"/>
        <w:jc w:val="both"/>
        <w:rPr>
          <w:rFonts w:ascii="Book Antiqua" w:eastAsia="宋体" w:hAnsi="Book Antiqua" w:cs="宋体"/>
          <w:color w:val="000000"/>
          <w:sz w:val="24"/>
          <w:szCs w:val="24"/>
        </w:rPr>
      </w:pPr>
    </w:p>
    <w:p w14:paraId="4134F5E3" w14:textId="631975F1" w:rsidR="00EE29A5" w:rsidRPr="00843662" w:rsidRDefault="00EE29A5" w:rsidP="009F04EA">
      <w:pPr>
        <w:spacing w:after="0" w:line="360" w:lineRule="auto"/>
        <w:jc w:val="both"/>
        <w:rPr>
          <w:rFonts w:ascii="Book Antiqua" w:hAnsi="Book Antiqua" w:cs="Times New Roman"/>
          <w:sz w:val="24"/>
          <w:szCs w:val="24"/>
        </w:rPr>
      </w:pPr>
    </w:p>
    <w:p w14:paraId="1E2D82D6" w14:textId="77777777" w:rsidR="00EE29A5" w:rsidRPr="00843662" w:rsidRDefault="00EE29A5" w:rsidP="009F04EA">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br w:type="page"/>
      </w:r>
    </w:p>
    <w:p w14:paraId="525A0A1A" w14:textId="77777777" w:rsidR="003C32D5" w:rsidRPr="00843662" w:rsidRDefault="003C32D5" w:rsidP="003C32D5">
      <w:pPr>
        <w:spacing w:after="0" w:line="360" w:lineRule="auto"/>
        <w:jc w:val="both"/>
        <w:rPr>
          <w:rFonts w:ascii="Book Antiqua" w:hAnsi="Book Antiqua"/>
          <w:sz w:val="24"/>
          <w:szCs w:val="24"/>
        </w:rPr>
      </w:pPr>
      <w:r w:rsidRPr="00843662">
        <w:rPr>
          <w:rFonts w:ascii="Book Antiqua" w:hAnsi="Book Antiqua"/>
          <w:noProof/>
          <w:sz w:val="24"/>
          <w:szCs w:val="24"/>
          <w:lang w:val="en-US" w:eastAsia="en-US"/>
        </w:rPr>
        <w:lastRenderedPageBreak/>
        <w:drawing>
          <wp:inline distT="0" distB="0" distL="0" distR="0" wp14:anchorId="73E1A510" wp14:editId="32863B71">
            <wp:extent cx="5400040" cy="4965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4965065"/>
                    </a:xfrm>
                    <a:prstGeom prst="rect">
                      <a:avLst/>
                    </a:prstGeom>
                  </pic:spPr>
                </pic:pic>
              </a:graphicData>
            </a:graphic>
          </wp:inline>
        </w:drawing>
      </w:r>
    </w:p>
    <w:p w14:paraId="7FB946E9" w14:textId="683FFB5C" w:rsidR="003C32D5" w:rsidRPr="00843662" w:rsidRDefault="003C32D5" w:rsidP="00F042BD">
      <w:pPr>
        <w:spacing w:after="0" w:line="360" w:lineRule="auto"/>
        <w:jc w:val="both"/>
        <w:rPr>
          <w:rFonts w:ascii="Book Antiqua" w:hAnsi="Book Antiqua" w:cs="Times New Roman"/>
          <w:sz w:val="24"/>
          <w:szCs w:val="24"/>
        </w:rPr>
      </w:pPr>
      <w:r w:rsidRPr="00843662">
        <w:rPr>
          <w:rFonts w:ascii="Book Antiqua" w:hAnsi="Book Antiqua" w:cs="Times New Roman"/>
          <w:b/>
          <w:sz w:val="24"/>
          <w:szCs w:val="24"/>
        </w:rPr>
        <w:t>Figure 1</w:t>
      </w:r>
      <w:r w:rsidRPr="00843662">
        <w:rPr>
          <w:rFonts w:ascii="Book Antiqua" w:hAnsi="Book Antiqua" w:cs="Times New Roman"/>
          <w:sz w:val="24"/>
          <w:szCs w:val="24"/>
        </w:rPr>
        <w:t xml:space="preserve"> </w:t>
      </w:r>
      <w:r w:rsidRPr="000C4B63">
        <w:rPr>
          <w:rFonts w:ascii="Book Antiqua" w:hAnsi="Book Antiqua" w:cs="Times New Roman"/>
          <w:b/>
          <w:sz w:val="24"/>
          <w:szCs w:val="24"/>
        </w:rPr>
        <w:t xml:space="preserve">Kaplan-Meier curves specifying survival for LRD, LD, HCC and a composite end point as a function of baseline </w:t>
      </w:r>
      <w:proofErr w:type="spellStart"/>
      <w:r w:rsidRPr="000C4B63">
        <w:rPr>
          <w:rFonts w:ascii="Book Antiqua" w:hAnsi="Book Antiqua" w:cs="Times New Roman"/>
          <w:b/>
          <w:sz w:val="24"/>
          <w:szCs w:val="24"/>
        </w:rPr>
        <w:t>Hepascore</w:t>
      </w:r>
      <w:proofErr w:type="spellEnd"/>
      <w:r w:rsidRPr="000C4B63">
        <w:rPr>
          <w:rFonts w:ascii="Book Antiqua" w:hAnsi="Book Antiqua" w:cs="Times New Roman"/>
          <w:b/>
          <w:sz w:val="24"/>
          <w:szCs w:val="24"/>
        </w:rPr>
        <w:t xml:space="preserve"> in the whole cohort</w:t>
      </w:r>
      <w:r w:rsidR="00F042BD" w:rsidRPr="000C4B63">
        <w:rPr>
          <w:rFonts w:ascii="Book Antiqua" w:hAnsi="Book Antiqua" w:cs="Times New Roman" w:hint="eastAsia"/>
          <w:b/>
          <w:sz w:val="24"/>
          <w:szCs w:val="24"/>
        </w:rPr>
        <w:t xml:space="preserve">. </w:t>
      </w:r>
      <w:r w:rsidR="00F042BD">
        <w:rPr>
          <w:rFonts w:ascii="Book Antiqua" w:hAnsi="Book Antiqua" w:cs="Times New Roman" w:hint="eastAsia"/>
          <w:sz w:val="24"/>
          <w:szCs w:val="24"/>
        </w:rPr>
        <w:t xml:space="preserve">A: </w:t>
      </w:r>
      <w:r w:rsidRPr="00843662">
        <w:rPr>
          <w:rFonts w:ascii="Book Antiqua" w:hAnsi="Book Antiqua" w:cs="Times New Roman"/>
          <w:sz w:val="24"/>
          <w:szCs w:val="24"/>
        </w:rPr>
        <w:t xml:space="preserve">Time to composite end point using baseline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w:t>
      </w:r>
      <w:r w:rsidR="00F042BD" w:rsidRPr="00F042BD">
        <w:rPr>
          <w:rFonts w:ascii="Book Antiqua" w:hAnsi="Book Antiqua" w:cs="Times New Roman" w:hint="eastAsia"/>
          <w:i/>
          <w:sz w:val="24"/>
          <w:szCs w:val="24"/>
        </w:rPr>
        <w:t>P</w:t>
      </w:r>
      <w:r w:rsidR="00F042BD">
        <w:rPr>
          <w:rFonts w:ascii="Book Antiqua" w:hAnsi="Book Antiqua" w:cs="Times New Roman" w:hint="eastAsia"/>
          <w:sz w:val="24"/>
          <w:szCs w:val="24"/>
        </w:rPr>
        <w:t xml:space="preserve"> </w:t>
      </w:r>
      <w:r w:rsidRPr="00843662">
        <w:rPr>
          <w:rFonts w:ascii="Book Antiqua" w:hAnsi="Book Antiqua" w:cs="Times New Roman"/>
          <w:sz w:val="24"/>
          <w:szCs w:val="24"/>
        </w:rPr>
        <w:t>&lt;</w:t>
      </w:r>
      <w:r w:rsidR="00F042BD">
        <w:rPr>
          <w:rFonts w:ascii="Book Antiqua" w:hAnsi="Book Antiqua" w:cs="Times New Roman" w:hint="eastAsia"/>
          <w:sz w:val="24"/>
          <w:szCs w:val="24"/>
        </w:rPr>
        <w:t xml:space="preserve"> </w:t>
      </w:r>
      <w:r w:rsidRPr="00843662">
        <w:rPr>
          <w:rFonts w:ascii="Book Antiqua" w:hAnsi="Book Antiqua" w:cs="Times New Roman"/>
          <w:sz w:val="24"/>
          <w:szCs w:val="24"/>
        </w:rPr>
        <w:t>0.001)</w:t>
      </w:r>
      <w:r w:rsidR="00F042BD">
        <w:rPr>
          <w:rFonts w:ascii="Book Antiqua" w:hAnsi="Book Antiqua" w:cs="Times New Roman" w:hint="eastAsia"/>
          <w:sz w:val="24"/>
          <w:szCs w:val="24"/>
        </w:rPr>
        <w:t xml:space="preserve">; B: </w:t>
      </w:r>
      <w:r w:rsidRPr="00843662">
        <w:rPr>
          <w:rFonts w:ascii="Book Antiqua" w:hAnsi="Book Antiqua" w:cs="Times New Roman"/>
          <w:sz w:val="24"/>
          <w:szCs w:val="24"/>
        </w:rPr>
        <w:t xml:space="preserve">Time to LRD according to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w:t>
      </w:r>
      <w:r w:rsidR="00F042BD" w:rsidRPr="00F042BD">
        <w:rPr>
          <w:rFonts w:ascii="Book Antiqua" w:hAnsi="Book Antiqua" w:cs="Times New Roman" w:hint="eastAsia"/>
          <w:i/>
          <w:sz w:val="24"/>
          <w:szCs w:val="24"/>
        </w:rPr>
        <w:t>P</w:t>
      </w:r>
      <w:r w:rsidR="00F042BD" w:rsidRPr="00843662">
        <w:rPr>
          <w:rFonts w:ascii="Book Antiqua" w:hAnsi="Book Antiqua" w:cs="Times New Roman"/>
          <w:sz w:val="24"/>
          <w:szCs w:val="24"/>
        </w:rPr>
        <w:t xml:space="preserve"> </w:t>
      </w:r>
      <w:r w:rsidRPr="00843662">
        <w:rPr>
          <w:rFonts w:ascii="Book Antiqua" w:hAnsi="Book Antiqua" w:cs="Times New Roman"/>
          <w:sz w:val="24"/>
          <w:szCs w:val="24"/>
        </w:rPr>
        <w:t>&lt;</w:t>
      </w:r>
      <w:r w:rsidR="00F042BD">
        <w:rPr>
          <w:rFonts w:ascii="Book Antiqua" w:hAnsi="Book Antiqua" w:cs="Times New Roman" w:hint="eastAsia"/>
          <w:sz w:val="24"/>
          <w:szCs w:val="24"/>
        </w:rPr>
        <w:t xml:space="preserve"> </w:t>
      </w:r>
      <w:r w:rsidRPr="00843662">
        <w:rPr>
          <w:rFonts w:ascii="Book Antiqua" w:hAnsi="Book Antiqua" w:cs="Times New Roman"/>
          <w:sz w:val="24"/>
          <w:szCs w:val="24"/>
        </w:rPr>
        <w:t>0.001)</w:t>
      </w:r>
      <w:r w:rsidR="00F042BD">
        <w:rPr>
          <w:rFonts w:ascii="Book Antiqua" w:hAnsi="Book Antiqua" w:cs="Times New Roman" w:hint="eastAsia"/>
          <w:sz w:val="24"/>
          <w:szCs w:val="24"/>
        </w:rPr>
        <w:t xml:space="preserve">; C: </w:t>
      </w:r>
      <w:r w:rsidRPr="00843662">
        <w:rPr>
          <w:rFonts w:ascii="Book Antiqua" w:hAnsi="Book Antiqua" w:cs="Times New Roman"/>
          <w:sz w:val="24"/>
          <w:szCs w:val="24"/>
        </w:rPr>
        <w:t xml:space="preserve">Time to LD according to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w:t>
      </w:r>
      <w:r w:rsidR="00F042BD" w:rsidRPr="00F042BD">
        <w:rPr>
          <w:rFonts w:ascii="Book Antiqua" w:hAnsi="Book Antiqua" w:cs="Times New Roman" w:hint="eastAsia"/>
          <w:i/>
          <w:sz w:val="24"/>
          <w:szCs w:val="24"/>
        </w:rPr>
        <w:t>P</w:t>
      </w:r>
      <w:r w:rsidR="00F042BD" w:rsidRPr="00843662">
        <w:rPr>
          <w:rFonts w:ascii="Book Antiqua" w:hAnsi="Book Antiqua" w:cs="Times New Roman"/>
          <w:sz w:val="24"/>
          <w:szCs w:val="24"/>
        </w:rPr>
        <w:t xml:space="preserve"> </w:t>
      </w:r>
      <w:r w:rsidRPr="00843662">
        <w:rPr>
          <w:rFonts w:ascii="Book Antiqua" w:hAnsi="Book Antiqua" w:cs="Times New Roman"/>
          <w:sz w:val="24"/>
          <w:szCs w:val="24"/>
        </w:rPr>
        <w:t>&lt;</w:t>
      </w:r>
      <w:r w:rsidR="00F042BD">
        <w:rPr>
          <w:rFonts w:ascii="Book Antiqua" w:hAnsi="Book Antiqua" w:cs="Times New Roman" w:hint="eastAsia"/>
          <w:sz w:val="24"/>
          <w:szCs w:val="24"/>
        </w:rPr>
        <w:t xml:space="preserve"> </w:t>
      </w:r>
      <w:r w:rsidRPr="00843662">
        <w:rPr>
          <w:rFonts w:ascii="Book Antiqua" w:hAnsi="Book Antiqua" w:cs="Times New Roman"/>
          <w:sz w:val="24"/>
          <w:szCs w:val="24"/>
        </w:rPr>
        <w:t>0.001)</w:t>
      </w:r>
      <w:r w:rsidR="00F042BD">
        <w:rPr>
          <w:rFonts w:ascii="Book Antiqua" w:hAnsi="Book Antiqua" w:cs="Times New Roman" w:hint="eastAsia"/>
          <w:sz w:val="24"/>
          <w:szCs w:val="24"/>
        </w:rPr>
        <w:t xml:space="preserve">; D: </w:t>
      </w:r>
      <w:r w:rsidRPr="00843662">
        <w:rPr>
          <w:rFonts w:ascii="Book Antiqua" w:hAnsi="Book Antiqua" w:cs="Times New Roman"/>
          <w:sz w:val="24"/>
          <w:szCs w:val="24"/>
        </w:rPr>
        <w:t xml:space="preserve">Time to HCC according to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w:t>
      </w:r>
      <w:r w:rsidR="00F042BD" w:rsidRPr="00F042BD">
        <w:rPr>
          <w:rFonts w:ascii="Book Antiqua" w:hAnsi="Book Antiqua" w:cs="Times New Roman" w:hint="eastAsia"/>
          <w:i/>
          <w:sz w:val="24"/>
          <w:szCs w:val="24"/>
        </w:rPr>
        <w:t>P</w:t>
      </w:r>
      <w:r w:rsidR="00F042BD" w:rsidRPr="00843662">
        <w:rPr>
          <w:rFonts w:ascii="Book Antiqua" w:hAnsi="Book Antiqua" w:cs="Times New Roman"/>
          <w:sz w:val="24"/>
          <w:szCs w:val="24"/>
        </w:rPr>
        <w:t xml:space="preserve"> </w:t>
      </w:r>
      <w:r w:rsidRPr="00843662">
        <w:rPr>
          <w:rFonts w:ascii="Book Antiqua" w:hAnsi="Book Antiqua" w:cs="Times New Roman"/>
          <w:sz w:val="24"/>
          <w:szCs w:val="24"/>
        </w:rPr>
        <w:t>&lt;</w:t>
      </w:r>
      <w:r w:rsidR="00F042BD">
        <w:rPr>
          <w:rFonts w:ascii="Book Antiqua" w:hAnsi="Book Antiqua" w:cs="Times New Roman" w:hint="eastAsia"/>
          <w:sz w:val="24"/>
          <w:szCs w:val="24"/>
        </w:rPr>
        <w:t xml:space="preserve"> </w:t>
      </w:r>
      <w:r w:rsidRPr="00843662">
        <w:rPr>
          <w:rFonts w:ascii="Book Antiqua" w:hAnsi="Book Antiqua" w:cs="Times New Roman"/>
          <w:sz w:val="24"/>
          <w:szCs w:val="24"/>
        </w:rPr>
        <w:t>0.001)</w:t>
      </w:r>
      <w:r w:rsidR="000C4B63">
        <w:rPr>
          <w:rFonts w:ascii="Book Antiqua" w:hAnsi="Book Antiqua" w:cs="Times New Roman" w:hint="eastAsia"/>
          <w:sz w:val="24"/>
          <w:szCs w:val="24"/>
        </w:rPr>
        <w:t>.</w:t>
      </w:r>
    </w:p>
    <w:p w14:paraId="01E26789" w14:textId="77777777" w:rsidR="003C32D5" w:rsidRPr="00843662" w:rsidRDefault="003C32D5" w:rsidP="003C32D5">
      <w:pPr>
        <w:spacing w:after="0" w:line="360" w:lineRule="auto"/>
        <w:jc w:val="both"/>
        <w:rPr>
          <w:rFonts w:ascii="Book Antiqua" w:hAnsi="Book Antiqua"/>
          <w:b/>
          <w:sz w:val="24"/>
          <w:szCs w:val="24"/>
        </w:rPr>
      </w:pPr>
      <w:r w:rsidRPr="00843662">
        <w:rPr>
          <w:rFonts w:ascii="Book Antiqua" w:hAnsi="Book Antiqua"/>
          <w:b/>
          <w:noProof/>
          <w:sz w:val="24"/>
          <w:szCs w:val="24"/>
          <w:lang w:val="en-US" w:eastAsia="en-US"/>
        </w:rPr>
        <w:lastRenderedPageBreak/>
        <w:drawing>
          <wp:inline distT="0" distB="0" distL="0" distR="0" wp14:anchorId="62A335CA" wp14:editId="2A537B1F">
            <wp:extent cx="5400040" cy="5137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5137150"/>
                    </a:xfrm>
                    <a:prstGeom prst="rect">
                      <a:avLst/>
                    </a:prstGeom>
                  </pic:spPr>
                </pic:pic>
              </a:graphicData>
            </a:graphic>
          </wp:inline>
        </w:drawing>
      </w:r>
    </w:p>
    <w:p w14:paraId="05029F5E" w14:textId="3D64ED23" w:rsidR="003C32D5" w:rsidRPr="00843662" w:rsidRDefault="000C4B63" w:rsidP="000C4B63">
      <w:pPr>
        <w:spacing w:after="0" w:line="360" w:lineRule="auto"/>
        <w:jc w:val="both"/>
        <w:rPr>
          <w:rFonts w:ascii="Book Antiqua" w:hAnsi="Book Antiqua" w:cs="Times New Roman"/>
          <w:sz w:val="24"/>
          <w:szCs w:val="24"/>
        </w:rPr>
      </w:pPr>
      <w:r>
        <w:rPr>
          <w:rFonts w:ascii="Book Antiqua" w:hAnsi="Book Antiqua" w:cs="Times New Roman"/>
          <w:b/>
          <w:sz w:val="24"/>
          <w:szCs w:val="24"/>
        </w:rPr>
        <w:t xml:space="preserve">Figure 2 </w:t>
      </w:r>
      <w:r w:rsidR="003C32D5" w:rsidRPr="000C4B63">
        <w:rPr>
          <w:rFonts w:ascii="Book Antiqua" w:hAnsi="Book Antiqua" w:cs="Times New Roman"/>
          <w:b/>
          <w:sz w:val="24"/>
          <w:szCs w:val="24"/>
        </w:rPr>
        <w:t xml:space="preserve">Kaplan-Meier curves specifying survival for LRD, LD, HCC and a composite end point as a function of Delta </w:t>
      </w:r>
      <w:proofErr w:type="spellStart"/>
      <w:r w:rsidR="003C32D5" w:rsidRPr="000C4B63">
        <w:rPr>
          <w:rFonts w:ascii="Book Antiqua" w:hAnsi="Book Antiqua" w:cs="Times New Roman"/>
          <w:b/>
          <w:sz w:val="24"/>
          <w:szCs w:val="24"/>
        </w:rPr>
        <w:t>Hepascore</w:t>
      </w:r>
      <w:proofErr w:type="spellEnd"/>
      <w:r w:rsidR="003C32D5" w:rsidRPr="000C4B63">
        <w:rPr>
          <w:rFonts w:ascii="Book Antiqua" w:hAnsi="Book Antiqua" w:cs="Times New Roman"/>
          <w:b/>
          <w:sz w:val="24"/>
          <w:szCs w:val="24"/>
        </w:rPr>
        <w:t xml:space="preserve"> in the cohort with a baseline </w:t>
      </w:r>
      <w:proofErr w:type="spellStart"/>
      <w:r w:rsidR="003C32D5" w:rsidRPr="000C4B63">
        <w:rPr>
          <w:rFonts w:ascii="Book Antiqua" w:hAnsi="Book Antiqua" w:cs="Times New Roman"/>
          <w:b/>
          <w:sz w:val="24"/>
          <w:szCs w:val="24"/>
        </w:rPr>
        <w:t>Hepascore</w:t>
      </w:r>
      <w:proofErr w:type="spellEnd"/>
      <w:r w:rsidR="003C32D5" w:rsidRPr="000C4B63">
        <w:rPr>
          <w:rFonts w:ascii="Book Antiqua" w:hAnsi="Book Antiqua" w:cs="Times New Roman"/>
          <w:b/>
          <w:sz w:val="24"/>
          <w:szCs w:val="24"/>
        </w:rPr>
        <w:t xml:space="preserve"> &gt;</w:t>
      </w:r>
      <w:r w:rsidRPr="000C4B63">
        <w:rPr>
          <w:rFonts w:ascii="Book Antiqua" w:hAnsi="Book Antiqua" w:cs="Times New Roman" w:hint="eastAsia"/>
          <w:b/>
          <w:sz w:val="24"/>
          <w:szCs w:val="24"/>
        </w:rPr>
        <w:t xml:space="preserve"> </w:t>
      </w:r>
      <w:r w:rsidR="003C32D5" w:rsidRPr="000C4B63">
        <w:rPr>
          <w:rFonts w:ascii="Book Antiqua" w:hAnsi="Book Antiqua" w:cs="Times New Roman"/>
          <w:b/>
          <w:sz w:val="24"/>
          <w:szCs w:val="24"/>
        </w:rPr>
        <w:t>0.75.</w:t>
      </w:r>
      <w:r>
        <w:rPr>
          <w:rFonts w:ascii="Book Antiqua" w:hAnsi="Book Antiqua" w:cs="Times New Roman" w:hint="eastAsia"/>
          <w:b/>
          <w:sz w:val="24"/>
          <w:szCs w:val="24"/>
        </w:rPr>
        <w:t xml:space="preserve"> </w:t>
      </w:r>
      <w:r w:rsidRPr="000B2C98">
        <w:rPr>
          <w:rFonts w:ascii="Book Antiqua" w:hAnsi="Book Antiqua" w:cs="Times New Roman" w:hint="eastAsia"/>
          <w:sz w:val="24"/>
          <w:szCs w:val="24"/>
        </w:rPr>
        <w:t>A:</w:t>
      </w:r>
      <w:r>
        <w:rPr>
          <w:rFonts w:ascii="Book Antiqua" w:hAnsi="Book Antiqua" w:cs="Times New Roman" w:hint="eastAsia"/>
          <w:b/>
          <w:sz w:val="24"/>
          <w:szCs w:val="24"/>
        </w:rPr>
        <w:t xml:space="preserve"> </w:t>
      </w:r>
      <w:r w:rsidR="003C32D5" w:rsidRPr="00843662">
        <w:rPr>
          <w:rFonts w:ascii="Book Antiqua" w:hAnsi="Book Antiqua" w:cs="Times New Roman"/>
          <w:sz w:val="24"/>
          <w:szCs w:val="24"/>
        </w:rPr>
        <w:t xml:space="preserve">Composite end point according to delta </w:t>
      </w:r>
      <w:proofErr w:type="spellStart"/>
      <w:r w:rsidR="003C32D5" w:rsidRPr="00843662">
        <w:rPr>
          <w:rFonts w:ascii="Book Antiqua" w:hAnsi="Book Antiqua" w:cs="Times New Roman"/>
          <w:sz w:val="24"/>
          <w:szCs w:val="24"/>
        </w:rPr>
        <w:t>Hepascore</w:t>
      </w:r>
      <w:proofErr w:type="spellEnd"/>
      <w:r w:rsidR="003C32D5" w:rsidRPr="00843662">
        <w:rPr>
          <w:rFonts w:ascii="Book Antiqua" w:hAnsi="Book Antiqua" w:cs="Times New Roman"/>
          <w:sz w:val="24"/>
          <w:szCs w:val="24"/>
        </w:rPr>
        <w:t xml:space="preserve">, with a baseline </w:t>
      </w:r>
      <w:proofErr w:type="spellStart"/>
      <w:r w:rsidR="003C32D5" w:rsidRPr="00843662">
        <w:rPr>
          <w:rFonts w:ascii="Book Antiqua" w:hAnsi="Book Antiqua" w:cs="Times New Roman"/>
          <w:sz w:val="24"/>
          <w:szCs w:val="24"/>
        </w:rPr>
        <w:t>Hepascore</w:t>
      </w:r>
      <w:proofErr w:type="spellEnd"/>
      <w:r w:rsidR="003C32D5" w:rsidRPr="00843662">
        <w:rPr>
          <w:rFonts w:ascii="Book Antiqua" w:hAnsi="Book Antiqua" w:cs="Times New Roman"/>
          <w:sz w:val="24"/>
          <w:szCs w:val="24"/>
        </w:rPr>
        <w:t xml:space="preserve"> result of &gt;</w:t>
      </w:r>
      <w:r w:rsidR="000B2C98">
        <w:rPr>
          <w:rFonts w:ascii="Book Antiqua" w:hAnsi="Book Antiqua" w:cs="Times New Roman" w:hint="eastAsia"/>
          <w:sz w:val="24"/>
          <w:szCs w:val="24"/>
        </w:rPr>
        <w:t xml:space="preserve"> </w:t>
      </w:r>
      <w:r w:rsidR="003C32D5" w:rsidRPr="00843662">
        <w:rPr>
          <w:rFonts w:ascii="Book Antiqua" w:hAnsi="Book Antiqua" w:cs="Times New Roman"/>
          <w:sz w:val="24"/>
          <w:szCs w:val="24"/>
        </w:rPr>
        <w:t>0.75 (</w:t>
      </w:r>
      <w:r w:rsidR="000B2C98" w:rsidRPr="000B2C98">
        <w:rPr>
          <w:rFonts w:ascii="Book Antiqua" w:hAnsi="Book Antiqua" w:cs="Times New Roman" w:hint="eastAsia"/>
          <w:i/>
          <w:sz w:val="24"/>
          <w:szCs w:val="24"/>
        </w:rPr>
        <w:t>P</w:t>
      </w:r>
      <w:r w:rsidR="000B2C98">
        <w:rPr>
          <w:rFonts w:ascii="Book Antiqua" w:hAnsi="Book Antiqua" w:cs="Times New Roman" w:hint="eastAsia"/>
          <w:sz w:val="24"/>
          <w:szCs w:val="24"/>
        </w:rPr>
        <w:t xml:space="preserve"> </w:t>
      </w:r>
      <w:r w:rsidR="000B2C98" w:rsidRPr="00843662">
        <w:rPr>
          <w:rFonts w:ascii="Book Antiqua" w:hAnsi="Book Antiqua" w:cs="Times New Roman"/>
          <w:sz w:val="24"/>
          <w:szCs w:val="24"/>
        </w:rPr>
        <w:t>=</w:t>
      </w:r>
      <w:r w:rsidR="000B2C98">
        <w:rPr>
          <w:rFonts w:ascii="Book Antiqua" w:hAnsi="Book Antiqua" w:cs="Times New Roman" w:hint="eastAsia"/>
          <w:sz w:val="24"/>
          <w:szCs w:val="24"/>
        </w:rPr>
        <w:t xml:space="preserve"> </w:t>
      </w:r>
      <w:r w:rsidR="003C32D5" w:rsidRPr="00843662">
        <w:rPr>
          <w:rFonts w:ascii="Book Antiqua" w:hAnsi="Book Antiqua" w:cs="Times New Roman"/>
          <w:sz w:val="24"/>
          <w:szCs w:val="24"/>
        </w:rPr>
        <w:t>0.004)</w:t>
      </w:r>
      <w:r>
        <w:rPr>
          <w:rFonts w:ascii="Book Antiqua" w:hAnsi="Book Antiqua" w:cs="Times New Roman" w:hint="eastAsia"/>
          <w:sz w:val="24"/>
          <w:szCs w:val="24"/>
        </w:rPr>
        <w:t xml:space="preserve">; B: </w:t>
      </w:r>
      <w:r w:rsidR="003C32D5" w:rsidRPr="00843662">
        <w:rPr>
          <w:rFonts w:ascii="Book Antiqua" w:hAnsi="Book Antiqua" w:cs="Times New Roman"/>
          <w:sz w:val="24"/>
          <w:szCs w:val="24"/>
        </w:rPr>
        <w:t xml:space="preserve">LRD according to delta </w:t>
      </w:r>
      <w:proofErr w:type="spellStart"/>
      <w:r w:rsidR="003C32D5" w:rsidRPr="00843662">
        <w:rPr>
          <w:rFonts w:ascii="Book Antiqua" w:hAnsi="Book Antiqua" w:cs="Times New Roman"/>
          <w:sz w:val="24"/>
          <w:szCs w:val="24"/>
        </w:rPr>
        <w:t>Hepascore</w:t>
      </w:r>
      <w:proofErr w:type="spellEnd"/>
      <w:r w:rsidR="003C32D5" w:rsidRPr="00843662">
        <w:rPr>
          <w:rFonts w:ascii="Book Antiqua" w:hAnsi="Book Antiqua" w:cs="Times New Roman"/>
          <w:sz w:val="24"/>
          <w:szCs w:val="24"/>
        </w:rPr>
        <w:t xml:space="preserve">, with a baseline </w:t>
      </w:r>
      <w:proofErr w:type="spellStart"/>
      <w:r w:rsidR="003C32D5" w:rsidRPr="00843662">
        <w:rPr>
          <w:rFonts w:ascii="Book Antiqua" w:hAnsi="Book Antiqua" w:cs="Times New Roman"/>
          <w:sz w:val="24"/>
          <w:szCs w:val="24"/>
        </w:rPr>
        <w:t>Hepascore</w:t>
      </w:r>
      <w:proofErr w:type="spellEnd"/>
      <w:r w:rsidR="003C32D5" w:rsidRPr="00843662">
        <w:rPr>
          <w:rFonts w:ascii="Book Antiqua" w:hAnsi="Book Antiqua" w:cs="Times New Roman"/>
          <w:sz w:val="24"/>
          <w:szCs w:val="24"/>
        </w:rPr>
        <w:t xml:space="preserve"> result of &gt;</w:t>
      </w:r>
      <w:r w:rsidR="000B2C98">
        <w:rPr>
          <w:rFonts w:ascii="Book Antiqua" w:hAnsi="Book Antiqua" w:cs="Times New Roman" w:hint="eastAsia"/>
          <w:sz w:val="24"/>
          <w:szCs w:val="24"/>
        </w:rPr>
        <w:t xml:space="preserve"> </w:t>
      </w:r>
      <w:r w:rsidR="003C32D5" w:rsidRPr="00843662">
        <w:rPr>
          <w:rFonts w:ascii="Book Antiqua" w:hAnsi="Book Antiqua" w:cs="Times New Roman"/>
          <w:sz w:val="24"/>
          <w:szCs w:val="24"/>
        </w:rPr>
        <w:t>0.75 (</w:t>
      </w:r>
      <w:r w:rsidR="000B2C98" w:rsidRPr="000B2C98">
        <w:rPr>
          <w:rFonts w:ascii="Book Antiqua" w:hAnsi="Book Antiqua" w:cs="Times New Roman" w:hint="eastAsia"/>
          <w:i/>
          <w:sz w:val="24"/>
          <w:szCs w:val="24"/>
        </w:rPr>
        <w:t>P</w:t>
      </w:r>
      <w:r w:rsidR="000B2C98">
        <w:rPr>
          <w:rFonts w:ascii="Book Antiqua" w:hAnsi="Book Antiqua" w:cs="Times New Roman" w:hint="eastAsia"/>
          <w:sz w:val="24"/>
          <w:szCs w:val="24"/>
        </w:rPr>
        <w:t xml:space="preserve"> </w:t>
      </w:r>
      <w:r w:rsidR="000B2C98" w:rsidRPr="00843662">
        <w:rPr>
          <w:rFonts w:ascii="Book Antiqua" w:hAnsi="Book Antiqua" w:cs="Times New Roman"/>
          <w:sz w:val="24"/>
          <w:szCs w:val="24"/>
        </w:rPr>
        <w:t>=</w:t>
      </w:r>
      <w:r w:rsidR="000B2C98">
        <w:rPr>
          <w:rFonts w:ascii="Book Antiqua" w:hAnsi="Book Antiqua" w:cs="Times New Roman" w:hint="eastAsia"/>
          <w:sz w:val="24"/>
          <w:szCs w:val="24"/>
        </w:rPr>
        <w:t xml:space="preserve"> </w:t>
      </w:r>
      <w:r w:rsidR="003C32D5" w:rsidRPr="00843662">
        <w:rPr>
          <w:rFonts w:ascii="Book Antiqua" w:hAnsi="Book Antiqua" w:cs="Times New Roman"/>
          <w:sz w:val="24"/>
          <w:szCs w:val="24"/>
        </w:rPr>
        <w:t>0.048)</w:t>
      </w:r>
      <w:r>
        <w:rPr>
          <w:rFonts w:ascii="Book Antiqua" w:hAnsi="Book Antiqua" w:cs="Times New Roman" w:hint="eastAsia"/>
          <w:sz w:val="24"/>
          <w:szCs w:val="24"/>
        </w:rPr>
        <w:t xml:space="preserve">; C: </w:t>
      </w:r>
      <w:r w:rsidR="003C32D5" w:rsidRPr="00843662">
        <w:rPr>
          <w:rFonts w:ascii="Book Antiqua" w:hAnsi="Book Antiqua" w:cs="Times New Roman"/>
          <w:sz w:val="24"/>
          <w:szCs w:val="24"/>
        </w:rPr>
        <w:t xml:space="preserve">LD according to delta </w:t>
      </w:r>
      <w:proofErr w:type="spellStart"/>
      <w:r w:rsidR="003C32D5" w:rsidRPr="00843662">
        <w:rPr>
          <w:rFonts w:ascii="Book Antiqua" w:hAnsi="Book Antiqua" w:cs="Times New Roman"/>
          <w:sz w:val="24"/>
          <w:szCs w:val="24"/>
        </w:rPr>
        <w:t>Hepascore</w:t>
      </w:r>
      <w:proofErr w:type="spellEnd"/>
      <w:r w:rsidR="003C32D5" w:rsidRPr="00843662">
        <w:rPr>
          <w:rFonts w:ascii="Book Antiqua" w:hAnsi="Book Antiqua" w:cs="Times New Roman"/>
          <w:sz w:val="24"/>
          <w:szCs w:val="24"/>
        </w:rPr>
        <w:t xml:space="preserve">, with a baseline </w:t>
      </w:r>
      <w:proofErr w:type="spellStart"/>
      <w:r w:rsidR="003C32D5" w:rsidRPr="00843662">
        <w:rPr>
          <w:rFonts w:ascii="Book Antiqua" w:hAnsi="Book Antiqua" w:cs="Times New Roman"/>
          <w:sz w:val="24"/>
          <w:szCs w:val="24"/>
        </w:rPr>
        <w:t>Hepascore</w:t>
      </w:r>
      <w:proofErr w:type="spellEnd"/>
      <w:r w:rsidR="003C32D5" w:rsidRPr="00843662">
        <w:rPr>
          <w:rFonts w:ascii="Book Antiqua" w:hAnsi="Book Antiqua" w:cs="Times New Roman"/>
          <w:sz w:val="24"/>
          <w:szCs w:val="24"/>
        </w:rPr>
        <w:t xml:space="preserve"> result of &gt;</w:t>
      </w:r>
      <w:r w:rsidR="000B2C98">
        <w:rPr>
          <w:rFonts w:ascii="Book Antiqua" w:hAnsi="Book Antiqua" w:cs="Times New Roman" w:hint="eastAsia"/>
          <w:sz w:val="24"/>
          <w:szCs w:val="24"/>
        </w:rPr>
        <w:t xml:space="preserve"> </w:t>
      </w:r>
      <w:r w:rsidR="003C32D5" w:rsidRPr="00843662">
        <w:rPr>
          <w:rFonts w:ascii="Book Antiqua" w:hAnsi="Book Antiqua" w:cs="Times New Roman"/>
          <w:sz w:val="24"/>
          <w:szCs w:val="24"/>
        </w:rPr>
        <w:t>0.75 (</w:t>
      </w:r>
      <w:r w:rsidR="000B2C98" w:rsidRPr="000B2C98">
        <w:rPr>
          <w:rFonts w:ascii="Book Antiqua" w:hAnsi="Book Antiqua" w:cs="Times New Roman" w:hint="eastAsia"/>
          <w:i/>
          <w:sz w:val="24"/>
          <w:szCs w:val="24"/>
        </w:rPr>
        <w:t>P</w:t>
      </w:r>
      <w:r w:rsidR="000B2C98">
        <w:rPr>
          <w:rFonts w:ascii="Book Antiqua" w:hAnsi="Book Antiqua" w:cs="Times New Roman" w:hint="eastAsia"/>
          <w:sz w:val="24"/>
          <w:szCs w:val="24"/>
        </w:rPr>
        <w:t xml:space="preserve"> </w:t>
      </w:r>
      <w:r w:rsidR="003C32D5" w:rsidRPr="00843662">
        <w:rPr>
          <w:rFonts w:ascii="Book Antiqua" w:hAnsi="Book Antiqua" w:cs="Times New Roman"/>
          <w:sz w:val="24"/>
          <w:szCs w:val="24"/>
        </w:rPr>
        <w:t>=</w:t>
      </w:r>
      <w:r w:rsidR="000B2C98">
        <w:rPr>
          <w:rFonts w:ascii="Book Antiqua" w:hAnsi="Book Antiqua" w:cs="Times New Roman" w:hint="eastAsia"/>
          <w:sz w:val="24"/>
          <w:szCs w:val="24"/>
        </w:rPr>
        <w:t xml:space="preserve"> </w:t>
      </w:r>
      <w:r w:rsidR="003C32D5" w:rsidRPr="00843662">
        <w:rPr>
          <w:rFonts w:ascii="Book Antiqua" w:hAnsi="Book Antiqua" w:cs="Times New Roman"/>
          <w:sz w:val="24"/>
          <w:szCs w:val="24"/>
        </w:rPr>
        <w:t>0.001)</w:t>
      </w:r>
      <w:r>
        <w:rPr>
          <w:rFonts w:ascii="Book Antiqua" w:hAnsi="Book Antiqua" w:cs="Times New Roman" w:hint="eastAsia"/>
          <w:sz w:val="24"/>
          <w:szCs w:val="24"/>
        </w:rPr>
        <w:t xml:space="preserve">; D: </w:t>
      </w:r>
      <w:r w:rsidR="003C32D5" w:rsidRPr="00843662">
        <w:rPr>
          <w:rFonts w:ascii="Book Antiqua" w:hAnsi="Book Antiqua" w:cs="Times New Roman"/>
          <w:sz w:val="24"/>
          <w:szCs w:val="24"/>
        </w:rPr>
        <w:t xml:space="preserve">HCC according to delta </w:t>
      </w:r>
      <w:proofErr w:type="spellStart"/>
      <w:r w:rsidR="003C32D5" w:rsidRPr="00843662">
        <w:rPr>
          <w:rFonts w:ascii="Book Antiqua" w:hAnsi="Book Antiqua" w:cs="Times New Roman"/>
          <w:sz w:val="24"/>
          <w:szCs w:val="24"/>
        </w:rPr>
        <w:t>Hepascore</w:t>
      </w:r>
      <w:proofErr w:type="spellEnd"/>
      <w:r w:rsidR="003C32D5" w:rsidRPr="00843662">
        <w:rPr>
          <w:rFonts w:ascii="Book Antiqua" w:hAnsi="Book Antiqua" w:cs="Times New Roman"/>
          <w:sz w:val="24"/>
          <w:szCs w:val="24"/>
        </w:rPr>
        <w:t xml:space="preserve">, with a baseline </w:t>
      </w:r>
      <w:proofErr w:type="spellStart"/>
      <w:r w:rsidR="003C32D5" w:rsidRPr="00843662">
        <w:rPr>
          <w:rFonts w:ascii="Book Antiqua" w:hAnsi="Book Antiqua" w:cs="Times New Roman"/>
          <w:sz w:val="24"/>
          <w:szCs w:val="24"/>
        </w:rPr>
        <w:t>Hepascore</w:t>
      </w:r>
      <w:proofErr w:type="spellEnd"/>
      <w:r w:rsidR="003C32D5" w:rsidRPr="00843662">
        <w:rPr>
          <w:rFonts w:ascii="Book Antiqua" w:hAnsi="Book Antiqua" w:cs="Times New Roman"/>
          <w:sz w:val="24"/>
          <w:szCs w:val="24"/>
        </w:rPr>
        <w:t xml:space="preserve"> result of &gt;</w:t>
      </w:r>
      <w:r w:rsidR="000B2C98">
        <w:rPr>
          <w:rFonts w:ascii="Book Antiqua" w:hAnsi="Book Antiqua" w:cs="Times New Roman" w:hint="eastAsia"/>
          <w:sz w:val="24"/>
          <w:szCs w:val="24"/>
        </w:rPr>
        <w:t xml:space="preserve"> </w:t>
      </w:r>
      <w:r w:rsidR="003C32D5" w:rsidRPr="00843662">
        <w:rPr>
          <w:rFonts w:ascii="Book Antiqua" w:hAnsi="Book Antiqua" w:cs="Times New Roman"/>
          <w:sz w:val="24"/>
          <w:szCs w:val="24"/>
        </w:rPr>
        <w:t>0.75 (</w:t>
      </w:r>
      <w:r w:rsidR="000B2C98" w:rsidRPr="000B2C98">
        <w:rPr>
          <w:rFonts w:ascii="Book Antiqua" w:hAnsi="Book Antiqua" w:cs="Times New Roman" w:hint="eastAsia"/>
          <w:i/>
          <w:sz w:val="24"/>
          <w:szCs w:val="24"/>
        </w:rPr>
        <w:t>P</w:t>
      </w:r>
      <w:r w:rsidR="000B2C98">
        <w:rPr>
          <w:rFonts w:ascii="Book Antiqua" w:hAnsi="Book Antiqua" w:cs="Times New Roman" w:hint="eastAsia"/>
          <w:sz w:val="24"/>
          <w:szCs w:val="24"/>
        </w:rPr>
        <w:t xml:space="preserve"> </w:t>
      </w:r>
      <w:r w:rsidR="000B2C98" w:rsidRPr="00843662">
        <w:rPr>
          <w:rFonts w:ascii="Book Antiqua" w:hAnsi="Book Antiqua" w:cs="Times New Roman"/>
          <w:sz w:val="24"/>
          <w:szCs w:val="24"/>
        </w:rPr>
        <w:t>=</w:t>
      </w:r>
      <w:r w:rsidR="000B2C98">
        <w:rPr>
          <w:rFonts w:ascii="Book Antiqua" w:hAnsi="Book Antiqua" w:cs="Times New Roman" w:hint="eastAsia"/>
          <w:sz w:val="24"/>
          <w:szCs w:val="24"/>
        </w:rPr>
        <w:t xml:space="preserve"> </w:t>
      </w:r>
      <w:r w:rsidR="003C32D5" w:rsidRPr="00843662">
        <w:rPr>
          <w:rFonts w:ascii="Book Antiqua" w:hAnsi="Book Antiqua" w:cs="Times New Roman"/>
          <w:sz w:val="24"/>
          <w:szCs w:val="24"/>
        </w:rPr>
        <w:t>0.178)</w:t>
      </w:r>
      <w:r w:rsidR="000B2C98">
        <w:rPr>
          <w:rFonts w:ascii="Book Antiqua" w:hAnsi="Book Antiqua" w:cs="Times New Roman" w:hint="eastAsia"/>
          <w:sz w:val="24"/>
          <w:szCs w:val="24"/>
        </w:rPr>
        <w:t>.</w:t>
      </w:r>
    </w:p>
    <w:p w14:paraId="50A894DE" w14:textId="77777777" w:rsidR="003C32D5" w:rsidRPr="00843662" w:rsidRDefault="003C32D5" w:rsidP="003C32D5">
      <w:pPr>
        <w:spacing w:after="0" w:line="360" w:lineRule="auto"/>
        <w:jc w:val="both"/>
        <w:rPr>
          <w:rFonts w:ascii="Book Antiqua" w:hAnsi="Book Antiqua"/>
          <w:b/>
          <w:sz w:val="24"/>
          <w:szCs w:val="24"/>
        </w:rPr>
      </w:pPr>
      <w:r w:rsidRPr="00843662">
        <w:rPr>
          <w:rFonts w:ascii="Book Antiqua" w:hAnsi="Book Antiqua"/>
          <w:b/>
          <w:noProof/>
          <w:sz w:val="24"/>
          <w:szCs w:val="24"/>
          <w:lang w:val="en-US" w:eastAsia="en-US"/>
        </w:rPr>
        <w:lastRenderedPageBreak/>
        <w:drawing>
          <wp:inline distT="0" distB="0" distL="0" distR="0" wp14:anchorId="5FA72DF3" wp14:editId="2B9AAD61">
            <wp:extent cx="5400040" cy="2509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40" cy="2509520"/>
                    </a:xfrm>
                    <a:prstGeom prst="rect">
                      <a:avLst/>
                    </a:prstGeom>
                  </pic:spPr>
                </pic:pic>
              </a:graphicData>
            </a:graphic>
          </wp:inline>
        </w:drawing>
      </w:r>
    </w:p>
    <w:p w14:paraId="69FF711A" w14:textId="5201E40E" w:rsidR="003C32D5" w:rsidRPr="00843662" w:rsidRDefault="003C32D5" w:rsidP="003C32D5">
      <w:pPr>
        <w:spacing w:after="0" w:line="360" w:lineRule="auto"/>
        <w:jc w:val="both"/>
        <w:rPr>
          <w:rFonts w:ascii="Book Antiqua" w:hAnsi="Book Antiqua" w:cs="Times New Roman"/>
          <w:sz w:val="24"/>
          <w:szCs w:val="24"/>
        </w:rPr>
      </w:pPr>
      <w:r w:rsidRPr="00843662">
        <w:rPr>
          <w:rFonts w:ascii="Book Antiqua" w:hAnsi="Book Antiqua" w:cs="Times New Roman"/>
          <w:b/>
          <w:sz w:val="24"/>
          <w:szCs w:val="24"/>
        </w:rPr>
        <w:t>Figure 3</w:t>
      </w:r>
      <w:r w:rsidRPr="00843662">
        <w:rPr>
          <w:rFonts w:ascii="Book Antiqua" w:hAnsi="Book Antiqua" w:cs="Times New Roman"/>
          <w:sz w:val="24"/>
          <w:szCs w:val="24"/>
        </w:rPr>
        <w:t xml:space="preserve"> </w:t>
      </w:r>
      <w:r w:rsidRPr="0025209E">
        <w:rPr>
          <w:rFonts w:ascii="Book Antiqua" w:hAnsi="Book Antiqua" w:cs="Times New Roman"/>
          <w:b/>
          <w:sz w:val="24"/>
          <w:szCs w:val="24"/>
        </w:rPr>
        <w:t xml:space="preserve">Kaplan-Meier curves specifying survival for a composite end point as a function of Delta </w:t>
      </w:r>
      <w:proofErr w:type="spellStart"/>
      <w:r w:rsidRPr="0025209E">
        <w:rPr>
          <w:rFonts w:ascii="Book Antiqua" w:hAnsi="Book Antiqua" w:cs="Times New Roman"/>
          <w:b/>
          <w:sz w:val="24"/>
          <w:szCs w:val="24"/>
        </w:rPr>
        <w:t>Hepascore</w:t>
      </w:r>
      <w:proofErr w:type="spellEnd"/>
      <w:r w:rsidRPr="0025209E">
        <w:rPr>
          <w:rFonts w:ascii="Book Antiqua" w:hAnsi="Book Antiqua" w:cs="Times New Roman"/>
          <w:b/>
          <w:sz w:val="24"/>
          <w:szCs w:val="24"/>
        </w:rPr>
        <w:t xml:space="preserve"> calculated at varying time intervals between tests.</w:t>
      </w:r>
      <w:r w:rsidR="008B5CA2" w:rsidRPr="0025209E">
        <w:rPr>
          <w:rFonts w:ascii="Book Antiqua" w:hAnsi="Book Antiqua" w:cs="Times New Roman" w:hint="eastAsia"/>
          <w:b/>
          <w:sz w:val="24"/>
          <w:szCs w:val="24"/>
        </w:rPr>
        <w:t xml:space="preserve"> </w:t>
      </w:r>
      <w:r w:rsidR="008B5CA2">
        <w:rPr>
          <w:rFonts w:ascii="Book Antiqua" w:hAnsi="Book Antiqua" w:cs="Times New Roman" w:hint="eastAsia"/>
          <w:sz w:val="24"/>
          <w:szCs w:val="24"/>
        </w:rPr>
        <w:t xml:space="preserve">A: </w:t>
      </w:r>
      <w:r w:rsidRPr="00843662">
        <w:rPr>
          <w:rFonts w:ascii="Book Antiqua" w:hAnsi="Book Antiqua" w:cs="Times New Roman"/>
          <w:sz w:val="24"/>
          <w:szCs w:val="24"/>
        </w:rPr>
        <w:t xml:space="preserve">Time between tests - 0 to 12 </w:t>
      </w:r>
      <w:proofErr w:type="spellStart"/>
      <w:r w:rsidRPr="00843662">
        <w:rPr>
          <w:rFonts w:ascii="Book Antiqua" w:hAnsi="Book Antiqua" w:cs="Times New Roman"/>
          <w:sz w:val="24"/>
          <w:szCs w:val="24"/>
        </w:rPr>
        <w:t>mo</w:t>
      </w:r>
      <w:proofErr w:type="spellEnd"/>
      <w:r w:rsidRPr="00843662">
        <w:rPr>
          <w:rFonts w:ascii="Book Antiqua" w:hAnsi="Book Antiqua" w:cs="Times New Roman"/>
          <w:sz w:val="24"/>
          <w:szCs w:val="24"/>
        </w:rPr>
        <w:t xml:space="preserve"> (</w:t>
      </w:r>
      <w:r w:rsidR="008B5CA2" w:rsidRPr="008B5CA2">
        <w:rPr>
          <w:rFonts w:ascii="Book Antiqua" w:hAnsi="Book Antiqua" w:cs="Times New Roman" w:hint="eastAsia"/>
          <w:i/>
          <w:sz w:val="24"/>
          <w:szCs w:val="24"/>
        </w:rPr>
        <w:t>P</w:t>
      </w:r>
      <w:r w:rsidR="008B5CA2">
        <w:rPr>
          <w:rFonts w:ascii="Book Antiqua" w:hAnsi="Book Antiqua" w:cs="Times New Roman" w:hint="eastAsia"/>
          <w:sz w:val="24"/>
          <w:szCs w:val="24"/>
        </w:rPr>
        <w:t xml:space="preserve"> </w:t>
      </w:r>
      <w:r w:rsidRPr="00843662">
        <w:rPr>
          <w:rFonts w:ascii="Book Antiqua" w:hAnsi="Book Antiqua" w:cs="Times New Roman"/>
          <w:sz w:val="24"/>
          <w:szCs w:val="24"/>
        </w:rPr>
        <w:t>=</w:t>
      </w:r>
      <w:r w:rsidR="008B5CA2">
        <w:rPr>
          <w:rFonts w:ascii="Book Antiqua" w:hAnsi="Book Antiqua" w:cs="Times New Roman" w:hint="eastAsia"/>
          <w:sz w:val="24"/>
          <w:szCs w:val="24"/>
        </w:rPr>
        <w:t xml:space="preserve"> </w:t>
      </w:r>
      <w:r w:rsidRPr="00843662">
        <w:rPr>
          <w:rFonts w:ascii="Book Antiqua" w:hAnsi="Book Antiqua" w:cs="Times New Roman"/>
          <w:sz w:val="24"/>
          <w:szCs w:val="24"/>
        </w:rPr>
        <w:t>0.347)</w:t>
      </w:r>
      <w:r w:rsidR="008B5CA2">
        <w:rPr>
          <w:rFonts w:ascii="Book Antiqua" w:hAnsi="Book Antiqua" w:cs="Times New Roman" w:hint="eastAsia"/>
          <w:sz w:val="24"/>
          <w:szCs w:val="24"/>
        </w:rPr>
        <w:t xml:space="preserve">; B: </w:t>
      </w:r>
      <w:r w:rsidRPr="00843662">
        <w:rPr>
          <w:rFonts w:ascii="Book Antiqua" w:hAnsi="Book Antiqua" w:cs="Times New Roman"/>
          <w:sz w:val="24"/>
          <w:szCs w:val="24"/>
        </w:rPr>
        <w:t>Time between tests from - 1 year onwards (</w:t>
      </w:r>
      <w:r w:rsidR="008B5CA2" w:rsidRPr="008B5CA2">
        <w:rPr>
          <w:rFonts w:ascii="Book Antiqua" w:hAnsi="Book Antiqua" w:cs="Times New Roman" w:hint="eastAsia"/>
          <w:i/>
          <w:sz w:val="24"/>
          <w:szCs w:val="24"/>
        </w:rPr>
        <w:t>P</w:t>
      </w:r>
      <w:r w:rsidR="008B5CA2">
        <w:rPr>
          <w:rFonts w:ascii="Book Antiqua" w:hAnsi="Book Antiqua" w:cs="Times New Roman" w:hint="eastAsia"/>
          <w:sz w:val="24"/>
          <w:szCs w:val="24"/>
        </w:rPr>
        <w:t xml:space="preserve"> </w:t>
      </w:r>
      <w:r w:rsidRPr="00843662">
        <w:rPr>
          <w:rFonts w:ascii="Book Antiqua" w:hAnsi="Book Antiqua" w:cs="Times New Roman"/>
          <w:sz w:val="24"/>
          <w:szCs w:val="24"/>
        </w:rPr>
        <w:t>=</w:t>
      </w:r>
      <w:r w:rsidR="008B5CA2">
        <w:rPr>
          <w:rFonts w:ascii="Book Antiqua" w:hAnsi="Book Antiqua" w:cs="Times New Roman" w:hint="eastAsia"/>
          <w:sz w:val="24"/>
          <w:szCs w:val="24"/>
        </w:rPr>
        <w:t xml:space="preserve"> </w:t>
      </w:r>
      <w:r w:rsidRPr="00843662">
        <w:rPr>
          <w:rFonts w:ascii="Book Antiqua" w:hAnsi="Book Antiqua" w:cs="Times New Roman"/>
          <w:sz w:val="24"/>
          <w:szCs w:val="24"/>
        </w:rPr>
        <w:t>0.03)</w:t>
      </w:r>
      <w:r w:rsidR="008B5CA2">
        <w:rPr>
          <w:rFonts w:ascii="Book Antiqua" w:hAnsi="Book Antiqua" w:cs="Times New Roman" w:hint="eastAsia"/>
          <w:sz w:val="24"/>
          <w:szCs w:val="24"/>
        </w:rPr>
        <w:t>.</w:t>
      </w:r>
    </w:p>
    <w:p w14:paraId="07A2E7C9" w14:textId="77777777" w:rsidR="003C32D5" w:rsidRPr="00843662" w:rsidRDefault="003C32D5" w:rsidP="003C32D5">
      <w:pPr>
        <w:spacing w:after="0" w:line="360" w:lineRule="auto"/>
        <w:jc w:val="both"/>
        <w:rPr>
          <w:rFonts w:ascii="Book Antiqua" w:hAnsi="Book Antiqua"/>
          <w:b/>
          <w:sz w:val="24"/>
          <w:szCs w:val="24"/>
        </w:rPr>
      </w:pPr>
    </w:p>
    <w:p w14:paraId="0FA2CEBB" w14:textId="77777777" w:rsidR="003C32D5" w:rsidRDefault="003C32D5" w:rsidP="003C32D5">
      <w:pPr>
        <w:spacing w:after="0" w:line="360" w:lineRule="auto"/>
        <w:jc w:val="both"/>
        <w:rPr>
          <w:rFonts w:ascii="Book Antiqua" w:hAnsi="Book Antiqua" w:cs="Times New Roman"/>
          <w:sz w:val="24"/>
          <w:szCs w:val="24"/>
        </w:rPr>
      </w:pPr>
    </w:p>
    <w:p w14:paraId="773F766E" w14:textId="77777777" w:rsidR="0025209E" w:rsidRDefault="0025209E" w:rsidP="003C32D5">
      <w:pPr>
        <w:spacing w:after="0" w:line="360" w:lineRule="auto"/>
        <w:jc w:val="both"/>
        <w:rPr>
          <w:rFonts w:ascii="Book Antiqua" w:hAnsi="Book Antiqua" w:cs="Times New Roman"/>
          <w:sz w:val="24"/>
          <w:szCs w:val="24"/>
        </w:rPr>
      </w:pPr>
    </w:p>
    <w:p w14:paraId="58AF3E83" w14:textId="77777777" w:rsidR="0025209E" w:rsidRDefault="0025209E" w:rsidP="003C32D5">
      <w:pPr>
        <w:spacing w:after="0" w:line="360" w:lineRule="auto"/>
        <w:jc w:val="both"/>
        <w:rPr>
          <w:rFonts w:ascii="Book Antiqua" w:hAnsi="Book Antiqua" w:cs="Times New Roman"/>
          <w:sz w:val="24"/>
          <w:szCs w:val="24"/>
        </w:rPr>
      </w:pPr>
    </w:p>
    <w:p w14:paraId="55FE1EA6" w14:textId="77777777" w:rsidR="0025209E" w:rsidRDefault="0025209E" w:rsidP="003C32D5">
      <w:pPr>
        <w:spacing w:after="0" w:line="360" w:lineRule="auto"/>
        <w:jc w:val="both"/>
        <w:rPr>
          <w:rFonts w:ascii="Book Antiqua" w:hAnsi="Book Antiqua" w:cs="Times New Roman"/>
          <w:sz w:val="24"/>
          <w:szCs w:val="24"/>
        </w:rPr>
      </w:pPr>
    </w:p>
    <w:p w14:paraId="10EAB833" w14:textId="77777777" w:rsidR="0025209E" w:rsidRDefault="0025209E" w:rsidP="003C32D5">
      <w:pPr>
        <w:spacing w:after="0" w:line="360" w:lineRule="auto"/>
        <w:jc w:val="both"/>
        <w:rPr>
          <w:rFonts w:ascii="Book Antiqua" w:hAnsi="Book Antiqua" w:cs="Times New Roman"/>
          <w:sz w:val="24"/>
          <w:szCs w:val="24"/>
        </w:rPr>
      </w:pPr>
    </w:p>
    <w:p w14:paraId="17A9339A" w14:textId="77777777" w:rsidR="0025209E" w:rsidRDefault="0025209E" w:rsidP="003C32D5">
      <w:pPr>
        <w:spacing w:after="0" w:line="360" w:lineRule="auto"/>
        <w:jc w:val="both"/>
        <w:rPr>
          <w:rFonts w:ascii="Book Antiqua" w:hAnsi="Book Antiqua" w:cs="Times New Roman"/>
          <w:sz w:val="24"/>
          <w:szCs w:val="24"/>
        </w:rPr>
      </w:pPr>
    </w:p>
    <w:p w14:paraId="512D61D4" w14:textId="77777777" w:rsidR="0025209E" w:rsidRDefault="0025209E" w:rsidP="003C32D5">
      <w:pPr>
        <w:spacing w:after="0" w:line="360" w:lineRule="auto"/>
        <w:jc w:val="both"/>
        <w:rPr>
          <w:rFonts w:ascii="Book Antiqua" w:hAnsi="Book Antiqua" w:cs="Times New Roman"/>
          <w:sz w:val="24"/>
          <w:szCs w:val="24"/>
        </w:rPr>
      </w:pPr>
    </w:p>
    <w:p w14:paraId="550ED569" w14:textId="77777777" w:rsidR="0025209E" w:rsidRDefault="0025209E" w:rsidP="003C32D5">
      <w:pPr>
        <w:spacing w:after="0" w:line="360" w:lineRule="auto"/>
        <w:jc w:val="both"/>
        <w:rPr>
          <w:rFonts w:ascii="Book Antiqua" w:hAnsi="Book Antiqua" w:cs="Times New Roman"/>
          <w:sz w:val="24"/>
          <w:szCs w:val="24"/>
        </w:rPr>
      </w:pPr>
    </w:p>
    <w:p w14:paraId="351DFD5A" w14:textId="77777777" w:rsidR="0025209E" w:rsidRDefault="0025209E" w:rsidP="003C32D5">
      <w:pPr>
        <w:spacing w:after="0" w:line="360" w:lineRule="auto"/>
        <w:jc w:val="both"/>
        <w:rPr>
          <w:rFonts w:ascii="Book Antiqua" w:hAnsi="Book Antiqua" w:cs="Times New Roman"/>
          <w:sz w:val="24"/>
          <w:szCs w:val="24"/>
        </w:rPr>
      </w:pPr>
    </w:p>
    <w:p w14:paraId="5A8D483A" w14:textId="77777777" w:rsidR="0025209E" w:rsidRDefault="0025209E" w:rsidP="003C32D5">
      <w:pPr>
        <w:spacing w:after="0" w:line="360" w:lineRule="auto"/>
        <w:jc w:val="both"/>
        <w:rPr>
          <w:rFonts w:ascii="Book Antiqua" w:hAnsi="Book Antiqua" w:cs="Times New Roman"/>
          <w:sz w:val="24"/>
          <w:szCs w:val="24"/>
        </w:rPr>
      </w:pPr>
    </w:p>
    <w:p w14:paraId="7918AD70" w14:textId="77777777" w:rsidR="0025209E" w:rsidRDefault="0025209E" w:rsidP="003C32D5">
      <w:pPr>
        <w:spacing w:after="0" w:line="360" w:lineRule="auto"/>
        <w:jc w:val="both"/>
        <w:rPr>
          <w:rFonts w:ascii="Book Antiqua" w:hAnsi="Book Antiqua" w:cs="Times New Roman"/>
          <w:sz w:val="24"/>
          <w:szCs w:val="24"/>
        </w:rPr>
      </w:pPr>
    </w:p>
    <w:p w14:paraId="42C28FC2" w14:textId="77777777" w:rsidR="0025209E" w:rsidRDefault="0025209E" w:rsidP="003C32D5">
      <w:pPr>
        <w:spacing w:after="0" w:line="360" w:lineRule="auto"/>
        <w:jc w:val="both"/>
        <w:rPr>
          <w:rFonts w:ascii="Book Antiqua" w:hAnsi="Book Antiqua" w:cs="Times New Roman"/>
          <w:sz w:val="24"/>
          <w:szCs w:val="24"/>
        </w:rPr>
      </w:pPr>
    </w:p>
    <w:p w14:paraId="3D11D8DF" w14:textId="77777777" w:rsidR="0025209E" w:rsidRDefault="0025209E" w:rsidP="003C32D5">
      <w:pPr>
        <w:spacing w:after="0" w:line="360" w:lineRule="auto"/>
        <w:jc w:val="both"/>
        <w:rPr>
          <w:rFonts w:ascii="Book Antiqua" w:hAnsi="Book Antiqua" w:cs="Times New Roman"/>
          <w:sz w:val="24"/>
          <w:szCs w:val="24"/>
        </w:rPr>
      </w:pPr>
    </w:p>
    <w:p w14:paraId="70B9C338" w14:textId="77777777" w:rsidR="0025209E" w:rsidRDefault="0025209E" w:rsidP="003C32D5">
      <w:pPr>
        <w:spacing w:after="0" w:line="360" w:lineRule="auto"/>
        <w:jc w:val="both"/>
        <w:rPr>
          <w:rFonts w:ascii="Book Antiqua" w:hAnsi="Book Antiqua" w:cs="Times New Roman"/>
          <w:sz w:val="24"/>
          <w:szCs w:val="24"/>
        </w:rPr>
      </w:pPr>
    </w:p>
    <w:p w14:paraId="21831DE0" w14:textId="77777777" w:rsidR="0025209E" w:rsidRDefault="0025209E" w:rsidP="003C32D5">
      <w:pPr>
        <w:spacing w:after="0" w:line="360" w:lineRule="auto"/>
        <w:jc w:val="both"/>
        <w:rPr>
          <w:rFonts w:ascii="Book Antiqua" w:hAnsi="Book Antiqua" w:cs="Times New Roman"/>
          <w:sz w:val="24"/>
          <w:szCs w:val="24"/>
        </w:rPr>
      </w:pPr>
    </w:p>
    <w:p w14:paraId="3E1DEED2" w14:textId="77777777" w:rsidR="0025209E" w:rsidRPr="00843662" w:rsidRDefault="0025209E" w:rsidP="003C32D5">
      <w:pPr>
        <w:spacing w:after="0" w:line="360" w:lineRule="auto"/>
        <w:jc w:val="both"/>
        <w:rPr>
          <w:rFonts w:ascii="Book Antiqua" w:hAnsi="Book Antiqua" w:cs="Times New Roman"/>
          <w:sz w:val="24"/>
          <w:szCs w:val="24"/>
        </w:rPr>
      </w:pPr>
    </w:p>
    <w:p w14:paraId="22EBB3BD" w14:textId="7ED98C87" w:rsidR="00EE29A5" w:rsidRPr="0025209E" w:rsidRDefault="00EE29A5"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lastRenderedPageBreak/>
        <w:t>Table 1</w:t>
      </w:r>
      <w:r w:rsidRPr="00843662">
        <w:rPr>
          <w:rFonts w:ascii="Book Antiqua" w:hAnsi="Book Antiqua" w:cs="Times New Roman"/>
          <w:sz w:val="24"/>
          <w:szCs w:val="24"/>
        </w:rPr>
        <w:t xml:space="preserve"> </w:t>
      </w:r>
      <w:r w:rsidRPr="0025209E">
        <w:rPr>
          <w:rFonts w:ascii="Book Antiqua" w:hAnsi="Book Antiqua" w:cs="Times New Roman"/>
          <w:b/>
          <w:sz w:val="24"/>
          <w:szCs w:val="24"/>
        </w:rPr>
        <w:t xml:space="preserve">Patient </w:t>
      </w:r>
      <w:r w:rsidR="0025209E">
        <w:rPr>
          <w:rFonts w:ascii="Book Antiqua" w:hAnsi="Book Antiqua" w:cs="Times New Roman" w:hint="eastAsia"/>
          <w:b/>
          <w:sz w:val="24"/>
          <w:szCs w:val="24"/>
        </w:rPr>
        <w:t>c</w:t>
      </w:r>
      <w:r w:rsidRPr="0025209E">
        <w:rPr>
          <w:rFonts w:ascii="Book Antiqua" w:hAnsi="Book Antiqua" w:cs="Times New Roman"/>
          <w:b/>
          <w:sz w:val="24"/>
          <w:szCs w:val="24"/>
        </w:rPr>
        <w:t xml:space="preserve">haracteristics and </w:t>
      </w:r>
      <w:r w:rsidR="0025209E">
        <w:rPr>
          <w:rFonts w:ascii="Book Antiqua" w:hAnsi="Book Antiqua" w:cs="Times New Roman" w:hint="eastAsia"/>
          <w:b/>
          <w:sz w:val="24"/>
          <w:szCs w:val="24"/>
        </w:rPr>
        <w:t>o</w:t>
      </w:r>
      <w:r w:rsidRPr="0025209E">
        <w:rPr>
          <w:rFonts w:ascii="Book Antiqua" w:hAnsi="Book Antiqua" w:cs="Times New Roman"/>
          <w:b/>
          <w:sz w:val="24"/>
          <w:szCs w:val="24"/>
        </w:rPr>
        <w:t>utcomes</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600" w:firstRow="0" w:lastRow="0" w:firstColumn="0" w:lastColumn="0" w:noHBand="1" w:noVBand="1"/>
      </w:tblPr>
      <w:tblGrid>
        <w:gridCol w:w="3261"/>
        <w:gridCol w:w="992"/>
        <w:gridCol w:w="283"/>
        <w:gridCol w:w="1433"/>
        <w:gridCol w:w="992"/>
        <w:gridCol w:w="1544"/>
      </w:tblGrid>
      <w:tr w:rsidR="00843662" w:rsidRPr="00843662" w14:paraId="6F7B62DE" w14:textId="77777777" w:rsidTr="00324E4A">
        <w:trPr>
          <w:trHeight w:hRule="exact" w:val="813"/>
        </w:trPr>
        <w:tc>
          <w:tcPr>
            <w:tcW w:w="3261" w:type="dxa"/>
            <w:vMerge w:val="restart"/>
            <w:tcBorders>
              <w:top w:val="single" w:sz="4" w:space="0" w:color="auto"/>
              <w:left w:val="nil"/>
            </w:tcBorders>
            <w:shd w:val="clear" w:color="auto" w:fill="auto"/>
            <w:tcMar>
              <w:top w:w="15" w:type="dxa"/>
              <w:left w:w="15" w:type="dxa"/>
              <w:bottom w:w="0" w:type="dxa"/>
              <w:right w:w="15" w:type="dxa"/>
            </w:tcMar>
            <w:vAlign w:val="center"/>
          </w:tcPr>
          <w:p w14:paraId="7014E5AC" w14:textId="08E8D219"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Characteristic</w:t>
            </w:r>
          </w:p>
        </w:tc>
        <w:tc>
          <w:tcPr>
            <w:tcW w:w="2708" w:type="dxa"/>
            <w:gridSpan w:val="3"/>
            <w:tcBorders>
              <w:top w:val="single" w:sz="4" w:space="0" w:color="auto"/>
              <w:bottom w:val="single" w:sz="4" w:space="0" w:color="auto"/>
            </w:tcBorders>
            <w:shd w:val="clear" w:color="auto" w:fill="auto"/>
            <w:tcMar>
              <w:top w:w="15" w:type="dxa"/>
              <w:left w:w="15" w:type="dxa"/>
              <w:bottom w:w="0" w:type="dxa"/>
              <w:right w:w="15" w:type="dxa"/>
            </w:tcMar>
            <w:vAlign w:val="bottom"/>
          </w:tcPr>
          <w:p w14:paraId="3D8CBC6A" w14:textId="0AD12332" w:rsidR="008D0F9B" w:rsidRPr="00843662" w:rsidRDefault="008D0F9B" w:rsidP="0025209E">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 xml:space="preserve">All </w:t>
            </w:r>
            <w:r w:rsidR="0025209E">
              <w:rPr>
                <w:rFonts w:ascii="Book Antiqua" w:hAnsi="Book Antiqua" w:cs="Times New Roman" w:hint="eastAsia"/>
                <w:b/>
                <w:sz w:val="24"/>
                <w:szCs w:val="24"/>
              </w:rPr>
              <w:t>p</w:t>
            </w:r>
            <w:r w:rsidRPr="00843662">
              <w:rPr>
                <w:rFonts w:ascii="Book Antiqua" w:hAnsi="Book Antiqua" w:cs="Times New Roman"/>
                <w:b/>
                <w:sz w:val="24"/>
                <w:szCs w:val="24"/>
              </w:rPr>
              <w:t>atients</w:t>
            </w:r>
          </w:p>
        </w:tc>
        <w:tc>
          <w:tcPr>
            <w:tcW w:w="2536" w:type="dxa"/>
            <w:gridSpan w:val="2"/>
            <w:tcBorders>
              <w:top w:val="single" w:sz="4" w:space="0" w:color="auto"/>
              <w:bottom w:val="single" w:sz="4" w:space="0" w:color="auto"/>
              <w:right w:val="nil"/>
            </w:tcBorders>
            <w:vAlign w:val="bottom"/>
          </w:tcPr>
          <w:p w14:paraId="3431A45D" w14:textId="743C9CB2" w:rsidR="008D0F9B" w:rsidRPr="00843662" w:rsidRDefault="008D0F9B" w:rsidP="0025209E">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 xml:space="preserve">Patients with </w:t>
            </w:r>
            <w:r w:rsidR="0025209E">
              <w:rPr>
                <w:rFonts w:ascii="Book Antiqua" w:hAnsi="Book Antiqua" w:cs="Times New Roman" w:hint="eastAsia"/>
                <w:b/>
                <w:sz w:val="24"/>
                <w:szCs w:val="24"/>
              </w:rPr>
              <w:t>f</w:t>
            </w:r>
            <w:r w:rsidRPr="00843662">
              <w:rPr>
                <w:rFonts w:ascii="Book Antiqua" w:hAnsi="Book Antiqua" w:cs="Times New Roman"/>
                <w:b/>
                <w:sz w:val="24"/>
                <w:szCs w:val="24"/>
              </w:rPr>
              <w:t xml:space="preserve">irst </w:t>
            </w:r>
            <w:proofErr w:type="spellStart"/>
            <w:r w:rsidRPr="00843662">
              <w:rPr>
                <w:rFonts w:ascii="Book Antiqua" w:hAnsi="Book Antiqua" w:cs="Times New Roman"/>
                <w:b/>
                <w:sz w:val="24"/>
                <w:szCs w:val="24"/>
              </w:rPr>
              <w:t>Hepascore</w:t>
            </w:r>
            <w:proofErr w:type="spellEnd"/>
            <w:r w:rsidRPr="00843662">
              <w:rPr>
                <w:rFonts w:ascii="Book Antiqua" w:hAnsi="Book Antiqua" w:cs="Times New Roman"/>
                <w:b/>
                <w:sz w:val="24"/>
                <w:szCs w:val="24"/>
              </w:rPr>
              <w:t xml:space="preserve"> &gt;0.75</w:t>
            </w:r>
          </w:p>
        </w:tc>
      </w:tr>
      <w:tr w:rsidR="00843662" w:rsidRPr="00843662" w14:paraId="51CE011A" w14:textId="2143233A" w:rsidTr="0025209E">
        <w:trPr>
          <w:trHeight w:hRule="exact" w:val="626"/>
        </w:trPr>
        <w:tc>
          <w:tcPr>
            <w:tcW w:w="3261" w:type="dxa"/>
            <w:vMerge/>
            <w:tcBorders>
              <w:left w:val="nil"/>
              <w:bottom w:val="single" w:sz="4" w:space="0" w:color="auto"/>
            </w:tcBorders>
            <w:shd w:val="clear" w:color="auto" w:fill="auto"/>
            <w:tcMar>
              <w:top w:w="15" w:type="dxa"/>
              <w:left w:w="15" w:type="dxa"/>
              <w:bottom w:w="0" w:type="dxa"/>
              <w:right w:w="15" w:type="dxa"/>
            </w:tcMar>
            <w:vAlign w:val="bottom"/>
          </w:tcPr>
          <w:p w14:paraId="475B1261" w14:textId="2574B24C" w:rsidR="008D0F9B" w:rsidRPr="00843662" w:rsidRDefault="008D0F9B" w:rsidP="00843662">
            <w:pPr>
              <w:spacing w:after="0" w:line="360" w:lineRule="auto"/>
              <w:jc w:val="both"/>
              <w:rPr>
                <w:rFonts w:ascii="Book Antiqua" w:hAnsi="Book Antiqua" w:cs="Times New Roman"/>
                <w:b/>
                <w:sz w:val="24"/>
                <w:szCs w:val="24"/>
              </w:rPr>
            </w:pPr>
          </w:p>
        </w:tc>
        <w:tc>
          <w:tcPr>
            <w:tcW w:w="992" w:type="dxa"/>
            <w:tcBorders>
              <w:top w:val="single" w:sz="4" w:space="0" w:color="auto"/>
              <w:bottom w:val="single" w:sz="4" w:space="0" w:color="auto"/>
            </w:tcBorders>
            <w:shd w:val="clear" w:color="auto" w:fill="auto"/>
            <w:tcMar>
              <w:top w:w="15" w:type="dxa"/>
              <w:left w:w="15" w:type="dxa"/>
              <w:bottom w:w="0" w:type="dxa"/>
              <w:right w:w="15" w:type="dxa"/>
            </w:tcMar>
            <w:vAlign w:val="bottom"/>
          </w:tcPr>
          <w:p w14:paraId="0BDD0056" w14:textId="77777777"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Number</w:t>
            </w:r>
          </w:p>
        </w:tc>
        <w:tc>
          <w:tcPr>
            <w:tcW w:w="283" w:type="dxa"/>
            <w:tcBorders>
              <w:top w:val="single" w:sz="4" w:space="0" w:color="auto"/>
              <w:bottom w:val="single" w:sz="4" w:space="0" w:color="auto"/>
            </w:tcBorders>
          </w:tcPr>
          <w:p w14:paraId="3862A8B4" w14:textId="77777777" w:rsidR="008D0F9B" w:rsidRPr="00843662" w:rsidRDefault="008D0F9B" w:rsidP="00843662">
            <w:pPr>
              <w:spacing w:after="0" w:line="360" w:lineRule="auto"/>
              <w:jc w:val="both"/>
              <w:rPr>
                <w:rFonts w:ascii="Book Antiqua" w:hAnsi="Book Antiqua" w:cs="Times New Roman"/>
                <w:b/>
                <w:sz w:val="24"/>
                <w:szCs w:val="24"/>
              </w:rPr>
            </w:pPr>
          </w:p>
        </w:tc>
        <w:tc>
          <w:tcPr>
            <w:tcW w:w="1433" w:type="dxa"/>
            <w:tcBorders>
              <w:top w:val="single" w:sz="4" w:space="0" w:color="auto"/>
              <w:bottom w:val="single" w:sz="4" w:space="0" w:color="auto"/>
              <w:right w:val="nil"/>
            </w:tcBorders>
            <w:shd w:val="clear" w:color="auto" w:fill="auto"/>
            <w:tcMar>
              <w:top w:w="15" w:type="dxa"/>
              <w:left w:w="15" w:type="dxa"/>
              <w:bottom w:w="0" w:type="dxa"/>
              <w:right w:w="15" w:type="dxa"/>
            </w:tcMar>
            <w:vAlign w:val="bottom"/>
          </w:tcPr>
          <w:p w14:paraId="3BEEC37A" w14:textId="77777777"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Percent (%)</w:t>
            </w:r>
          </w:p>
        </w:tc>
        <w:tc>
          <w:tcPr>
            <w:tcW w:w="992" w:type="dxa"/>
            <w:tcBorders>
              <w:top w:val="single" w:sz="4" w:space="0" w:color="auto"/>
              <w:bottom w:val="single" w:sz="4" w:space="0" w:color="auto"/>
              <w:right w:val="nil"/>
            </w:tcBorders>
            <w:vAlign w:val="bottom"/>
          </w:tcPr>
          <w:p w14:paraId="2704F045" w14:textId="40260A1A"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Number</w:t>
            </w:r>
          </w:p>
        </w:tc>
        <w:tc>
          <w:tcPr>
            <w:tcW w:w="1544" w:type="dxa"/>
            <w:tcBorders>
              <w:top w:val="single" w:sz="4" w:space="0" w:color="auto"/>
              <w:bottom w:val="single" w:sz="4" w:space="0" w:color="auto"/>
              <w:right w:val="nil"/>
            </w:tcBorders>
            <w:vAlign w:val="bottom"/>
          </w:tcPr>
          <w:p w14:paraId="27AB2537" w14:textId="0129970C"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Percent (%)</w:t>
            </w:r>
          </w:p>
        </w:tc>
      </w:tr>
      <w:tr w:rsidR="00843662" w:rsidRPr="00843662" w14:paraId="19412FCA" w14:textId="6BBF6AD9" w:rsidTr="0025209E">
        <w:trPr>
          <w:trHeight w:hRule="exact" w:val="397"/>
        </w:trPr>
        <w:tc>
          <w:tcPr>
            <w:tcW w:w="3261" w:type="dxa"/>
            <w:tcBorders>
              <w:top w:val="single" w:sz="4" w:space="0" w:color="auto"/>
              <w:left w:val="nil"/>
              <w:bottom w:val="nil"/>
            </w:tcBorders>
            <w:shd w:val="clear" w:color="auto" w:fill="auto"/>
            <w:tcMar>
              <w:top w:w="15" w:type="dxa"/>
              <w:left w:w="15" w:type="dxa"/>
              <w:bottom w:w="0" w:type="dxa"/>
              <w:right w:w="15" w:type="dxa"/>
            </w:tcMar>
            <w:vAlign w:val="bottom"/>
          </w:tcPr>
          <w:p w14:paraId="670D1DDB" w14:textId="69D829F3"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sz w:val="24"/>
                <w:szCs w:val="24"/>
              </w:rPr>
              <w:t>Number</w:t>
            </w:r>
          </w:p>
        </w:tc>
        <w:tc>
          <w:tcPr>
            <w:tcW w:w="992" w:type="dxa"/>
            <w:tcBorders>
              <w:top w:val="single" w:sz="4" w:space="0" w:color="auto"/>
              <w:bottom w:val="nil"/>
            </w:tcBorders>
            <w:shd w:val="clear" w:color="auto" w:fill="auto"/>
            <w:tcMar>
              <w:top w:w="15" w:type="dxa"/>
              <w:left w:w="15" w:type="dxa"/>
              <w:bottom w:w="0" w:type="dxa"/>
              <w:right w:w="15" w:type="dxa"/>
            </w:tcMar>
            <w:vAlign w:val="bottom"/>
          </w:tcPr>
          <w:p w14:paraId="7D3F4B79" w14:textId="77777777"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sz w:val="24"/>
                <w:szCs w:val="24"/>
              </w:rPr>
              <w:t>346</w:t>
            </w:r>
          </w:p>
        </w:tc>
        <w:tc>
          <w:tcPr>
            <w:tcW w:w="283" w:type="dxa"/>
            <w:tcBorders>
              <w:top w:val="single" w:sz="4" w:space="0" w:color="auto"/>
              <w:bottom w:val="nil"/>
            </w:tcBorders>
          </w:tcPr>
          <w:p w14:paraId="003F56E6" w14:textId="77777777" w:rsidR="008D0F9B" w:rsidRPr="00843662" w:rsidRDefault="008D0F9B" w:rsidP="00843662">
            <w:pPr>
              <w:spacing w:after="0" w:line="360" w:lineRule="auto"/>
              <w:jc w:val="both"/>
              <w:rPr>
                <w:rFonts w:ascii="Book Antiqua" w:hAnsi="Book Antiqua" w:cs="Times New Roman"/>
                <w:b/>
                <w:sz w:val="24"/>
                <w:szCs w:val="24"/>
              </w:rPr>
            </w:pPr>
          </w:p>
        </w:tc>
        <w:tc>
          <w:tcPr>
            <w:tcW w:w="1433" w:type="dxa"/>
            <w:tcBorders>
              <w:top w:val="single" w:sz="4" w:space="0" w:color="auto"/>
              <w:bottom w:val="nil"/>
              <w:right w:val="nil"/>
            </w:tcBorders>
            <w:shd w:val="clear" w:color="auto" w:fill="auto"/>
            <w:tcMar>
              <w:top w:w="15" w:type="dxa"/>
              <w:left w:w="15" w:type="dxa"/>
              <w:bottom w:w="0" w:type="dxa"/>
              <w:right w:w="15" w:type="dxa"/>
            </w:tcMar>
            <w:vAlign w:val="bottom"/>
          </w:tcPr>
          <w:p w14:paraId="18F56570" w14:textId="77777777" w:rsidR="008D0F9B" w:rsidRPr="00843662" w:rsidRDefault="008D0F9B" w:rsidP="00843662">
            <w:pPr>
              <w:spacing w:after="0" w:line="360" w:lineRule="auto"/>
              <w:jc w:val="both"/>
              <w:rPr>
                <w:rFonts w:ascii="Book Antiqua" w:hAnsi="Book Antiqua" w:cs="Times New Roman"/>
                <w:b/>
                <w:sz w:val="24"/>
                <w:szCs w:val="24"/>
              </w:rPr>
            </w:pPr>
          </w:p>
        </w:tc>
        <w:tc>
          <w:tcPr>
            <w:tcW w:w="992" w:type="dxa"/>
            <w:tcBorders>
              <w:top w:val="single" w:sz="4" w:space="0" w:color="auto"/>
              <w:bottom w:val="nil"/>
              <w:right w:val="nil"/>
            </w:tcBorders>
            <w:vAlign w:val="center"/>
          </w:tcPr>
          <w:p w14:paraId="3876BC5D" w14:textId="425FA4E1" w:rsidR="008D0F9B" w:rsidRPr="00843662" w:rsidRDefault="008D1D32"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100</w:t>
            </w:r>
          </w:p>
        </w:tc>
        <w:tc>
          <w:tcPr>
            <w:tcW w:w="1544" w:type="dxa"/>
            <w:tcBorders>
              <w:top w:val="single" w:sz="4" w:space="0" w:color="auto"/>
              <w:bottom w:val="nil"/>
              <w:right w:val="nil"/>
            </w:tcBorders>
            <w:vAlign w:val="center"/>
          </w:tcPr>
          <w:p w14:paraId="2972E5B1" w14:textId="77777777" w:rsidR="008D0F9B" w:rsidRPr="00843662" w:rsidRDefault="008D0F9B" w:rsidP="00843662">
            <w:pPr>
              <w:spacing w:after="0" w:line="360" w:lineRule="auto"/>
              <w:jc w:val="both"/>
              <w:rPr>
                <w:rFonts w:ascii="Book Antiqua" w:hAnsi="Book Antiqua" w:cs="Times New Roman"/>
                <w:sz w:val="24"/>
                <w:szCs w:val="24"/>
              </w:rPr>
            </w:pPr>
          </w:p>
        </w:tc>
      </w:tr>
      <w:tr w:rsidR="00843662" w:rsidRPr="00843662" w14:paraId="30EFAE17" w14:textId="37E28FA4" w:rsidTr="0025209E">
        <w:trPr>
          <w:trHeight w:hRule="exact" w:val="397"/>
        </w:trPr>
        <w:tc>
          <w:tcPr>
            <w:tcW w:w="3261" w:type="dxa"/>
            <w:tcBorders>
              <w:top w:val="nil"/>
              <w:left w:val="nil"/>
              <w:bottom w:val="nil"/>
            </w:tcBorders>
            <w:shd w:val="clear" w:color="auto" w:fill="auto"/>
            <w:tcMar>
              <w:top w:w="15" w:type="dxa"/>
              <w:left w:w="15" w:type="dxa"/>
              <w:bottom w:w="0" w:type="dxa"/>
              <w:right w:w="15" w:type="dxa"/>
            </w:tcMar>
            <w:vAlign w:val="bottom"/>
          </w:tcPr>
          <w:p w14:paraId="74D31FC5" w14:textId="77777777"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sz w:val="24"/>
                <w:szCs w:val="24"/>
              </w:rPr>
              <w:t>Gender (male)</w:t>
            </w:r>
          </w:p>
        </w:tc>
        <w:tc>
          <w:tcPr>
            <w:tcW w:w="992" w:type="dxa"/>
            <w:tcBorders>
              <w:top w:val="nil"/>
              <w:bottom w:val="nil"/>
            </w:tcBorders>
            <w:shd w:val="clear" w:color="auto" w:fill="auto"/>
            <w:tcMar>
              <w:top w:w="15" w:type="dxa"/>
              <w:left w:w="15" w:type="dxa"/>
              <w:bottom w:w="0" w:type="dxa"/>
              <w:right w:w="15" w:type="dxa"/>
            </w:tcMar>
            <w:vAlign w:val="bottom"/>
          </w:tcPr>
          <w:p w14:paraId="6276AE39" w14:textId="77777777"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sz w:val="24"/>
                <w:szCs w:val="24"/>
              </w:rPr>
              <w:t>220</w:t>
            </w:r>
          </w:p>
        </w:tc>
        <w:tc>
          <w:tcPr>
            <w:tcW w:w="283" w:type="dxa"/>
            <w:tcBorders>
              <w:top w:val="nil"/>
              <w:bottom w:val="nil"/>
            </w:tcBorders>
          </w:tcPr>
          <w:p w14:paraId="7E06B511" w14:textId="77777777" w:rsidR="008D0F9B" w:rsidRPr="00843662" w:rsidRDefault="008D0F9B" w:rsidP="00843662">
            <w:pPr>
              <w:spacing w:after="0" w:line="360" w:lineRule="auto"/>
              <w:jc w:val="both"/>
              <w:rPr>
                <w:rFonts w:ascii="Book Antiqua" w:hAnsi="Book Antiqua" w:cs="Times New Roman"/>
                <w:sz w:val="24"/>
                <w:szCs w:val="24"/>
              </w:rPr>
            </w:pPr>
          </w:p>
        </w:tc>
        <w:tc>
          <w:tcPr>
            <w:tcW w:w="1433" w:type="dxa"/>
            <w:tcBorders>
              <w:top w:val="nil"/>
              <w:bottom w:val="nil"/>
              <w:right w:val="nil"/>
            </w:tcBorders>
            <w:shd w:val="clear" w:color="auto" w:fill="auto"/>
            <w:tcMar>
              <w:top w:w="15" w:type="dxa"/>
              <w:left w:w="15" w:type="dxa"/>
              <w:bottom w:w="0" w:type="dxa"/>
              <w:right w:w="15" w:type="dxa"/>
            </w:tcMar>
            <w:vAlign w:val="bottom"/>
          </w:tcPr>
          <w:p w14:paraId="625D50C0" w14:textId="77777777"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sz w:val="24"/>
                <w:szCs w:val="24"/>
              </w:rPr>
              <w:t>63.6</w:t>
            </w:r>
          </w:p>
        </w:tc>
        <w:tc>
          <w:tcPr>
            <w:tcW w:w="992" w:type="dxa"/>
            <w:tcBorders>
              <w:top w:val="nil"/>
              <w:bottom w:val="nil"/>
              <w:right w:val="nil"/>
            </w:tcBorders>
            <w:vAlign w:val="center"/>
          </w:tcPr>
          <w:p w14:paraId="2F1D53E9" w14:textId="4F863E59" w:rsidR="008D0F9B" w:rsidRPr="00843662" w:rsidRDefault="009B56B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76</w:t>
            </w:r>
          </w:p>
        </w:tc>
        <w:tc>
          <w:tcPr>
            <w:tcW w:w="1544" w:type="dxa"/>
            <w:tcBorders>
              <w:top w:val="nil"/>
              <w:bottom w:val="nil"/>
              <w:right w:val="nil"/>
            </w:tcBorders>
            <w:vAlign w:val="center"/>
          </w:tcPr>
          <w:p w14:paraId="09AD6657" w14:textId="35EE3C6F" w:rsidR="008D0F9B" w:rsidRPr="00843662" w:rsidRDefault="009B56B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7</w:t>
            </w:r>
            <w:r w:rsidR="008D1D32" w:rsidRPr="00843662">
              <w:rPr>
                <w:rFonts w:ascii="Book Antiqua" w:hAnsi="Book Antiqua" w:cs="Times New Roman"/>
                <w:sz w:val="24"/>
                <w:szCs w:val="24"/>
              </w:rPr>
              <w:t>6</w:t>
            </w:r>
          </w:p>
        </w:tc>
      </w:tr>
      <w:tr w:rsidR="00843662" w:rsidRPr="00843662" w14:paraId="261F9790" w14:textId="5C3BD053" w:rsidTr="0025209E">
        <w:trPr>
          <w:trHeight w:hRule="exact" w:val="397"/>
        </w:trPr>
        <w:tc>
          <w:tcPr>
            <w:tcW w:w="3261" w:type="dxa"/>
            <w:tcBorders>
              <w:top w:val="nil"/>
              <w:left w:val="nil"/>
              <w:bottom w:val="nil"/>
            </w:tcBorders>
            <w:shd w:val="clear" w:color="auto" w:fill="auto"/>
            <w:tcMar>
              <w:top w:w="15" w:type="dxa"/>
              <w:left w:w="15" w:type="dxa"/>
              <w:bottom w:w="0" w:type="dxa"/>
              <w:right w:w="15" w:type="dxa"/>
            </w:tcMar>
            <w:vAlign w:val="bottom"/>
          </w:tcPr>
          <w:p w14:paraId="75F6881C" w14:textId="77777777"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SVR</w:t>
            </w:r>
          </w:p>
        </w:tc>
        <w:tc>
          <w:tcPr>
            <w:tcW w:w="992" w:type="dxa"/>
            <w:tcBorders>
              <w:top w:val="nil"/>
              <w:bottom w:val="nil"/>
            </w:tcBorders>
            <w:shd w:val="clear" w:color="auto" w:fill="auto"/>
            <w:tcMar>
              <w:top w:w="15" w:type="dxa"/>
              <w:left w:w="15" w:type="dxa"/>
              <w:bottom w:w="0" w:type="dxa"/>
              <w:right w:w="15" w:type="dxa"/>
            </w:tcMar>
            <w:vAlign w:val="bottom"/>
          </w:tcPr>
          <w:p w14:paraId="0DD09F9F" w14:textId="77777777"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38</w:t>
            </w:r>
          </w:p>
        </w:tc>
        <w:tc>
          <w:tcPr>
            <w:tcW w:w="283" w:type="dxa"/>
            <w:tcBorders>
              <w:top w:val="nil"/>
              <w:bottom w:val="nil"/>
            </w:tcBorders>
          </w:tcPr>
          <w:p w14:paraId="17885D92" w14:textId="77777777" w:rsidR="008D0F9B" w:rsidRPr="00843662" w:rsidRDefault="008D0F9B" w:rsidP="00843662">
            <w:pPr>
              <w:spacing w:after="0" w:line="360" w:lineRule="auto"/>
              <w:jc w:val="both"/>
              <w:rPr>
                <w:rFonts w:ascii="Book Antiqua" w:hAnsi="Book Antiqua" w:cs="Times New Roman"/>
                <w:sz w:val="24"/>
                <w:szCs w:val="24"/>
              </w:rPr>
            </w:pPr>
          </w:p>
        </w:tc>
        <w:tc>
          <w:tcPr>
            <w:tcW w:w="1433" w:type="dxa"/>
            <w:tcBorders>
              <w:top w:val="nil"/>
              <w:bottom w:val="nil"/>
              <w:right w:val="nil"/>
            </w:tcBorders>
            <w:shd w:val="clear" w:color="auto" w:fill="auto"/>
            <w:tcMar>
              <w:top w:w="15" w:type="dxa"/>
              <w:left w:w="15" w:type="dxa"/>
              <w:bottom w:w="0" w:type="dxa"/>
              <w:right w:w="15" w:type="dxa"/>
            </w:tcMar>
            <w:vAlign w:val="bottom"/>
          </w:tcPr>
          <w:p w14:paraId="657A7677" w14:textId="77777777"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11.0</w:t>
            </w:r>
          </w:p>
        </w:tc>
        <w:tc>
          <w:tcPr>
            <w:tcW w:w="992" w:type="dxa"/>
            <w:tcBorders>
              <w:top w:val="nil"/>
              <w:bottom w:val="nil"/>
              <w:right w:val="nil"/>
            </w:tcBorders>
            <w:vAlign w:val="center"/>
          </w:tcPr>
          <w:p w14:paraId="23466C93" w14:textId="0212742C" w:rsidR="008D0F9B" w:rsidRPr="00843662" w:rsidRDefault="005A5456"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16</w:t>
            </w:r>
          </w:p>
        </w:tc>
        <w:tc>
          <w:tcPr>
            <w:tcW w:w="1544" w:type="dxa"/>
            <w:tcBorders>
              <w:top w:val="nil"/>
              <w:bottom w:val="nil"/>
              <w:right w:val="nil"/>
            </w:tcBorders>
            <w:vAlign w:val="center"/>
          </w:tcPr>
          <w:p w14:paraId="7DB3ED3F" w14:textId="79A46B9C" w:rsidR="008D0F9B" w:rsidRPr="00843662" w:rsidRDefault="008D1D32"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16</w:t>
            </w:r>
          </w:p>
        </w:tc>
      </w:tr>
      <w:tr w:rsidR="00843662" w:rsidRPr="00843662" w14:paraId="60535D92" w14:textId="7AA175B5" w:rsidTr="0025209E">
        <w:trPr>
          <w:trHeight w:hRule="exact" w:val="397"/>
        </w:trPr>
        <w:tc>
          <w:tcPr>
            <w:tcW w:w="3261" w:type="dxa"/>
            <w:tcBorders>
              <w:top w:val="nil"/>
              <w:left w:val="nil"/>
              <w:bottom w:val="nil"/>
            </w:tcBorders>
            <w:shd w:val="clear" w:color="auto" w:fill="auto"/>
            <w:tcMar>
              <w:top w:w="15" w:type="dxa"/>
              <w:left w:w="15" w:type="dxa"/>
              <w:bottom w:w="0" w:type="dxa"/>
              <w:right w:w="15" w:type="dxa"/>
            </w:tcMar>
            <w:vAlign w:val="bottom"/>
          </w:tcPr>
          <w:p w14:paraId="25062B1B" w14:textId="38ACE65B" w:rsidR="008D0F9B" w:rsidRPr="00843662" w:rsidRDefault="008D0F9B" w:rsidP="0025209E">
            <w:pPr>
              <w:spacing w:after="0" w:line="360" w:lineRule="auto"/>
              <w:jc w:val="both"/>
              <w:rPr>
                <w:rFonts w:ascii="Book Antiqua" w:hAnsi="Book Antiqua" w:cs="Times New Roman"/>
                <w:b/>
                <w:sz w:val="24"/>
                <w:szCs w:val="24"/>
              </w:rPr>
            </w:pPr>
            <w:r w:rsidRPr="00843662">
              <w:rPr>
                <w:rFonts w:ascii="Book Antiqua" w:hAnsi="Book Antiqua" w:cs="Times New Roman"/>
                <w:sz w:val="24"/>
                <w:szCs w:val="24"/>
              </w:rPr>
              <w:t xml:space="preserve">Composite </w:t>
            </w:r>
            <w:r w:rsidR="0025209E">
              <w:rPr>
                <w:rFonts w:ascii="Book Antiqua" w:hAnsi="Book Antiqua" w:cs="Times New Roman" w:hint="eastAsia"/>
                <w:sz w:val="24"/>
                <w:szCs w:val="24"/>
              </w:rPr>
              <w:t>e</w:t>
            </w:r>
            <w:r w:rsidRPr="00843662">
              <w:rPr>
                <w:rFonts w:ascii="Book Antiqua" w:hAnsi="Book Antiqua" w:cs="Times New Roman"/>
                <w:sz w:val="24"/>
                <w:szCs w:val="24"/>
              </w:rPr>
              <w:t>ndpoint</w:t>
            </w:r>
          </w:p>
        </w:tc>
        <w:tc>
          <w:tcPr>
            <w:tcW w:w="992" w:type="dxa"/>
            <w:tcBorders>
              <w:top w:val="nil"/>
              <w:bottom w:val="nil"/>
            </w:tcBorders>
            <w:shd w:val="clear" w:color="auto" w:fill="auto"/>
            <w:tcMar>
              <w:top w:w="15" w:type="dxa"/>
              <w:left w:w="15" w:type="dxa"/>
              <w:bottom w:w="0" w:type="dxa"/>
              <w:right w:w="15" w:type="dxa"/>
            </w:tcMar>
            <w:vAlign w:val="bottom"/>
          </w:tcPr>
          <w:p w14:paraId="78B082B2" w14:textId="77777777"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sz w:val="24"/>
                <w:szCs w:val="24"/>
              </w:rPr>
              <w:t>28</w:t>
            </w:r>
          </w:p>
        </w:tc>
        <w:tc>
          <w:tcPr>
            <w:tcW w:w="283" w:type="dxa"/>
            <w:tcBorders>
              <w:top w:val="nil"/>
              <w:bottom w:val="nil"/>
            </w:tcBorders>
          </w:tcPr>
          <w:p w14:paraId="2692E957" w14:textId="77777777" w:rsidR="008D0F9B" w:rsidRPr="00843662" w:rsidRDefault="008D0F9B" w:rsidP="00843662">
            <w:pPr>
              <w:spacing w:after="0" w:line="360" w:lineRule="auto"/>
              <w:jc w:val="both"/>
              <w:rPr>
                <w:rFonts w:ascii="Book Antiqua" w:hAnsi="Book Antiqua" w:cs="Times New Roman"/>
                <w:sz w:val="24"/>
                <w:szCs w:val="24"/>
              </w:rPr>
            </w:pPr>
          </w:p>
        </w:tc>
        <w:tc>
          <w:tcPr>
            <w:tcW w:w="1433" w:type="dxa"/>
            <w:tcBorders>
              <w:top w:val="nil"/>
              <w:bottom w:val="nil"/>
              <w:right w:val="nil"/>
            </w:tcBorders>
            <w:shd w:val="clear" w:color="auto" w:fill="auto"/>
            <w:tcMar>
              <w:top w:w="15" w:type="dxa"/>
              <w:left w:w="15" w:type="dxa"/>
              <w:bottom w:w="0" w:type="dxa"/>
              <w:right w:w="15" w:type="dxa"/>
            </w:tcMar>
            <w:vAlign w:val="bottom"/>
          </w:tcPr>
          <w:p w14:paraId="6D0E800D" w14:textId="77777777"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sz w:val="24"/>
                <w:szCs w:val="24"/>
              </w:rPr>
              <w:t>8.1</w:t>
            </w:r>
          </w:p>
        </w:tc>
        <w:tc>
          <w:tcPr>
            <w:tcW w:w="992" w:type="dxa"/>
            <w:tcBorders>
              <w:top w:val="nil"/>
              <w:bottom w:val="nil"/>
              <w:right w:val="nil"/>
            </w:tcBorders>
            <w:vAlign w:val="center"/>
          </w:tcPr>
          <w:p w14:paraId="665A1A46" w14:textId="3AE50E32" w:rsidR="008D0F9B" w:rsidRPr="00843662" w:rsidRDefault="009B56B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21</w:t>
            </w:r>
          </w:p>
        </w:tc>
        <w:tc>
          <w:tcPr>
            <w:tcW w:w="1544" w:type="dxa"/>
            <w:tcBorders>
              <w:top w:val="nil"/>
              <w:bottom w:val="nil"/>
              <w:right w:val="nil"/>
            </w:tcBorders>
            <w:vAlign w:val="center"/>
          </w:tcPr>
          <w:p w14:paraId="1F2D8948" w14:textId="463E596D" w:rsidR="008D0F9B" w:rsidRPr="00843662" w:rsidRDefault="008D1D32"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21</w:t>
            </w:r>
          </w:p>
        </w:tc>
      </w:tr>
      <w:tr w:rsidR="00843662" w:rsidRPr="00843662" w14:paraId="6D0F6CBF" w14:textId="30F8519E" w:rsidTr="0025209E">
        <w:trPr>
          <w:trHeight w:hRule="exact" w:val="397"/>
        </w:trPr>
        <w:tc>
          <w:tcPr>
            <w:tcW w:w="3261" w:type="dxa"/>
            <w:tcBorders>
              <w:top w:val="nil"/>
              <w:left w:val="nil"/>
              <w:bottom w:val="nil"/>
            </w:tcBorders>
            <w:shd w:val="clear" w:color="auto" w:fill="auto"/>
            <w:tcMar>
              <w:top w:w="15" w:type="dxa"/>
              <w:left w:w="15" w:type="dxa"/>
              <w:bottom w:w="0" w:type="dxa"/>
              <w:right w:w="15" w:type="dxa"/>
            </w:tcMar>
            <w:vAlign w:val="bottom"/>
          </w:tcPr>
          <w:p w14:paraId="793984C6" w14:textId="77777777"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sz w:val="24"/>
                <w:szCs w:val="24"/>
              </w:rPr>
              <w:t>LRD</w:t>
            </w:r>
          </w:p>
        </w:tc>
        <w:tc>
          <w:tcPr>
            <w:tcW w:w="992" w:type="dxa"/>
            <w:tcBorders>
              <w:top w:val="nil"/>
              <w:bottom w:val="nil"/>
            </w:tcBorders>
            <w:shd w:val="clear" w:color="auto" w:fill="auto"/>
            <w:tcMar>
              <w:top w:w="15" w:type="dxa"/>
              <w:left w:w="15" w:type="dxa"/>
              <w:bottom w:w="0" w:type="dxa"/>
              <w:right w:w="15" w:type="dxa"/>
            </w:tcMar>
            <w:vAlign w:val="bottom"/>
          </w:tcPr>
          <w:p w14:paraId="2EA79EDC" w14:textId="77777777"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sz w:val="24"/>
                <w:szCs w:val="24"/>
              </w:rPr>
              <w:t>8</w:t>
            </w:r>
          </w:p>
        </w:tc>
        <w:tc>
          <w:tcPr>
            <w:tcW w:w="283" w:type="dxa"/>
            <w:tcBorders>
              <w:top w:val="nil"/>
              <w:bottom w:val="nil"/>
            </w:tcBorders>
          </w:tcPr>
          <w:p w14:paraId="6F862C5F" w14:textId="77777777" w:rsidR="008D0F9B" w:rsidRPr="00843662" w:rsidRDefault="008D0F9B" w:rsidP="00843662">
            <w:pPr>
              <w:spacing w:after="0" w:line="360" w:lineRule="auto"/>
              <w:jc w:val="both"/>
              <w:rPr>
                <w:rFonts w:ascii="Book Antiqua" w:hAnsi="Book Antiqua" w:cs="Times New Roman"/>
                <w:sz w:val="24"/>
                <w:szCs w:val="24"/>
              </w:rPr>
            </w:pPr>
          </w:p>
        </w:tc>
        <w:tc>
          <w:tcPr>
            <w:tcW w:w="1433" w:type="dxa"/>
            <w:tcBorders>
              <w:top w:val="nil"/>
              <w:bottom w:val="nil"/>
              <w:right w:val="nil"/>
            </w:tcBorders>
            <w:shd w:val="clear" w:color="auto" w:fill="auto"/>
            <w:tcMar>
              <w:top w:w="15" w:type="dxa"/>
              <w:left w:w="15" w:type="dxa"/>
              <w:bottom w:w="0" w:type="dxa"/>
              <w:right w:w="15" w:type="dxa"/>
            </w:tcMar>
            <w:vAlign w:val="bottom"/>
          </w:tcPr>
          <w:p w14:paraId="0961192C" w14:textId="77777777"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sz w:val="24"/>
                <w:szCs w:val="24"/>
              </w:rPr>
              <w:t>2.3</w:t>
            </w:r>
          </w:p>
        </w:tc>
        <w:tc>
          <w:tcPr>
            <w:tcW w:w="992" w:type="dxa"/>
            <w:tcBorders>
              <w:top w:val="nil"/>
              <w:bottom w:val="nil"/>
              <w:right w:val="nil"/>
            </w:tcBorders>
            <w:vAlign w:val="center"/>
          </w:tcPr>
          <w:p w14:paraId="34492CC3" w14:textId="16AF1F50" w:rsidR="008D0F9B" w:rsidRPr="00843662" w:rsidRDefault="009B56B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8</w:t>
            </w:r>
          </w:p>
        </w:tc>
        <w:tc>
          <w:tcPr>
            <w:tcW w:w="1544" w:type="dxa"/>
            <w:tcBorders>
              <w:top w:val="nil"/>
              <w:bottom w:val="nil"/>
              <w:right w:val="nil"/>
            </w:tcBorders>
            <w:vAlign w:val="center"/>
          </w:tcPr>
          <w:p w14:paraId="415FF8A9" w14:textId="2CB28AB0" w:rsidR="008D0F9B" w:rsidRPr="00843662" w:rsidRDefault="008D1D32"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8</w:t>
            </w:r>
          </w:p>
        </w:tc>
      </w:tr>
      <w:tr w:rsidR="00843662" w:rsidRPr="00843662" w14:paraId="0DBE6750" w14:textId="19D33234" w:rsidTr="0025209E">
        <w:trPr>
          <w:trHeight w:hRule="exact" w:val="397"/>
        </w:trPr>
        <w:tc>
          <w:tcPr>
            <w:tcW w:w="3261" w:type="dxa"/>
            <w:tcBorders>
              <w:top w:val="nil"/>
              <w:left w:val="nil"/>
              <w:bottom w:val="nil"/>
            </w:tcBorders>
            <w:shd w:val="clear" w:color="auto" w:fill="auto"/>
            <w:tcMar>
              <w:top w:w="15" w:type="dxa"/>
              <w:left w:w="15" w:type="dxa"/>
              <w:bottom w:w="0" w:type="dxa"/>
              <w:right w:w="15" w:type="dxa"/>
            </w:tcMar>
            <w:vAlign w:val="bottom"/>
          </w:tcPr>
          <w:p w14:paraId="03CBCB55" w14:textId="77777777"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sz w:val="24"/>
                <w:szCs w:val="24"/>
              </w:rPr>
              <w:t>LD</w:t>
            </w:r>
          </w:p>
        </w:tc>
        <w:tc>
          <w:tcPr>
            <w:tcW w:w="992" w:type="dxa"/>
            <w:tcBorders>
              <w:top w:val="nil"/>
              <w:bottom w:val="nil"/>
            </w:tcBorders>
            <w:shd w:val="clear" w:color="auto" w:fill="auto"/>
            <w:tcMar>
              <w:top w:w="15" w:type="dxa"/>
              <w:left w:w="15" w:type="dxa"/>
              <w:bottom w:w="0" w:type="dxa"/>
              <w:right w:w="15" w:type="dxa"/>
            </w:tcMar>
            <w:vAlign w:val="bottom"/>
          </w:tcPr>
          <w:p w14:paraId="3C443DBE" w14:textId="77777777"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sz w:val="24"/>
                <w:szCs w:val="24"/>
              </w:rPr>
              <w:t>16</w:t>
            </w:r>
          </w:p>
        </w:tc>
        <w:tc>
          <w:tcPr>
            <w:tcW w:w="283" w:type="dxa"/>
            <w:tcBorders>
              <w:top w:val="nil"/>
              <w:bottom w:val="nil"/>
            </w:tcBorders>
          </w:tcPr>
          <w:p w14:paraId="21016EE7" w14:textId="77777777" w:rsidR="008D0F9B" w:rsidRPr="00843662" w:rsidRDefault="008D0F9B" w:rsidP="00843662">
            <w:pPr>
              <w:spacing w:after="0" w:line="360" w:lineRule="auto"/>
              <w:jc w:val="both"/>
              <w:rPr>
                <w:rFonts w:ascii="Book Antiqua" w:hAnsi="Book Antiqua" w:cs="Times New Roman"/>
                <w:sz w:val="24"/>
                <w:szCs w:val="24"/>
              </w:rPr>
            </w:pPr>
          </w:p>
        </w:tc>
        <w:tc>
          <w:tcPr>
            <w:tcW w:w="1433" w:type="dxa"/>
            <w:tcBorders>
              <w:top w:val="nil"/>
              <w:bottom w:val="nil"/>
              <w:right w:val="nil"/>
            </w:tcBorders>
            <w:shd w:val="clear" w:color="auto" w:fill="auto"/>
            <w:tcMar>
              <w:top w:w="15" w:type="dxa"/>
              <w:left w:w="15" w:type="dxa"/>
              <w:bottom w:w="0" w:type="dxa"/>
              <w:right w:w="15" w:type="dxa"/>
            </w:tcMar>
            <w:vAlign w:val="bottom"/>
          </w:tcPr>
          <w:p w14:paraId="4F085554" w14:textId="77777777"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sz w:val="24"/>
                <w:szCs w:val="24"/>
              </w:rPr>
              <w:t>4.6</w:t>
            </w:r>
          </w:p>
        </w:tc>
        <w:tc>
          <w:tcPr>
            <w:tcW w:w="992" w:type="dxa"/>
            <w:tcBorders>
              <w:top w:val="nil"/>
              <w:bottom w:val="nil"/>
              <w:right w:val="nil"/>
            </w:tcBorders>
            <w:vAlign w:val="center"/>
          </w:tcPr>
          <w:p w14:paraId="1CB7F5A8" w14:textId="206DCFD5" w:rsidR="008D0F9B" w:rsidRPr="00843662" w:rsidRDefault="009B56B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12</w:t>
            </w:r>
          </w:p>
        </w:tc>
        <w:tc>
          <w:tcPr>
            <w:tcW w:w="1544" w:type="dxa"/>
            <w:tcBorders>
              <w:top w:val="nil"/>
              <w:bottom w:val="nil"/>
              <w:right w:val="nil"/>
            </w:tcBorders>
            <w:vAlign w:val="center"/>
          </w:tcPr>
          <w:p w14:paraId="5639C151" w14:textId="160F6273" w:rsidR="008D0F9B" w:rsidRPr="00843662" w:rsidRDefault="008D1D32"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12</w:t>
            </w:r>
          </w:p>
        </w:tc>
      </w:tr>
      <w:tr w:rsidR="00843662" w:rsidRPr="00843662" w14:paraId="1E30ADD7" w14:textId="00BA24C2" w:rsidTr="0025209E">
        <w:trPr>
          <w:trHeight w:hRule="exact" w:val="397"/>
        </w:trPr>
        <w:tc>
          <w:tcPr>
            <w:tcW w:w="3261" w:type="dxa"/>
            <w:tcBorders>
              <w:top w:val="nil"/>
              <w:left w:val="nil"/>
              <w:bottom w:val="single" w:sz="4" w:space="0" w:color="auto"/>
            </w:tcBorders>
            <w:shd w:val="clear" w:color="auto" w:fill="auto"/>
            <w:tcMar>
              <w:top w:w="15" w:type="dxa"/>
              <w:left w:w="15" w:type="dxa"/>
              <w:bottom w:w="0" w:type="dxa"/>
              <w:right w:w="15" w:type="dxa"/>
            </w:tcMar>
            <w:vAlign w:val="bottom"/>
          </w:tcPr>
          <w:p w14:paraId="5C8E1BD6" w14:textId="77777777"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sz w:val="24"/>
                <w:szCs w:val="24"/>
              </w:rPr>
              <w:t>HCC</w:t>
            </w:r>
          </w:p>
        </w:tc>
        <w:tc>
          <w:tcPr>
            <w:tcW w:w="992" w:type="dxa"/>
            <w:tcBorders>
              <w:top w:val="nil"/>
              <w:bottom w:val="single" w:sz="4" w:space="0" w:color="auto"/>
            </w:tcBorders>
            <w:shd w:val="clear" w:color="auto" w:fill="auto"/>
            <w:tcMar>
              <w:top w:w="15" w:type="dxa"/>
              <w:left w:w="15" w:type="dxa"/>
              <w:bottom w:w="0" w:type="dxa"/>
              <w:right w:w="15" w:type="dxa"/>
            </w:tcMar>
            <w:vAlign w:val="bottom"/>
          </w:tcPr>
          <w:p w14:paraId="52CECE49" w14:textId="77777777"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sz w:val="24"/>
                <w:szCs w:val="24"/>
              </w:rPr>
              <w:t>15</w:t>
            </w:r>
          </w:p>
        </w:tc>
        <w:tc>
          <w:tcPr>
            <w:tcW w:w="283" w:type="dxa"/>
            <w:tcBorders>
              <w:top w:val="nil"/>
              <w:bottom w:val="single" w:sz="4" w:space="0" w:color="auto"/>
            </w:tcBorders>
          </w:tcPr>
          <w:p w14:paraId="62CCB5C9" w14:textId="77777777" w:rsidR="008D0F9B" w:rsidRPr="00843662" w:rsidRDefault="008D0F9B" w:rsidP="00843662">
            <w:pPr>
              <w:spacing w:after="0" w:line="360" w:lineRule="auto"/>
              <w:jc w:val="both"/>
              <w:rPr>
                <w:rFonts w:ascii="Book Antiqua" w:hAnsi="Book Antiqua" w:cs="Times New Roman"/>
                <w:sz w:val="24"/>
                <w:szCs w:val="24"/>
              </w:rPr>
            </w:pPr>
          </w:p>
        </w:tc>
        <w:tc>
          <w:tcPr>
            <w:tcW w:w="1433" w:type="dxa"/>
            <w:tcBorders>
              <w:top w:val="nil"/>
              <w:bottom w:val="single" w:sz="4" w:space="0" w:color="auto"/>
              <w:right w:val="nil"/>
            </w:tcBorders>
            <w:shd w:val="clear" w:color="auto" w:fill="auto"/>
            <w:tcMar>
              <w:top w:w="15" w:type="dxa"/>
              <w:left w:w="15" w:type="dxa"/>
              <w:bottom w:w="0" w:type="dxa"/>
              <w:right w:w="15" w:type="dxa"/>
            </w:tcMar>
            <w:vAlign w:val="bottom"/>
          </w:tcPr>
          <w:p w14:paraId="6266D61B" w14:textId="77777777" w:rsidR="008D0F9B" w:rsidRPr="00843662" w:rsidRDefault="008D0F9B" w:rsidP="00843662">
            <w:pPr>
              <w:spacing w:after="0" w:line="360" w:lineRule="auto"/>
              <w:jc w:val="both"/>
              <w:rPr>
                <w:rFonts w:ascii="Book Antiqua" w:hAnsi="Book Antiqua" w:cs="Times New Roman"/>
                <w:b/>
                <w:sz w:val="24"/>
                <w:szCs w:val="24"/>
              </w:rPr>
            </w:pPr>
            <w:r w:rsidRPr="00843662">
              <w:rPr>
                <w:rFonts w:ascii="Book Antiqua" w:hAnsi="Book Antiqua" w:cs="Times New Roman"/>
                <w:sz w:val="24"/>
                <w:szCs w:val="24"/>
              </w:rPr>
              <w:t>4.3</w:t>
            </w:r>
          </w:p>
        </w:tc>
        <w:tc>
          <w:tcPr>
            <w:tcW w:w="992" w:type="dxa"/>
            <w:tcBorders>
              <w:top w:val="nil"/>
              <w:bottom w:val="single" w:sz="4" w:space="0" w:color="auto"/>
              <w:right w:val="nil"/>
            </w:tcBorders>
            <w:vAlign w:val="center"/>
          </w:tcPr>
          <w:p w14:paraId="3FC07AE6" w14:textId="215EE67E" w:rsidR="008D0F9B" w:rsidRPr="00843662" w:rsidRDefault="009B56B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12</w:t>
            </w:r>
          </w:p>
        </w:tc>
        <w:tc>
          <w:tcPr>
            <w:tcW w:w="1544" w:type="dxa"/>
            <w:tcBorders>
              <w:top w:val="nil"/>
              <w:bottom w:val="single" w:sz="4" w:space="0" w:color="auto"/>
              <w:right w:val="nil"/>
            </w:tcBorders>
            <w:vAlign w:val="center"/>
          </w:tcPr>
          <w:p w14:paraId="0020E246" w14:textId="2FFAF304" w:rsidR="008D0F9B" w:rsidRPr="00843662" w:rsidRDefault="008D1D32"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12</w:t>
            </w:r>
          </w:p>
        </w:tc>
      </w:tr>
      <w:tr w:rsidR="00843662" w:rsidRPr="00843662" w14:paraId="5FB8E8F5" w14:textId="089548F6" w:rsidTr="0025209E">
        <w:trPr>
          <w:trHeight w:hRule="exact" w:val="397"/>
        </w:trPr>
        <w:tc>
          <w:tcPr>
            <w:tcW w:w="3261" w:type="dxa"/>
            <w:tcBorders>
              <w:top w:val="single" w:sz="4" w:space="0" w:color="auto"/>
              <w:left w:val="nil"/>
              <w:bottom w:val="single" w:sz="4" w:space="0" w:color="auto"/>
            </w:tcBorders>
            <w:shd w:val="clear" w:color="auto" w:fill="auto"/>
            <w:tcMar>
              <w:top w:w="15" w:type="dxa"/>
              <w:left w:w="15" w:type="dxa"/>
              <w:bottom w:w="0" w:type="dxa"/>
              <w:right w:w="15" w:type="dxa"/>
            </w:tcMar>
            <w:vAlign w:val="bottom"/>
          </w:tcPr>
          <w:p w14:paraId="4C89D763" w14:textId="77777777" w:rsidR="00482C2A" w:rsidRPr="00843662" w:rsidRDefault="00482C2A"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Result</w:t>
            </w:r>
          </w:p>
        </w:tc>
        <w:tc>
          <w:tcPr>
            <w:tcW w:w="992" w:type="dxa"/>
            <w:tcBorders>
              <w:top w:val="single" w:sz="4" w:space="0" w:color="auto"/>
              <w:bottom w:val="single" w:sz="4" w:space="0" w:color="auto"/>
            </w:tcBorders>
            <w:shd w:val="clear" w:color="auto" w:fill="auto"/>
            <w:tcMar>
              <w:top w:w="15" w:type="dxa"/>
              <w:left w:w="15" w:type="dxa"/>
              <w:bottom w:w="0" w:type="dxa"/>
              <w:right w:w="15" w:type="dxa"/>
            </w:tcMar>
            <w:vAlign w:val="bottom"/>
          </w:tcPr>
          <w:p w14:paraId="5F18D957" w14:textId="77777777" w:rsidR="00482C2A" w:rsidRPr="00843662" w:rsidRDefault="00482C2A"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Mean</w:t>
            </w:r>
          </w:p>
        </w:tc>
        <w:tc>
          <w:tcPr>
            <w:tcW w:w="283" w:type="dxa"/>
            <w:tcBorders>
              <w:top w:val="single" w:sz="4" w:space="0" w:color="auto"/>
              <w:bottom w:val="single" w:sz="4" w:space="0" w:color="auto"/>
            </w:tcBorders>
          </w:tcPr>
          <w:p w14:paraId="5756B96B" w14:textId="77777777" w:rsidR="00482C2A" w:rsidRPr="00843662" w:rsidRDefault="00482C2A" w:rsidP="00843662">
            <w:pPr>
              <w:spacing w:after="0" w:line="360" w:lineRule="auto"/>
              <w:jc w:val="both"/>
              <w:rPr>
                <w:rFonts w:ascii="Book Antiqua" w:hAnsi="Book Antiqua" w:cs="Times New Roman"/>
                <w:b/>
                <w:sz w:val="24"/>
                <w:szCs w:val="24"/>
              </w:rPr>
            </w:pPr>
          </w:p>
        </w:tc>
        <w:tc>
          <w:tcPr>
            <w:tcW w:w="1433" w:type="dxa"/>
            <w:tcBorders>
              <w:top w:val="single" w:sz="4" w:space="0" w:color="auto"/>
              <w:bottom w:val="single" w:sz="4" w:space="0" w:color="auto"/>
              <w:right w:val="nil"/>
            </w:tcBorders>
            <w:shd w:val="clear" w:color="auto" w:fill="auto"/>
            <w:tcMar>
              <w:top w:w="15" w:type="dxa"/>
              <w:left w:w="15" w:type="dxa"/>
              <w:bottom w:w="0" w:type="dxa"/>
              <w:right w:w="15" w:type="dxa"/>
            </w:tcMar>
            <w:vAlign w:val="bottom"/>
          </w:tcPr>
          <w:p w14:paraId="35141D68" w14:textId="77777777" w:rsidR="00482C2A" w:rsidRPr="00843662" w:rsidRDefault="00482C2A"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Range</w:t>
            </w:r>
          </w:p>
        </w:tc>
        <w:tc>
          <w:tcPr>
            <w:tcW w:w="992" w:type="dxa"/>
            <w:tcBorders>
              <w:top w:val="single" w:sz="4" w:space="0" w:color="auto"/>
              <w:bottom w:val="single" w:sz="4" w:space="0" w:color="auto"/>
              <w:right w:val="nil"/>
            </w:tcBorders>
            <w:vAlign w:val="bottom"/>
          </w:tcPr>
          <w:p w14:paraId="2CCC8AA9" w14:textId="17C52C4A" w:rsidR="00482C2A" w:rsidRPr="00843662" w:rsidRDefault="00482C2A"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Mean</w:t>
            </w:r>
          </w:p>
        </w:tc>
        <w:tc>
          <w:tcPr>
            <w:tcW w:w="1544" w:type="dxa"/>
            <w:tcBorders>
              <w:top w:val="single" w:sz="4" w:space="0" w:color="auto"/>
              <w:bottom w:val="single" w:sz="4" w:space="0" w:color="auto"/>
              <w:right w:val="nil"/>
            </w:tcBorders>
          </w:tcPr>
          <w:p w14:paraId="621CC6D0" w14:textId="359D4CE6" w:rsidR="00482C2A" w:rsidRPr="00843662" w:rsidRDefault="00482C2A"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Range</w:t>
            </w:r>
          </w:p>
        </w:tc>
      </w:tr>
      <w:tr w:rsidR="00843662" w:rsidRPr="00843662" w14:paraId="11C444C3" w14:textId="05040BE8" w:rsidTr="0025209E">
        <w:trPr>
          <w:trHeight w:hRule="exact" w:val="397"/>
        </w:trPr>
        <w:tc>
          <w:tcPr>
            <w:tcW w:w="3261" w:type="dxa"/>
            <w:tcBorders>
              <w:left w:val="nil"/>
              <w:bottom w:val="nil"/>
            </w:tcBorders>
            <w:shd w:val="clear" w:color="auto" w:fill="auto"/>
            <w:tcMar>
              <w:top w:w="15" w:type="dxa"/>
              <w:left w:w="15" w:type="dxa"/>
              <w:bottom w:w="0" w:type="dxa"/>
              <w:right w:w="15" w:type="dxa"/>
            </w:tcMar>
            <w:vAlign w:val="center"/>
            <w:hideMark/>
          </w:tcPr>
          <w:p w14:paraId="53CDF876" w14:textId="488EF33A" w:rsidR="008D0F9B" w:rsidRPr="00843662" w:rsidRDefault="008D0F9B" w:rsidP="00EB356E">
            <w:pPr>
              <w:spacing w:after="0" w:line="360" w:lineRule="auto"/>
              <w:jc w:val="both"/>
              <w:rPr>
                <w:rFonts w:ascii="Book Antiqua" w:hAnsi="Book Antiqua" w:cs="Times New Roman"/>
                <w:sz w:val="24"/>
                <w:szCs w:val="24"/>
                <w:vertAlign w:val="superscript"/>
              </w:rPr>
            </w:pPr>
            <w:r w:rsidRPr="00843662">
              <w:rPr>
                <w:rFonts w:ascii="Book Antiqua" w:hAnsi="Book Antiqua" w:cs="Times New Roman"/>
                <w:sz w:val="24"/>
                <w:szCs w:val="24"/>
              </w:rPr>
              <w:t>Bilirubin (µ</w:t>
            </w:r>
            <w:proofErr w:type="spellStart"/>
            <w:r w:rsidRPr="00843662">
              <w:rPr>
                <w:rFonts w:ascii="Book Antiqua" w:hAnsi="Book Antiqua" w:cs="Times New Roman"/>
                <w:sz w:val="24"/>
                <w:szCs w:val="24"/>
              </w:rPr>
              <w:t>mol</w:t>
            </w:r>
            <w:proofErr w:type="spellEnd"/>
            <w:r w:rsidRPr="00843662">
              <w:rPr>
                <w:rFonts w:ascii="Book Antiqua" w:hAnsi="Book Antiqua" w:cs="Times New Roman"/>
                <w:sz w:val="24"/>
                <w:szCs w:val="24"/>
              </w:rPr>
              <w:t>/L)</w:t>
            </w:r>
            <w:r w:rsidR="00EB356E">
              <w:rPr>
                <w:rFonts w:ascii="Book Antiqua" w:hAnsi="Book Antiqua" w:cs="Times New Roman" w:hint="eastAsia"/>
                <w:sz w:val="24"/>
                <w:szCs w:val="24"/>
                <w:shd w:val="clear" w:color="auto" w:fill="FFFFFF"/>
                <w:vertAlign w:val="superscript"/>
              </w:rPr>
              <w:t>1</w:t>
            </w:r>
          </w:p>
        </w:tc>
        <w:tc>
          <w:tcPr>
            <w:tcW w:w="992" w:type="dxa"/>
            <w:tcBorders>
              <w:bottom w:val="nil"/>
            </w:tcBorders>
            <w:shd w:val="clear" w:color="auto" w:fill="auto"/>
            <w:tcMar>
              <w:top w:w="15" w:type="dxa"/>
              <w:left w:w="15" w:type="dxa"/>
              <w:bottom w:w="0" w:type="dxa"/>
              <w:right w:w="15" w:type="dxa"/>
            </w:tcMar>
            <w:vAlign w:val="center"/>
            <w:hideMark/>
          </w:tcPr>
          <w:p w14:paraId="1FC1B191" w14:textId="77777777"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9.0</w:t>
            </w:r>
          </w:p>
        </w:tc>
        <w:tc>
          <w:tcPr>
            <w:tcW w:w="283" w:type="dxa"/>
            <w:tcBorders>
              <w:bottom w:val="nil"/>
            </w:tcBorders>
          </w:tcPr>
          <w:p w14:paraId="64C5D453" w14:textId="77777777" w:rsidR="008D0F9B" w:rsidRPr="00843662" w:rsidRDefault="008D0F9B" w:rsidP="00843662">
            <w:pPr>
              <w:spacing w:after="0" w:line="360" w:lineRule="auto"/>
              <w:jc w:val="both"/>
              <w:rPr>
                <w:rFonts w:ascii="Book Antiqua" w:hAnsi="Book Antiqua" w:cs="Times New Roman"/>
                <w:sz w:val="24"/>
                <w:szCs w:val="24"/>
              </w:rPr>
            </w:pPr>
          </w:p>
        </w:tc>
        <w:tc>
          <w:tcPr>
            <w:tcW w:w="1433" w:type="dxa"/>
            <w:tcBorders>
              <w:bottom w:val="nil"/>
              <w:right w:val="nil"/>
            </w:tcBorders>
            <w:shd w:val="clear" w:color="auto" w:fill="auto"/>
            <w:tcMar>
              <w:top w:w="15" w:type="dxa"/>
              <w:left w:w="15" w:type="dxa"/>
              <w:bottom w:w="0" w:type="dxa"/>
              <w:right w:w="15" w:type="dxa"/>
            </w:tcMar>
            <w:vAlign w:val="center"/>
            <w:hideMark/>
          </w:tcPr>
          <w:p w14:paraId="146F6D64" w14:textId="1CA607BD" w:rsidR="008D0F9B" w:rsidRPr="00843662" w:rsidRDefault="008D0F9B" w:rsidP="0025209E">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1.0</w:t>
            </w:r>
            <w:r w:rsidR="0025209E">
              <w:rPr>
                <w:rFonts w:ascii="Book Antiqua" w:hAnsi="Book Antiqua" w:cs="Times New Roman" w:hint="eastAsia"/>
                <w:sz w:val="24"/>
                <w:szCs w:val="24"/>
              </w:rPr>
              <w:t>-</w:t>
            </w:r>
            <w:r w:rsidRPr="00843662">
              <w:rPr>
                <w:rFonts w:ascii="Book Antiqua" w:hAnsi="Book Antiqua" w:cs="Times New Roman"/>
                <w:sz w:val="24"/>
                <w:szCs w:val="24"/>
              </w:rPr>
              <w:t>200</w:t>
            </w:r>
          </w:p>
        </w:tc>
        <w:tc>
          <w:tcPr>
            <w:tcW w:w="992" w:type="dxa"/>
            <w:tcBorders>
              <w:bottom w:val="nil"/>
              <w:right w:val="nil"/>
            </w:tcBorders>
            <w:vAlign w:val="center"/>
          </w:tcPr>
          <w:p w14:paraId="47058381" w14:textId="4A967EC5" w:rsidR="008D0F9B" w:rsidRPr="00843662" w:rsidRDefault="009B56B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12</w:t>
            </w:r>
          </w:p>
        </w:tc>
        <w:tc>
          <w:tcPr>
            <w:tcW w:w="1544" w:type="dxa"/>
            <w:tcBorders>
              <w:bottom w:val="nil"/>
              <w:right w:val="nil"/>
            </w:tcBorders>
            <w:vAlign w:val="center"/>
          </w:tcPr>
          <w:p w14:paraId="07497DCE" w14:textId="0BF83E92" w:rsidR="008D0F9B" w:rsidRPr="00843662" w:rsidRDefault="009B56BB" w:rsidP="0025209E">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2.3</w:t>
            </w:r>
            <w:r w:rsidR="0025209E">
              <w:rPr>
                <w:rFonts w:ascii="Book Antiqua" w:hAnsi="Book Antiqua" w:cs="Times New Roman" w:hint="eastAsia"/>
                <w:sz w:val="24"/>
                <w:szCs w:val="24"/>
              </w:rPr>
              <w:t>-</w:t>
            </w:r>
            <w:r w:rsidRPr="00843662">
              <w:rPr>
                <w:rFonts w:ascii="Book Antiqua" w:hAnsi="Book Antiqua" w:cs="Times New Roman"/>
                <w:sz w:val="24"/>
                <w:szCs w:val="24"/>
              </w:rPr>
              <w:t>200</w:t>
            </w:r>
          </w:p>
        </w:tc>
      </w:tr>
      <w:tr w:rsidR="00843662" w:rsidRPr="00843662" w14:paraId="79FC86D7" w14:textId="296BF5FE" w:rsidTr="0025209E">
        <w:trPr>
          <w:trHeight w:hRule="exact" w:val="397"/>
        </w:trPr>
        <w:tc>
          <w:tcPr>
            <w:tcW w:w="3261" w:type="dxa"/>
            <w:tcBorders>
              <w:top w:val="nil"/>
              <w:left w:val="nil"/>
              <w:bottom w:val="nil"/>
            </w:tcBorders>
            <w:shd w:val="clear" w:color="auto" w:fill="auto"/>
            <w:tcMar>
              <w:top w:w="15" w:type="dxa"/>
              <w:left w:w="15" w:type="dxa"/>
              <w:bottom w:w="0" w:type="dxa"/>
              <w:right w:w="15" w:type="dxa"/>
            </w:tcMar>
            <w:vAlign w:val="center"/>
            <w:hideMark/>
          </w:tcPr>
          <w:p w14:paraId="318E9F7E" w14:textId="725F321C" w:rsidR="008D0F9B" w:rsidRPr="00843662" w:rsidRDefault="008D0F9B" w:rsidP="00EB356E">
            <w:pPr>
              <w:spacing w:after="0" w:line="360" w:lineRule="auto"/>
              <w:jc w:val="both"/>
              <w:rPr>
                <w:rFonts w:ascii="Book Antiqua" w:hAnsi="Book Antiqua" w:cs="Times New Roman"/>
                <w:sz w:val="24"/>
                <w:szCs w:val="24"/>
                <w:vertAlign w:val="superscript"/>
              </w:rPr>
            </w:pPr>
            <w:r w:rsidRPr="00843662">
              <w:rPr>
                <w:rFonts w:ascii="Book Antiqua" w:hAnsi="Book Antiqua" w:cs="Times New Roman"/>
                <w:sz w:val="24"/>
                <w:szCs w:val="24"/>
              </w:rPr>
              <w:t>GGT (U/L)</w:t>
            </w:r>
            <w:r w:rsidR="00EB356E">
              <w:rPr>
                <w:rFonts w:ascii="Book Antiqua" w:hAnsi="Book Antiqua" w:cs="Times New Roman" w:hint="eastAsia"/>
                <w:sz w:val="24"/>
                <w:szCs w:val="24"/>
                <w:shd w:val="clear" w:color="auto" w:fill="FFFFFF"/>
                <w:vertAlign w:val="superscript"/>
              </w:rPr>
              <w:t>1</w:t>
            </w:r>
          </w:p>
        </w:tc>
        <w:tc>
          <w:tcPr>
            <w:tcW w:w="992" w:type="dxa"/>
            <w:tcBorders>
              <w:top w:val="nil"/>
              <w:bottom w:val="nil"/>
            </w:tcBorders>
            <w:shd w:val="clear" w:color="auto" w:fill="auto"/>
            <w:tcMar>
              <w:top w:w="15" w:type="dxa"/>
              <w:left w:w="15" w:type="dxa"/>
              <w:bottom w:w="0" w:type="dxa"/>
              <w:right w:w="15" w:type="dxa"/>
            </w:tcMar>
            <w:vAlign w:val="center"/>
            <w:hideMark/>
          </w:tcPr>
          <w:p w14:paraId="47897685" w14:textId="77777777"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55.0</w:t>
            </w:r>
          </w:p>
        </w:tc>
        <w:tc>
          <w:tcPr>
            <w:tcW w:w="283" w:type="dxa"/>
            <w:tcBorders>
              <w:top w:val="nil"/>
              <w:bottom w:val="nil"/>
            </w:tcBorders>
          </w:tcPr>
          <w:p w14:paraId="7F94ACAC" w14:textId="77777777" w:rsidR="008D0F9B" w:rsidRPr="00843662" w:rsidRDefault="008D0F9B" w:rsidP="00843662">
            <w:pPr>
              <w:spacing w:after="0" w:line="360" w:lineRule="auto"/>
              <w:jc w:val="both"/>
              <w:rPr>
                <w:rFonts w:ascii="Book Antiqua" w:hAnsi="Book Antiqua" w:cs="Times New Roman"/>
                <w:sz w:val="24"/>
                <w:szCs w:val="24"/>
              </w:rPr>
            </w:pPr>
          </w:p>
        </w:tc>
        <w:tc>
          <w:tcPr>
            <w:tcW w:w="1433" w:type="dxa"/>
            <w:tcBorders>
              <w:top w:val="nil"/>
              <w:bottom w:val="nil"/>
              <w:right w:val="nil"/>
            </w:tcBorders>
            <w:shd w:val="clear" w:color="auto" w:fill="auto"/>
            <w:tcMar>
              <w:top w:w="15" w:type="dxa"/>
              <w:left w:w="15" w:type="dxa"/>
              <w:bottom w:w="0" w:type="dxa"/>
              <w:right w:w="15" w:type="dxa"/>
            </w:tcMar>
            <w:vAlign w:val="center"/>
            <w:hideMark/>
          </w:tcPr>
          <w:p w14:paraId="05B132F5" w14:textId="5EDEA9C9" w:rsidR="008D0F9B" w:rsidRPr="00843662" w:rsidRDefault="008D0F9B" w:rsidP="0025209E">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8.0</w:t>
            </w:r>
            <w:r w:rsidR="0025209E">
              <w:rPr>
                <w:rFonts w:ascii="Book Antiqua" w:hAnsi="Book Antiqua" w:cs="Times New Roman" w:hint="eastAsia"/>
                <w:sz w:val="24"/>
                <w:szCs w:val="24"/>
              </w:rPr>
              <w:t>-</w:t>
            </w:r>
            <w:r w:rsidRPr="00843662">
              <w:rPr>
                <w:rFonts w:ascii="Book Antiqua" w:hAnsi="Book Antiqua" w:cs="Times New Roman"/>
                <w:sz w:val="24"/>
                <w:szCs w:val="24"/>
              </w:rPr>
              <w:t>1005</w:t>
            </w:r>
          </w:p>
        </w:tc>
        <w:tc>
          <w:tcPr>
            <w:tcW w:w="992" w:type="dxa"/>
            <w:tcBorders>
              <w:top w:val="nil"/>
              <w:bottom w:val="nil"/>
              <w:right w:val="nil"/>
            </w:tcBorders>
            <w:vAlign w:val="center"/>
          </w:tcPr>
          <w:p w14:paraId="4DD72626" w14:textId="7FFE9981" w:rsidR="008D0F9B" w:rsidRPr="00843662" w:rsidRDefault="009B56B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93.5</w:t>
            </w:r>
          </w:p>
        </w:tc>
        <w:tc>
          <w:tcPr>
            <w:tcW w:w="1544" w:type="dxa"/>
            <w:tcBorders>
              <w:top w:val="nil"/>
              <w:bottom w:val="nil"/>
              <w:right w:val="nil"/>
            </w:tcBorders>
            <w:vAlign w:val="center"/>
          </w:tcPr>
          <w:p w14:paraId="2DC8E6EB" w14:textId="09C6A40E" w:rsidR="008D0F9B" w:rsidRPr="00843662" w:rsidRDefault="009B56BB" w:rsidP="0025209E">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17</w:t>
            </w:r>
            <w:r w:rsidR="0025209E">
              <w:rPr>
                <w:rFonts w:ascii="Book Antiqua" w:hAnsi="Book Antiqua" w:cs="Times New Roman" w:hint="eastAsia"/>
                <w:sz w:val="24"/>
                <w:szCs w:val="24"/>
              </w:rPr>
              <w:t>-</w:t>
            </w:r>
            <w:r w:rsidRPr="00843662">
              <w:rPr>
                <w:rFonts w:ascii="Book Antiqua" w:hAnsi="Book Antiqua" w:cs="Times New Roman"/>
                <w:sz w:val="24"/>
                <w:szCs w:val="24"/>
              </w:rPr>
              <w:t>713</w:t>
            </w:r>
          </w:p>
        </w:tc>
      </w:tr>
      <w:tr w:rsidR="00843662" w:rsidRPr="00843662" w14:paraId="77222DE7" w14:textId="0F4F9074" w:rsidTr="0025209E">
        <w:trPr>
          <w:trHeight w:hRule="exact" w:val="397"/>
        </w:trPr>
        <w:tc>
          <w:tcPr>
            <w:tcW w:w="3261" w:type="dxa"/>
            <w:tcBorders>
              <w:top w:val="nil"/>
              <w:left w:val="nil"/>
              <w:bottom w:val="nil"/>
            </w:tcBorders>
            <w:shd w:val="clear" w:color="auto" w:fill="auto"/>
            <w:tcMar>
              <w:top w:w="15" w:type="dxa"/>
              <w:left w:w="15" w:type="dxa"/>
              <w:bottom w:w="0" w:type="dxa"/>
              <w:right w:w="15" w:type="dxa"/>
            </w:tcMar>
            <w:vAlign w:val="center"/>
            <w:hideMark/>
          </w:tcPr>
          <w:p w14:paraId="67CDDBE4" w14:textId="5C5E0F70" w:rsidR="008D0F9B" w:rsidRPr="00843662" w:rsidRDefault="008D0F9B" w:rsidP="00EB356E">
            <w:pPr>
              <w:spacing w:after="0" w:line="360" w:lineRule="auto"/>
              <w:jc w:val="both"/>
              <w:rPr>
                <w:rFonts w:ascii="Book Antiqua" w:hAnsi="Book Antiqua" w:cs="Times New Roman"/>
                <w:sz w:val="24"/>
                <w:szCs w:val="24"/>
                <w:vertAlign w:val="superscript"/>
              </w:rPr>
            </w:pPr>
            <w:r w:rsidRPr="00843662">
              <w:rPr>
                <w:rFonts w:ascii="Book Antiqua" w:hAnsi="Book Antiqua" w:cs="Times New Roman"/>
                <w:sz w:val="24"/>
                <w:szCs w:val="24"/>
              </w:rPr>
              <w:t>HA (μg/L)</w:t>
            </w:r>
            <w:r w:rsidR="00EB356E">
              <w:rPr>
                <w:rFonts w:ascii="Book Antiqua" w:hAnsi="Book Antiqua" w:cs="Times New Roman" w:hint="eastAsia"/>
                <w:sz w:val="24"/>
                <w:szCs w:val="24"/>
                <w:shd w:val="clear" w:color="auto" w:fill="FFFFFF"/>
                <w:vertAlign w:val="superscript"/>
              </w:rPr>
              <w:t>1</w:t>
            </w:r>
          </w:p>
        </w:tc>
        <w:tc>
          <w:tcPr>
            <w:tcW w:w="992" w:type="dxa"/>
            <w:tcBorders>
              <w:top w:val="nil"/>
              <w:bottom w:val="nil"/>
            </w:tcBorders>
            <w:shd w:val="clear" w:color="auto" w:fill="auto"/>
            <w:tcMar>
              <w:top w:w="15" w:type="dxa"/>
              <w:left w:w="15" w:type="dxa"/>
              <w:bottom w:w="0" w:type="dxa"/>
              <w:right w:w="15" w:type="dxa"/>
            </w:tcMar>
            <w:vAlign w:val="center"/>
            <w:hideMark/>
          </w:tcPr>
          <w:p w14:paraId="5F79A859" w14:textId="77777777"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30.3</w:t>
            </w:r>
          </w:p>
        </w:tc>
        <w:tc>
          <w:tcPr>
            <w:tcW w:w="283" w:type="dxa"/>
            <w:tcBorders>
              <w:top w:val="nil"/>
              <w:bottom w:val="nil"/>
            </w:tcBorders>
          </w:tcPr>
          <w:p w14:paraId="593C3519" w14:textId="77777777" w:rsidR="008D0F9B" w:rsidRPr="00843662" w:rsidRDefault="008D0F9B" w:rsidP="00843662">
            <w:pPr>
              <w:spacing w:after="0" w:line="360" w:lineRule="auto"/>
              <w:jc w:val="both"/>
              <w:rPr>
                <w:rFonts w:ascii="Book Antiqua" w:hAnsi="Book Antiqua" w:cs="Times New Roman"/>
                <w:sz w:val="24"/>
                <w:szCs w:val="24"/>
              </w:rPr>
            </w:pPr>
          </w:p>
        </w:tc>
        <w:tc>
          <w:tcPr>
            <w:tcW w:w="1433" w:type="dxa"/>
            <w:tcBorders>
              <w:top w:val="nil"/>
              <w:bottom w:val="nil"/>
              <w:right w:val="nil"/>
            </w:tcBorders>
            <w:shd w:val="clear" w:color="auto" w:fill="auto"/>
            <w:tcMar>
              <w:top w:w="15" w:type="dxa"/>
              <w:left w:w="15" w:type="dxa"/>
              <w:bottom w:w="0" w:type="dxa"/>
              <w:right w:w="15" w:type="dxa"/>
            </w:tcMar>
            <w:vAlign w:val="center"/>
            <w:hideMark/>
          </w:tcPr>
          <w:p w14:paraId="75CDE6F5" w14:textId="51EC6A30" w:rsidR="008D0F9B" w:rsidRPr="00843662" w:rsidRDefault="008D0F9B" w:rsidP="0025209E">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1.0</w:t>
            </w:r>
            <w:r w:rsidR="0025209E">
              <w:rPr>
                <w:rFonts w:ascii="Book Antiqua" w:hAnsi="Book Antiqua" w:cs="Times New Roman" w:hint="eastAsia"/>
                <w:sz w:val="24"/>
                <w:szCs w:val="24"/>
              </w:rPr>
              <w:t>-</w:t>
            </w:r>
            <w:r w:rsidRPr="00843662">
              <w:rPr>
                <w:rFonts w:ascii="Book Antiqua" w:hAnsi="Book Antiqua" w:cs="Times New Roman"/>
                <w:sz w:val="24"/>
                <w:szCs w:val="24"/>
              </w:rPr>
              <w:t>1211</w:t>
            </w:r>
          </w:p>
        </w:tc>
        <w:tc>
          <w:tcPr>
            <w:tcW w:w="992" w:type="dxa"/>
            <w:tcBorders>
              <w:top w:val="nil"/>
              <w:bottom w:val="nil"/>
              <w:right w:val="nil"/>
            </w:tcBorders>
            <w:vAlign w:val="center"/>
          </w:tcPr>
          <w:p w14:paraId="029B484E" w14:textId="65F6A673" w:rsidR="008D0F9B" w:rsidRPr="00843662" w:rsidRDefault="009B56B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124.5</w:t>
            </w:r>
          </w:p>
        </w:tc>
        <w:tc>
          <w:tcPr>
            <w:tcW w:w="1544" w:type="dxa"/>
            <w:tcBorders>
              <w:top w:val="nil"/>
              <w:bottom w:val="nil"/>
              <w:right w:val="nil"/>
            </w:tcBorders>
            <w:vAlign w:val="center"/>
          </w:tcPr>
          <w:p w14:paraId="7A6565C3" w14:textId="5281BE39" w:rsidR="008D0F9B" w:rsidRPr="00843662" w:rsidRDefault="009B56BB" w:rsidP="0025209E">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16</w:t>
            </w:r>
            <w:r w:rsidR="0025209E">
              <w:rPr>
                <w:rFonts w:ascii="Book Antiqua" w:hAnsi="Book Antiqua" w:cs="Times New Roman" w:hint="eastAsia"/>
                <w:sz w:val="24"/>
                <w:szCs w:val="24"/>
              </w:rPr>
              <w:t>-</w:t>
            </w:r>
            <w:r w:rsidRPr="00843662">
              <w:rPr>
                <w:rFonts w:ascii="Book Antiqua" w:hAnsi="Book Antiqua" w:cs="Times New Roman"/>
                <w:sz w:val="24"/>
                <w:szCs w:val="24"/>
              </w:rPr>
              <w:t>1211</w:t>
            </w:r>
          </w:p>
        </w:tc>
      </w:tr>
      <w:tr w:rsidR="00843662" w:rsidRPr="00843662" w14:paraId="4F466569" w14:textId="1EFDEFD0" w:rsidTr="0025209E">
        <w:trPr>
          <w:trHeight w:hRule="exact" w:val="397"/>
        </w:trPr>
        <w:tc>
          <w:tcPr>
            <w:tcW w:w="3261" w:type="dxa"/>
            <w:tcBorders>
              <w:top w:val="nil"/>
              <w:left w:val="nil"/>
              <w:bottom w:val="nil"/>
            </w:tcBorders>
            <w:shd w:val="clear" w:color="auto" w:fill="auto"/>
            <w:tcMar>
              <w:top w:w="15" w:type="dxa"/>
              <w:left w:w="15" w:type="dxa"/>
              <w:bottom w:w="0" w:type="dxa"/>
              <w:right w:w="15" w:type="dxa"/>
            </w:tcMar>
            <w:vAlign w:val="center"/>
            <w:hideMark/>
          </w:tcPr>
          <w:p w14:paraId="7547DC25" w14:textId="033109F8" w:rsidR="008D0F9B" w:rsidRPr="00843662" w:rsidRDefault="008D0F9B" w:rsidP="00EB356E">
            <w:pPr>
              <w:spacing w:after="0" w:line="360" w:lineRule="auto"/>
              <w:jc w:val="both"/>
              <w:rPr>
                <w:rFonts w:ascii="Book Antiqua" w:hAnsi="Book Antiqua" w:cs="Times New Roman"/>
                <w:sz w:val="24"/>
                <w:szCs w:val="24"/>
                <w:vertAlign w:val="superscript"/>
              </w:rPr>
            </w:pPr>
            <w:r w:rsidRPr="00843662">
              <w:rPr>
                <w:rFonts w:ascii="Book Antiqua" w:hAnsi="Book Antiqua" w:cs="Times New Roman"/>
                <w:sz w:val="24"/>
                <w:szCs w:val="24"/>
              </w:rPr>
              <w:t>A2M (μg/mL)</w:t>
            </w:r>
            <w:r w:rsidR="00EB356E">
              <w:rPr>
                <w:rFonts w:ascii="Book Antiqua" w:hAnsi="Book Antiqua" w:cs="Times New Roman" w:hint="eastAsia"/>
                <w:sz w:val="24"/>
                <w:szCs w:val="24"/>
                <w:shd w:val="clear" w:color="auto" w:fill="FFFFFF"/>
                <w:vertAlign w:val="superscript"/>
              </w:rPr>
              <w:t>1</w:t>
            </w:r>
          </w:p>
        </w:tc>
        <w:tc>
          <w:tcPr>
            <w:tcW w:w="992" w:type="dxa"/>
            <w:tcBorders>
              <w:top w:val="nil"/>
              <w:bottom w:val="nil"/>
            </w:tcBorders>
            <w:shd w:val="clear" w:color="auto" w:fill="auto"/>
            <w:tcMar>
              <w:top w:w="15" w:type="dxa"/>
              <w:left w:w="15" w:type="dxa"/>
              <w:bottom w:w="0" w:type="dxa"/>
              <w:right w:w="15" w:type="dxa"/>
            </w:tcMar>
            <w:vAlign w:val="center"/>
            <w:hideMark/>
          </w:tcPr>
          <w:p w14:paraId="60D56090" w14:textId="77777777"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2.5</w:t>
            </w:r>
          </w:p>
        </w:tc>
        <w:tc>
          <w:tcPr>
            <w:tcW w:w="283" w:type="dxa"/>
            <w:tcBorders>
              <w:top w:val="nil"/>
              <w:bottom w:val="nil"/>
            </w:tcBorders>
          </w:tcPr>
          <w:p w14:paraId="74E66E85" w14:textId="77777777" w:rsidR="008D0F9B" w:rsidRPr="00843662" w:rsidRDefault="008D0F9B" w:rsidP="00843662">
            <w:pPr>
              <w:spacing w:after="0" w:line="360" w:lineRule="auto"/>
              <w:jc w:val="both"/>
              <w:rPr>
                <w:rFonts w:ascii="Book Antiqua" w:hAnsi="Book Antiqua" w:cs="Times New Roman"/>
                <w:sz w:val="24"/>
                <w:szCs w:val="24"/>
              </w:rPr>
            </w:pPr>
          </w:p>
        </w:tc>
        <w:tc>
          <w:tcPr>
            <w:tcW w:w="1433" w:type="dxa"/>
            <w:tcBorders>
              <w:top w:val="nil"/>
              <w:bottom w:val="nil"/>
              <w:right w:val="nil"/>
            </w:tcBorders>
            <w:shd w:val="clear" w:color="auto" w:fill="auto"/>
            <w:tcMar>
              <w:top w:w="15" w:type="dxa"/>
              <w:left w:w="15" w:type="dxa"/>
              <w:bottom w:w="0" w:type="dxa"/>
              <w:right w:w="15" w:type="dxa"/>
            </w:tcMar>
            <w:vAlign w:val="center"/>
            <w:hideMark/>
          </w:tcPr>
          <w:p w14:paraId="472AC7F9" w14:textId="5DEB4E13" w:rsidR="008D0F9B" w:rsidRPr="00843662" w:rsidRDefault="008D0F9B" w:rsidP="0025209E">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0.6</w:t>
            </w:r>
            <w:r w:rsidR="0025209E">
              <w:rPr>
                <w:rFonts w:ascii="Book Antiqua" w:hAnsi="Book Antiqua" w:cs="Times New Roman" w:hint="eastAsia"/>
                <w:sz w:val="24"/>
                <w:szCs w:val="24"/>
              </w:rPr>
              <w:t>-</w:t>
            </w:r>
            <w:r w:rsidRPr="00843662">
              <w:rPr>
                <w:rFonts w:ascii="Book Antiqua" w:hAnsi="Book Antiqua" w:cs="Times New Roman"/>
                <w:sz w:val="24"/>
                <w:szCs w:val="24"/>
              </w:rPr>
              <w:t>6</w:t>
            </w:r>
          </w:p>
        </w:tc>
        <w:tc>
          <w:tcPr>
            <w:tcW w:w="992" w:type="dxa"/>
            <w:tcBorders>
              <w:top w:val="nil"/>
              <w:bottom w:val="nil"/>
              <w:right w:val="nil"/>
            </w:tcBorders>
            <w:vAlign w:val="center"/>
          </w:tcPr>
          <w:p w14:paraId="789CC9F1" w14:textId="04EDD783" w:rsidR="008D0F9B" w:rsidRPr="00843662" w:rsidRDefault="009B56B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3.6</w:t>
            </w:r>
          </w:p>
        </w:tc>
        <w:tc>
          <w:tcPr>
            <w:tcW w:w="1544" w:type="dxa"/>
            <w:tcBorders>
              <w:top w:val="nil"/>
              <w:bottom w:val="nil"/>
              <w:right w:val="nil"/>
            </w:tcBorders>
            <w:vAlign w:val="center"/>
          </w:tcPr>
          <w:p w14:paraId="0EE5CFB7" w14:textId="75026A93" w:rsidR="008D0F9B" w:rsidRPr="00843662" w:rsidRDefault="009B56BB" w:rsidP="0025209E">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1.5</w:t>
            </w:r>
            <w:r w:rsidR="0025209E">
              <w:rPr>
                <w:rFonts w:ascii="Book Antiqua" w:hAnsi="Book Antiqua" w:cs="Times New Roman" w:hint="eastAsia"/>
                <w:sz w:val="24"/>
                <w:szCs w:val="24"/>
              </w:rPr>
              <w:t>-</w:t>
            </w:r>
            <w:r w:rsidRPr="00843662">
              <w:rPr>
                <w:rFonts w:ascii="Book Antiqua" w:hAnsi="Book Antiqua" w:cs="Times New Roman"/>
                <w:sz w:val="24"/>
                <w:szCs w:val="24"/>
              </w:rPr>
              <w:t>6.0</w:t>
            </w:r>
          </w:p>
        </w:tc>
      </w:tr>
      <w:tr w:rsidR="00843662" w:rsidRPr="00843662" w14:paraId="10B2F447" w14:textId="215E4818" w:rsidTr="0025209E">
        <w:trPr>
          <w:trHeight w:hRule="exact" w:val="397"/>
        </w:trPr>
        <w:tc>
          <w:tcPr>
            <w:tcW w:w="3261" w:type="dxa"/>
            <w:tcBorders>
              <w:top w:val="nil"/>
              <w:left w:val="nil"/>
              <w:bottom w:val="nil"/>
            </w:tcBorders>
            <w:shd w:val="clear" w:color="auto" w:fill="auto"/>
            <w:tcMar>
              <w:top w:w="15" w:type="dxa"/>
              <w:left w:w="15" w:type="dxa"/>
              <w:bottom w:w="0" w:type="dxa"/>
              <w:right w:w="15" w:type="dxa"/>
            </w:tcMar>
            <w:vAlign w:val="center"/>
            <w:hideMark/>
          </w:tcPr>
          <w:p w14:paraId="5AAD51B2" w14:textId="77777777"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Age (years)</w:t>
            </w:r>
          </w:p>
        </w:tc>
        <w:tc>
          <w:tcPr>
            <w:tcW w:w="992" w:type="dxa"/>
            <w:tcBorders>
              <w:top w:val="nil"/>
              <w:bottom w:val="nil"/>
            </w:tcBorders>
            <w:shd w:val="clear" w:color="auto" w:fill="auto"/>
            <w:tcMar>
              <w:top w:w="15" w:type="dxa"/>
              <w:left w:w="15" w:type="dxa"/>
              <w:bottom w:w="0" w:type="dxa"/>
              <w:right w:w="15" w:type="dxa"/>
            </w:tcMar>
            <w:vAlign w:val="center"/>
            <w:hideMark/>
          </w:tcPr>
          <w:p w14:paraId="462410BA" w14:textId="77777777"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53.6</w:t>
            </w:r>
          </w:p>
        </w:tc>
        <w:tc>
          <w:tcPr>
            <w:tcW w:w="283" w:type="dxa"/>
            <w:tcBorders>
              <w:top w:val="nil"/>
              <w:bottom w:val="nil"/>
            </w:tcBorders>
          </w:tcPr>
          <w:p w14:paraId="70A27B18" w14:textId="77777777" w:rsidR="008D0F9B" w:rsidRPr="00843662" w:rsidRDefault="008D0F9B" w:rsidP="00843662">
            <w:pPr>
              <w:spacing w:after="0" w:line="360" w:lineRule="auto"/>
              <w:jc w:val="both"/>
              <w:rPr>
                <w:rFonts w:ascii="Book Antiqua" w:hAnsi="Book Antiqua" w:cs="Times New Roman"/>
                <w:sz w:val="24"/>
                <w:szCs w:val="24"/>
              </w:rPr>
            </w:pPr>
          </w:p>
        </w:tc>
        <w:tc>
          <w:tcPr>
            <w:tcW w:w="1433" w:type="dxa"/>
            <w:tcBorders>
              <w:top w:val="nil"/>
              <w:bottom w:val="nil"/>
              <w:right w:val="nil"/>
            </w:tcBorders>
            <w:shd w:val="clear" w:color="auto" w:fill="auto"/>
            <w:tcMar>
              <w:top w:w="15" w:type="dxa"/>
              <w:left w:w="15" w:type="dxa"/>
              <w:bottom w:w="0" w:type="dxa"/>
              <w:right w:w="15" w:type="dxa"/>
            </w:tcMar>
            <w:vAlign w:val="center"/>
            <w:hideMark/>
          </w:tcPr>
          <w:p w14:paraId="24594B85" w14:textId="70764677" w:rsidR="008D0F9B" w:rsidRPr="00843662" w:rsidRDefault="008D0F9B" w:rsidP="0025209E">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30</w:t>
            </w:r>
            <w:r w:rsidR="0025209E">
              <w:rPr>
                <w:rFonts w:ascii="Book Antiqua" w:hAnsi="Book Antiqua" w:cs="Times New Roman" w:hint="eastAsia"/>
                <w:sz w:val="24"/>
                <w:szCs w:val="24"/>
              </w:rPr>
              <w:t>-</w:t>
            </w:r>
            <w:r w:rsidRPr="00843662">
              <w:rPr>
                <w:rFonts w:ascii="Book Antiqua" w:hAnsi="Book Antiqua" w:cs="Times New Roman"/>
                <w:sz w:val="24"/>
                <w:szCs w:val="24"/>
              </w:rPr>
              <w:t>80</w:t>
            </w:r>
          </w:p>
        </w:tc>
        <w:tc>
          <w:tcPr>
            <w:tcW w:w="992" w:type="dxa"/>
            <w:tcBorders>
              <w:top w:val="nil"/>
              <w:bottom w:val="nil"/>
              <w:right w:val="nil"/>
            </w:tcBorders>
            <w:vAlign w:val="center"/>
          </w:tcPr>
          <w:p w14:paraId="30A8B99E" w14:textId="5B0142FC"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58.3</w:t>
            </w:r>
          </w:p>
        </w:tc>
        <w:tc>
          <w:tcPr>
            <w:tcW w:w="1544" w:type="dxa"/>
            <w:tcBorders>
              <w:top w:val="nil"/>
              <w:bottom w:val="nil"/>
              <w:right w:val="nil"/>
            </w:tcBorders>
            <w:vAlign w:val="center"/>
          </w:tcPr>
          <w:p w14:paraId="3900856E" w14:textId="67C6C8C7" w:rsidR="008D0F9B" w:rsidRPr="00843662" w:rsidRDefault="008D0F9B" w:rsidP="0025209E">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36</w:t>
            </w:r>
            <w:r w:rsidR="0025209E">
              <w:rPr>
                <w:rFonts w:ascii="Book Antiqua" w:hAnsi="Book Antiqua" w:cs="Times New Roman" w:hint="eastAsia"/>
                <w:sz w:val="24"/>
                <w:szCs w:val="24"/>
              </w:rPr>
              <w:t>-</w:t>
            </w:r>
            <w:r w:rsidRPr="00843662">
              <w:rPr>
                <w:rFonts w:ascii="Book Antiqua" w:hAnsi="Book Antiqua" w:cs="Times New Roman"/>
                <w:sz w:val="24"/>
                <w:szCs w:val="24"/>
              </w:rPr>
              <w:t>80</w:t>
            </w:r>
          </w:p>
        </w:tc>
      </w:tr>
      <w:tr w:rsidR="00843662" w:rsidRPr="00843662" w14:paraId="0CE1189E" w14:textId="640B9617" w:rsidTr="0025209E">
        <w:trPr>
          <w:trHeight w:hRule="exact" w:val="397"/>
        </w:trPr>
        <w:tc>
          <w:tcPr>
            <w:tcW w:w="3261" w:type="dxa"/>
            <w:tcBorders>
              <w:top w:val="nil"/>
              <w:left w:val="nil"/>
              <w:bottom w:val="nil"/>
            </w:tcBorders>
            <w:shd w:val="clear" w:color="auto" w:fill="auto"/>
            <w:tcMar>
              <w:top w:w="15" w:type="dxa"/>
              <w:left w:w="15" w:type="dxa"/>
              <w:bottom w:w="0" w:type="dxa"/>
              <w:right w:w="15" w:type="dxa"/>
            </w:tcMar>
            <w:vAlign w:val="center"/>
            <w:hideMark/>
          </w:tcPr>
          <w:p w14:paraId="3C51FBCB" w14:textId="77777777"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Baseline </w:t>
            </w:r>
            <w:proofErr w:type="spellStart"/>
            <w:r w:rsidRPr="00843662">
              <w:rPr>
                <w:rFonts w:ascii="Book Antiqua" w:hAnsi="Book Antiqua" w:cs="Times New Roman"/>
                <w:sz w:val="24"/>
                <w:szCs w:val="24"/>
              </w:rPr>
              <w:t>Hepascore</w:t>
            </w:r>
            <w:proofErr w:type="spellEnd"/>
          </w:p>
        </w:tc>
        <w:tc>
          <w:tcPr>
            <w:tcW w:w="992" w:type="dxa"/>
            <w:tcBorders>
              <w:top w:val="nil"/>
              <w:bottom w:val="nil"/>
            </w:tcBorders>
            <w:shd w:val="clear" w:color="auto" w:fill="auto"/>
            <w:tcMar>
              <w:top w:w="15" w:type="dxa"/>
              <w:left w:w="15" w:type="dxa"/>
              <w:bottom w:w="0" w:type="dxa"/>
              <w:right w:w="15" w:type="dxa"/>
            </w:tcMar>
            <w:vAlign w:val="center"/>
            <w:hideMark/>
          </w:tcPr>
          <w:p w14:paraId="303576D6" w14:textId="77777777"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0.48</w:t>
            </w:r>
          </w:p>
        </w:tc>
        <w:tc>
          <w:tcPr>
            <w:tcW w:w="283" w:type="dxa"/>
            <w:tcBorders>
              <w:top w:val="nil"/>
              <w:bottom w:val="nil"/>
            </w:tcBorders>
          </w:tcPr>
          <w:p w14:paraId="0E1CAC4A" w14:textId="77777777" w:rsidR="008D0F9B" w:rsidRPr="00843662" w:rsidRDefault="008D0F9B" w:rsidP="00843662">
            <w:pPr>
              <w:spacing w:after="0" w:line="360" w:lineRule="auto"/>
              <w:jc w:val="both"/>
              <w:rPr>
                <w:rFonts w:ascii="Book Antiqua" w:hAnsi="Book Antiqua" w:cs="Times New Roman"/>
                <w:sz w:val="24"/>
                <w:szCs w:val="24"/>
              </w:rPr>
            </w:pPr>
          </w:p>
        </w:tc>
        <w:tc>
          <w:tcPr>
            <w:tcW w:w="1433" w:type="dxa"/>
            <w:tcBorders>
              <w:top w:val="nil"/>
              <w:bottom w:val="nil"/>
              <w:right w:val="nil"/>
            </w:tcBorders>
            <w:shd w:val="clear" w:color="auto" w:fill="auto"/>
            <w:tcMar>
              <w:top w:w="15" w:type="dxa"/>
              <w:left w:w="15" w:type="dxa"/>
              <w:bottom w:w="0" w:type="dxa"/>
              <w:right w:w="15" w:type="dxa"/>
            </w:tcMar>
            <w:vAlign w:val="center"/>
            <w:hideMark/>
          </w:tcPr>
          <w:p w14:paraId="7D0A3D5D" w14:textId="5D29FCBB" w:rsidR="008D0F9B" w:rsidRPr="00843662" w:rsidRDefault="008D0F9B" w:rsidP="0025209E">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0.02</w:t>
            </w:r>
            <w:r w:rsidR="0025209E">
              <w:rPr>
                <w:rFonts w:ascii="Book Antiqua" w:hAnsi="Book Antiqua" w:cs="Times New Roman" w:hint="eastAsia"/>
                <w:sz w:val="24"/>
                <w:szCs w:val="24"/>
              </w:rPr>
              <w:t>-</w:t>
            </w:r>
            <w:r w:rsidRPr="00843662">
              <w:rPr>
                <w:rFonts w:ascii="Book Antiqua" w:hAnsi="Book Antiqua" w:cs="Times New Roman"/>
                <w:sz w:val="24"/>
                <w:szCs w:val="24"/>
              </w:rPr>
              <w:t>1.0</w:t>
            </w:r>
          </w:p>
        </w:tc>
        <w:tc>
          <w:tcPr>
            <w:tcW w:w="992" w:type="dxa"/>
            <w:tcBorders>
              <w:top w:val="nil"/>
              <w:bottom w:val="nil"/>
              <w:right w:val="nil"/>
            </w:tcBorders>
            <w:vAlign w:val="center"/>
          </w:tcPr>
          <w:p w14:paraId="2E007284" w14:textId="1B056480"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0.93</w:t>
            </w:r>
          </w:p>
        </w:tc>
        <w:tc>
          <w:tcPr>
            <w:tcW w:w="1544" w:type="dxa"/>
            <w:tcBorders>
              <w:top w:val="nil"/>
              <w:bottom w:val="nil"/>
              <w:right w:val="nil"/>
            </w:tcBorders>
            <w:vAlign w:val="center"/>
          </w:tcPr>
          <w:p w14:paraId="2B89D4FC" w14:textId="458A5A5E" w:rsidR="008D0F9B" w:rsidRPr="00843662" w:rsidRDefault="008D0F9B" w:rsidP="0025209E">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0.77</w:t>
            </w:r>
            <w:r w:rsidR="0025209E">
              <w:rPr>
                <w:rFonts w:ascii="Book Antiqua" w:hAnsi="Book Antiqua" w:cs="Times New Roman" w:hint="eastAsia"/>
                <w:sz w:val="24"/>
                <w:szCs w:val="24"/>
              </w:rPr>
              <w:t>-</w:t>
            </w:r>
            <w:r w:rsidRPr="00843662">
              <w:rPr>
                <w:rFonts w:ascii="Book Antiqua" w:hAnsi="Book Antiqua" w:cs="Times New Roman"/>
                <w:sz w:val="24"/>
                <w:szCs w:val="24"/>
              </w:rPr>
              <w:t>1.0</w:t>
            </w:r>
          </w:p>
        </w:tc>
      </w:tr>
      <w:tr w:rsidR="00843662" w:rsidRPr="00843662" w14:paraId="7452436E" w14:textId="61BC9F36" w:rsidTr="0025209E">
        <w:trPr>
          <w:trHeight w:hRule="exact" w:val="397"/>
        </w:trPr>
        <w:tc>
          <w:tcPr>
            <w:tcW w:w="3261" w:type="dxa"/>
            <w:tcBorders>
              <w:top w:val="nil"/>
              <w:left w:val="nil"/>
              <w:bottom w:val="nil"/>
            </w:tcBorders>
            <w:shd w:val="clear" w:color="auto" w:fill="auto"/>
            <w:tcMar>
              <w:top w:w="15" w:type="dxa"/>
              <w:left w:w="15" w:type="dxa"/>
              <w:bottom w:w="0" w:type="dxa"/>
              <w:right w:w="15" w:type="dxa"/>
            </w:tcMar>
            <w:vAlign w:val="center"/>
            <w:hideMark/>
          </w:tcPr>
          <w:p w14:paraId="327A1461" w14:textId="77777777"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Second </w:t>
            </w:r>
            <w:proofErr w:type="spellStart"/>
            <w:r w:rsidRPr="00843662">
              <w:rPr>
                <w:rFonts w:ascii="Book Antiqua" w:hAnsi="Book Antiqua" w:cs="Times New Roman"/>
                <w:sz w:val="24"/>
                <w:szCs w:val="24"/>
              </w:rPr>
              <w:t>Hepascore</w:t>
            </w:r>
            <w:proofErr w:type="spellEnd"/>
          </w:p>
        </w:tc>
        <w:tc>
          <w:tcPr>
            <w:tcW w:w="992" w:type="dxa"/>
            <w:tcBorders>
              <w:top w:val="nil"/>
              <w:bottom w:val="nil"/>
            </w:tcBorders>
            <w:shd w:val="clear" w:color="auto" w:fill="auto"/>
            <w:tcMar>
              <w:top w:w="15" w:type="dxa"/>
              <w:left w:w="15" w:type="dxa"/>
              <w:bottom w:w="0" w:type="dxa"/>
              <w:right w:w="15" w:type="dxa"/>
            </w:tcMar>
            <w:vAlign w:val="center"/>
            <w:hideMark/>
          </w:tcPr>
          <w:p w14:paraId="106CA2CF" w14:textId="77777777"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0.57</w:t>
            </w:r>
          </w:p>
        </w:tc>
        <w:tc>
          <w:tcPr>
            <w:tcW w:w="283" w:type="dxa"/>
            <w:tcBorders>
              <w:top w:val="nil"/>
              <w:bottom w:val="nil"/>
            </w:tcBorders>
          </w:tcPr>
          <w:p w14:paraId="32AEA34F" w14:textId="77777777" w:rsidR="008D0F9B" w:rsidRPr="00843662" w:rsidRDefault="008D0F9B" w:rsidP="00843662">
            <w:pPr>
              <w:spacing w:after="0" w:line="360" w:lineRule="auto"/>
              <w:jc w:val="both"/>
              <w:rPr>
                <w:rFonts w:ascii="Book Antiqua" w:hAnsi="Book Antiqua" w:cs="Times New Roman"/>
                <w:sz w:val="24"/>
                <w:szCs w:val="24"/>
              </w:rPr>
            </w:pPr>
          </w:p>
        </w:tc>
        <w:tc>
          <w:tcPr>
            <w:tcW w:w="1433" w:type="dxa"/>
            <w:tcBorders>
              <w:top w:val="nil"/>
              <w:bottom w:val="nil"/>
              <w:right w:val="nil"/>
            </w:tcBorders>
            <w:shd w:val="clear" w:color="auto" w:fill="auto"/>
            <w:tcMar>
              <w:top w:w="15" w:type="dxa"/>
              <w:left w:w="15" w:type="dxa"/>
              <w:bottom w:w="0" w:type="dxa"/>
              <w:right w:w="15" w:type="dxa"/>
            </w:tcMar>
            <w:vAlign w:val="center"/>
            <w:hideMark/>
          </w:tcPr>
          <w:p w14:paraId="70BBEBCE" w14:textId="358A60CC" w:rsidR="008D0F9B" w:rsidRPr="00843662" w:rsidRDefault="008D0F9B" w:rsidP="0025209E">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0.04</w:t>
            </w:r>
            <w:r w:rsidR="0025209E">
              <w:rPr>
                <w:rFonts w:ascii="Book Antiqua" w:hAnsi="Book Antiqua" w:cs="Times New Roman" w:hint="eastAsia"/>
                <w:sz w:val="24"/>
                <w:szCs w:val="24"/>
              </w:rPr>
              <w:t>-</w:t>
            </w:r>
            <w:r w:rsidRPr="00843662">
              <w:rPr>
                <w:rFonts w:ascii="Book Antiqua" w:hAnsi="Book Antiqua" w:cs="Times New Roman"/>
                <w:sz w:val="24"/>
                <w:szCs w:val="24"/>
              </w:rPr>
              <w:t>1.0</w:t>
            </w:r>
          </w:p>
        </w:tc>
        <w:tc>
          <w:tcPr>
            <w:tcW w:w="992" w:type="dxa"/>
            <w:tcBorders>
              <w:top w:val="nil"/>
              <w:bottom w:val="nil"/>
              <w:right w:val="nil"/>
            </w:tcBorders>
            <w:vAlign w:val="center"/>
          </w:tcPr>
          <w:p w14:paraId="4D8C26A2" w14:textId="63A738C4"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0.87</w:t>
            </w:r>
          </w:p>
        </w:tc>
        <w:tc>
          <w:tcPr>
            <w:tcW w:w="1544" w:type="dxa"/>
            <w:tcBorders>
              <w:top w:val="nil"/>
              <w:bottom w:val="nil"/>
              <w:right w:val="nil"/>
            </w:tcBorders>
            <w:vAlign w:val="center"/>
          </w:tcPr>
          <w:p w14:paraId="1C34C864" w14:textId="55940F15" w:rsidR="008D0F9B" w:rsidRPr="00843662" w:rsidRDefault="008D0F9B" w:rsidP="0025209E">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0.13</w:t>
            </w:r>
            <w:r w:rsidR="0025209E">
              <w:rPr>
                <w:rFonts w:ascii="Book Antiqua" w:hAnsi="Book Antiqua" w:cs="Times New Roman" w:hint="eastAsia"/>
                <w:sz w:val="24"/>
                <w:szCs w:val="24"/>
              </w:rPr>
              <w:t>-</w:t>
            </w:r>
            <w:r w:rsidRPr="00843662">
              <w:rPr>
                <w:rFonts w:ascii="Book Antiqua" w:hAnsi="Book Antiqua" w:cs="Times New Roman"/>
                <w:sz w:val="24"/>
                <w:szCs w:val="24"/>
              </w:rPr>
              <w:t>1.0</w:t>
            </w:r>
          </w:p>
        </w:tc>
      </w:tr>
      <w:tr w:rsidR="00843662" w:rsidRPr="00843662" w14:paraId="0E8AB51A" w14:textId="2FF85BC7" w:rsidTr="0025209E">
        <w:trPr>
          <w:trHeight w:hRule="exact" w:val="397"/>
        </w:trPr>
        <w:tc>
          <w:tcPr>
            <w:tcW w:w="3261" w:type="dxa"/>
            <w:tcBorders>
              <w:top w:val="nil"/>
              <w:left w:val="nil"/>
              <w:bottom w:val="nil"/>
            </w:tcBorders>
            <w:shd w:val="clear" w:color="auto" w:fill="auto"/>
            <w:tcMar>
              <w:top w:w="15" w:type="dxa"/>
              <w:left w:w="15" w:type="dxa"/>
              <w:bottom w:w="0" w:type="dxa"/>
              <w:right w:w="15" w:type="dxa"/>
            </w:tcMar>
            <w:vAlign w:val="center"/>
            <w:hideMark/>
          </w:tcPr>
          <w:p w14:paraId="12F1CE12" w14:textId="77777777"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Delta </w:t>
            </w:r>
            <w:proofErr w:type="spellStart"/>
            <w:r w:rsidRPr="00843662">
              <w:rPr>
                <w:rFonts w:ascii="Book Antiqua" w:hAnsi="Book Antiqua" w:cs="Times New Roman"/>
                <w:sz w:val="24"/>
                <w:szCs w:val="24"/>
              </w:rPr>
              <w:t>Hepascore</w:t>
            </w:r>
            <w:proofErr w:type="spellEnd"/>
          </w:p>
        </w:tc>
        <w:tc>
          <w:tcPr>
            <w:tcW w:w="992" w:type="dxa"/>
            <w:tcBorders>
              <w:top w:val="nil"/>
              <w:bottom w:val="nil"/>
            </w:tcBorders>
            <w:shd w:val="clear" w:color="auto" w:fill="auto"/>
            <w:tcMar>
              <w:top w:w="15" w:type="dxa"/>
              <w:left w:w="15" w:type="dxa"/>
              <w:bottom w:w="0" w:type="dxa"/>
              <w:right w:w="15" w:type="dxa"/>
            </w:tcMar>
            <w:vAlign w:val="center"/>
            <w:hideMark/>
          </w:tcPr>
          <w:p w14:paraId="617B4CCC" w14:textId="77777777"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0.09</w:t>
            </w:r>
          </w:p>
        </w:tc>
        <w:tc>
          <w:tcPr>
            <w:tcW w:w="283" w:type="dxa"/>
            <w:tcBorders>
              <w:top w:val="nil"/>
              <w:bottom w:val="nil"/>
            </w:tcBorders>
          </w:tcPr>
          <w:p w14:paraId="523E1A28" w14:textId="77777777" w:rsidR="008D0F9B" w:rsidRPr="00843662" w:rsidRDefault="008D0F9B" w:rsidP="00843662">
            <w:pPr>
              <w:spacing w:after="0" w:line="360" w:lineRule="auto"/>
              <w:jc w:val="both"/>
              <w:rPr>
                <w:rFonts w:ascii="Book Antiqua" w:hAnsi="Book Antiqua" w:cs="Times New Roman"/>
                <w:sz w:val="24"/>
                <w:szCs w:val="24"/>
              </w:rPr>
            </w:pPr>
          </w:p>
        </w:tc>
        <w:tc>
          <w:tcPr>
            <w:tcW w:w="1433" w:type="dxa"/>
            <w:tcBorders>
              <w:top w:val="nil"/>
              <w:bottom w:val="nil"/>
              <w:right w:val="nil"/>
            </w:tcBorders>
            <w:shd w:val="clear" w:color="auto" w:fill="auto"/>
            <w:tcMar>
              <w:top w:w="15" w:type="dxa"/>
              <w:left w:w="15" w:type="dxa"/>
              <w:bottom w:w="0" w:type="dxa"/>
              <w:right w:w="15" w:type="dxa"/>
            </w:tcMar>
            <w:vAlign w:val="center"/>
            <w:hideMark/>
          </w:tcPr>
          <w:p w14:paraId="337E4786" w14:textId="3DC06210" w:rsidR="008D0F9B" w:rsidRPr="00843662" w:rsidRDefault="008D0F9B" w:rsidP="0025209E">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-0.80</w:t>
            </w:r>
            <w:r w:rsidR="0025209E">
              <w:rPr>
                <w:rFonts w:ascii="Book Antiqua" w:hAnsi="Book Antiqua" w:cs="Times New Roman" w:hint="eastAsia"/>
                <w:sz w:val="24"/>
                <w:szCs w:val="24"/>
              </w:rPr>
              <w:t>-</w:t>
            </w:r>
            <w:r w:rsidRPr="00843662">
              <w:rPr>
                <w:rFonts w:ascii="Book Antiqua" w:hAnsi="Book Antiqua" w:cs="Times New Roman"/>
                <w:sz w:val="24"/>
                <w:szCs w:val="24"/>
              </w:rPr>
              <w:t>0.94</w:t>
            </w:r>
          </w:p>
        </w:tc>
        <w:tc>
          <w:tcPr>
            <w:tcW w:w="992" w:type="dxa"/>
            <w:tcBorders>
              <w:top w:val="nil"/>
              <w:bottom w:val="nil"/>
              <w:right w:val="nil"/>
            </w:tcBorders>
            <w:vAlign w:val="center"/>
          </w:tcPr>
          <w:p w14:paraId="32364E8C" w14:textId="0534FA0B"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-0.06</w:t>
            </w:r>
          </w:p>
        </w:tc>
        <w:tc>
          <w:tcPr>
            <w:tcW w:w="1544" w:type="dxa"/>
            <w:tcBorders>
              <w:top w:val="nil"/>
              <w:bottom w:val="nil"/>
              <w:right w:val="nil"/>
            </w:tcBorders>
            <w:vAlign w:val="center"/>
          </w:tcPr>
          <w:p w14:paraId="65E5A4A7" w14:textId="05038A44" w:rsidR="008D0F9B" w:rsidRPr="00843662" w:rsidRDefault="008D0F9B" w:rsidP="0025209E">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-0.8</w:t>
            </w:r>
            <w:r w:rsidR="0025209E">
              <w:rPr>
                <w:rFonts w:ascii="Book Antiqua" w:hAnsi="Book Antiqua" w:cs="Times New Roman" w:hint="eastAsia"/>
                <w:sz w:val="24"/>
                <w:szCs w:val="24"/>
              </w:rPr>
              <w:t>-</w:t>
            </w:r>
            <w:r w:rsidRPr="00843662">
              <w:rPr>
                <w:rFonts w:ascii="Book Antiqua" w:hAnsi="Book Antiqua" w:cs="Times New Roman"/>
                <w:sz w:val="24"/>
                <w:szCs w:val="24"/>
              </w:rPr>
              <w:t>0.23</w:t>
            </w:r>
          </w:p>
        </w:tc>
      </w:tr>
      <w:tr w:rsidR="00843662" w:rsidRPr="00843662" w14:paraId="3E68C96F" w14:textId="35EA7FD2" w:rsidTr="0025209E">
        <w:trPr>
          <w:trHeight w:hRule="exact" w:val="680"/>
        </w:trPr>
        <w:tc>
          <w:tcPr>
            <w:tcW w:w="3261" w:type="dxa"/>
            <w:tcBorders>
              <w:top w:val="nil"/>
              <w:left w:val="nil"/>
              <w:bottom w:val="nil"/>
            </w:tcBorders>
            <w:shd w:val="clear" w:color="auto" w:fill="auto"/>
            <w:tcMar>
              <w:top w:w="15" w:type="dxa"/>
              <w:left w:w="15" w:type="dxa"/>
              <w:bottom w:w="0" w:type="dxa"/>
              <w:right w:w="15" w:type="dxa"/>
            </w:tcMar>
            <w:vAlign w:val="center"/>
            <w:hideMark/>
          </w:tcPr>
          <w:p w14:paraId="7A525C9E" w14:textId="77777777"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Time between baseline and second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(years)</w:t>
            </w:r>
          </w:p>
        </w:tc>
        <w:tc>
          <w:tcPr>
            <w:tcW w:w="992" w:type="dxa"/>
            <w:tcBorders>
              <w:top w:val="nil"/>
              <w:bottom w:val="nil"/>
            </w:tcBorders>
            <w:shd w:val="clear" w:color="auto" w:fill="auto"/>
            <w:tcMar>
              <w:top w:w="15" w:type="dxa"/>
              <w:left w:w="15" w:type="dxa"/>
              <w:bottom w:w="0" w:type="dxa"/>
              <w:right w:w="15" w:type="dxa"/>
            </w:tcMar>
            <w:vAlign w:val="center"/>
            <w:hideMark/>
          </w:tcPr>
          <w:p w14:paraId="44B7FFC0" w14:textId="77777777"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3.3</w:t>
            </w:r>
          </w:p>
        </w:tc>
        <w:tc>
          <w:tcPr>
            <w:tcW w:w="283" w:type="dxa"/>
            <w:tcBorders>
              <w:top w:val="nil"/>
              <w:bottom w:val="nil"/>
            </w:tcBorders>
          </w:tcPr>
          <w:p w14:paraId="61DB4762" w14:textId="77777777" w:rsidR="008D0F9B" w:rsidRPr="00843662" w:rsidRDefault="008D0F9B" w:rsidP="00843662">
            <w:pPr>
              <w:spacing w:after="0" w:line="360" w:lineRule="auto"/>
              <w:jc w:val="both"/>
              <w:rPr>
                <w:rFonts w:ascii="Book Antiqua" w:hAnsi="Book Antiqua" w:cs="Times New Roman"/>
                <w:sz w:val="24"/>
                <w:szCs w:val="24"/>
              </w:rPr>
            </w:pPr>
          </w:p>
        </w:tc>
        <w:tc>
          <w:tcPr>
            <w:tcW w:w="1433" w:type="dxa"/>
            <w:tcBorders>
              <w:top w:val="nil"/>
              <w:bottom w:val="nil"/>
              <w:right w:val="nil"/>
            </w:tcBorders>
            <w:shd w:val="clear" w:color="auto" w:fill="auto"/>
            <w:tcMar>
              <w:top w:w="15" w:type="dxa"/>
              <w:left w:w="15" w:type="dxa"/>
              <w:bottom w:w="0" w:type="dxa"/>
              <w:right w:w="15" w:type="dxa"/>
            </w:tcMar>
            <w:vAlign w:val="center"/>
            <w:hideMark/>
          </w:tcPr>
          <w:p w14:paraId="344E6440" w14:textId="54D85431" w:rsidR="008D0F9B" w:rsidRPr="00843662" w:rsidRDefault="008D0F9B" w:rsidP="0025209E">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0.03</w:t>
            </w:r>
            <w:r w:rsidR="0025209E">
              <w:rPr>
                <w:rFonts w:ascii="Book Antiqua" w:hAnsi="Book Antiqua" w:cs="Times New Roman" w:hint="eastAsia"/>
                <w:sz w:val="24"/>
                <w:szCs w:val="24"/>
              </w:rPr>
              <w:t>-</w:t>
            </w:r>
            <w:r w:rsidRPr="00843662">
              <w:rPr>
                <w:rFonts w:ascii="Book Antiqua" w:hAnsi="Book Antiqua" w:cs="Times New Roman"/>
                <w:sz w:val="24"/>
                <w:szCs w:val="24"/>
              </w:rPr>
              <w:t>12.5</w:t>
            </w:r>
          </w:p>
        </w:tc>
        <w:tc>
          <w:tcPr>
            <w:tcW w:w="992" w:type="dxa"/>
            <w:tcBorders>
              <w:top w:val="nil"/>
              <w:bottom w:val="nil"/>
              <w:right w:val="nil"/>
            </w:tcBorders>
            <w:vAlign w:val="center"/>
          </w:tcPr>
          <w:p w14:paraId="31794E55" w14:textId="4B189858"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2.8</w:t>
            </w:r>
          </w:p>
        </w:tc>
        <w:tc>
          <w:tcPr>
            <w:tcW w:w="1544" w:type="dxa"/>
            <w:tcBorders>
              <w:top w:val="nil"/>
              <w:bottom w:val="nil"/>
              <w:right w:val="nil"/>
            </w:tcBorders>
            <w:vAlign w:val="center"/>
          </w:tcPr>
          <w:p w14:paraId="00367D60" w14:textId="58A13E81" w:rsidR="008D0F9B" w:rsidRPr="00843662" w:rsidRDefault="008D0F9B" w:rsidP="0025209E">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0.03</w:t>
            </w:r>
            <w:r w:rsidR="0025209E">
              <w:rPr>
                <w:rFonts w:ascii="Book Antiqua" w:hAnsi="Book Antiqua" w:cs="Times New Roman" w:hint="eastAsia"/>
                <w:sz w:val="24"/>
                <w:szCs w:val="24"/>
              </w:rPr>
              <w:t>-</w:t>
            </w:r>
            <w:r w:rsidRPr="00843662">
              <w:rPr>
                <w:rFonts w:ascii="Book Antiqua" w:hAnsi="Book Antiqua" w:cs="Times New Roman"/>
                <w:sz w:val="24"/>
                <w:szCs w:val="24"/>
              </w:rPr>
              <w:t>10.3</w:t>
            </w:r>
          </w:p>
        </w:tc>
      </w:tr>
      <w:tr w:rsidR="00843662" w:rsidRPr="00843662" w14:paraId="48E477DF" w14:textId="4574766F" w:rsidTr="0025209E">
        <w:trPr>
          <w:trHeight w:hRule="exact" w:val="680"/>
        </w:trPr>
        <w:tc>
          <w:tcPr>
            <w:tcW w:w="3261" w:type="dxa"/>
            <w:tcBorders>
              <w:top w:val="nil"/>
              <w:left w:val="nil"/>
              <w:bottom w:val="single" w:sz="4" w:space="0" w:color="auto"/>
            </w:tcBorders>
            <w:shd w:val="clear" w:color="auto" w:fill="auto"/>
            <w:tcMar>
              <w:top w:w="15" w:type="dxa"/>
              <w:left w:w="15" w:type="dxa"/>
              <w:bottom w:w="0" w:type="dxa"/>
              <w:right w:w="15" w:type="dxa"/>
            </w:tcMar>
            <w:vAlign w:val="center"/>
            <w:hideMark/>
          </w:tcPr>
          <w:p w14:paraId="55048D87" w14:textId="77777777"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Follow-up after second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(years)</w:t>
            </w:r>
          </w:p>
        </w:tc>
        <w:tc>
          <w:tcPr>
            <w:tcW w:w="992" w:type="dxa"/>
            <w:tcBorders>
              <w:top w:val="nil"/>
              <w:bottom w:val="single" w:sz="4" w:space="0" w:color="auto"/>
            </w:tcBorders>
            <w:shd w:val="clear" w:color="auto" w:fill="auto"/>
            <w:tcMar>
              <w:top w:w="15" w:type="dxa"/>
              <w:left w:w="15" w:type="dxa"/>
              <w:bottom w:w="0" w:type="dxa"/>
              <w:right w:w="15" w:type="dxa"/>
            </w:tcMar>
            <w:vAlign w:val="center"/>
            <w:hideMark/>
          </w:tcPr>
          <w:p w14:paraId="2AB64498" w14:textId="77777777"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2.2</w:t>
            </w:r>
          </w:p>
        </w:tc>
        <w:tc>
          <w:tcPr>
            <w:tcW w:w="283" w:type="dxa"/>
            <w:tcBorders>
              <w:top w:val="nil"/>
              <w:bottom w:val="single" w:sz="4" w:space="0" w:color="auto"/>
            </w:tcBorders>
          </w:tcPr>
          <w:p w14:paraId="2D7238D0" w14:textId="77777777" w:rsidR="008D0F9B" w:rsidRPr="00843662" w:rsidRDefault="008D0F9B" w:rsidP="00843662">
            <w:pPr>
              <w:spacing w:after="0" w:line="360" w:lineRule="auto"/>
              <w:jc w:val="both"/>
              <w:rPr>
                <w:rFonts w:ascii="Book Antiqua" w:hAnsi="Book Antiqua" w:cs="Times New Roman"/>
                <w:sz w:val="24"/>
                <w:szCs w:val="24"/>
              </w:rPr>
            </w:pPr>
          </w:p>
        </w:tc>
        <w:tc>
          <w:tcPr>
            <w:tcW w:w="1433" w:type="dxa"/>
            <w:tcBorders>
              <w:top w:val="nil"/>
              <w:bottom w:val="single" w:sz="4" w:space="0" w:color="auto"/>
              <w:right w:val="nil"/>
            </w:tcBorders>
            <w:shd w:val="clear" w:color="auto" w:fill="auto"/>
            <w:tcMar>
              <w:top w:w="15" w:type="dxa"/>
              <w:left w:w="15" w:type="dxa"/>
              <w:bottom w:w="0" w:type="dxa"/>
              <w:right w:w="15" w:type="dxa"/>
            </w:tcMar>
            <w:vAlign w:val="center"/>
            <w:hideMark/>
          </w:tcPr>
          <w:p w14:paraId="11FA42E1" w14:textId="748A591D" w:rsidR="008D0F9B" w:rsidRPr="00843662" w:rsidRDefault="008D0F9B" w:rsidP="0025209E">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0.01</w:t>
            </w:r>
            <w:r w:rsidR="0025209E">
              <w:rPr>
                <w:rFonts w:ascii="Book Antiqua" w:hAnsi="Book Antiqua" w:cs="Times New Roman" w:hint="eastAsia"/>
                <w:sz w:val="24"/>
                <w:szCs w:val="24"/>
              </w:rPr>
              <w:t>-</w:t>
            </w:r>
            <w:r w:rsidRPr="00843662">
              <w:rPr>
                <w:rFonts w:ascii="Book Antiqua" w:hAnsi="Book Antiqua" w:cs="Times New Roman"/>
                <w:sz w:val="24"/>
                <w:szCs w:val="24"/>
              </w:rPr>
              <w:t>7.3</w:t>
            </w:r>
          </w:p>
        </w:tc>
        <w:tc>
          <w:tcPr>
            <w:tcW w:w="992" w:type="dxa"/>
            <w:tcBorders>
              <w:top w:val="nil"/>
              <w:bottom w:val="single" w:sz="4" w:space="0" w:color="auto"/>
              <w:right w:val="nil"/>
            </w:tcBorders>
            <w:vAlign w:val="center"/>
          </w:tcPr>
          <w:p w14:paraId="54AC6D22" w14:textId="0BCD4F8C" w:rsidR="008D0F9B" w:rsidRPr="00843662" w:rsidRDefault="008D0F9B"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1.</w:t>
            </w:r>
            <w:r w:rsidR="009B56BB" w:rsidRPr="00843662">
              <w:rPr>
                <w:rFonts w:ascii="Book Antiqua" w:hAnsi="Book Antiqua" w:cs="Times New Roman"/>
                <w:sz w:val="24"/>
                <w:szCs w:val="24"/>
              </w:rPr>
              <w:t>9</w:t>
            </w:r>
          </w:p>
        </w:tc>
        <w:tc>
          <w:tcPr>
            <w:tcW w:w="1544" w:type="dxa"/>
            <w:tcBorders>
              <w:top w:val="nil"/>
              <w:bottom w:val="single" w:sz="4" w:space="0" w:color="auto"/>
              <w:right w:val="nil"/>
            </w:tcBorders>
            <w:vAlign w:val="center"/>
          </w:tcPr>
          <w:p w14:paraId="1FF060C3" w14:textId="2F47EBB7" w:rsidR="008D0F9B" w:rsidRPr="00843662" w:rsidRDefault="009B56BB" w:rsidP="0025209E">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0.01</w:t>
            </w:r>
            <w:r w:rsidR="0025209E">
              <w:rPr>
                <w:rFonts w:ascii="Book Antiqua" w:hAnsi="Book Antiqua" w:cs="Times New Roman" w:hint="eastAsia"/>
                <w:sz w:val="24"/>
                <w:szCs w:val="24"/>
              </w:rPr>
              <w:t>-</w:t>
            </w:r>
            <w:r w:rsidRPr="00843662">
              <w:rPr>
                <w:rFonts w:ascii="Book Antiqua" w:hAnsi="Book Antiqua" w:cs="Times New Roman"/>
                <w:sz w:val="24"/>
                <w:szCs w:val="24"/>
              </w:rPr>
              <w:t>5.7</w:t>
            </w:r>
          </w:p>
        </w:tc>
      </w:tr>
    </w:tbl>
    <w:p w14:paraId="09679ED6" w14:textId="5CAB9ABB" w:rsidR="00EE29A5" w:rsidRPr="00843662" w:rsidRDefault="002C5D5F" w:rsidP="00843662">
      <w:pPr>
        <w:spacing w:after="0" w:line="360" w:lineRule="auto"/>
        <w:jc w:val="both"/>
        <w:rPr>
          <w:rFonts w:ascii="Book Antiqua" w:hAnsi="Book Antiqua" w:cs="Times New Roman"/>
          <w:sz w:val="24"/>
          <w:szCs w:val="24"/>
        </w:rPr>
      </w:pPr>
      <w:r>
        <w:rPr>
          <w:rFonts w:ascii="Book Antiqua" w:hAnsi="Book Antiqua" w:cs="Times New Roman" w:hint="eastAsia"/>
          <w:sz w:val="24"/>
          <w:szCs w:val="24"/>
          <w:shd w:val="clear" w:color="auto" w:fill="FFFFFF"/>
          <w:vertAlign w:val="superscript"/>
        </w:rPr>
        <w:t>1</w:t>
      </w:r>
      <w:r w:rsidR="00EE29A5" w:rsidRPr="00843662">
        <w:rPr>
          <w:rFonts w:ascii="Book Antiqua" w:hAnsi="Book Antiqua" w:cs="Times New Roman"/>
          <w:sz w:val="24"/>
          <w:szCs w:val="24"/>
        </w:rPr>
        <w:t xml:space="preserve">Serum markers used in </w:t>
      </w:r>
      <w:proofErr w:type="spellStart"/>
      <w:r w:rsidR="00EE29A5" w:rsidRPr="00843662">
        <w:rPr>
          <w:rFonts w:ascii="Book Antiqua" w:hAnsi="Book Antiqua" w:cs="Times New Roman"/>
          <w:sz w:val="24"/>
          <w:szCs w:val="24"/>
        </w:rPr>
        <w:t>Hepascore</w:t>
      </w:r>
      <w:proofErr w:type="spellEnd"/>
      <w:r w:rsidR="00EE29A5" w:rsidRPr="00843662">
        <w:rPr>
          <w:rFonts w:ascii="Book Antiqua" w:hAnsi="Book Antiqua" w:cs="Times New Roman"/>
          <w:sz w:val="24"/>
          <w:szCs w:val="24"/>
        </w:rPr>
        <w:t xml:space="preserve"> calculation</w:t>
      </w:r>
      <w:r>
        <w:rPr>
          <w:rFonts w:ascii="Book Antiqua" w:hAnsi="Book Antiqua" w:cs="Times New Roman" w:hint="eastAsia"/>
          <w:sz w:val="24"/>
          <w:szCs w:val="24"/>
        </w:rPr>
        <w:t>.</w:t>
      </w:r>
      <w:bookmarkStart w:id="142" w:name="_Hlk480814339"/>
      <w:r>
        <w:rPr>
          <w:rFonts w:ascii="Book Antiqua" w:hAnsi="Book Antiqua" w:cs="Times New Roman" w:hint="eastAsia"/>
          <w:sz w:val="24"/>
          <w:szCs w:val="24"/>
        </w:rPr>
        <w:t xml:space="preserve"> </w:t>
      </w:r>
      <w:r w:rsidR="00EE29A5" w:rsidRPr="00843662">
        <w:rPr>
          <w:rFonts w:ascii="Book Antiqua" w:hAnsi="Book Antiqua" w:cs="Times New Roman"/>
          <w:sz w:val="24"/>
          <w:szCs w:val="24"/>
        </w:rPr>
        <w:t>GGT</w:t>
      </w:r>
      <w:r>
        <w:rPr>
          <w:rFonts w:ascii="Book Antiqua" w:hAnsi="Book Antiqua" w:cs="Times New Roman" w:hint="eastAsia"/>
          <w:sz w:val="24"/>
          <w:szCs w:val="24"/>
        </w:rPr>
        <w:t>:</w:t>
      </w:r>
      <w:r w:rsidR="00EE29A5" w:rsidRPr="00843662">
        <w:rPr>
          <w:rFonts w:ascii="Book Antiqua" w:hAnsi="Book Antiqua" w:cs="Times New Roman"/>
          <w:sz w:val="24"/>
          <w:szCs w:val="24"/>
        </w:rPr>
        <w:t xml:space="preserve"> Gamma </w:t>
      </w:r>
      <w:proofErr w:type="spellStart"/>
      <w:r w:rsidR="00EE29A5" w:rsidRPr="00843662">
        <w:rPr>
          <w:rFonts w:ascii="Book Antiqua" w:hAnsi="Book Antiqua" w:cs="Times New Roman"/>
          <w:sz w:val="24"/>
          <w:szCs w:val="24"/>
        </w:rPr>
        <w:t>glutamyl</w:t>
      </w:r>
      <w:proofErr w:type="spellEnd"/>
      <w:r w:rsidR="00EE29A5" w:rsidRPr="00843662">
        <w:rPr>
          <w:rFonts w:ascii="Book Antiqua" w:hAnsi="Book Antiqua" w:cs="Times New Roman"/>
          <w:sz w:val="24"/>
          <w:szCs w:val="24"/>
        </w:rPr>
        <w:t xml:space="preserve"> </w:t>
      </w:r>
      <w:proofErr w:type="spellStart"/>
      <w:r w:rsidR="00EE29A5" w:rsidRPr="00843662">
        <w:rPr>
          <w:rFonts w:ascii="Book Antiqua" w:hAnsi="Book Antiqua" w:cs="Times New Roman"/>
          <w:sz w:val="24"/>
          <w:szCs w:val="24"/>
        </w:rPr>
        <w:t>transpeptidase</w:t>
      </w:r>
      <w:proofErr w:type="spellEnd"/>
      <w:r w:rsidR="00EE29A5" w:rsidRPr="00843662">
        <w:rPr>
          <w:rFonts w:ascii="Book Antiqua" w:hAnsi="Book Antiqua" w:cs="Times New Roman"/>
          <w:sz w:val="24"/>
          <w:szCs w:val="24"/>
        </w:rPr>
        <w:t>; HA</w:t>
      </w:r>
      <w:r>
        <w:rPr>
          <w:rFonts w:ascii="Book Antiqua" w:hAnsi="Book Antiqua" w:cs="Times New Roman" w:hint="eastAsia"/>
          <w:sz w:val="24"/>
          <w:szCs w:val="24"/>
        </w:rPr>
        <w:t>:</w:t>
      </w:r>
      <w:r w:rsidR="00EE29A5" w:rsidRPr="00843662">
        <w:rPr>
          <w:rFonts w:ascii="Book Antiqua" w:hAnsi="Book Antiqua" w:cs="Times New Roman"/>
          <w:sz w:val="24"/>
          <w:szCs w:val="24"/>
        </w:rPr>
        <w:t xml:space="preserve"> Hyaluronic acid; A2M</w:t>
      </w:r>
      <w:r>
        <w:rPr>
          <w:rFonts w:ascii="Book Antiqua" w:hAnsi="Book Antiqua" w:cs="Times New Roman" w:hint="eastAsia"/>
          <w:sz w:val="24"/>
          <w:szCs w:val="24"/>
        </w:rPr>
        <w:t>:</w:t>
      </w:r>
      <w:r w:rsidR="00EE29A5" w:rsidRPr="00843662">
        <w:rPr>
          <w:rFonts w:ascii="Book Antiqua" w:hAnsi="Book Antiqua" w:cs="Times New Roman"/>
          <w:sz w:val="24"/>
          <w:szCs w:val="24"/>
        </w:rPr>
        <w:t xml:space="preserve"> Alpha 2 macroglobulin</w:t>
      </w:r>
      <w:r>
        <w:rPr>
          <w:rFonts w:ascii="Book Antiqua" w:hAnsi="Book Antiqua" w:cs="Times New Roman" w:hint="eastAsia"/>
          <w:sz w:val="24"/>
          <w:szCs w:val="24"/>
        </w:rPr>
        <w:t>.</w:t>
      </w:r>
    </w:p>
    <w:bookmarkEnd w:id="142"/>
    <w:p w14:paraId="67453050" w14:textId="77777777" w:rsidR="00EE29A5" w:rsidRPr="00843662" w:rsidRDefault="00EE29A5" w:rsidP="00843662">
      <w:pPr>
        <w:spacing w:after="0" w:line="360" w:lineRule="auto"/>
        <w:jc w:val="both"/>
        <w:rPr>
          <w:rFonts w:ascii="Book Antiqua" w:hAnsi="Book Antiqua" w:cs="Times New Roman"/>
          <w:b/>
          <w:sz w:val="24"/>
          <w:szCs w:val="24"/>
        </w:rPr>
      </w:pPr>
    </w:p>
    <w:p w14:paraId="645B4C38" w14:textId="5F34E290"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b/>
          <w:sz w:val="24"/>
          <w:szCs w:val="24"/>
        </w:rPr>
        <w:br w:type="page"/>
      </w:r>
      <w:r w:rsidRPr="00843662">
        <w:rPr>
          <w:rFonts w:ascii="Book Antiqua" w:hAnsi="Book Antiqua" w:cs="Times New Roman"/>
          <w:b/>
          <w:sz w:val="24"/>
          <w:szCs w:val="24"/>
        </w:rPr>
        <w:lastRenderedPageBreak/>
        <w:t>Table 2</w:t>
      </w:r>
      <w:r w:rsidR="00CB4CD9">
        <w:rPr>
          <w:rFonts w:ascii="Book Antiqua" w:hAnsi="Book Antiqua" w:cs="Times New Roman"/>
          <w:sz w:val="24"/>
          <w:szCs w:val="24"/>
        </w:rPr>
        <w:t xml:space="preserve"> </w:t>
      </w:r>
      <w:r w:rsidRPr="00CB4CD9">
        <w:rPr>
          <w:rFonts w:ascii="Book Antiqua" w:hAnsi="Book Antiqua" w:cs="Times New Roman"/>
          <w:b/>
          <w:sz w:val="24"/>
          <w:szCs w:val="24"/>
        </w:rPr>
        <w:t>Predictors of composite clinical endpoint (LRD, HCC, LD) using Multivariate Cox Regression</w:t>
      </w:r>
    </w:p>
    <w:tbl>
      <w:tblPr>
        <w:tblW w:w="8158" w:type="dxa"/>
        <w:tblInd w:w="709" w:type="dxa"/>
        <w:tblLook w:val="04A0" w:firstRow="1" w:lastRow="0" w:firstColumn="1" w:lastColumn="0" w:noHBand="0" w:noVBand="1"/>
      </w:tblPr>
      <w:tblGrid>
        <w:gridCol w:w="1344"/>
        <w:gridCol w:w="986"/>
        <w:gridCol w:w="2521"/>
        <w:gridCol w:w="848"/>
        <w:gridCol w:w="2459"/>
      </w:tblGrid>
      <w:tr w:rsidR="00843662" w:rsidRPr="00843662" w14:paraId="175BDD7D" w14:textId="77777777" w:rsidTr="00727844">
        <w:trPr>
          <w:trHeight w:val="300"/>
        </w:trPr>
        <w:tc>
          <w:tcPr>
            <w:tcW w:w="1276" w:type="dxa"/>
            <w:vMerge w:val="restart"/>
            <w:tcBorders>
              <w:top w:val="single" w:sz="4" w:space="0" w:color="auto"/>
              <w:left w:val="nil"/>
              <w:bottom w:val="single" w:sz="4" w:space="0" w:color="000000"/>
              <w:right w:val="nil"/>
            </w:tcBorders>
            <w:shd w:val="clear" w:color="auto" w:fill="auto"/>
            <w:vAlign w:val="center"/>
            <w:hideMark/>
          </w:tcPr>
          <w:p w14:paraId="1D87F469" w14:textId="77777777" w:rsidR="00EE29A5" w:rsidRPr="00843662" w:rsidRDefault="00EE29A5"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Variable</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3B8217C" w14:textId="77777777" w:rsidR="00EE29A5" w:rsidRPr="00843662" w:rsidRDefault="00EE29A5"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 xml:space="preserve">Follow up from the baseline </w:t>
            </w:r>
            <w:proofErr w:type="spellStart"/>
            <w:r w:rsidRPr="00843662">
              <w:rPr>
                <w:rFonts w:ascii="Book Antiqua" w:hAnsi="Book Antiqua" w:cs="Times New Roman"/>
                <w:b/>
                <w:sz w:val="24"/>
                <w:szCs w:val="24"/>
              </w:rPr>
              <w:t>Hepascore</w:t>
            </w:r>
            <w:proofErr w:type="spellEnd"/>
          </w:p>
        </w:tc>
        <w:tc>
          <w:tcPr>
            <w:tcW w:w="3338" w:type="dxa"/>
            <w:gridSpan w:val="2"/>
            <w:tcBorders>
              <w:top w:val="single" w:sz="4" w:space="0" w:color="auto"/>
              <w:left w:val="single" w:sz="4" w:space="0" w:color="auto"/>
              <w:bottom w:val="single" w:sz="4" w:space="0" w:color="auto"/>
              <w:right w:val="nil"/>
            </w:tcBorders>
          </w:tcPr>
          <w:p w14:paraId="49E95482" w14:textId="77777777" w:rsidR="00EE29A5" w:rsidRPr="00843662" w:rsidRDefault="00EE29A5"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 xml:space="preserve">Follow up from the second </w:t>
            </w:r>
            <w:proofErr w:type="spellStart"/>
            <w:r w:rsidRPr="00843662">
              <w:rPr>
                <w:rFonts w:ascii="Book Antiqua" w:hAnsi="Book Antiqua" w:cs="Times New Roman"/>
                <w:b/>
                <w:sz w:val="24"/>
                <w:szCs w:val="24"/>
              </w:rPr>
              <w:t>Hepascore</w:t>
            </w:r>
            <w:proofErr w:type="spellEnd"/>
          </w:p>
        </w:tc>
      </w:tr>
      <w:tr w:rsidR="00843662" w:rsidRPr="00843662" w14:paraId="43C65418" w14:textId="77777777" w:rsidTr="00727844">
        <w:trPr>
          <w:trHeight w:val="661"/>
        </w:trPr>
        <w:tc>
          <w:tcPr>
            <w:tcW w:w="1276" w:type="dxa"/>
            <w:vMerge/>
            <w:tcBorders>
              <w:top w:val="single" w:sz="4" w:space="0" w:color="auto"/>
              <w:left w:val="nil"/>
              <w:bottom w:val="single" w:sz="4" w:space="0" w:color="000000"/>
              <w:right w:val="nil"/>
            </w:tcBorders>
            <w:vAlign w:val="center"/>
            <w:hideMark/>
          </w:tcPr>
          <w:p w14:paraId="3A4CCB38" w14:textId="77777777" w:rsidR="00EE29A5" w:rsidRPr="00843662" w:rsidRDefault="00EE29A5" w:rsidP="00843662">
            <w:pPr>
              <w:spacing w:after="0" w:line="360" w:lineRule="auto"/>
              <w:jc w:val="both"/>
              <w:rPr>
                <w:rFonts w:ascii="Book Antiqua" w:hAnsi="Book Antiqua" w:cs="Times New Roman"/>
                <w:b/>
                <w:sz w:val="24"/>
                <w:szCs w:val="24"/>
              </w:rPr>
            </w:pPr>
          </w:p>
        </w:tc>
        <w:tc>
          <w:tcPr>
            <w:tcW w:w="992" w:type="dxa"/>
            <w:tcBorders>
              <w:top w:val="nil"/>
              <w:left w:val="nil"/>
              <w:bottom w:val="single" w:sz="4" w:space="0" w:color="auto"/>
              <w:right w:val="nil"/>
            </w:tcBorders>
            <w:shd w:val="clear" w:color="auto" w:fill="auto"/>
            <w:vAlign w:val="center"/>
            <w:hideMark/>
          </w:tcPr>
          <w:p w14:paraId="2F1CEFC6" w14:textId="77777777" w:rsidR="00EE29A5" w:rsidRPr="00CB4CD9" w:rsidRDefault="00EE29A5" w:rsidP="00843662">
            <w:pPr>
              <w:spacing w:after="0" w:line="360" w:lineRule="auto"/>
              <w:jc w:val="both"/>
              <w:rPr>
                <w:rFonts w:ascii="Book Antiqua" w:hAnsi="Book Antiqua" w:cs="Times New Roman"/>
                <w:b/>
                <w:i/>
                <w:sz w:val="24"/>
                <w:szCs w:val="24"/>
              </w:rPr>
            </w:pPr>
            <w:r w:rsidRPr="00CB4CD9">
              <w:rPr>
                <w:rFonts w:ascii="Book Antiqua" w:hAnsi="Book Antiqua" w:cs="Times New Roman"/>
                <w:b/>
                <w:i/>
                <w:sz w:val="24"/>
                <w:szCs w:val="24"/>
              </w:rPr>
              <w:t>P</w:t>
            </w:r>
          </w:p>
        </w:tc>
        <w:tc>
          <w:tcPr>
            <w:tcW w:w="2552" w:type="dxa"/>
            <w:tcBorders>
              <w:top w:val="nil"/>
              <w:left w:val="nil"/>
              <w:bottom w:val="single" w:sz="4" w:space="0" w:color="auto"/>
              <w:right w:val="single" w:sz="4" w:space="0" w:color="auto"/>
            </w:tcBorders>
            <w:shd w:val="clear" w:color="auto" w:fill="auto"/>
            <w:vAlign w:val="center"/>
            <w:hideMark/>
          </w:tcPr>
          <w:p w14:paraId="04273CE6" w14:textId="100EEFC4" w:rsidR="00EE29A5" w:rsidRPr="00843662" w:rsidRDefault="00CB4CD9" w:rsidP="00CB4CD9">
            <w:pPr>
              <w:spacing w:after="0" w:line="360" w:lineRule="auto"/>
              <w:jc w:val="both"/>
              <w:rPr>
                <w:rFonts w:ascii="Book Antiqua" w:hAnsi="Book Antiqua" w:cs="Times New Roman"/>
                <w:b/>
                <w:sz w:val="24"/>
                <w:szCs w:val="24"/>
              </w:rPr>
            </w:pPr>
            <w:r>
              <w:rPr>
                <w:rFonts w:ascii="Book Antiqua" w:hAnsi="Book Antiqua" w:cs="Times New Roman"/>
                <w:b/>
                <w:sz w:val="24"/>
                <w:szCs w:val="24"/>
              </w:rPr>
              <w:t xml:space="preserve">Hazard </w:t>
            </w:r>
            <w:r>
              <w:rPr>
                <w:rFonts w:ascii="Book Antiqua" w:hAnsi="Book Antiqua" w:cs="Times New Roman" w:hint="eastAsia"/>
                <w:b/>
                <w:sz w:val="24"/>
                <w:szCs w:val="24"/>
              </w:rPr>
              <w:t>r</w:t>
            </w:r>
            <w:r>
              <w:rPr>
                <w:rFonts w:ascii="Book Antiqua" w:hAnsi="Book Antiqua" w:cs="Times New Roman"/>
                <w:b/>
                <w:sz w:val="24"/>
                <w:szCs w:val="24"/>
              </w:rPr>
              <w:t>atio (95%</w:t>
            </w:r>
            <w:r w:rsidR="00EE29A5" w:rsidRPr="00843662">
              <w:rPr>
                <w:rFonts w:ascii="Book Antiqua" w:hAnsi="Book Antiqua" w:cs="Times New Roman"/>
                <w:b/>
                <w:sz w:val="24"/>
                <w:szCs w:val="24"/>
              </w:rPr>
              <w:t>CI)</w:t>
            </w:r>
          </w:p>
        </w:tc>
        <w:tc>
          <w:tcPr>
            <w:tcW w:w="850" w:type="dxa"/>
            <w:tcBorders>
              <w:top w:val="nil"/>
              <w:left w:val="single" w:sz="4" w:space="0" w:color="auto"/>
              <w:bottom w:val="single" w:sz="4" w:space="0" w:color="auto"/>
              <w:right w:val="nil"/>
            </w:tcBorders>
            <w:vAlign w:val="center"/>
          </w:tcPr>
          <w:p w14:paraId="7057FF58" w14:textId="77777777" w:rsidR="00EE29A5" w:rsidRPr="00CB4CD9" w:rsidRDefault="00EE29A5" w:rsidP="00843662">
            <w:pPr>
              <w:spacing w:after="0" w:line="360" w:lineRule="auto"/>
              <w:jc w:val="both"/>
              <w:rPr>
                <w:rFonts w:ascii="Book Antiqua" w:hAnsi="Book Antiqua" w:cs="Times New Roman"/>
                <w:b/>
                <w:i/>
                <w:sz w:val="24"/>
                <w:szCs w:val="24"/>
              </w:rPr>
            </w:pPr>
            <w:r w:rsidRPr="00CB4CD9">
              <w:rPr>
                <w:rFonts w:ascii="Book Antiqua" w:hAnsi="Book Antiqua" w:cs="Times New Roman"/>
                <w:b/>
                <w:i/>
                <w:sz w:val="24"/>
                <w:szCs w:val="24"/>
              </w:rPr>
              <w:t>P</w:t>
            </w:r>
          </w:p>
        </w:tc>
        <w:tc>
          <w:tcPr>
            <w:tcW w:w="2488" w:type="dxa"/>
            <w:tcBorders>
              <w:top w:val="nil"/>
              <w:left w:val="nil"/>
              <w:bottom w:val="single" w:sz="4" w:space="0" w:color="auto"/>
              <w:right w:val="nil"/>
            </w:tcBorders>
            <w:vAlign w:val="center"/>
          </w:tcPr>
          <w:p w14:paraId="7AEBD138" w14:textId="09971C38" w:rsidR="00EE29A5" w:rsidRPr="00843662" w:rsidRDefault="00EE29A5" w:rsidP="00CB4CD9">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t xml:space="preserve">Hazard </w:t>
            </w:r>
            <w:r w:rsidR="00CB4CD9">
              <w:rPr>
                <w:rFonts w:ascii="Book Antiqua" w:hAnsi="Book Antiqua" w:cs="Times New Roman" w:hint="eastAsia"/>
                <w:b/>
                <w:sz w:val="24"/>
                <w:szCs w:val="24"/>
              </w:rPr>
              <w:t>r</w:t>
            </w:r>
            <w:r w:rsidR="00CB4CD9">
              <w:rPr>
                <w:rFonts w:ascii="Book Antiqua" w:hAnsi="Book Antiqua" w:cs="Times New Roman"/>
                <w:b/>
                <w:sz w:val="24"/>
                <w:szCs w:val="24"/>
              </w:rPr>
              <w:t>atio (95%</w:t>
            </w:r>
            <w:r w:rsidRPr="00843662">
              <w:rPr>
                <w:rFonts w:ascii="Book Antiqua" w:hAnsi="Book Antiqua" w:cs="Times New Roman"/>
                <w:b/>
                <w:sz w:val="24"/>
                <w:szCs w:val="24"/>
              </w:rPr>
              <w:t>CI)</w:t>
            </w:r>
          </w:p>
        </w:tc>
      </w:tr>
      <w:tr w:rsidR="00843662" w:rsidRPr="00843662" w14:paraId="7B568712" w14:textId="77777777" w:rsidTr="00727844">
        <w:trPr>
          <w:trHeight w:val="300"/>
        </w:trPr>
        <w:tc>
          <w:tcPr>
            <w:tcW w:w="1276" w:type="dxa"/>
            <w:tcBorders>
              <w:top w:val="nil"/>
              <w:left w:val="nil"/>
              <w:bottom w:val="nil"/>
              <w:right w:val="nil"/>
            </w:tcBorders>
            <w:shd w:val="clear" w:color="auto" w:fill="auto"/>
            <w:vAlign w:val="center"/>
            <w:hideMark/>
          </w:tcPr>
          <w:p w14:paraId="2A94F536"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Baseline </w:t>
            </w:r>
            <w:proofErr w:type="spellStart"/>
            <w:r w:rsidRPr="00843662">
              <w:rPr>
                <w:rFonts w:ascii="Book Antiqua" w:hAnsi="Book Antiqua" w:cs="Times New Roman"/>
                <w:sz w:val="24"/>
                <w:szCs w:val="24"/>
              </w:rPr>
              <w:t>Hepascore</w:t>
            </w:r>
            <w:proofErr w:type="spellEnd"/>
          </w:p>
        </w:tc>
        <w:tc>
          <w:tcPr>
            <w:tcW w:w="992" w:type="dxa"/>
            <w:tcBorders>
              <w:top w:val="nil"/>
              <w:left w:val="nil"/>
              <w:bottom w:val="nil"/>
              <w:right w:val="nil"/>
            </w:tcBorders>
            <w:shd w:val="clear" w:color="auto" w:fill="auto"/>
            <w:vAlign w:val="center"/>
            <w:hideMark/>
          </w:tcPr>
          <w:p w14:paraId="2F8FDFF3" w14:textId="1C9ED0F2"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&lt;</w:t>
            </w:r>
            <w:r w:rsidR="00E8082B">
              <w:rPr>
                <w:rFonts w:ascii="Book Antiqua" w:hAnsi="Book Antiqua" w:cs="Times New Roman" w:hint="eastAsia"/>
                <w:sz w:val="24"/>
                <w:szCs w:val="24"/>
              </w:rPr>
              <w:t xml:space="preserve"> </w:t>
            </w:r>
            <w:r w:rsidRPr="00843662">
              <w:rPr>
                <w:rFonts w:ascii="Book Antiqua" w:hAnsi="Book Antiqua" w:cs="Times New Roman"/>
                <w:sz w:val="24"/>
                <w:szCs w:val="24"/>
              </w:rPr>
              <w:t>0.001</w:t>
            </w:r>
          </w:p>
        </w:tc>
        <w:tc>
          <w:tcPr>
            <w:tcW w:w="2552" w:type="dxa"/>
            <w:tcBorders>
              <w:top w:val="nil"/>
              <w:left w:val="nil"/>
              <w:bottom w:val="nil"/>
              <w:right w:val="single" w:sz="4" w:space="0" w:color="auto"/>
            </w:tcBorders>
            <w:shd w:val="clear" w:color="auto" w:fill="auto"/>
            <w:vAlign w:val="center"/>
            <w:hideMark/>
          </w:tcPr>
          <w:p w14:paraId="3D8F441F"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5.85 (2.25-15.18)</w:t>
            </w:r>
          </w:p>
        </w:tc>
        <w:tc>
          <w:tcPr>
            <w:tcW w:w="850" w:type="dxa"/>
            <w:tcBorders>
              <w:left w:val="single" w:sz="4" w:space="0" w:color="auto"/>
              <w:right w:val="nil"/>
            </w:tcBorders>
            <w:vAlign w:val="center"/>
          </w:tcPr>
          <w:p w14:paraId="3C3520BE"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0.020</w:t>
            </w:r>
          </w:p>
        </w:tc>
        <w:tc>
          <w:tcPr>
            <w:tcW w:w="2488" w:type="dxa"/>
            <w:tcBorders>
              <w:left w:val="nil"/>
              <w:right w:val="nil"/>
            </w:tcBorders>
            <w:vAlign w:val="center"/>
          </w:tcPr>
          <w:p w14:paraId="5D35FDCD"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12.86 (1.49-111.17)</w:t>
            </w:r>
          </w:p>
        </w:tc>
      </w:tr>
      <w:tr w:rsidR="00843662" w:rsidRPr="00843662" w14:paraId="4E60C2AD" w14:textId="77777777" w:rsidTr="00727844">
        <w:trPr>
          <w:trHeight w:val="300"/>
        </w:trPr>
        <w:tc>
          <w:tcPr>
            <w:tcW w:w="1276" w:type="dxa"/>
            <w:tcBorders>
              <w:top w:val="nil"/>
              <w:left w:val="nil"/>
              <w:bottom w:val="nil"/>
              <w:right w:val="nil"/>
            </w:tcBorders>
            <w:shd w:val="clear" w:color="auto" w:fill="auto"/>
            <w:vAlign w:val="center"/>
            <w:hideMark/>
          </w:tcPr>
          <w:p w14:paraId="4188C96E"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Second </w:t>
            </w:r>
            <w:proofErr w:type="spellStart"/>
            <w:r w:rsidRPr="00843662">
              <w:rPr>
                <w:rFonts w:ascii="Book Antiqua" w:hAnsi="Book Antiqua" w:cs="Times New Roman"/>
                <w:sz w:val="24"/>
                <w:szCs w:val="24"/>
              </w:rPr>
              <w:t>Hepascore</w:t>
            </w:r>
            <w:proofErr w:type="spellEnd"/>
          </w:p>
        </w:tc>
        <w:tc>
          <w:tcPr>
            <w:tcW w:w="992" w:type="dxa"/>
            <w:tcBorders>
              <w:top w:val="nil"/>
              <w:left w:val="nil"/>
              <w:bottom w:val="nil"/>
              <w:right w:val="nil"/>
            </w:tcBorders>
            <w:shd w:val="clear" w:color="auto" w:fill="auto"/>
            <w:vAlign w:val="center"/>
          </w:tcPr>
          <w:p w14:paraId="37A45F99"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w:t>
            </w:r>
          </w:p>
        </w:tc>
        <w:tc>
          <w:tcPr>
            <w:tcW w:w="2552" w:type="dxa"/>
            <w:tcBorders>
              <w:top w:val="nil"/>
              <w:left w:val="nil"/>
              <w:bottom w:val="nil"/>
              <w:right w:val="single" w:sz="4" w:space="0" w:color="auto"/>
            </w:tcBorders>
            <w:shd w:val="clear" w:color="auto" w:fill="auto"/>
            <w:vAlign w:val="center"/>
          </w:tcPr>
          <w:p w14:paraId="37F433DE"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w:t>
            </w:r>
          </w:p>
        </w:tc>
        <w:tc>
          <w:tcPr>
            <w:tcW w:w="850" w:type="dxa"/>
            <w:tcBorders>
              <w:left w:val="single" w:sz="4" w:space="0" w:color="auto"/>
              <w:bottom w:val="nil"/>
              <w:right w:val="nil"/>
            </w:tcBorders>
            <w:vAlign w:val="center"/>
          </w:tcPr>
          <w:p w14:paraId="2E76A9D6"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0.891</w:t>
            </w:r>
          </w:p>
        </w:tc>
        <w:tc>
          <w:tcPr>
            <w:tcW w:w="2488" w:type="dxa"/>
            <w:tcBorders>
              <w:left w:val="nil"/>
              <w:bottom w:val="nil"/>
              <w:right w:val="nil"/>
            </w:tcBorders>
            <w:vAlign w:val="center"/>
          </w:tcPr>
          <w:p w14:paraId="195E3695"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3288.82 (0.0-4.6E+53)</w:t>
            </w:r>
          </w:p>
        </w:tc>
      </w:tr>
      <w:tr w:rsidR="00EE29A5" w:rsidRPr="00843662" w14:paraId="645E1A67" w14:textId="77777777" w:rsidTr="00727844">
        <w:trPr>
          <w:trHeight w:val="587"/>
        </w:trPr>
        <w:tc>
          <w:tcPr>
            <w:tcW w:w="1276" w:type="dxa"/>
            <w:tcBorders>
              <w:top w:val="nil"/>
              <w:left w:val="nil"/>
              <w:bottom w:val="single" w:sz="4" w:space="0" w:color="auto"/>
              <w:right w:val="nil"/>
            </w:tcBorders>
            <w:shd w:val="clear" w:color="auto" w:fill="auto"/>
            <w:vAlign w:val="center"/>
            <w:hideMark/>
          </w:tcPr>
          <w:p w14:paraId="71194ACD"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Delta </w:t>
            </w:r>
            <w:proofErr w:type="spellStart"/>
            <w:r w:rsidRPr="00843662">
              <w:rPr>
                <w:rFonts w:ascii="Book Antiqua" w:hAnsi="Book Antiqua" w:cs="Times New Roman"/>
                <w:sz w:val="24"/>
                <w:szCs w:val="24"/>
              </w:rPr>
              <w:t>Hepascore</w:t>
            </w:r>
            <w:proofErr w:type="spellEnd"/>
          </w:p>
        </w:tc>
        <w:tc>
          <w:tcPr>
            <w:tcW w:w="992" w:type="dxa"/>
            <w:tcBorders>
              <w:top w:val="nil"/>
              <w:left w:val="nil"/>
              <w:bottom w:val="single" w:sz="4" w:space="0" w:color="auto"/>
              <w:right w:val="nil"/>
            </w:tcBorders>
            <w:shd w:val="clear" w:color="auto" w:fill="auto"/>
            <w:vAlign w:val="center"/>
          </w:tcPr>
          <w:p w14:paraId="72578026"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w:t>
            </w:r>
          </w:p>
        </w:tc>
        <w:tc>
          <w:tcPr>
            <w:tcW w:w="2552" w:type="dxa"/>
            <w:tcBorders>
              <w:top w:val="nil"/>
              <w:left w:val="nil"/>
              <w:bottom w:val="single" w:sz="4" w:space="0" w:color="auto"/>
              <w:right w:val="single" w:sz="4" w:space="0" w:color="auto"/>
            </w:tcBorders>
            <w:shd w:val="clear" w:color="auto" w:fill="auto"/>
            <w:vAlign w:val="center"/>
          </w:tcPr>
          <w:p w14:paraId="21DC1E61"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w:t>
            </w:r>
          </w:p>
        </w:tc>
        <w:tc>
          <w:tcPr>
            <w:tcW w:w="850" w:type="dxa"/>
            <w:tcBorders>
              <w:top w:val="nil"/>
              <w:left w:val="single" w:sz="4" w:space="0" w:color="auto"/>
              <w:bottom w:val="single" w:sz="4" w:space="0" w:color="auto"/>
              <w:right w:val="nil"/>
            </w:tcBorders>
            <w:vAlign w:val="center"/>
          </w:tcPr>
          <w:p w14:paraId="14862A5C"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0.013</w:t>
            </w:r>
          </w:p>
        </w:tc>
        <w:tc>
          <w:tcPr>
            <w:tcW w:w="2488" w:type="dxa"/>
            <w:tcBorders>
              <w:top w:val="nil"/>
              <w:left w:val="nil"/>
              <w:bottom w:val="single" w:sz="4" w:space="0" w:color="auto"/>
              <w:right w:val="nil"/>
            </w:tcBorders>
            <w:vAlign w:val="center"/>
          </w:tcPr>
          <w:p w14:paraId="7A13CAF5"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4.77 (1.35-16.45)</w:t>
            </w:r>
          </w:p>
        </w:tc>
      </w:tr>
    </w:tbl>
    <w:p w14:paraId="0927D5EF" w14:textId="77777777" w:rsidR="00EE29A5" w:rsidRPr="00843662" w:rsidRDefault="00EE29A5" w:rsidP="00843662">
      <w:pPr>
        <w:spacing w:after="0" w:line="360" w:lineRule="auto"/>
        <w:jc w:val="both"/>
        <w:rPr>
          <w:rFonts w:ascii="Book Antiqua" w:hAnsi="Book Antiqua" w:cs="Times New Roman"/>
          <w:sz w:val="24"/>
          <w:szCs w:val="24"/>
        </w:rPr>
      </w:pPr>
    </w:p>
    <w:p w14:paraId="5846F69B" w14:textId="77777777" w:rsidR="00EE29A5" w:rsidRPr="00843662" w:rsidRDefault="00EE29A5" w:rsidP="00843662">
      <w:pPr>
        <w:spacing w:after="0" w:line="360" w:lineRule="auto"/>
        <w:jc w:val="both"/>
        <w:rPr>
          <w:rFonts w:ascii="Book Antiqua" w:hAnsi="Book Antiqua" w:cs="Times New Roman"/>
          <w:sz w:val="24"/>
          <w:szCs w:val="24"/>
        </w:rPr>
      </w:pPr>
    </w:p>
    <w:p w14:paraId="443CCF4A" w14:textId="77777777" w:rsidR="00EE29A5" w:rsidRPr="00843662" w:rsidRDefault="00EE29A5"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br w:type="page"/>
      </w:r>
    </w:p>
    <w:p w14:paraId="356F8EC5" w14:textId="190A5B2F" w:rsidR="00EE29A5" w:rsidRPr="00F34AE4" w:rsidRDefault="00EE29A5" w:rsidP="00843662">
      <w:pPr>
        <w:spacing w:after="0" w:line="360" w:lineRule="auto"/>
        <w:jc w:val="both"/>
        <w:rPr>
          <w:rFonts w:ascii="Book Antiqua" w:hAnsi="Book Antiqua" w:cs="Times New Roman"/>
          <w:b/>
          <w:sz w:val="24"/>
          <w:szCs w:val="24"/>
        </w:rPr>
      </w:pPr>
      <w:r w:rsidRPr="00F34AE4">
        <w:rPr>
          <w:rFonts w:ascii="Book Antiqua" w:hAnsi="Book Antiqua" w:cs="Times New Roman"/>
          <w:b/>
          <w:sz w:val="24"/>
          <w:szCs w:val="24"/>
        </w:rPr>
        <w:lastRenderedPageBreak/>
        <w:t>Table 3</w:t>
      </w:r>
      <w:r w:rsidR="00F34AE4" w:rsidRPr="00F34AE4">
        <w:rPr>
          <w:rFonts w:ascii="Book Antiqua" w:hAnsi="Book Antiqua" w:cs="Times New Roman" w:hint="eastAsia"/>
          <w:b/>
          <w:sz w:val="24"/>
          <w:szCs w:val="24"/>
        </w:rPr>
        <w:t xml:space="preserve"> </w:t>
      </w:r>
      <w:r w:rsidRPr="00F34AE4">
        <w:rPr>
          <w:rFonts w:ascii="Book Antiqua" w:hAnsi="Book Antiqua" w:cs="Times New Roman"/>
          <w:b/>
          <w:sz w:val="24"/>
          <w:szCs w:val="24"/>
        </w:rPr>
        <w:t xml:space="preserve">Predictors of survival </w:t>
      </w:r>
      <w:r w:rsidR="00F34AE4">
        <w:rPr>
          <w:rFonts w:ascii="Book Antiqua" w:hAnsi="Book Antiqua" w:cs="Times New Roman" w:hint="eastAsia"/>
          <w:b/>
          <w:sz w:val="24"/>
          <w:szCs w:val="24"/>
        </w:rPr>
        <w:t>u</w:t>
      </w:r>
      <w:r w:rsidRPr="00F34AE4">
        <w:rPr>
          <w:rFonts w:ascii="Book Antiqua" w:hAnsi="Book Antiqua" w:cs="Times New Roman"/>
          <w:b/>
          <w:sz w:val="24"/>
          <w:szCs w:val="24"/>
        </w:rPr>
        <w:t>sing Kaplan-Meier</w:t>
      </w:r>
      <w:r w:rsidR="00F34AE4" w:rsidRPr="00F34AE4">
        <w:rPr>
          <w:rFonts w:ascii="Book Antiqua" w:hAnsi="Book Antiqua" w:cs="Times New Roman"/>
          <w:b/>
          <w:sz w:val="24"/>
          <w:szCs w:val="24"/>
        </w:rPr>
        <w:t xml:space="preserve"> survival c</w:t>
      </w:r>
      <w:r w:rsidRPr="00F34AE4">
        <w:rPr>
          <w:rFonts w:ascii="Book Antiqua" w:hAnsi="Book Antiqua" w:cs="Times New Roman"/>
          <w:b/>
          <w:sz w:val="24"/>
          <w:szCs w:val="24"/>
        </w:rPr>
        <w:t>urves</w:t>
      </w:r>
    </w:p>
    <w:tbl>
      <w:tblPr>
        <w:tblW w:w="3630" w:type="pct"/>
        <w:tblInd w:w="72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458"/>
        <w:gridCol w:w="2358"/>
        <w:gridCol w:w="1003"/>
        <w:gridCol w:w="1355"/>
      </w:tblGrid>
      <w:tr w:rsidR="00843662" w:rsidRPr="00843662" w14:paraId="71C86071" w14:textId="77777777" w:rsidTr="0099160A">
        <w:trPr>
          <w:trHeight w:val="729"/>
        </w:trPr>
        <w:tc>
          <w:tcPr>
            <w:tcW w:w="1181" w:type="pct"/>
            <w:tcBorders>
              <w:top w:val="single" w:sz="4" w:space="0" w:color="auto"/>
              <w:bottom w:val="single" w:sz="4" w:space="0" w:color="auto"/>
              <w:right w:val="nil"/>
            </w:tcBorders>
            <w:vAlign w:val="center"/>
          </w:tcPr>
          <w:p w14:paraId="13C4FC14" w14:textId="77777777" w:rsidR="00EE29A5" w:rsidRPr="00843662" w:rsidRDefault="00EE29A5" w:rsidP="00843662">
            <w:pPr>
              <w:spacing w:after="0" w:line="360" w:lineRule="auto"/>
              <w:jc w:val="both"/>
              <w:rPr>
                <w:rFonts w:ascii="Book Antiqua" w:hAnsi="Book Antiqua" w:cs="Times New Roman"/>
                <w:b/>
                <w:bCs/>
                <w:sz w:val="24"/>
                <w:szCs w:val="24"/>
              </w:rPr>
            </w:pPr>
            <w:r w:rsidRPr="00843662">
              <w:rPr>
                <w:rFonts w:ascii="Book Antiqua" w:hAnsi="Book Antiqua" w:cs="Times New Roman"/>
                <w:b/>
                <w:bCs/>
                <w:sz w:val="24"/>
                <w:szCs w:val="24"/>
              </w:rPr>
              <w:t>Test</w:t>
            </w:r>
          </w:p>
        </w:tc>
        <w:tc>
          <w:tcPr>
            <w:tcW w:w="1910" w:type="pct"/>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07073CF2" w14:textId="1484785F" w:rsidR="00EE29A5" w:rsidRPr="00843662" w:rsidRDefault="00EE29A5" w:rsidP="00F34AE4">
            <w:pPr>
              <w:spacing w:after="0" w:line="360" w:lineRule="auto"/>
              <w:jc w:val="both"/>
              <w:rPr>
                <w:rFonts w:ascii="Book Antiqua" w:hAnsi="Book Antiqua" w:cs="Times New Roman"/>
                <w:b/>
                <w:bCs/>
                <w:sz w:val="24"/>
                <w:szCs w:val="24"/>
              </w:rPr>
            </w:pPr>
            <w:r w:rsidRPr="00843662">
              <w:rPr>
                <w:rFonts w:ascii="Book Antiqua" w:hAnsi="Book Antiqua" w:cs="Times New Roman"/>
                <w:b/>
                <w:bCs/>
                <w:sz w:val="24"/>
                <w:szCs w:val="24"/>
              </w:rPr>
              <w:t xml:space="preserve">End </w:t>
            </w:r>
            <w:r w:rsidR="00F34AE4">
              <w:rPr>
                <w:rFonts w:ascii="Book Antiqua" w:hAnsi="Book Antiqua" w:cs="Times New Roman" w:hint="eastAsia"/>
                <w:b/>
                <w:bCs/>
                <w:sz w:val="24"/>
                <w:szCs w:val="24"/>
              </w:rPr>
              <w:t>p</w:t>
            </w:r>
            <w:r w:rsidRPr="00843662">
              <w:rPr>
                <w:rFonts w:ascii="Book Antiqua" w:hAnsi="Book Antiqua" w:cs="Times New Roman"/>
                <w:b/>
                <w:bCs/>
                <w:sz w:val="24"/>
                <w:szCs w:val="24"/>
              </w:rPr>
              <w:t>oint</w:t>
            </w:r>
          </w:p>
        </w:tc>
        <w:tc>
          <w:tcPr>
            <w:tcW w:w="812" w:type="pct"/>
            <w:tcBorders>
              <w:top w:val="single" w:sz="4" w:space="0" w:color="auto"/>
              <w:left w:val="nil"/>
              <w:bottom w:val="single" w:sz="4" w:space="0" w:color="auto"/>
              <w:right w:val="nil"/>
            </w:tcBorders>
            <w:vAlign w:val="center"/>
          </w:tcPr>
          <w:p w14:paraId="3BB9D3CD" w14:textId="16AD436A" w:rsidR="00EE29A5" w:rsidRPr="00843662" w:rsidRDefault="00F34AE4" w:rsidP="00F34AE4">
            <w:pPr>
              <w:spacing w:after="0" w:line="360" w:lineRule="auto"/>
              <w:jc w:val="both"/>
              <w:rPr>
                <w:rFonts w:ascii="Book Antiqua" w:hAnsi="Book Antiqua" w:cs="Times New Roman"/>
                <w:b/>
                <w:bCs/>
                <w:sz w:val="24"/>
                <w:szCs w:val="24"/>
              </w:rPr>
            </w:pPr>
            <w:r w:rsidRPr="00F34AE4">
              <w:rPr>
                <w:rFonts w:ascii="Book Antiqua" w:hAnsi="Book Antiqua" w:cs="Times New Roman"/>
                <w:b/>
                <w:bCs/>
                <w:i/>
                <w:sz w:val="24"/>
                <w:szCs w:val="24"/>
              </w:rPr>
              <w:t>P</w:t>
            </w:r>
            <w:r>
              <w:rPr>
                <w:rFonts w:ascii="Book Antiqua" w:hAnsi="Book Antiqua" w:cs="Times New Roman" w:hint="eastAsia"/>
                <w:b/>
                <w:bCs/>
                <w:sz w:val="24"/>
                <w:szCs w:val="24"/>
              </w:rPr>
              <w:t xml:space="preserve"> </w:t>
            </w:r>
            <w:r w:rsidR="00EE29A5" w:rsidRPr="00843662">
              <w:rPr>
                <w:rFonts w:ascii="Book Antiqua" w:hAnsi="Book Antiqua" w:cs="Times New Roman"/>
                <w:b/>
                <w:bCs/>
                <w:sz w:val="24"/>
                <w:szCs w:val="24"/>
              </w:rPr>
              <w:t>value (log rank)</w:t>
            </w:r>
          </w:p>
        </w:tc>
        <w:tc>
          <w:tcPr>
            <w:tcW w:w="1097" w:type="pct"/>
            <w:tcBorders>
              <w:top w:val="single" w:sz="4" w:space="0" w:color="auto"/>
              <w:left w:val="nil"/>
              <w:bottom w:val="single" w:sz="4" w:space="0" w:color="auto"/>
              <w:right w:val="nil"/>
            </w:tcBorders>
            <w:vAlign w:val="center"/>
          </w:tcPr>
          <w:p w14:paraId="62FF28AD" w14:textId="77777777" w:rsidR="00EE29A5" w:rsidRPr="00843662" w:rsidRDefault="00EE29A5" w:rsidP="00843662">
            <w:pPr>
              <w:spacing w:after="0" w:line="360" w:lineRule="auto"/>
              <w:jc w:val="both"/>
              <w:rPr>
                <w:rFonts w:ascii="Book Antiqua" w:hAnsi="Book Antiqua" w:cs="Times New Roman"/>
                <w:b/>
                <w:bCs/>
                <w:sz w:val="24"/>
                <w:szCs w:val="24"/>
              </w:rPr>
            </w:pPr>
            <w:r w:rsidRPr="00843662">
              <w:rPr>
                <w:rFonts w:ascii="Book Antiqua" w:hAnsi="Book Antiqua" w:cs="Times New Roman"/>
                <w:b/>
                <w:bCs/>
                <w:sz w:val="24"/>
                <w:szCs w:val="24"/>
              </w:rPr>
              <w:t>Cohort size</w:t>
            </w:r>
          </w:p>
        </w:tc>
      </w:tr>
      <w:tr w:rsidR="00843662" w:rsidRPr="00843662" w14:paraId="032E4EFA" w14:textId="77777777" w:rsidTr="0099160A">
        <w:trPr>
          <w:trHeight w:hRule="exact" w:val="394"/>
        </w:trPr>
        <w:tc>
          <w:tcPr>
            <w:tcW w:w="1181" w:type="pct"/>
            <w:vMerge w:val="restart"/>
            <w:tcBorders>
              <w:top w:val="single" w:sz="4" w:space="0" w:color="auto"/>
              <w:bottom w:val="nil"/>
            </w:tcBorders>
          </w:tcPr>
          <w:p w14:paraId="2F28C8F6"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Baseline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alone</w:t>
            </w:r>
          </w:p>
        </w:tc>
        <w:tc>
          <w:tcPr>
            <w:tcW w:w="1910" w:type="pct"/>
            <w:tcBorders>
              <w:top w:val="single" w:sz="4" w:space="0" w:color="auto"/>
              <w:bottom w:val="nil"/>
            </w:tcBorders>
            <w:shd w:val="clear" w:color="auto" w:fill="auto"/>
            <w:tcMar>
              <w:top w:w="15" w:type="dxa"/>
              <w:left w:w="108" w:type="dxa"/>
              <w:bottom w:w="0" w:type="dxa"/>
              <w:right w:w="108" w:type="dxa"/>
            </w:tcMar>
            <w:hideMark/>
          </w:tcPr>
          <w:p w14:paraId="4AB24D39"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Composite Endpoint</w:t>
            </w:r>
          </w:p>
        </w:tc>
        <w:tc>
          <w:tcPr>
            <w:tcW w:w="812" w:type="pct"/>
            <w:tcBorders>
              <w:top w:val="single" w:sz="4" w:space="0" w:color="auto"/>
              <w:bottom w:val="nil"/>
            </w:tcBorders>
            <w:vAlign w:val="center"/>
          </w:tcPr>
          <w:p w14:paraId="354964F7" w14:textId="1000025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&lt;</w:t>
            </w:r>
            <w:r w:rsidR="00F34AE4">
              <w:rPr>
                <w:rFonts w:ascii="Book Antiqua" w:hAnsi="Book Antiqua" w:cs="Times New Roman" w:hint="eastAsia"/>
                <w:sz w:val="24"/>
                <w:szCs w:val="24"/>
              </w:rPr>
              <w:t xml:space="preserve"> </w:t>
            </w:r>
            <w:r w:rsidRPr="00843662">
              <w:rPr>
                <w:rFonts w:ascii="Book Antiqua" w:hAnsi="Book Antiqua" w:cs="Times New Roman"/>
                <w:sz w:val="24"/>
                <w:szCs w:val="24"/>
              </w:rPr>
              <w:t>0.001</w:t>
            </w:r>
          </w:p>
        </w:tc>
        <w:tc>
          <w:tcPr>
            <w:tcW w:w="1097" w:type="pct"/>
            <w:tcBorders>
              <w:top w:val="single" w:sz="4" w:space="0" w:color="auto"/>
              <w:bottom w:val="nil"/>
              <w:right w:val="nil"/>
            </w:tcBorders>
            <w:vAlign w:val="center"/>
          </w:tcPr>
          <w:p w14:paraId="5BB328BA"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346</w:t>
            </w:r>
          </w:p>
        </w:tc>
      </w:tr>
      <w:tr w:rsidR="00843662" w:rsidRPr="00843662" w14:paraId="5453E9B6" w14:textId="77777777" w:rsidTr="0099160A">
        <w:trPr>
          <w:trHeight w:hRule="exact" w:val="397"/>
        </w:trPr>
        <w:tc>
          <w:tcPr>
            <w:tcW w:w="1181" w:type="pct"/>
            <w:vMerge/>
            <w:tcBorders>
              <w:top w:val="nil"/>
              <w:bottom w:val="nil"/>
            </w:tcBorders>
          </w:tcPr>
          <w:p w14:paraId="22987369" w14:textId="77777777" w:rsidR="00EE29A5" w:rsidRPr="00843662" w:rsidRDefault="00EE29A5" w:rsidP="00843662">
            <w:pPr>
              <w:spacing w:after="0" w:line="360" w:lineRule="auto"/>
              <w:jc w:val="both"/>
              <w:rPr>
                <w:rFonts w:ascii="Book Antiqua" w:hAnsi="Book Antiqua" w:cs="Times New Roman"/>
                <w:sz w:val="24"/>
                <w:szCs w:val="24"/>
              </w:rPr>
            </w:pPr>
          </w:p>
        </w:tc>
        <w:tc>
          <w:tcPr>
            <w:tcW w:w="1910" w:type="pct"/>
            <w:tcBorders>
              <w:top w:val="nil"/>
              <w:bottom w:val="nil"/>
            </w:tcBorders>
            <w:shd w:val="clear" w:color="auto" w:fill="auto"/>
            <w:tcMar>
              <w:top w:w="15" w:type="dxa"/>
              <w:left w:w="108" w:type="dxa"/>
              <w:bottom w:w="0" w:type="dxa"/>
              <w:right w:w="108" w:type="dxa"/>
            </w:tcMar>
            <w:hideMark/>
          </w:tcPr>
          <w:p w14:paraId="4D904B87"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LRD</w:t>
            </w:r>
          </w:p>
        </w:tc>
        <w:tc>
          <w:tcPr>
            <w:tcW w:w="812" w:type="pct"/>
            <w:tcBorders>
              <w:top w:val="nil"/>
              <w:bottom w:val="nil"/>
            </w:tcBorders>
            <w:vAlign w:val="center"/>
          </w:tcPr>
          <w:p w14:paraId="33AE565B" w14:textId="6B668C5C"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&lt;</w:t>
            </w:r>
            <w:r w:rsidR="00F34AE4">
              <w:rPr>
                <w:rFonts w:ascii="Book Antiqua" w:hAnsi="Book Antiqua" w:cs="Times New Roman" w:hint="eastAsia"/>
                <w:sz w:val="24"/>
                <w:szCs w:val="24"/>
              </w:rPr>
              <w:t xml:space="preserve"> </w:t>
            </w:r>
            <w:r w:rsidRPr="00843662">
              <w:rPr>
                <w:rFonts w:ascii="Book Antiqua" w:hAnsi="Book Antiqua" w:cs="Times New Roman"/>
                <w:sz w:val="24"/>
                <w:szCs w:val="24"/>
              </w:rPr>
              <w:t>0.001</w:t>
            </w:r>
          </w:p>
        </w:tc>
        <w:tc>
          <w:tcPr>
            <w:tcW w:w="1097" w:type="pct"/>
            <w:tcBorders>
              <w:top w:val="nil"/>
              <w:bottom w:val="nil"/>
              <w:right w:val="nil"/>
            </w:tcBorders>
            <w:vAlign w:val="center"/>
          </w:tcPr>
          <w:p w14:paraId="4233B281"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352</w:t>
            </w:r>
          </w:p>
        </w:tc>
      </w:tr>
      <w:tr w:rsidR="00843662" w:rsidRPr="00843662" w14:paraId="3327F75B" w14:textId="77777777" w:rsidTr="0099160A">
        <w:trPr>
          <w:trHeight w:hRule="exact" w:val="397"/>
        </w:trPr>
        <w:tc>
          <w:tcPr>
            <w:tcW w:w="1181" w:type="pct"/>
            <w:vMerge/>
            <w:tcBorders>
              <w:top w:val="nil"/>
              <w:bottom w:val="nil"/>
            </w:tcBorders>
          </w:tcPr>
          <w:p w14:paraId="3239C5B5" w14:textId="77777777" w:rsidR="00EE29A5" w:rsidRPr="00843662" w:rsidRDefault="00EE29A5" w:rsidP="00843662">
            <w:pPr>
              <w:spacing w:after="0" w:line="360" w:lineRule="auto"/>
              <w:jc w:val="both"/>
              <w:rPr>
                <w:rFonts w:ascii="Book Antiqua" w:hAnsi="Book Antiqua" w:cs="Times New Roman"/>
                <w:sz w:val="24"/>
                <w:szCs w:val="24"/>
              </w:rPr>
            </w:pPr>
          </w:p>
        </w:tc>
        <w:tc>
          <w:tcPr>
            <w:tcW w:w="1910" w:type="pct"/>
            <w:tcBorders>
              <w:top w:val="nil"/>
              <w:bottom w:val="nil"/>
            </w:tcBorders>
            <w:shd w:val="clear" w:color="auto" w:fill="auto"/>
            <w:tcMar>
              <w:top w:w="15" w:type="dxa"/>
              <w:left w:w="108" w:type="dxa"/>
              <w:bottom w:w="0" w:type="dxa"/>
              <w:right w:w="108" w:type="dxa"/>
            </w:tcMar>
            <w:hideMark/>
          </w:tcPr>
          <w:p w14:paraId="6D627B61"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LD</w:t>
            </w:r>
          </w:p>
        </w:tc>
        <w:tc>
          <w:tcPr>
            <w:tcW w:w="812" w:type="pct"/>
            <w:tcBorders>
              <w:top w:val="nil"/>
              <w:bottom w:val="nil"/>
            </w:tcBorders>
            <w:vAlign w:val="center"/>
          </w:tcPr>
          <w:p w14:paraId="76243524" w14:textId="58238D92"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&lt;</w:t>
            </w:r>
            <w:r w:rsidR="00F34AE4">
              <w:rPr>
                <w:rFonts w:ascii="Book Antiqua" w:hAnsi="Book Antiqua" w:cs="Times New Roman" w:hint="eastAsia"/>
                <w:sz w:val="24"/>
                <w:szCs w:val="24"/>
              </w:rPr>
              <w:t xml:space="preserve"> </w:t>
            </w:r>
            <w:r w:rsidRPr="00843662">
              <w:rPr>
                <w:rFonts w:ascii="Book Antiqua" w:hAnsi="Book Antiqua" w:cs="Times New Roman"/>
                <w:sz w:val="24"/>
                <w:szCs w:val="24"/>
              </w:rPr>
              <w:t>0.001</w:t>
            </w:r>
          </w:p>
        </w:tc>
        <w:tc>
          <w:tcPr>
            <w:tcW w:w="1097" w:type="pct"/>
            <w:tcBorders>
              <w:top w:val="nil"/>
              <w:bottom w:val="nil"/>
              <w:right w:val="nil"/>
            </w:tcBorders>
            <w:vAlign w:val="center"/>
          </w:tcPr>
          <w:p w14:paraId="66179E7C"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348</w:t>
            </w:r>
          </w:p>
        </w:tc>
      </w:tr>
      <w:tr w:rsidR="00843662" w:rsidRPr="00843662" w14:paraId="669CF831" w14:textId="77777777" w:rsidTr="0099160A">
        <w:trPr>
          <w:trHeight w:hRule="exact" w:val="397"/>
        </w:trPr>
        <w:tc>
          <w:tcPr>
            <w:tcW w:w="1181" w:type="pct"/>
            <w:vMerge/>
            <w:tcBorders>
              <w:top w:val="nil"/>
              <w:bottom w:val="single" w:sz="4" w:space="0" w:color="auto"/>
            </w:tcBorders>
          </w:tcPr>
          <w:p w14:paraId="1F491EA6" w14:textId="77777777" w:rsidR="00EE29A5" w:rsidRPr="00843662" w:rsidRDefault="00EE29A5" w:rsidP="00843662">
            <w:pPr>
              <w:spacing w:after="0" w:line="360" w:lineRule="auto"/>
              <w:jc w:val="both"/>
              <w:rPr>
                <w:rFonts w:ascii="Book Antiqua" w:hAnsi="Book Antiqua" w:cs="Times New Roman"/>
                <w:sz w:val="24"/>
                <w:szCs w:val="24"/>
              </w:rPr>
            </w:pPr>
          </w:p>
        </w:tc>
        <w:tc>
          <w:tcPr>
            <w:tcW w:w="1910" w:type="pct"/>
            <w:tcBorders>
              <w:top w:val="nil"/>
              <w:bottom w:val="single" w:sz="4" w:space="0" w:color="auto"/>
            </w:tcBorders>
            <w:shd w:val="clear" w:color="auto" w:fill="auto"/>
            <w:tcMar>
              <w:top w:w="15" w:type="dxa"/>
              <w:left w:w="108" w:type="dxa"/>
              <w:bottom w:w="0" w:type="dxa"/>
              <w:right w:w="108" w:type="dxa"/>
            </w:tcMar>
            <w:hideMark/>
          </w:tcPr>
          <w:p w14:paraId="53298FCF"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HCC</w:t>
            </w:r>
          </w:p>
        </w:tc>
        <w:tc>
          <w:tcPr>
            <w:tcW w:w="812" w:type="pct"/>
            <w:tcBorders>
              <w:top w:val="nil"/>
              <w:bottom w:val="single" w:sz="4" w:space="0" w:color="auto"/>
            </w:tcBorders>
            <w:vAlign w:val="center"/>
          </w:tcPr>
          <w:p w14:paraId="7C7ED94E" w14:textId="66FB064F"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&lt;</w:t>
            </w:r>
            <w:r w:rsidR="00F34AE4">
              <w:rPr>
                <w:rFonts w:ascii="Book Antiqua" w:hAnsi="Book Antiqua" w:cs="Times New Roman" w:hint="eastAsia"/>
                <w:sz w:val="24"/>
                <w:szCs w:val="24"/>
              </w:rPr>
              <w:t xml:space="preserve"> </w:t>
            </w:r>
            <w:r w:rsidRPr="00843662">
              <w:rPr>
                <w:rFonts w:ascii="Book Antiqua" w:hAnsi="Book Antiqua" w:cs="Times New Roman"/>
                <w:sz w:val="24"/>
                <w:szCs w:val="24"/>
              </w:rPr>
              <w:t>0.001</w:t>
            </w:r>
          </w:p>
        </w:tc>
        <w:tc>
          <w:tcPr>
            <w:tcW w:w="1097" w:type="pct"/>
            <w:tcBorders>
              <w:top w:val="nil"/>
              <w:bottom w:val="single" w:sz="4" w:space="0" w:color="auto"/>
              <w:right w:val="nil"/>
            </w:tcBorders>
            <w:vAlign w:val="center"/>
          </w:tcPr>
          <w:p w14:paraId="29636EC3"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350</w:t>
            </w:r>
          </w:p>
        </w:tc>
      </w:tr>
      <w:tr w:rsidR="00843662" w:rsidRPr="00843662" w14:paraId="0B7F46C1" w14:textId="77777777" w:rsidTr="0099160A">
        <w:trPr>
          <w:trHeight w:hRule="exact" w:val="392"/>
        </w:trPr>
        <w:tc>
          <w:tcPr>
            <w:tcW w:w="1181" w:type="pct"/>
            <w:vMerge w:val="restart"/>
            <w:tcBorders>
              <w:top w:val="single" w:sz="4" w:space="0" w:color="auto"/>
              <w:bottom w:val="nil"/>
            </w:tcBorders>
          </w:tcPr>
          <w:p w14:paraId="2EEA6956"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Delta </w:t>
            </w:r>
            <w:proofErr w:type="spellStart"/>
            <w:r w:rsidRPr="00843662">
              <w:rPr>
                <w:rFonts w:ascii="Book Antiqua" w:hAnsi="Book Antiqua" w:cs="Times New Roman"/>
                <w:sz w:val="24"/>
                <w:szCs w:val="24"/>
              </w:rPr>
              <w:t>Hepascore</w:t>
            </w:r>
            <w:proofErr w:type="spellEnd"/>
          </w:p>
        </w:tc>
        <w:tc>
          <w:tcPr>
            <w:tcW w:w="1910" w:type="pct"/>
            <w:tcBorders>
              <w:top w:val="single" w:sz="4" w:space="0" w:color="auto"/>
              <w:bottom w:val="nil"/>
            </w:tcBorders>
            <w:shd w:val="clear" w:color="auto" w:fill="auto"/>
            <w:tcMar>
              <w:top w:w="15" w:type="dxa"/>
              <w:left w:w="108" w:type="dxa"/>
              <w:bottom w:w="0" w:type="dxa"/>
              <w:right w:w="108" w:type="dxa"/>
            </w:tcMar>
          </w:tcPr>
          <w:p w14:paraId="71D7D38B"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Composite Endpoint</w:t>
            </w:r>
          </w:p>
        </w:tc>
        <w:tc>
          <w:tcPr>
            <w:tcW w:w="812" w:type="pct"/>
            <w:tcBorders>
              <w:top w:val="single" w:sz="4" w:space="0" w:color="auto"/>
              <w:bottom w:val="nil"/>
            </w:tcBorders>
            <w:vAlign w:val="center"/>
          </w:tcPr>
          <w:p w14:paraId="7FDB6A63"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0.004</w:t>
            </w:r>
          </w:p>
        </w:tc>
        <w:tc>
          <w:tcPr>
            <w:tcW w:w="1097" w:type="pct"/>
            <w:tcBorders>
              <w:top w:val="single" w:sz="4" w:space="0" w:color="auto"/>
              <w:bottom w:val="nil"/>
              <w:right w:val="nil"/>
            </w:tcBorders>
            <w:vAlign w:val="center"/>
          </w:tcPr>
          <w:p w14:paraId="1F8D5193"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96</w:t>
            </w:r>
          </w:p>
        </w:tc>
      </w:tr>
      <w:tr w:rsidR="00843662" w:rsidRPr="00843662" w14:paraId="23DEC9C3" w14:textId="77777777" w:rsidTr="0099160A">
        <w:trPr>
          <w:trHeight w:hRule="exact" w:val="397"/>
        </w:trPr>
        <w:tc>
          <w:tcPr>
            <w:tcW w:w="1181" w:type="pct"/>
            <w:vMerge/>
            <w:tcBorders>
              <w:top w:val="nil"/>
              <w:bottom w:val="nil"/>
            </w:tcBorders>
          </w:tcPr>
          <w:p w14:paraId="2CC9FF21" w14:textId="77777777" w:rsidR="00EE29A5" w:rsidRPr="00843662" w:rsidRDefault="00EE29A5" w:rsidP="00843662">
            <w:pPr>
              <w:spacing w:after="0" w:line="360" w:lineRule="auto"/>
              <w:jc w:val="both"/>
              <w:rPr>
                <w:rFonts w:ascii="Book Antiqua" w:hAnsi="Book Antiqua" w:cs="Times New Roman"/>
                <w:sz w:val="24"/>
                <w:szCs w:val="24"/>
              </w:rPr>
            </w:pPr>
          </w:p>
        </w:tc>
        <w:tc>
          <w:tcPr>
            <w:tcW w:w="1910" w:type="pct"/>
            <w:tcBorders>
              <w:top w:val="nil"/>
              <w:bottom w:val="nil"/>
            </w:tcBorders>
            <w:shd w:val="clear" w:color="auto" w:fill="auto"/>
            <w:tcMar>
              <w:top w:w="15" w:type="dxa"/>
              <w:left w:w="108" w:type="dxa"/>
              <w:bottom w:w="0" w:type="dxa"/>
              <w:right w:w="108" w:type="dxa"/>
            </w:tcMar>
          </w:tcPr>
          <w:p w14:paraId="5C4D647C"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LRD</w:t>
            </w:r>
          </w:p>
        </w:tc>
        <w:tc>
          <w:tcPr>
            <w:tcW w:w="812" w:type="pct"/>
            <w:tcBorders>
              <w:top w:val="nil"/>
              <w:bottom w:val="nil"/>
            </w:tcBorders>
            <w:vAlign w:val="center"/>
          </w:tcPr>
          <w:p w14:paraId="2014DE89"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0.048</w:t>
            </w:r>
          </w:p>
        </w:tc>
        <w:tc>
          <w:tcPr>
            <w:tcW w:w="1097" w:type="pct"/>
            <w:tcBorders>
              <w:top w:val="nil"/>
              <w:bottom w:val="nil"/>
              <w:right w:val="nil"/>
            </w:tcBorders>
            <w:vAlign w:val="center"/>
          </w:tcPr>
          <w:p w14:paraId="5BAA006A"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105</w:t>
            </w:r>
          </w:p>
        </w:tc>
      </w:tr>
      <w:tr w:rsidR="00843662" w:rsidRPr="00843662" w14:paraId="61E077A6" w14:textId="77777777" w:rsidTr="0099160A">
        <w:trPr>
          <w:trHeight w:hRule="exact" w:val="397"/>
        </w:trPr>
        <w:tc>
          <w:tcPr>
            <w:tcW w:w="1181" w:type="pct"/>
            <w:vMerge/>
            <w:tcBorders>
              <w:top w:val="nil"/>
              <w:bottom w:val="nil"/>
            </w:tcBorders>
          </w:tcPr>
          <w:p w14:paraId="34EEFCDB" w14:textId="77777777" w:rsidR="00EE29A5" w:rsidRPr="00843662" w:rsidRDefault="00EE29A5" w:rsidP="00843662">
            <w:pPr>
              <w:spacing w:after="0" w:line="360" w:lineRule="auto"/>
              <w:jc w:val="both"/>
              <w:rPr>
                <w:rFonts w:ascii="Book Antiqua" w:hAnsi="Book Antiqua" w:cs="Times New Roman"/>
                <w:sz w:val="24"/>
                <w:szCs w:val="24"/>
              </w:rPr>
            </w:pPr>
          </w:p>
        </w:tc>
        <w:tc>
          <w:tcPr>
            <w:tcW w:w="1910" w:type="pct"/>
            <w:tcBorders>
              <w:top w:val="nil"/>
              <w:bottom w:val="nil"/>
            </w:tcBorders>
            <w:shd w:val="clear" w:color="auto" w:fill="auto"/>
            <w:tcMar>
              <w:top w:w="15" w:type="dxa"/>
              <w:left w:w="108" w:type="dxa"/>
              <w:bottom w:w="0" w:type="dxa"/>
              <w:right w:w="108" w:type="dxa"/>
            </w:tcMar>
          </w:tcPr>
          <w:p w14:paraId="4F672E2E"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LD</w:t>
            </w:r>
          </w:p>
        </w:tc>
        <w:tc>
          <w:tcPr>
            <w:tcW w:w="812" w:type="pct"/>
            <w:tcBorders>
              <w:top w:val="nil"/>
              <w:bottom w:val="nil"/>
            </w:tcBorders>
            <w:vAlign w:val="center"/>
          </w:tcPr>
          <w:p w14:paraId="446385A2"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0.001</w:t>
            </w:r>
          </w:p>
        </w:tc>
        <w:tc>
          <w:tcPr>
            <w:tcW w:w="1097" w:type="pct"/>
            <w:tcBorders>
              <w:top w:val="nil"/>
              <w:bottom w:val="nil"/>
              <w:right w:val="nil"/>
            </w:tcBorders>
            <w:vAlign w:val="center"/>
          </w:tcPr>
          <w:p w14:paraId="390A7969"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101</w:t>
            </w:r>
          </w:p>
        </w:tc>
      </w:tr>
      <w:tr w:rsidR="00EE29A5" w:rsidRPr="00843662" w14:paraId="4ACF8C33" w14:textId="77777777" w:rsidTr="0099160A">
        <w:trPr>
          <w:trHeight w:hRule="exact" w:val="397"/>
        </w:trPr>
        <w:tc>
          <w:tcPr>
            <w:tcW w:w="1181" w:type="pct"/>
            <w:tcBorders>
              <w:top w:val="nil"/>
              <w:bottom w:val="single" w:sz="4" w:space="0" w:color="auto"/>
            </w:tcBorders>
          </w:tcPr>
          <w:p w14:paraId="7B5B1895" w14:textId="77777777" w:rsidR="00EE29A5" w:rsidRPr="00843662" w:rsidRDefault="00EE29A5" w:rsidP="00843662">
            <w:pPr>
              <w:spacing w:after="0" w:line="360" w:lineRule="auto"/>
              <w:jc w:val="both"/>
              <w:rPr>
                <w:rFonts w:ascii="Book Antiqua" w:hAnsi="Book Antiqua" w:cs="Times New Roman"/>
                <w:sz w:val="24"/>
                <w:szCs w:val="24"/>
              </w:rPr>
            </w:pPr>
          </w:p>
        </w:tc>
        <w:tc>
          <w:tcPr>
            <w:tcW w:w="1910" w:type="pct"/>
            <w:tcBorders>
              <w:top w:val="nil"/>
              <w:bottom w:val="single" w:sz="4" w:space="0" w:color="auto"/>
            </w:tcBorders>
            <w:shd w:val="clear" w:color="auto" w:fill="auto"/>
            <w:tcMar>
              <w:top w:w="15" w:type="dxa"/>
              <w:left w:w="108" w:type="dxa"/>
              <w:bottom w:w="0" w:type="dxa"/>
              <w:right w:w="108" w:type="dxa"/>
            </w:tcMar>
          </w:tcPr>
          <w:p w14:paraId="70CB00F1"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HCC</w:t>
            </w:r>
          </w:p>
        </w:tc>
        <w:tc>
          <w:tcPr>
            <w:tcW w:w="812" w:type="pct"/>
            <w:tcBorders>
              <w:top w:val="nil"/>
              <w:bottom w:val="single" w:sz="4" w:space="0" w:color="auto"/>
            </w:tcBorders>
            <w:vAlign w:val="center"/>
          </w:tcPr>
          <w:p w14:paraId="36EFFE49"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0.178</w:t>
            </w:r>
          </w:p>
        </w:tc>
        <w:tc>
          <w:tcPr>
            <w:tcW w:w="1097" w:type="pct"/>
            <w:tcBorders>
              <w:top w:val="nil"/>
              <w:bottom w:val="single" w:sz="4" w:space="0" w:color="auto"/>
              <w:right w:val="nil"/>
            </w:tcBorders>
            <w:vAlign w:val="center"/>
          </w:tcPr>
          <w:p w14:paraId="2FFAFD2E"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100</w:t>
            </w:r>
          </w:p>
        </w:tc>
      </w:tr>
    </w:tbl>
    <w:p w14:paraId="17426D1A" w14:textId="77777777" w:rsidR="00EE29A5" w:rsidRPr="00843662" w:rsidRDefault="00EE29A5" w:rsidP="00843662">
      <w:pPr>
        <w:spacing w:after="0" w:line="360" w:lineRule="auto"/>
        <w:jc w:val="both"/>
        <w:rPr>
          <w:rFonts w:ascii="Book Antiqua" w:hAnsi="Book Antiqua" w:cs="Times New Roman"/>
          <w:sz w:val="24"/>
          <w:szCs w:val="24"/>
        </w:rPr>
      </w:pPr>
    </w:p>
    <w:p w14:paraId="6A60397D" w14:textId="77777777" w:rsidR="00EE29A5" w:rsidRPr="00843662" w:rsidRDefault="00EE29A5" w:rsidP="00843662">
      <w:pPr>
        <w:spacing w:after="0" w:line="360" w:lineRule="auto"/>
        <w:jc w:val="both"/>
        <w:rPr>
          <w:rFonts w:ascii="Book Antiqua" w:hAnsi="Book Antiqua" w:cs="Times New Roman"/>
          <w:sz w:val="24"/>
          <w:szCs w:val="24"/>
        </w:rPr>
      </w:pPr>
    </w:p>
    <w:p w14:paraId="6B59B2E0" w14:textId="77777777" w:rsidR="00EE29A5" w:rsidRPr="00843662" w:rsidRDefault="00EE29A5"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br w:type="page"/>
      </w:r>
    </w:p>
    <w:p w14:paraId="6003BB43" w14:textId="198DFEA8" w:rsidR="00EE29A5" w:rsidRPr="00843662" w:rsidRDefault="00EE29A5" w:rsidP="00843662">
      <w:pPr>
        <w:spacing w:after="0" w:line="360" w:lineRule="auto"/>
        <w:jc w:val="both"/>
        <w:rPr>
          <w:rFonts w:ascii="Book Antiqua" w:hAnsi="Book Antiqua" w:cs="Times New Roman"/>
          <w:b/>
          <w:sz w:val="24"/>
          <w:szCs w:val="24"/>
        </w:rPr>
      </w:pPr>
      <w:r w:rsidRPr="00843662">
        <w:rPr>
          <w:rFonts w:ascii="Book Antiqua" w:hAnsi="Book Antiqua" w:cs="Times New Roman"/>
          <w:b/>
          <w:sz w:val="24"/>
          <w:szCs w:val="24"/>
        </w:rPr>
        <w:lastRenderedPageBreak/>
        <w:t xml:space="preserve">Table </w:t>
      </w:r>
      <w:r w:rsidR="00A843BB" w:rsidRPr="00843662">
        <w:rPr>
          <w:rFonts w:ascii="Book Antiqua" w:hAnsi="Book Antiqua" w:cs="Times New Roman"/>
          <w:b/>
          <w:sz w:val="24"/>
          <w:szCs w:val="24"/>
        </w:rPr>
        <w:t>4</w:t>
      </w:r>
      <w:r w:rsidR="00A322FC">
        <w:rPr>
          <w:rFonts w:ascii="Book Antiqua" w:hAnsi="Book Antiqua" w:cs="Times New Roman" w:hint="eastAsia"/>
          <w:sz w:val="24"/>
          <w:szCs w:val="24"/>
        </w:rPr>
        <w:t xml:space="preserve"> </w:t>
      </w:r>
      <w:r w:rsidRPr="00A322FC">
        <w:rPr>
          <w:rFonts w:ascii="Book Antiqua" w:hAnsi="Book Antiqua" w:cs="Times New Roman"/>
          <w:b/>
          <w:sz w:val="24"/>
          <w:szCs w:val="24"/>
        </w:rPr>
        <w:t xml:space="preserve">Predictors of survival Using </w:t>
      </w:r>
      <w:r w:rsidR="00F34AE4" w:rsidRPr="00A322FC">
        <w:rPr>
          <w:rFonts w:ascii="Book Antiqua" w:hAnsi="Book Antiqua" w:cs="Times New Roman"/>
          <w:b/>
          <w:sz w:val="24"/>
          <w:szCs w:val="24"/>
        </w:rPr>
        <w:t>Area under Receiver Operating Characteristic</w:t>
      </w:r>
    </w:p>
    <w:tbl>
      <w:tblPr>
        <w:tblW w:w="4627" w:type="pct"/>
        <w:tblInd w:w="72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934"/>
        <w:gridCol w:w="3808"/>
        <w:gridCol w:w="2128"/>
      </w:tblGrid>
      <w:tr w:rsidR="00843662" w:rsidRPr="00843662" w14:paraId="15828912" w14:textId="77777777" w:rsidTr="00727844">
        <w:trPr>
          <w:trHeight w:hRule="exact" w:val="397"/>
        </w:trPr>
        <w:tc>
          <w:tcPr>
            <w:tcW w:w="1229" w:type="pct"/>
            <w:tcBorders>
              <w:bottom w:val="single" w:sz="4" w:space="0" w:color="auto"/>
            </w:tcBorders>
          </w:tcPr>
          <w:p w14:paraId="0A33D249" w14:textId="77777777" w:rsidR="00EE29A5" w:rsidRPr="00843662" w:rsidRDefault="00EE29A5" w:rsidP="00843662">
            <w:pPr>
              <w:spacing w:after="0" w:line="360" w:lineRule="auto"/>
              <w:jc w:val="both"/>
              <w:rPr>
                <w:rFonts w:ascii="Book Antiqua" w:hAnsi="Book Antiqua" w:cs="Times New Roman"/>
                <w:b/>
                <w:bCs/>
                <w:sz w:val="24"/>
                <w:szCs w:val="24"/>
              </w:rPr>
            </w:pPr>
            <w:r w:rsidRPr="00843662">
              <w:rPr>
                <w:rFonts w:ascii="Book Antiqua" w:hAnsi="Book Antiqua" w:cs="Times New Roman"/>
                <w:b/>
                <w:bCs/>
                <w:sz w:val="24"/>
                <w:szCs w:val="24"/>
              </w:rPr>
              <w:t>Test</w:t>
            </w:r>
          </w:p>
        </w:tc>
        <w:tc>
          <w:tcPr>
            <w:tcW w:w="2419" w:type="pct"/>
            <w:tcBorders>
              <w:bottom w:val="single" w:sz="4" w:space="0" w:color="auto"/>
            </w:tcBorders>
            <w:shd w:val="clear" w:color="auto" w:fill="auto"/>
            <w:tcMar>
              <w:top w:w="15" w:type="dxa"/>
              <w:left w:w="108" w:type="dxa"/>
              <w:bottom w:w="0" w:type="dxa"/>
              <w:right w:w="108" w:type="dxa"/>
            </w:tcMar>
            <w:hideMark/>
          </w:tcPr>
          <w:p w14:paraId="0116DEF0" w14:textId="7F58AD0F" w:rsidR="00EE29A5" w:rsidRPr="00843662" w:rsidRDefault="00EE29A5" w:rsidP="00A322FC">
            <w:pPr>
              <w:spacing w:after="0" w:line="360" w:lineRule="auto"/>
              <w:jc w:val="both"/>
              <w:rPr>
                <w:rFonts w:ascii="Book Antiqua" w:hAnsi="Book Antiqua" w:cs="Times New Roman"/>
                <w:sz w:val="24"/>
                <w:szCs w:val="24"/>
              </w:rPr>
            </w:pPr>
            <w:r w:rsidRPr="00843662">
              <w:rPr>
                <w:rFonts w:ascii="Book Antiqua" w:hAnsi="Book Antiqua" w:cs="Times New Roman"/>
                <w:b/>
                <w:bCs/>
                <w:sz w:val="24"/>
                <w:szCs w:val="24"/>
              </w:rPr>
              <w:t xml:space="preserve">End </w:t>
            </w:r>
            <w:r w:rsidR="00A322FC">
              <w:rPr>
                <w:rFonts w:ascii="Book Antiqua" w:hAnsi="Book Antiqua" w:cs="Times New Roman" w:hint="eastAsia"/>
                <w:b/>
                <w:bCs/>
                <w:sz w:val="24"/>
                <w:szCs w:val="24"/>
              </w:rPr>
              <w:t>p</w:t>
            </w:r>
            <w:r w:rsidRPr="00843662">
              <w:rPr>
                <w:rFonts w:ascii="Book Antiqua" w:hAnsi="Book Antiqua" w:cs="Times New Roman"/>
                <w:b/>
                <w:bCs/>
                <w:sz w:val="24"/>
                <w:szCs w:val="24"/>
              </w:rPr>
              <w:t>oint</w:t>
            </w:r>
          </w:p>
        </w:tc>
        <w:tc>
          <w:tcPr>
            <w:tcW w:w="1352" w:type="pct"/>
            <w:tcBorders>
              <w:bottom w:val="single" w:sz="4" w:space="0" w:color="auto"/>
            </w:tcBorders>
          </w:tcPr>
          <w:p w14:paraId="65735B4D" w14:textId="77777777" w:rsidR="00EE29A5" w:rsidRPr="00843662" w:rsidRDefault="00EE29A5" w:rsidP="00843662">
            <w:pPr>
              <w:spacing w:after="0" w:line="360" w:lineRule="auto"/>
              <w:jc w:val="both"/>
              <w:rPr>
                <w:rFonts w:ascii="Book Antiqua" w:hAnsi="Book Antiqua" w:cs="Times New Roman"/>
                <w:b/>
                <w:bCs/>
                <w:sz w:val="24"/>
                <w:szCs w:val="24"/>
              </w:rPr>
            </w:pPr>
            <w:r w:rsidRPr="00843662">
              <w:rPr>
                <w:rFonts w:ascii="Book Antiqua" w:hAnsi="Book Antiqua" w:cs="Times New Roman"/>
                <w:b/>
                <w:bCs/>
                <w:sz w:val="24"/>
                <w:szCs w:val="24"/>
              </w:rPr>
              <w:t>AUROC</w:t>
            </w:r>
          </w:p>
        </w:tc>
      </w:tr>
      <w:tr w:rsidR="00843662" w:rsidRPr="00843662" w14:paraId="173B8621" w14:textId="77777777" w:rsidTr="00727844">
        <w:trPr>
          <w:trHeight w:hRule="exact" w:val="397"/>
        </w:trPr>
        <w:tc>
          <w:tcPr>
            <w:tcW w:w="1229" w:type="pct"/>
            <w:vMerge w:val="restart"/>
            <w:tcBorders>
              <w:top w:val="single" w:sz="4" w:space="0" w:color="auto"/>
            </w:tcBorders>
          </w:tcPr>
          <w:p w14:paraId="4BD12C4A"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Baseline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alone</w:t>
            </w:r>
          </w:p>
        </w:tc>
        <w:tc>
          <w:tcPr>
            <w:tcW w:w="2419" w:type="pct"/>
            <w:tcBorders>
              <w:top w:val="single" w:sz="4" w:space="0" w:color="auto"/>
            </w:tcBorders>
            <w:shd w:val="clear" w:color="auto" w:fill="auto"/>
            <w:tcMar>
              <w:top w:w="15" w:type="dxa"/>
              <w:left w:w="108" w:type="dxa"/>
              <w:bottom w:w="0" w:type="dxa"/>
              <w:right w:w="108" w:type="dxa"/>
            </w:tcMar>
            <w:hideMark/>
          </w:tcPr>
          <w:p w14:paraId="329CE7ED" w14:textId="377CF1C8" w:rsidR="00EE29A5" w:rsidRPr="00843662" w:rsidRDefault="00EE29A5" w:rsidP="00A322FC">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Composite </w:t>
            </w:r>
            <w:r w:rsidR="00A322FC">
              <w:rPr>
                <w:rFonts w:ascii="Book Antiqua" w:hAnsi="Book Antiqua" w:cs="Times New Roman" w:hint="eastAsia"/>
                <w:sz w:val="24"/>
                <w:szCs w:val="24"/>
              </w:rPr>
              <w:t>e</w:t>
            </w:r>
            <w:r w:rsidRPr="00843662">
              <w:rPr>
                <w:rFonts w:ascii="Book Antiqua" w:hAnsi="Book Antiqua" w:cs="Times New Roman"/>
                <w:sz w:val="24"/>
                <w:szCs w:val="24"/>
              </w:rPr>
              <w:t>ndpoint</w:t>
            </w:r>
          </w:p>
        </w:tc>
        <w:tc>
          <w:tcPr>
            <w:tcW w:w="1352" w:type="pct"/>
            <w:tcBorders>
              <w:top w:val="single" w:sz="4" w:space="0" w:color="auto"/>
            </w:tcBorders>
          </w:tcPr>
          <w:p w14:paraId="487A4F28"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0.80</w:t>
            </w:r>
          </w:p>
        </w:tc>
      </w:tr>
      <w:tr w:rsidR="00843662" w:rsidRPr="00843662" w14:paraId="40696C6D" w14:textId="77777777" w:rsidTr="00727844">
        <w:trPr>
          <w:trHeight w:hRule="exact" w:val="397"/>
        </w:trPr>
        <w:tc>
          <w:tcPr>
            <w:tcW w:w="1229" w:type="pct"/>
            <w:vMerge/>
          </w:tcPr>
          <w:p w14:paraId="6195563C" w14:textId="77777777" w:rsidR="00EE29A5" w:rsidRPr="00843662" w:rsidRDefault="00EE29A5" w:rsidP="00843662">
            <w:pPr>
              <w:spacing w:after="0" w:line="360" w:lineRule="auto"/>
              <w:jc w:val="both"/>
              <w:rPr>
                <w:rFonts w:ascii="Book Antiqua" w:hAnsi="Book Antiqua" w:cs="Times New Roman"/>
                <w:sz w:val="24"/>
                <w:szCs w:val="24"/>
              </w:rPr>
            </w:pPr>
          </w:p>
        </w:tc>
        <w:tc>
          <w:tcPr>
            <w:tcW w:w="2419" w:type="pct"/>
            <w:shd w:val="clear" w:color="auto" w:fill="auto"/>
            <w:tcMar>
              <w:top w:w="15" w:type="dxa"/>
              <w:left w:w="108" w:type="dxa"/>
              <w:bottom w:w="0" w:type="dxa"/>
              <w:right w:w="108" w:type="dxa"/>
            </w:tcMar>
            <w:hideMark/>
          </w:tcPr>
          <w:p w14:paraId="391A291E"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LRD</w:t>
            </w:r>
          </w:p>
        </w:tc>
        <w:tc>
          <w:tcPr>
            <w:tcW w:w="1352" w:type="pct"/>
          </w:tcPr>
          <w:p w14:paraId="3BA83E43"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0.89</w:t>
            </w:r>
          </w:p>
        </w:tc>
      </w:tr>
      <w:tr w:rsidR="00843662" w:rsidRPr="00843662" w14:paraId="13B5BD53" w14:textId="77777777" w:rsidTr="00727844">
        <w:trPr>
          <w:trHeight w:hRule="exact" w:val="397"/>
        </w:trPr>
        <w:tc>
          <w:tcPr>
            <w:tcW w:w="1229" w:type="pct"/>
            <w:vMerge/>
          </w:tcPr>
          <w:p w14:paraId="27717481" w14:textId="77777777" w:rsidR="00EE29A5" w:rsidRPr="00843662" w:rsidRDefault="00EE29A5" w:rsidP="00843662">
            <w:pPr>
              <w:spacing w:after="0" w:line="360" w:lineRule="auto"/>
              <w:jc w:val="both"/>
              <w:rPr>
                <w:rFonts w:ascii="Book Antiqua" w:hAnsi="Book Antiqua" w:cs="Times New Roman"/>
                <w:sz w:val="24"/>
                <w:szCs w:val="24"/>
              </w:rPr>
            </w:pPr>
          </w:p>
        </w:tc>
        <w:tc>
          <w:tcPr>
            <w:tcW w:w="2419" w:type="pct"/>
            <w:shd w:val="clear" w:color="auto" w:fill="auto"/>
            <w:tcMar>
              <w:top w:w="15" w:type="dxa"/>
              <w:left w:w="108" w:type="dxa"/>
              <w:bottom w:w="0" w:type="dxa"/>
              <w:right w:w="108" w:type="dxa"/>
            </w:tcMar>
            <w:hideMark/>
          </w:tcPr>
          <w:p w14:paraId="468F49B6"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LD</w:t>
            </w:r>
          </w:p>
        </w:tc>
        <w:tc>
          <w:tcPr>
            <w:tcW w:w="1352" w:type="pct"/>
          </w:tcPr>
          <w:p w14:paraId="020BA496"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0.75</w:t>
            </w:r>
          </w:p>
        </w:tc>
      </w:tr>
      <w:tr w:rsidR="00843662" w:rsidRPr="00843662" w14:paraId="773F45B8" w14:textId="77777777" w:rsidTr="00727844">
        <w:trPr>
          <w:trHeight w:hRule="exact" w:val="397"/>
        </w:trPr>
        <w:tc>
          <w:tcPr>
            <w:tcW w:w="1229" w:type="pct"/>
            <w:vMerge/>
          </w:tcPr>
          <w:p w14:paraId="3E2CE0C9" w14:textId="77777777" w:rsidR="00EE29A5" w:rsidRPr="00843662" w:rsidRDefault="00EE29A5" w:rsidP="00843662">
            <w:pPr>
              <w:spacing w:after="0" w:line="360" w:lineRule="auto"/>
              <w:jc w:val="both"/>
              <w:rPr>
                <w:rFonts w:ascii="Book Antiqua" w:hAnsi="Book Antiqua" w:cs="Times New Roman"/>
                <w:sz w:val="24"/>
                <w:szCs w:val="24"/>
              </w:rPr>
            </w:pPr>
          </w:p>
        </w:tc>
        <w:tc>
          <w:tcPr>
            <w:tcW w:w="2419" w:type="pct"/>
            <w:shd w:val="clear" w:color="auto" w:fill="auto"/>
            <w:tcMar>
              <w:top w:w="15" w:type="dxa"/>
              <w:left w:w="108" w:type="dxa"/>
              <w:bottom w:w="0" w:type="dxa"/>
              <w:right w:w="108" w:type="dxa"/>
            </w:tcMar>
            <w:hideMark/>
          </w:tcPr>
          <w:p w14:paraId="5AB86260"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HCC</w:t>
            </w:r>
          </w:p>
        </w:tc>
        <w:tc>
          <w:tcPr>
            <w:tcW w:w="1352" w:type="pct"/>
          </w:tcPr>
          <w:p w14:paraId="6EA2D12B"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0.87</w:t>
            </w:r>
          </w:p>
        </w:tc>
      </w:tr>
      <w:tr w:rsidR="00843662" w:rsidRPr="00843662" w14:paraId="47E4333D" w14:textId="77777777" w:rsidTr="00727844">
        <w:trPr>
          <w:trHeight w:hRule="exact" w:val="397"/>
        </w:trPr>
        <w:tc>
          <w:tcPr>
            <w:tcW w:w="1229" w:type="pct"/>
            <w:vMerge w:val="restart"/>
          </w:tcPr>
          <w:p w14:paraId="5162A1A6"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Baseline </w:t>
            </w:r>
            <w:proofErr w:type="spellStart"/>
            <w:r w:rsidRPr="00843662">
              <w:rPr>
                <w:rFonts w:ascii="Book Antiqua" w:hAnsi="Book Antiqua" w:cs="Times New Roman"/>
                <w:sz w:val="24"/>
                <w:szCs w:val="24"/>
              </w:rPr>
              <w:t>Hepascore</w:t>
            </w:r>
            <w:proofErr w:type="spellEnd"/>
            <w:r w:rsidRPr="00843662">
              <w:rPr>
                <w:rFonts w:ascii="Book Antiqua" w:hAnsi="Book Antiqua" w:cs="Times New Roman"/>
                <w:sz w:val="24"/>
                <w:szCs w:val="24"/>
              </w:rPr>
              <w:t xml:space="preserve"> &gt;0.75 and Delta </w:t>
            </w:r>
            <w:proofErr w:type="spellStart"/>
            <w:r w:rsidRPr="00843662">
              <w:rPr>
                <w:rFonts w:ascii="Book Antiqua" w:hAnsi="Book Antiqua" w:cs="Times New Roman"/>
                <w:sz w:val="24"/>
                <w:szCs w:val="24"/>
              </w:rPr>
              <w:t>Hepascore</w:t>
            </w:r>
            <w:proofErr w:type="spellEnd"/>
          </w:p>
        </w:tc>
        <w:tc>
          <w:tcPr>
            <w:tcW w:w="2419" w:type="pct"/>
            <w:shd w:val="clear" w:color="auto" w:fill="auto"/>
            <w:tcMar>
              <w:top w:w="15" w:type="dxa"/>
              <w:left w:w="108" w:type="dxa"/>
              <w:bottom w:w="0" w:type="dxa"/>
              <w:right w:w="108" w:type="dxa"/>
            </w:tcMar>
          </w:tcPr>
          <w:p w14:paraId="4FE0363E" w14:textId="7236C470" w:rsidR="00EE29A5" w:rsidRPr="00843662" w:rsidRDefault="00EE29A5" w:rsidP="00A322FC">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Composite </w:t>
            </w:r>
            <w:r w:rsidR="00A322FC">
              <w:rPr>
                <w:rFonts w:ascii="Book Antiqua" w:hAnsi="Book Antiqua" w:cs="Times New Roman" w:hint="eastAsia"/>
                <w:sz w:val="24"/>
                <w:szCs w:val="24"/>
              </w:rPr>
              <w:t>e</w:t>
            </w:r>
            <w:r w:rsidRPr="00843662">
              <w:rPr>
                <w:rFonts w:ascii="Book Antiqua" w:hAnsi="Book Antiqua" w:cs="Times New Roman"/>
                <w:sz w:val="24"/>
                <w:szCs w:val="24"/>
              </w:rPr>
              <w:t>ndpoint</w:t>
            </w:r>
          </w:p>
        </w:tc>
        <w:tc>
          <w:tcPr>
            <w:tcW w:w="1352" w:type="pct"/>
          </w:tcPr>
          <w:p w14:paraId="678DD9AA"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0.84 </w:t>
            </w:r>
          </w:p>
        </w:tc>
      </w:tr>
      <w:tr w:rsidR="00843662" w:rsidRPr="00843662" w14:paraId="02C67902" w14:textId="77777777" w:rsidTr="00727844">
        <w:trPr>
          <w:trHeight w:hRule="exact" w:val="397"/>
        </w:trPr>
        <w:tc>
          <w:tcPr>
            <w:tcW w:w="1229" w:type="pct"/>
            <w:vMerge/>
          </w:tcPr>
          <w:p w14:paraId="188E74E4" w14:textId="77777777" w:rsidR="00EE29A5" w:rsidRPr="00843662" w:rsidRDefault="00EE29A5" w:rsidP="00843662">
            <w:pPr>
              <w:spacing w:after="0" w:line="360" w:lineRule="auto"/>
              <w:jc w:val="both"/>
              <w:rPr>
                <w:rFonts w:ascii="Book Antiqua" w:hAnsi="Book Antiqua" w:cs="Times New Roman"/>
                <w:sz w:val="24"/>
                <w:szCs w:val="24"/>
              </w:rPr>
            </w:pPr>
          </w:p>
        </w:tc>
        <w:tc>
          <w:tcPr>
            <w:tcW w:w="2419" w:type="pct"/>
            <w:shd w:val="clear" w:color="auto" w:fill="auto"/>
            <w:tcMar>
              <w:top w:w="15" w:type="dxa"/>
              <w:left w:w="108" w:type="dxa"/>
              <w:bottom w:w="0" w:type="dxa"/>
              <w:right w:w="108" w:type="dxa"/>
            </w:tcMar>
          </w:tcPr>
          <w:p w14:paraId="2C271E7A"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LRD</w:t>
            </w:r>
          </w:p>
        </w:tc>
        <w:tc>
          <w:tcPr>
            <w:tcW w:w="1352" w:type="pct"/>
          </w:tcPr>
          <w:p w14:paraId="73C90B61"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0.95 </w:t>
            </w:r>
          </w:p>
        </w:tc>
      </w:tr>
      <w:tr w:rsidR="00843662" w:rsidRPr="00843662" w14:paraId="5540A470" w14:textId="77777777" w:rsidTr="00727844">
        <w:trPr>
          <w:trHeight w:hRule="exact" w:val="397"/>
        </w:trPr>
        <w:tc>
          <w:tcPr>
            <w:tcW w:w="1229" w:type="pct"/>
            <w:vMerge/>
          </w:tcPr>
          <w:p w14:paraId="131D0371" w14:textId="77777777" w:rsidR="00EE29A5" w:rsidRPr="00843662" w:rsidRDefault="00EE29A5" w:rsidP="00843662">
            <w:pPr>
              <w:spacing w:after="0" w:line="360" w:lineRule="auto"/>
              <w:jc w:val="both"/>
              <w:rPr>
                <w:rFonts w:ascii="Book Antiqua" w:hAnsi="Book Antiqua" w:cs="Times New Roman"/>
                <w:sz w:val="24"/>
                <w:szCs w:val="24"/>
              </w:rPr>
            </w:pPr>
          </w:p>
        </w:tc>
        <w:tc>
          <w:tcPr>
            <w:tcW w:w="2419" w:type="pct"/>
            <w:shd w:val="clear" w:color="auto" w:fill="auto"/>
            <w:tcMar>
              <w:top w:w="15" w:type="dxa"/>
              <w:left w:w="108" w:type="dxa"/>
              <w:bottom w:w="0" w:type="dxa"/>
              <w:right w:w="108" w:type="dxa"/>
            </w:tcMar>
          </w:tcPr>
          <w:p w14:paraId="5B19C4FE"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LD</w:t>
            </w:r>
          </w:p>
        </w:tc>
        <w:tc>
          <w:tcPr>
            <w:tcW w:w="1352" w:type="pct"/>
          </w:tcPr>
          <w:p w14:paraId="06A724EF"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0.77 </w:t>
            </w:r>
          </w:p>
        </w:tc>
      </w:tr>
      <w:tr w:rsidR="00EE29A5" w:rsidRPr="00843662" w14:paraId="513FEA56" w14:textId="77777777" w:rsidTr="00207C65">
        <w:trPr>
          <w:trHeight w:hRule="exact" w:val="712"/>
        </w:trPr>
        <w:tc>
          <w:tcPr>
            <w:tcW w:w="1229" w:type="pct"/>
            <w:vMerge/>
          </w:tcPr>
          <w:p w14:paraId="2BF13EB2" w14:textId="77777777" w:rsidR="00EE29A5" w:rsidRPr="00843662" w:rsidRDefault="00EE29A5" w:rsidP="00843662">
            <w:pPr>
              <w:spacing w:after="0" w:line="360" w:lineRule="auto"/>
              <w:jc w:val="both"/>
              <w:rPr>
                <w:rFonts w:ascii="Book Antiqua" w:hAnsi="Book Antiqua" w:cs="Times New Roman"/>
                <w:sz w:val="24"/>
                <w:szCs w:val="24"/>
              </w:rPr>
            </w:pPr>
          </w:p>
        </w:tc>
        <w:tc>
          <w:tcPr>
            <w:tcW w:w="2419" w:type="pct"/>
            <w:shd w:val="clear" w:color="auto" w:fill="auto"/>
            <w:tcMar>
              <w:top w:w="15" w:type="dxa"/>
              <w:left w:w="108" w:type="dxa"/>
              <w:bottom w:w="0" w:type="dxa"/>
              <w:right w:w="108" w:type="dxa"/>
            </w:tcMar>
          </w:tcPr>
          <w:p w14:paraId="60FEFC9E"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HCC</w:t>
            </w:r>
          </w:p>
        </w:tc>
        <w:tc>
          <w:tcPr>
            <w:tcW w:w="1352" w:type="pct"/>
          </w:tcPr>
          <w:p w14:paraId="312E1DF4" w14:textId="77777777" w:rsidR="00EE29A5" w:rsidRPr="00843662" w:rsidRDefault="00EE29A5" w:rsidP="00843662">
            <w:pPr>
              <w:spacing w:after="0" w:line="360" w:lineRule="auto"/>
              <w:jc w:val="both"/>
              <w:rPr>
                <w:rFonts w:ascii="Book Antiqua" w:hAnsi="Book Antiqua" w:cs="Times New Roman"/>
                <w:sz w:val="24"/>
                <w:szCs w:val="24"/>
              </w:rPr>
            </w:pPr>
            <w:r w:rsidRPr="00843662">
              <w:rPr>
                <w:rFonts w:ascii="Book Antiqua" w:hAnsi="Book Antiqua" w:cs="Times New Roman"/>
                <w:sz w:val="24"/>
                <w:szCs w:val="24"/>
              </w:rPr>
              <w:t xml:space="preserve">0.93 </w:t>
            </w:r>
          </w:p>
        </w:tc>
      </w:tr>
    </w:tbl>
    <w:p w14:paraId="5A0310C9" w14:textId="3484D51E" w:rsidR="0004517F" w:rsidRPr="00843662" w:rsidRDefault="00F34AE4" w:rsidP="00843662">
      <w:pPr>
        <w:spacing w:after="0" w:line="360" w:lineRule="auto"/>
        <w:jc w:val="both"/>
        <w:rPr>
          <w:rFonts w:ascii="Book Antiqua" w:hAnsi="Book Antiqua" w:cs="Times New Roman"/>
          <w:sz w:val="24"/>
          <w:szCs w:val="24"/>
        </w:rPr>
      </w:pPr>
      <w:r w:rsidRPr="00F34AE4">
        <w:rPr>
          <w:rFonts w:ascii="Book Antiqua" w:hAnsi="Book Antiqua" w:cs="Times New Roman"/>
          <w:bCs/>
          <w:sz w:val="24"/>
          <w:szCs w:val="24"/>
        </w:rPr>
        <w:t>AUROC</w:t>
      </w:r>
      <w:r w:rsidRPr="00F34AE4">
        <w:rPr>
          <w:rFonts w:ascii="Book Antiqua" w:hAnsi="Book Antiqua" w:cs="Times New Roman" w:hint="eastAsia"/>
          <w:sz w:val="24"/>
          <w:szCs w:val="24"/>
        </w:rPr>
        <w:t xml:space="preserve">: </w:t>
      </w:r>
      <w:r w:rsidRPr="00F34AE4">
        <w:rPr>
          <w:rFonts w:ascii="Book Antiqua" w:hAnsi="Book Antiqua" w:cs="Times New Roman"/>
          <w:sz w:val="24"/>
          <w:szCs w:val="24"/>
        </w:rPr>
        <w:t>Area under Receiver Operating Characteristic</w:t>
      </w:r>
      <w:r>
        <w:rPr>
          <w:rFonts w:ascii="Book Antiqua" w:hAnsi="Book Antiqua" w:cs="Times New Roman" w:hint="eastAsia"/>
          <w:sz w:val="24"/>
          <w:szCs w:val="24"/>
        </w:rPr>
        <w:t>.</w:t>
      </w:r>
    </w:p>
    <w:sectPr w:rsidR="0004517F" w:rsidRPr="00843662" w:rsidSect="001D093B">
      <w:headerReference w:type="default" r:id="rId13"/>
      <w:pgSz w:w="11906" w:h="16838"/>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0F4B7" w14:textId="77777777" w:rsidR="00B2473D" w:rsidRDefault="00B2473D" w:rsidP="009F6BA0">
      <w:pPr>
        <w:spacing w:after="0" w:line="240" w:lineRule="auto"/>
      </w:pPr>
      <w:r>
        <w:separator/>
      </w:r>
    </w:p>
  </w:endnote>
  <w:endnote w:type="continuationSeparator" w:id="0">
    <w:p w14:paraId="25D8F712" w14:textId="77777777" w:rsidR="00B2473D" w:rsidRDefault="00B2473D" w:rsidP="009F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等线">
    <w:altName w:val="宋体"/>
    <w:panose1 w:val="00000000000000000000"/>
    <w:charset w:val="86"/>
    <w:family w:val="roman"/>
    <w:notTrueType/>
    <w:pitch w:val="default"/>
  </w:font>
  <w:font w:name="Segoe UI">
    <w:altName w:val="Gill Sans UltraBold"/>
    <w:charset w:val="00"/>
    <w:family w:val="swiss"/>
    <w:pitch w:val="variable"/>
    <w:sig w:usb0="E10002FF" w:usb1="4000E47F" w:usb2="0000002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Verdana">
    <w:panose1 w:val="020B0604030504040204"/>
    <w:charset w:val="00"/>
    <w:family w:val="auto"/>
    <w:pitch w:val="variable"/>
    <w:sig w:usb0="A10006FF" w:usb1="4000205B" w:usb2="00000010" w:usb3="00000000" w:csb0="0000019F" w:csb1="00000000"/>
  </w:font>
  <w:font w:name="等线 Light">
    <w:altName w:val="宋体"/>
    <w:panose1 w:val="00000000000000000000"/>
    <w:charset w:val="86"/>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87534" w14:textId="77777777" w:rsidR="00B2473D" w:rsidRDefault="00B2473D" w:rsidP="009F6BA0">
      <w:pPr>
        <w:spacing w:after="0" w:line="240" w:lineRule="auto"/>
      </w:pPr>
      <w:r>
        <w:separator/>
      </w:r>
    </w:p>
  </w:footnote>
  <w:footnote w:type="continuationSeparator" w:id="0">
    <w:p w14:paraId="39E485C3" w14:textId="77777777" w:rsidR="00B2473D" w:rsidRDefault="00B2473D" w:rsidP="009F6B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17846" w14:textId="3CBE090E" w:rsidR="00727844" w:rsidRDefault="00727844">
    <w:pPr>
      <w:pStyle w:val="Header"/>
      <w:jc w:val="right"/>
    </w:pPr>
  </w:p>
  <w:p w14:paraId="3FA780B9" w14:textId="77777777" w:rsidR="00727844" w:rsidRDefault="007278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37529"/>
    <w:multiLevelType w:val="hybridMultilevel"/>
    <w:tmpl w:val="8E1E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2E3442"/>
    <w:multiLevelType w:val="hybridMultilevel"/>
    <w:tmpl w:val="8E969732"/>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64E61C9D"/>
    <w:multiLevelType w:val="hybridMultilevel"/>
    <w:tmpl w:val="BBA2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5F1911"/>
    <w:multiLevelType w:val="hybridMultilevel"/>
    <w:tmpl w:val="B6C40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9615F2E"/>
    <w:multiLevelType w:val="hybridMultilevel"/>
    <w:tmpl w:val="8E9697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96"/>
    <w:rsid w:val="00002350"/>
    <w:rsid w:val="00003679"/>
    <w:rsid w:val="00003BEE"/>
    <w:rsid w:val="00004BC4"/>
    <w:rsid w:val="000074A8"/>
    <w:rsid w:val="00010197"/>
    <w:rsid w:val="00010426"/>
    <w:rsid w:val="000123D0"/>
    <w:rsid w:val="000212A5"/>
    <w:rsid w:val="00022034"/>
    <w:rsid w:val="000236B3"/>
    <w:rsid w:val="00024927"/>
    <w:rsid w:val="0002492D"/>
    <w:rsid w:val="0002561D"/>
    <w:rsid w:val="00026ED2"/>
    <w:rsid w:val="00027C06"/>
    <w:rsid w:val="000311F3"/>
    <w:rsid w:val="000359DA"/>
    <w:rsid w:val="00040ECC"/>
    <w:rsid w:val="00044262"/>
    <w:rsid w:val="0004517F"/>
    <w:rsid w:val="0004684A"/>
    <w:rsid w:val="00047589"/>
    <w:rsid w:val="00051BAD"/>
    <w:rsid w:val="00051C5D"/>
    <w:rsid w:val="00053FB0"/>
    <w:rsid w:val="00056591"/>
    <w:rsid w:val="000567CB"/>
    <w:rsid w:val="00056988"/>
    <w:rsid w:val="00056DD7"/>
    <w:rsid w:val="00056F0A"/>
    <w:rsid w:val="000604E9"/>
    <w:rsid w:val="00062B71"/>
    <w:rsid w:val="0006504D"/>
    <w:rsid w:val="0006531A"/>
    <w:rsid w:val="00066CB7"/>
    <w:rsid w:val="0007285F"/>
    <w:rsid w:val="000801A3"/>
    <w:rsid w:val="000811D0"/>
    <w:rsid w:val="00081979"/>
    <w:rsid w:val="000826D3"/>
    <w:rsid w:val="000856AB"/>
    <w:rsid w:val="00085F9E"/>
    <w:rsid w:val="0008772D"/>
    <w:rsid w:val="00090478"/>
    <w:rsid w:val="000917D3"/>
    <w:rsid w:val="00091BCE"/>
    <w:rsid w:val="00091C43"/>
    <w:rsid w:val="00093439"/>
    <w:rsid w:val="000947A3"/>
    <w:rsid w:val="00095102"/>
    <w:rsid w:val="000A0BC7"/>
    <w:rsid w:val="000A43EC"/>
    <w:rsid w:val="000B17D2"/>
    <w:rsid w:val="000B18E2"/>
    <w:rsid w:val="000B2C98"/>
    <w:rsid w:val="000B68D7"/>
    <w:rsid w:val="000B7490"/>
    <w:rsid w:val="000B7B5E"/>
    <w:rsid w:val="000C3C7B"/>
    <w:rsid w:val="000C4B63"/>
    <w:rsid w:val="000C7213"/>
    <w:rsid w:val="000D14E8"/>
    <w:rsid w:val="000D5C7D"/>
    <w:rsid w:val="000E43C8"/>
    <w:rsid w:val="000E5028"/>
    <w:rsid w:val="000E67CA"/>
    <w:rsid w:val="000E7EB0"/>
    <w:rsid w:val="000F1CA6"/>
    <w:rsid w:val="000F475F"/>
    <w:rsid w:val="000F4857"/>
    <w:rsid w:val="00100CD4"/>
    <w:rsid w:val="0010301B"/>
    <w:rsid w:val="001117E4"/>
    <w:rsid w:val="0011239B"/>
    <w:rsid w:val="00112809"/>
    <w:rsid w:val="00116DF0"/>
    <w:rsid w:val="001240A5"/>
    <w:rsid w:val="001307EF"/>
    <w:rsid w:val="00132444"/>
    <w:rsid w:val="00136ACC"/>
    <w:rsid w:val="0014120D"/>
    <w:rsid w:val="00143428"/>
    <w:rsid w:val="00145520"/>
    <w:rsid w:val="001467E6"/>
    <w:rsid w:val="00150B23"/>
    <w:rsid w:val="00150B36"/>
    <w:rsid w:val="001519DC"/>
    <w:rsid w:val="00151BAB"/>
    <w:rsid w:val="001544CD"/>
    <w:rsid w:val="001550AD"/>
    <w:rsid w:val="00155BB7"/>
    <w:rsid w:val="00166EB4"/>
    <w:rsid w:val="00166F0F"/>
    <w:rsid w:val="00166F3E"/>
    <w:rsid w:val="0016762D"/>
    <w:rsid w:val="001677DB"/>
    <w:rsid w:val="001703F9"/>
    <w:rsid w:val="00170F02"/>
    <w:rsid w:val="00173ED3"/>
    <w:rsid w:val="0017483C"/>
    <w:rsid w:val="00176846"/>
    <w:rsid w:val="00177138"/>
    <w:rsid w:val="00180BF1"/>
    <w:rsid w:val="00183798"/>
    <w:rsid w:val="001842E3"/>
    <w:rsid w:val="00192A79"/>
    <w:rsid w:val="001938A3"/>
    <w:rsid w:val="001A02B4"/>
    <w:rsid w:val="001A76C8"/>
    <w:rsid w:val="001B135B"/>
    <w:rsid w:val="001B1531"/>
    <w:rsid w:val="001C022E"/>
    <w:rsid w:val="001C0B9D"/>
    <w:rsid w:val="001C6762"/>
    <w:rsid w:val="001C67A9"/>
    <w:rsid w:val="001C7783"/>
    <w:rsid w:val="001C7A63"/>
    <w:rsid w:val="001D093B"/>
    <w:rsid w:val="001D0D08"/>
    <w:rsid w:val="001D47DF"/>
    <w:rsid w:val="001E0448"/>
    <w:rsid w:val="001E0615"/>
    <w:rsid w:val="001E47C2"/>
    <w:rsid w:val="001E5973"/>
    <w:rsid w:val="001F23FB"/>
    <w:rsid w:val="001F3EC2"/>
    <w:rsid w:val="001F6B56"/>
    <w:rsid w:val="001F7676"/>
    <w:rsid w:val="0020178E"/>
    <w:rsid w:val="00204BC3"/>
    <w:rsid w:val="00205CA9"/>
    <w:rsid w:val="00206A3C"/>
    <w:rsid w:val="00207C65"/>
    <w:rsid w:val="00210DF4"/>
    <w:rsid w:val="002144F4"/>
    <w:rsid w:val="00224EE5"/>
    <w:rsid w:val="00225BDB"/>
    <w:rsid w:val="00226CA1"/>
    <w:rsid w:val="00230ABA"/>
    <w:rsid w:val="00231A86"/>
    <w:rsid w:val="00233EDF"/>
    <w:rsid w:val="002367F9"/>
    <w:rsid w:val="00236853"/>
    <w:rsid w:val="00237D96"/>
    <w:rsid w:val="00241F29"/>
    <w:rsid w:val="00242E91"/>
    <w:rsid w:val="002453D3"/>
    <w:rsid w:val="00247AF3"/>
    <w:rsid w:val="00250630"/>
    <w:rsid w:val="0025209E"/>
    <w:rsid w:val="00254E10"/>
    <w:rsid w:val="00256E45"/>
    <w:rsid w:val="00260381"/>
    <w:rsid w:val="002672D6"/>
    <w:rsid w:val="00270386"/>
    <w:rsid w:val="002724F0"/>
    <w:rsid w:val="00272DF1"/>
    <w:rsid w:val="00276DCA"/>
    <w:rsid w:val="00277481"/>
    <w:rsid w:val="002802D0"/>
    <w:rsid w:val="002809E7"/>
    <w:rsid w:val="00282AB1"/>
    <w:rsid w:val="002853C4"/>
    <w:rsid w:val="002873F0"/>
    <w:rsid w:val="0028779E"/>
    <w:rsid w:val="00293027"/>
    <w:rsid w:val="0029383F"/>
    <w:rsid w:val="0029436D"/>
    <w:rsid w:val="0029631C"/>
    <w:rsid w:val="0029631E"/>
    <w:rsid w:val="00297992"/>
    <w:rsid w:val="002A15D2"/>
    <w:rsid w:val="002A1C3F"/>
    <w:rsid w:val="002A1D38"/>
    <w:rsid w:val="002A6CF5"/>
    <w:rsid w:val="002A75F5"/>
    <w:rsid w:val="002B24C0"/>
    <w:rsid w:val="002B5F6C"/>
    <w:rsid w:val="002C0D0C"/>
    <w:rsid w:val="002C1244"/>
    <w:rsid w:val="002C28D3"/>
    <w:rsid w:val="002C398E"/>
    <w:rsid w:val="002C5D5F"/>
    <w:rsid w:val="002D2432"/>
    <w:rsid w:val="002D6076"/>
    <w:rsid w:val="002E0BCF"/>
    <w:rsid w:val="002E1496"/>
    <w:rsid w:val="002E3D60"/>
    <w:rsid w:val="002E4472"/>
    <w:rsid w:val="002E5838"/>
    <w:rsid w:val="002E6C59"/>
    <w:rsid w:val="002F044C"/>
    <w:rsid w:val="002F0A8F"/>
    <w:rsid w:val="002F0C4B"/>
    <w:rsid w:val="00304566"/>
    <w:rsid w:val="00304E43"/>
    <w:rsid w:val="00305248"/>
    <w:rsid w:val="00306964"/>
    <w:rsid w:val="00307E76"/>
    <w:rsid w:val="00310AAE"/>
    <w:rsid w:val="003147CB"/>
    <w:rsid w:val="00321538"/>
    <w:rsid w:val="00321C28"/>
    <w:rsid w:val="00324E4A"/>
    <w:rsid w:val="00327E88"/>
    <w:rsid w:val="0033135F"/>
    <w:rsid w:val="0033139F"/>
    <w:rsid w:val="00336897"/>
    <w:rsid w:val="00347ADA"/>
    <w:rsid w:val="00352C13"/>
    <w:rsid w:val="00363D76"/>
    <w:rsid w:val="00364DDC"/>
    <w:rsid w:val="00366F4B"/>
    <w:rsid w:val="0037053B"/>
    <w:rsid w:val="00371F43"/>
    <w:rsid w:val="00372CC3"/>
    <w:rsid w:val="00373362"/>
    <w:rsid w:val="003770C8"/>
    <w:rsid w:val="00380C1F"/>
    <w:rsid w:val="0039288B"/>
    <w:rsid w:val="00397606"/>
    <w:rsid w:val="0039769F"/>
    <w:rsid w:val="003A10CB"/>
    <w:rsid w:val="003A3ED8"/>
    <w:rsid w:val="003A6E86"/>
    <w:rsid w:val="003B2A98"/>
    <w:rsid w:val="003B6325"/>
    <w:rsid w:val="003C0882"/>
    <w:rsid w:val="003C0EEE"/>
    <w:rsid w:val="003C287E"/>
    <w:rsid w:val="003C32D5"/>
    <w:rsid w:val="003D4395"/>
    <w:rsid w:val="003D4D9C"/>
    <w:rsid w:val="003D5559"/>
    <w:rsid w:val="003D565C"/>
    <w:rsid w:val="003D56F4"/>
    <w:rsid w:val="003E22DD"/>
    <w:rsid w:val="003E2450"/>
    <w:rsid w:val="003E35B7"/>
    <w:rsid w:val="003E5D57"/>
    <w:rsid w:val="003E5D9A"/>
    <w:rsid w:val="003E75C8"/>
    <w:rsid w:val="003E7BC8"/>
    <w:rsid w:val="003F02BB"/>
    <w:rsid w:val="003F485A"/>
    <w:rsid w:val="003F5242"/>
    <w:rsid w:val="004033A9"/>
    <w:rsid w:val="004034BD"/>
    <w:rsid w:val="00407DE1"/>
    <w:rsid w:val="00411273"/>
    <w:rsid w:val="00414935"/>
    <w:rsid w:val="00416D84"/>
    <w:rsid w:val="00417055"/>
    <w:rsid w:val="00417711"/>
    <w:rsid w:val="00425536"/>
    <w:rsid w:val="00425CB4"/>
    <w:rsid w:val="004263A5"/>
    <w:rsid w:val="00442803"/>
    <w:rsid w:val="004468CD"/>
    <w:rsid w:val="0044727A"/>
    <w:rsid w:val="004505E8"/>
    <w:rsid w:val="00450A41"/>
    <w:rsid w:val="00460638"/>
    <w:rsid w:val="004625AB"/>
    <w:rsid w:val="0046306F"/>
    <w:rsid w:val="0046655F"/>
    <w:rsid w:val="00472B91"/>
    <w:rsid w:val="00472C10"/>
    <w:rsid w:val="004731A0"/>
    <w:rsid w:val="00481198"/>
    <w:rsid w:val="00482C2A"/>
    <w:rsid w:val="0049049C"/>
    <w:rsid w:val="0049053E"/>
    <w:rsid w:val="00495C7F"/>
    <w:rsid w:val="0049640A"/>
    <w:rsid w:val="004965B1"/>
    <w:rsid w:val="004970F5"/>
    <w:rsid w:val="004A0370"/>
    <w:rsid w:val="004A125C"/>
    <w:rsid w:val="004A2FE8"/>
    <w:rsid w:val="004A3C3A"/>
    <w:rsid w:val="004A668A"/>
    <w:rsid w:val="004A6F25"/>
    <w:rsid w:val="004A7017"/>
    <w:rsid w:val="004B18ED"/>
    <w:rsid w:val="004B2EB4"/>
    <w:rsid w:val="004B7B84"/>
    <w:rsid w:val="004C14A6"/>
    <w:rsid w:val="004C2A4A"/>
    <w:rsid w:val="004C3236"/>
    <w:rsid w:val="004C513D"/>
    <w:rsid w:val="004C5CF6"/>
    <w:rsid w:val="004C69C8"/>
    <w:rsid w:val="004C78D1"/>
    <w:rsid w:val="004D0A49"/>
    <w:rsid w:val="004D4A3B"/>
    <w:rsid w:val="004D6238"/>
    <w:rsid w:val="004D6DA6"/>
    <w:rsid w:val="004E31B5"/>
    <w:rsid w:val="004E4B1A"/>
    <w:rsid w:val="004E7186"/>
    <w:rsid w:val="004E7417"/>
    <w:rsid w:val="004F1100"/>
    <w:rsid w:val="00501244"/>
    <w:rsid w:val="005057F4"/>
    <w:rsid w:val="005062AC"/>
    <w:rsid w:val="0051065A"/>
    <w:rsid w:val="00511226"/>
    <w:rsid w:val="00513664"/>
    <w:rsid w:val="00517B1E"/>
    <w:rsid w:val="00520CB0"/>
    <w:rsid w:val="00522F82"/>
    <w:rsid w:val="00524C17"/>
    <w:rsid w:val="00526334"/>
    <w:rsid w:val="00526841"/>
    <w:rsid w:val="00530429"/>
    <w:rsid w:val="0053319D"/>
    <w:rsid w:val="00533910"/>
    <w:rsid w:val="005341EF"/>
    <w:rsid w:val="00540EC0"/>
    <w:rsid w:val="00541601"/>
    <w:rsid w:val="00542833"/>
    <w:rsid w:val="005463B2"/>
    <w:rsid w:val="00547E05"/>
    <w:rsid w:val="0055305C"/>
    <w:rsid w:val="00560982"/>
    <w:rsid w:val="00566AEA"/>
    <w:rsid w:val="00566F95"/>
    <w:rsid w:val="00571B42"/>
    <w:rsid w:val="005735BA"/>
    <w:rsid w:val="0057394C"/>
    <w:rsid w:val="005772C4"/>
    <w:rsid w:val="0057798A"/>
    <w:rsid w:val="00577A47"/>
    <w:rsid w:val="00577AC7"/>
    <w:rsid w:val="0058252E"/>
    <w:rsid w:val="00582D7D"/>
    <w:rsid w:val="00590FE4"/>
    <w:rsid w:val="00593769"/>
    <w:rsid w:val="005959AE"/>
    <w:rsid w:val="0059633A"/>
    <w:rsid w:val="005972F7"/>
    <w:rsid w:val="005A0141"/>
    <w:rsid w:val="005A030C"/>
    <w:rsid w:val="005A1389"/>
    <w:rsid w:val="005A1B9E"/>
    <w:rsid w:val="005A3224"/>
    <w:rsid w:val="005A3D76"/>
    <w:rsid w:val="005A5456"/>
    <w:rsid w:val="005A590B"/>
    <w:rsid w:val="005A5AE0"/>
    <w:rsid w:val="005A7D07"/>
    <w:rsid w:val="005B04F2"/>
    <w:rsid w:val="005B2109"/>
    <w:rsid w:val="005B5C63"/>
    <w:rsid w:val="005C0CB0"/>
    <w:rsid w:val="005C1026"/>
    <w:rsid w:val="005C1589"/>
    <w:rsid w:val="005C2462"/>
    <w:rsid w:val="005C3219"/>
    <w:rsid w:val="005C5748"/>
    <w:rsid w:val="005C78DD"/>
    <w:rsid w:val="005C7AE2"/>
    <w:rsid w:val="005D1150"/>
    <w:rsid w:val="005D7AA2"/>
    <w:rsid w:val="005E2936"/>
    <w:rsid w:val="005E2AA0"/>
    <w:rsid w:val="005E32BE"/>
    <w:rsid w:val="005E501E"/>
    <w:rsid w:val="005E6067"/>
    <w:rsid w:val="005E6087"/>
    <w:rsid w:val="005E7518"/>
    <w:rsid w:val="005E7F32"/>
    <w:rsid w:val="005F3253"/>
    <w:rsid w:val="005F37BF"/>
    <w:rsid w:val="005F51DA"/>
    <w:rsid w:val="005F5770"/>
    <w:rsid w:val="005F5FA5"/>
    <w:rsid w:val="005F6B8B"/>
    <w:rsid w:val="005F753F"/>
    <w:rsid w:val="00600720"/>
    <w:rsid w:val="0060139F"/>
    <w:rsid w:val="006018BE"/>
    <w:rsid w:val="00601A38"/>
    <w:rsid w:val="00602BCE"/>
    <w:rsid w:val="00603A84"/>
    <w:rsid w:val="006049AB"/>
    <w:rsid w:val="00605EF4"/>
    <w:rsid w:val="00607811"/>
    <w:rsid w:val="006103BA"/>
    <w:rsid w:val="00611E35"/>
    <w:rsid w:val="00613696"/>
    <w:rsid w:val="00614C85"/>
    <w:rsid w:val="00620ED1"/>
    <w:rsid w:val="0062319E"/>
    <w:rsid w:val="00625B9D"/>
    <w:rsid w:val="00626F76"/>
    <w:rsid w:val="006333A6"/>
    <w:rsid w:val="006364FB"/>
    <w:rsid w:val="00637A94"/>
    <w:rsid w:val="00642A83"/>
    <w:rsid w:val="00642B80"/>
    <w:rsid w:val="00644D65"/>
    <w:rsid w:val="00644DCF"/>
    <w:rsid w:val="00644E20"/>
    <w:rsid w:val="006456DB"/>
    <w:rsid w:val="00652F61"/>
    <w:rsid w:val="00653CCE"/>
    <w:rsid w:val="00654F0B"/>
    <w:rsid w:val="00657770"/>
    <w:rsid w:val="006614C5"/>
    <w:rsid w:val="006640E9"/>
    <w:rsid w:val="00665F64"/>
    <w:rsid w:val="00672AFD"/>
    <w:rsid w:val="00673476"/>
    <w:rsid w:val="006738AA"/>
    <w:rsid w:val="00676122"/>
    <w:rsid w:val="006768CA"/>
    <w:rsid w:val="0068309A"/>
    <w:rsid w:val="0068357A"/>
    <w:rsid w:val="006863C3"/>
    <w:rsid w:val="006917BB"/>
    <w:rsid w:val="006926EE"/>
    <w:rsid w:val="006940E2"/>
    <w:rsid w:val="006A17C0"/>
    <w:rsid w:val="006A2591"/>
    <w:rsid w:val="006A35CD"/>
    <w:rsid w:val="006A3B5B"/>
    <w:rsid w:val="006A3C59"/>
    <w:rsid w:val="006B0362"/>
    <w:rsid w:val="006B06F3"/>
    <w:rsid w:val="006B35F1"/>
    <w:rsid w:val="006B6760"/>
    <w:rsid w:val="006B7344"/>
    <w:rsid w:val="006C282A"/>
    <w:rsid w:val="006C5521"/>
    <w:rsid w:val="006D17A6"/>
    <w:rsid w:val="006D1A33"/>
    <w:rsid w:val="006D1D39"/>
    <w:rsid w:val="006D6B9A"/>
    <w:rsid w:val="006E0E29"/>
    <w:rsid w:val="006E25A5"/>
    <w:rsid w:val="006E2C04"/>
    <w:rsid w:val="006E34FF"/>
    <w:rsid w:val="006E7824"/>
    <w:rsid w:val="006E784B"/>
    <w:rsid w:val="006E7FB3"/>
    <w:rsid w:val="006F2B83"/>
    <w:rsid w:val="006F7115"/>
    <w:rsid w:val="007005F7"/>
    <w:rsid w:val="007119EC"/>
    <w:rsid w:val="00712BDD"/>
    <w:rsid w:val="0071565E"/>
    <w:rsid w:val="007167CD"/>
    <w:rsid w:val="00720389"/>
    <w:rsid w:val="0072157F"/>
    <w:rsid w:val="007215D0"/>
    <w:rsid w:val="007217FF"/>
    <w:rsid w:val="007219D3"/>
    <w:rsid w:val="00727844"/>
    <w:rsid w:val="00735891"/>
    <w:rsid w:val="007358AE"/>
    <w:rsid w:val="00745018"/>
    <w:rsid w:val="00746493"/>
    <w:rsid w:val="00751E25"/>
    <w:rsid w:val="007527ED"/>
    <w:rsid w:val="00757A97"/>
    <w:rsid w:val="00761295"/>
    <w:rsid w:val="00764201"/>
    <w:rsid w:val="00771291"/>
    <w:rsid w:val="00772E64"/>
    <w:rsid w:val="00777948"/>
    <w:rsid w:val="00781960"/>
    <w:rsid w:val="00783FBA"/>
    <w:rsid w:val="0078475A"/>
    <w:rsid w:val="007847EF"/>
    <w:rsid w:val="00791C04"/>
    <w:rsid w:val="00791ECE"/>
    <w:rsid w:val="0079370C"/>
    <w:rsid w:val="00794B97"/>
    <w:rsid w:val="00795BAE"/>
    <w:rsid w:val="007A36F6"/>
    <w:rsid w:val="007A3B88"/>
    <w:rsid w:val="007B28AE"/>
    <w:rsid w:val="007B485A"/>
    <w:rsid w:val="007B5830"/>
    <w:rsid w:val="007B6588"/>
    <w:rsid w:val="007B7663"/>
    <w:rsid w:val="007B7C07"/>
    <w:rsid w:val="007C1790"/>
    <w:rsid w:val="007C481A"/>
    <w:rsid w:val="007D1AD7"/>
    <w:rsid w:val="007D31DA"/>
    <w:rsid w:val="007D57FE"/>
    <w:rsid w:val="007D59D0"/>
    <w:rsid w:val="007F09BF"/>
    <w:rsid w:val="007F0D81"/>
    <w:rsid w:val="007F3D57"/>
    <w:rsid w:val="007F4942"/>
    <w:rsid w:val="00802C4E"/>
    <w:rsid w:val="00805182"/>
    <w:rsid w:val="00806B2C"/>
    <w:rsid w:val="008103F4"/>
    <w:rsid w:val="00810F9D"/>
    <w:rsid w:val="00815B52"/>
    <w:rsid w:val="00821501"/>
    <w:rsid w:val="00821A56"/>
    <w:rsid w:val="00822667"/>
    <w:rsid w:val="0082613A"/>
    <w:rsid w:val="0082633C"/>
    <w:rsid w:val="0082722A"/>
    <w:rsid w:val="00837C93"/>
    <w:rsid w:val="008403D4"/>
    <w:rsid w:val="0084320C"/>
    <w:rsid w:val="00843662"/>
    <w:rsid w:val="00843A74"/>
    <w:rsid w:val="00844053"/>
    <w:rsid w:val="0084703D"/>
    <w:rsid w:val="00847EBD"/>
    <w:rsid w:val="008500EC"/>
    <w:rsid w:val="00851629"/>
    <w:rsid w:val="008533C6"/>
    <w:rsid w:val="00856519"/>
    <w:rsid w:val="00856A7A"/>
    <w:rsid w:val="0086098A"/>
    <w:rsid w:val="0086134C"/>
    <w:rsid w:val="00861A6F"/>
    <w:rsid w:val="008623FA"/>
    <w:rsid w:val="008676B7"/>
    <w:rsid w:val="0087273A"/>
    <w:rsid w:val="008809D8"/>
    <w:rsid w:val="00882DEE"/>
    <w:rsid w:val="00885452"/>
    <w:rsid w:val="00886217"/>
    <w:rsid w:val="0088712E"/>
    <w:rsid w:val="008874B4"/>
    <w:rsid w:val="008906BA"/>
    <w:rsid w:val="00891BB7"/>
    <w:rsid w:val="008921B7"/>
    <w:rsid w:val="00892327"/>
    <w:rsid w:val="008928DB"/>
    <w:rsid w:val="008A1785"/>
    <w:rsid w:val="008A31C5"/>
    <w:rsid w:val="008A525B"/>
    <w:rsid w:val="008A5E80"/>
    <w:rsid w:val="008A65DA"/>
    <w:rsid w:val="008A66BC"/>
    <w:rsid w:val="008B0287"/>
    <w:rsid w:val="008B515E"/>
    <w:rsid w:val="008B5CA2"/>
    <w:rsid w:val="008B74CC"/>
    <w:rsid w:val="008C056D"/>
    <w:rsid w:val="008C133B"/>
    <w:rsid w:val="008C1BE2"/>
    <w:rsid w:val="008C30E3"/>
    <w:rsid w:val="008C31C4"/>
    <w:rsid w:val="008C478C"/>
    <w:rsid w:val="008D0F9B"/>
    <w:rsid w:val="008D1D32"/>
    <w:rsid w:val="008E0348"/>
    <w:rsid w:val="008E1128"/>
    <w:rsid w:val="008F2FD0"/>
    <w:rsid w:val="008F37DA"/>
    <w:rsid w:val="008F4768"/>
    <w:rsid w:val="008F4D47"/>
    <w:rsid w:val="00901511"/>
    <w:rsid w:val="00902E5B"/>
    <w:rsid w:val="00903BF0"/>
    <w:rsid w:val="00906B7E"/>
    <w:rsid w:val="0090757B"/>
    <w:rsid w:val="0091135E"/>
    <w:rsid w:val="00915E6B"/>
    <w:rsid w:val="009171E6"/>
    <w:rsid w:val="0092145F"/>
    <w:rsid w:val="009220CC"/>
    <w:rsid w:val="009276F8"/>
    <w:rsid w:val="00927C22"/>
    <w:rsid w:val="00931127"/>
    <w:rsid w:val="0093183C"/>
    <w:rsid w:val="00933DB5"/>
    <w:rsid w:val="00940456"/>
    <w:rsid w:val="00943446"/>
    <w:rsid w:val="00944290"/>
    <w:rsid w:val="00944D08"/>
    <w:rsid w:val="009518AC"/>
    <w:rsid w:val="00956F60"/>
    <w:rsid w:val="009575C0"/>
    <w:rsid w:val="009609F3"/>
    <w:rsid w:val="00961751"/>
    <w:rsid w:val="0096181E"/>
    <w:rsid w:val="00963891"/>
    <w:rsid w:val="00972AC4"/>
    <w:rsid w:val="00975604"/>
    <w:rsid w:val="00977727"/>
    <w:rsid w:val="00982DFB"/>
    <w:rsid w:val="00983BF2"/>
    <w:rsid w:val="009857FC"/>
    <w:rsid w:val="0099160A"/>
    <w:rsid w:val="00993A95"/>
    <w:rsid w:val="00994515"/>
    <w:rsid w:val="0099507E"/>
    <w:rsid w:val="00995B2C"/>
    <w:rsid w:val="00996684"/>
    <w:rsid w:val="009A10FB"/>
    <w:rsid w:val="009A588A"/>
    <w:rsid w:val="009A79C6"/>
    <w:rsid w:val="009B56BB"/>
    <w:rsid w:val="009C49CD"/>
    <w:rsid w:val="009C6E7F"/>
    <w:rsid w:val="009D1659"/>
    <w:rsid w:val="009D7041"/>
    <w:rsid w:val="009E004E"/>
    <w:rsid w:val="009E40F5"/>
    <w:rsid w:val="009E527B"/>
    <w:rsid w:val="009E5FBE"/>
    <w:rsid w:val="009F04EA"/>
    <w:rsid w:val="009F270F"/>
    <w:rsid w:val="009F33E8"/>
    <w:rsid w:val="009F47CF"/>
    <w:rsid w:val="009F53A8"/>
    <w:rsid w:val="009F6BA0"/>
    <w:rsid w:val="009F7BD5"/>
    <w:rsid w:val="00A02DE2"/>
    <w:rsid w:val="00A156D9"/>
    <w:rsid w:val="00A174DD"/>
    <w:rsid w:val="00A205E4"/>
    <w:rsid w:val="00A22B58"/>
    <w:rsid w:val="00A23B1C"/>
    <w:rsid w:val="00A2416C"/>
    <w:rsid w:val="00A252B4"/>
    <w:rsid w:val="00A265A1"/>
    <w:rsid w:val="00A30F64"/>
    <w:rsid w:val="00A322FC"/>
    <w:rsid w:val="00A3494C"/>
    <w:rsid w:val="00A40363"/>
    <w:rsid w:val="00A425F0"/>
    <w:rsid w:val="00A4262F"/>
    <w:rsid w:val="00A44D9D"/>
    <w:rsid w:val="00A502B2"/>
    <w:rsid w:val="00A5534E"/>
    <w:rsid w:val="00A55D4E"/>
    <w:rsid w:val="00A6080D"/>
    <w:rsid w:val="00A60A87"/>
    <w:rsid w:val="00A61924"/>
    <w:rsid w:val="00A64C0E"/>
    <w:rsid w:val="00A675F3"/>
    <w:rsid w:val="00A67784"/>
    <w:rsid w:val="00A71974"/>
    <w:rsid w:val="00A7262D"/>
    <w:rsid w:val="00A755BB"/>
    <w:rsid w:val="00A75E57"/>
    <w:rsid w:val="00A843BB"/>
    <w:rsid w:val="00A90BC7"/>
    <w:rsid w:val="00A930AA"/>
    <w:rsid w:val="00A943CD"/>
    <w:rsid w:val="00A9523A"/>
    <w:rsid w:val="00A959DE"/>
    <w:rsid w:val="00A97F66"/>
    <w:rsid w:val="00AA03D9"/>
    <w:rsid w:val="00AA2F81"/>
    <w:rsid w:val="00AA2FF0"/>
    <w:rsid w:val="00AA57C4"/>
    <w:rsid w:val="00AA6C91"/>
    <w:rsid w:val="00AA77AD"/>
    <w:rsid w:val="00AB0356"/>
    <w:rsid w:val="00AB3B9B"/>
    <w:rsid w:val="00AB427E"/>
    <w:rsid w:val="00AB587B"/>
    <w:rsid w:val="00AC11BC"/>
    <w:rsid w:val="00AC2C3B"/>
    <w:rsid w:val="00AC42E6"/>
    <w:rsid w:val="00AC661F"/>
    <w:rsid w:val="00AC6696"/>
    <w:rsid w:val="00AD3E5A"/>
    <w:rsid w:val="00AD5940"/>
    <w:rsid w:val="00AE01D3"/>
    <w:rsid w:val="00AE2981"/>
    <w:rsid w:val="00AE2D3B"/>
    <w:rsid w:val="00AE75FE"/>
    <w:rsid w:val="00AF14D1"/>
    <w:rsid w:val="00AF293D"/>
    <w:rsid w:val="00AF365A"/>
    <w:rsid w:val="00AF3DBB"/>
    <w:rsid w:val="00AF40AD"/>
    <w:rsid w:val="00AF671F"/>
    <w:rsid w:val="00B01589"/>
    <w:rsid w:val="00B02709"/>
    <w:rsid w:val="00B03406"/>
    <w:rsid w:val="00B04BAF"/>
    <w:rsid w:val="00B0724D"/>
    <w:rsid w:val="00B07254"/>
    <w:rsid w:val="00B113E0"/>
    <w:rsid w:val="00B1188C"/>
    <w:rsid w:val="00B1224C"/>
    <w:rsid w:val="00B152C8"/>
    <w:rsid w:val="00B16F63"/>
    <w:rsid w:val="00B2254A"/>
    <w:rsid w:val="00B2473D"/>
    <w:rsid w:val="00B24A29"/>
    <w:rsid w:val="00B252B2"/>
    <w:rsid w:val="00B25870"/>
    <w:rsid w:val="00B26306"/>
    <w:rsid w:val="00B27625"/>
    <w:rsid w:val="00B3109C"/>
    <w:rsid w:val="00B33F0C"/>
    <w:rsid w:val="00B35F0B"/>
    <w:rsid w:val="00B404BB"/>
    <w:rsid w:val="00B40C8E"/>
    <w:rsid w:val="00B41A0E"/>
    <w:rsid w:val="00B42F15"/>
    <w:rsid w:val="00B4346F"/>
    <w:rsid w:val="00B434C6"/>
    <w:rsid w:val="00B4392A"/>
    <w:rsid w:val="00B44DC4"/>
    <w:rsid w:val="00B53FD5"/>
    <w:rsid w:val="00B56B55"/>
    <w:rsid w:val="00B57213"/>
    <w:rsid w:val="00B57450"/>
    <w:rsid w:val="00B71AC0"/>
    <w:rsid w:val="00B72215"/>
    <w:rsid w:val="00B74EB0"/>
    <w:rsid w:val="00B75BCF"/>
    <w:rsid w:val="00B8057D"/>
    <w:rsid w:val="00B820DD"/>
    <w:rsid w:val="00B85BDB"/>
    <w:rsid w:val="00B94552"/>
    <w:rsid w:val="00B94EF0"/>
    <w:rsid w:val="00B95301"/>
    <w:rsid w:val="00B96B95"/>
    <w:rsid w:val="00BA58A5"/>
    <w:rsid w:val="00BA6401"/>
    <w:rsid w:val="00BA6477"/>
    <w:rsid w:val="00BA7FA4"/>
    <w:rsid w:val="00BC0E6F"/>
    <w:rsid w:val="00BC35A0"/>
    <w:rsid w:val="00BC3DCB"/>
    <w:rsid w:val="00BC418B"/>
    <w:rsid w:val="00BC4840"/>
    <w:rsid w:val="00BC4DDD"/>
    <w:rsid w:val="00BC5003"/>
    <w:rsid w:val="00BC580B"/>
    <w:rsid w:val="00BC5E16"/>
    <w:rsid w:val="00BC651D"/>
    <w:rsid w:val="00BC72BA"/>
    <w:rsid w:val="00BC75F8"/>
    <w:rsid w:val="00BC7E95"/>
    <w:rsid w:val="00BD31D5"/>
    <w:rsid w:val="00BD3609"/>
    <w:rsid w:val="00BE0FEC"/>
    <w:rsid w:val="00BE1171"/>
    <w:rsid w:val="00BE52D5"/>
    <w:rsid w:val="00BE7D63"/>
    <w:rsid w:val="00BF6B88"/>
    <w:rsid w:val="00BF7E10"/>
    <w:rsid w:val="00C007F7"/>
    <w:rsid w:val="00C02D1C"/>
    <w:rsid w:val="00C032D1"/>
    <w:rsid w:val="00C06169"/>
    <w:rsid w:val="00C10A32"/>
    <w:rsid w:val="00C10AED"/>
    <w:rsid w:val="00C10B7F"/>
    <w:rsid w:val="00C11F03"/>
    <w:rsid w:val="00C15A3A"/>
    <w:rsid w:val="00C20E1F"/>
    <w:rsid w:val="00C261CE"/>
    <w:rsid w:val="00C27185"/>
    <w:rsid w:val="00C31628"/>
    <w:rsid w:val="00C317B0"/>
    <w:rsid w:val="00C3397E"/>
    <w:rsid w:val="00C356D2"/>
    <w:rsid w:val="00C44244"/>
    <w:rsid w:val="00C46E2E"/>
    <w:rsid w:val="00C46EC5"/>
    <w:rsid w:val="00C47621"/>
    <w:rsid w:val="00C50617"/>
    <w:rsid w:val="00C522BE"/>
    <w:rsid w:val="00C54997"/>
    <w:rsid w:val="00C54F17"/>
    <w:rsid w:val="00C63D86"/>
    <w:rsid w:val="00C66823"/>
    <w:rsid w:val="00C7091F"/>
    <w:rsid w:val="00C70CE0"/>
    <w:rsid w:val="00C71E4D"/>
    <w:rsid w:val="00C720C0"/>
    <w:rsid w:val="00C73039"/>
    <w:rsid w:val="00C73CD5"/>
    <w:rsid w:val="00C7654F"/>
    <w:rsid w:val="00C80333"/>
    <w:rsid w:val="00C914FE"/>
    <w:rsid w:val="00C92CCB"/>
    <w:rsid w:val="00C95474"/>
    <w:rsid w:val="00C95AF7"/>
    <w:rsid w:val="00CA1782"/>
    <w:rsid w:val="00CA20BC"/>
    <w:rsid w:val="00CA67E6"/>
    <w:rsid w:val="00CA713B"/>
    <w:rsid w:val="00CB1C34"/>
    <w:rsid w:val="00CB44D9"/>
    <w:rsid w:val="00CB4CD9"/>
    <w:rsid w:val="00CC13CE"/>
    <w:rsid w:val="00CC326A"/>
    <w:rsid w:val="00CC41DA"/>
    <w:rsid w:val="00CC48FE"/>
    <w:rsid w:val="00CC6845"/>
    <w:rsid w:val="00CD0C7F"/>
    <w:rsid w:val="00CD120D"/>
    <w:rsid w:val="00CD67B5"/>
    <w:rsid w:val="00CE033B"/>
    <w:rsid w:val="00CE123D"/>
    <w:rsid w:val="00CE147B"/>
    <w:rsid w:val="00CE327C"/>
    <w:rsid w:val="00CE64CC"/>
    <w:rsid w:val="00CF20E1"/>
    <w:rsid w:val="00CF2A65"/>
    <w:rsid w:val="00CF2AC1"/>
    <w:rsid w:val="00CF3E59"/>
    <w:rsid w:val="00CF57C7"/>
    <w:rsid w:val="00D06BFE"/>
    <w:rsid w:val="00D22484"/>
    <w:rsid w:val="00D277DF"/>
    <w:rsid w:val="00D33E73"/>
    <w:rsid w:val="00D375A7"/>
    <w:rsid w:val="00D421AB"/>
    <w:rsid w:val="00D42910"/>
    <w:rsid w:val="00D520FB"/>
    <w:rsid w:val="00D53C6F"/>
    <w:rsid w:val="00D55576"/>
    <w:rsid w:val="00D558B0"/>
    <w:rsid w:val="00D561AF"/>
    <w:rsid w:val="00D566CB"/>
    <w:rsid w:val="00D57120"/>
    <w:rsid w:val="00D61097"/>
    <w:rsid w:val="00D6684F"/>
    <w:rsid w:val="00D671DD"/>
    <w:rsid w:val="00D67234"/>
    <w:rsid w:val="00D70147"/>
    <w:rsid w:val="00D71997"/>
    <w:rsid w:val="00D73F47"/>
    <w:rsid w:val="00D7414D"/>
    <w:rsid w:val="00D754BD"/>
    <w:rsid w:val="00D758AE"/>
    <w:rsid w:val="00D76426"/>
    <w:rsid w:val="00D832A2"/>
    <w:rsid w:val="00D90C8E"/>
    <w:rsid w:val="00DA0863"/>
    <w:rsid w:val="00DA095D"/>
    <w:rsid w:val="00DA0978"/>
    <w:rsid w:val="00DA11BC"/>
    <w:rsid w:val="00DA4F36"/>
    <w:rsid w:val="00DA7A00"/>
    <w:rsid w:val="00DB4063"/>
    <w:rsid w:val="00DB40B2"/>
    <w:rsid w:val="00DB44F3"/>
    <w:rsid w:val="00DB4B4D"/>
    <w:rsid w:val="00DB5ED2"/>
    <w:rsid w:val="00DB72E7"/>
    <w:rsid w:val="00DC0BA6"/>
    <w:rsid w:val="00DC1898"/>
    <w:rsid w:val="00DC2B08"/>
    <w:rsid w:val="00DC2E38"/>
    <w:rsid w:val="00DC3A70"/>
    <w:rsid w:val="00DD278F"/>
    <w:rsid w:val="00DD3F0E"/>
    <w:rsid w:val="00DD6CA8"/>
    <w:rsid w:val="00DE0A87"/>
    <w:rsid w:val="00DE4CC7"/>
    <w:rsid w:val="00DE6585"/>
    <w:rsid w:val="00DE78CD"/>
    <w:rsid w:val="00DF1982"/>
    <w:rsid w:val="00DF2011"/>
    <w:rsid w:val="00DF27AF"/>
    <w:rsid w:val="00E0210A"/>
    <w:rsid w:val="00E043FA"/>
    <w:rsid w:val="00E04945"/>
    <w:rsid w:val="00E049FC"/>
    <w:rsid w:val="00E06D6D"/>
    <w:rsid w:val="00E06FC9"/>
    <w:rsid w:val="00E129C3"/>
    <w:rsid w:val="00E1729A"/>
    <w:rsid w:val="00E2015F"/>
    <w:rsid w:val="00E2367E"/>
    <w:rsid w:val="00E25FA4"/>
    <w:rsid w:val="00E26A04"/>
    <w:rsid w:val="00E27ED0"/>
    <w:rsid w:val="00E3091B"/>
    <w:rsid w:val="00E3348E"/>
    <w:rsid w:val="00E3358A"/>
    <w:rsid w:val="00E37443"/>
    <w:rsid w:val="00E42C8A"/>
    <w:rsid w:val="00E46639"/>
    <w:rsid w:val="00E5351A"/>
    <w:rsid w:val="00E5628B"/>
    <w:rsid w:val="00E566E3"/>
    <w:rsid w:val="00E5695C"/>
    <w:rsid w:val="00E61BF9"/>
    <w:rsid w:val="00E62F5C"/>
    <w:rsid w:val="00E63376"/>
    <w:rsid w:val="00E639D6"/>
    <w:rsid w:val="00E65DE7"/>
    <w:rsid w:val="00E66D5E"/>
    <w:rsid w:val="00E71C0F"/>
    <w:rsid w:val="00E75068"/>
    <w:rsid w:val="00E76891"/>
    <w:rsid w:val="00E8082B"/>
    <w:rsid w:val="00E82DF0"/>
    <w:rsid w:val="00E8316B"/>
    <w:rsid w:val="00E91608"/>
    <w:rsid w:val="00E9253C"/>
    <w:rsid w:val="00E92717"/>
    <w:rsid w:val="00E961D3"/>
    <w:rsid w:val="00EA0696"/>
    <w:rsid w:val="00EA2622"/>
    <w:rsid w:val="00EA52D4"/>
    <w:rsid w:val="00EA6758"/>
    <w:rsid w:val="00EA75BE"/>
    <w:rsid w:val="00EA75E7"/>
    <w:rsid w:val="00EB07D2"/>
    <w:rsid w:val="00EB1A28"/>
    <w:rsid w:val="00EB34F1"/>
    <w:rsid w:val="00EB356E"/>
    <w:rsid w:val="00EB4685"/>
    <w:rsid w:val="00EC24A5"/>
    <w:rsid w:val="00EC5378"/>
    <w:rsid w:val="00EC5409"/>
    <w:rsid w:val="00ED0FAF"/>
    <w:rsid w:val="00ED6959"/>
    <w:rsid w:val="00ED788F"/>
    <w:rsid w:val="00ED7A6E"/>
    <w:rsid w:val="00EE023F"/>
    <w:rsid w:val="00EE1262"/>
    <w:rsid w:val="00EE29A5"/>
    <w:rsid w:val="00EE469C"/>
    <w:rsid w:val="00EF0A25"/>
    <w:rsid w:val="00EF2B55"/>
    <w:rsid w:val="00EF417A"/>
    <w:rsid w:val="00EF5A40"/>
    <w:rsid w:val="00F00D33"/>
    <w:rsid w:val="00F02B3A"/>
    <w:rsid w:val="00F042BD"/>
    <w:rsid w:val="00F05484"/>
    <w:rsid w:val="00F05CA7"/>
    <w:rsid w:val="00F11195"/>
    <w:rsid w:val="00F11F50"/>
    <w:rsid w:val="00F13464"/>
    <w:rsid w:val="00F13E0C"/>
    <w:rsid w:val="00F1443B"/>
    <w:rsid w:val="00F14864"/>
    <w:rsid w:val="00F16517"/>
    <w:rsid w:val="00F17592"/>
    <w:rsid w:val="00F177CB"/>
    <w:rsid w:val="00F178A2"/>
    <w:rsid w:val="00F21674"/>
    <w:rsid w:val="00F21923"/>
    <w:rsid w:val="00F23DF2"/>
    <w:rsid w:val="00F24F9C"/>
    <w:rsid w:val="00F25874"/>
    <w:rsid w:val="00F2605A"/>
    <w:rsid w:val="00F326AA"/>
    <w:rsid w:val="00F339A3"/>
    <w:rsid w:val="00F34AE4"/>
    <w:rsid w:val="00F34BC8"/>
    <w:rsid w:val="00F34C8D"/>
    <w:rsid w:val="00F35F04"/>
    <w:rsid w:val="00F437B6"/>
    <w:rsid w:val="00F43D73"/>
    <w:rsid w:val="00F463D9"/>
    <w:rsid w:val="00F4685F"/>
    <w:rsid w:val="00F46ABD"/>
    <w:rsid w:val="00F50B28"/>
    <w:rsid w:val="00F50CAA"/>
    <w:rsid w:val="00F524C8"/>
    <w:rsid w:val="00F53E30"/>
    <w:rsid w:val="00F53EE7"/>
    <w:rsid w:val="00F55E35"/>
    <w:rsid w:val="00F5765D"/>
    <w:rsid w:val="00F60F25"/>
    <w:rsid w:val="00F61D87"/>
    <w:rsid w:val="00F62BFF"/>
    <w:rsid w:val="00F62CAD"/>
    <w:rsid w:val="00F672D1"/>
    <w:rsid w:val="00F70BCF"/>
    <w:rsid w:val="00F71A31"/>
    <w:rsid w:val="00F72110"/>
    <w:rsid w:val="00F74334"/>
    <w:rsid w:val="00F74ABC"/>
    <w:rsid w:val="00F77EC0"/>
    <w:rsid w:val="00F82619"/>
    <w:rsid w:val="00F83B75"/>
    <w:rsid w:val="00F848DD"/>
    <w:rsid w:val="00F90FC4"/>
    <w:rsid w:val="00F9388B"/>
    <w:rsid w:val="00F96655"/>
    <w:rsid w:val="00FA0168"/>
    <w:rsid w:val="00FA3F9B"/>
    <w:rsid w:val="00FA4798"/>
    <w:rsid w:val="00FA4DF1"/>
    <w:rsid w:val="00FA5E00"/>
    <w:rsid w:val="00FA61D9"/>
    <w:rsid w:val="00FB13ED"/>
    <w:rsid w:val="00FB7FB2"/>
    <w:rsid w:val="00FC284F"/>
    <w:rsid w:val="00FC342E"/>
    <w:rsid w:val="00FD08F0"/>
    <w:rsid w:val="00FD20F7"/>
    <w:rsid w:val="00FD5185"/>
    <w:rsid w:val="00FE097D"/>
    <w:rsid w:val="00FE237E"/>
    <w:rsid w:val="00FE54D7"/>
    <w:rsid w:val="00FE6A83"/>
    <w:rsid w:val="00FF0D74"/>
    <w:rsid w:val="00FF2838"/>
    <w:rsid w:val="00FF6B2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D3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18"/>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018"/>
    <w:pPr>
      <w:spacing w:after="0" w:line="240" w:lineRule="auto"/>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45018"/>
    <w:rPr>
      <w:i/>
      <w:iCs/>
    </w:rPr>
  </w:style>
  <w:style w:type="paragraph" w:styleId="Bibliography">
    <w:name w:val="Bibliography"/>
    <w:basedOn w:val="Normal"/>
    <w:next w:val="Normal"/>
    <w:uiPriority w:val="37"/>
    <w:unhideWhenUsed/>
    <w:rsid w:val="005A1389"/>
    <w:pPr>
      <w:tabs>
        <w:tab w:val="left" w:pos="504"/>
      </w:tabs>
      <w:spacing w:after="240" w:line="240" w:lineRule="auto"/>
      <w:ind w:left="504" w:hanging="504"/>
    </w:pPr>
  </w:style>
  <w:style w:type="table" w:customStyle="1" w:styleId="GridTable2-Accent11">
    <w:name w:val="Grid Table 2 - Accent 11"/>
    <w:basedOn w:val="TableNormal"/>
    <w:uiPriority w:val="47"/>
    <w:rsid w:val="007C1790"/>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2C12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C1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244"/>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9F6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BA0"/>
    <w:rPr>
      <w:rFonts w:eastAsiaTheme="minorEastAsia"/>
      <w:lang w:eastAsia="zh-CN"/>
    </w:rPr>
  </w:style>
  <w:style w:type="paragraph" w:styleId="Footer">
    <w:name w:val="footer"/>
    <w:basedOn w:val="Normal"/>
    <w:link w:val="FooterChar"/>
    <w:uiPriority w:val="99"/>
    <w:unhideWhenUsed/>
    <w:rsid w:val="009F6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BA0"/>
    <w:rPr>
      <w:rFonts w:eastAsiaTheme="minorEastAsia"/>
      <w:lang w:eastAsia="zh-CN"/>
    </w:rPr>
  </w:style>
  <w:style w:type="table" w:customStyle="1" w:styleId="GridTable2-Accent12">
    <w:name w:val="Grid Table 2 - Accent 12"/>
    <w:basedOn w:val="TableNormal"/>
    <w:uiPriority w:val="47"/>
    <w:rsid w:val="00D375A7"/>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E3091B"/>
    <w:pPr>
      <w:spacing w:after="0" w:line="240" w:lineRule="auto"/>
    </w:pPr>
    <w:rPr>
      <w:lang w:eastAsia="zh-CN"/>
    </w:rPr>
  </w:style>
  <w:style w:type="paragraph" w:styleId="ListParagraph">
    <w:name w:val="List Paragraph"/>
    <w:basedOn w:val="Normal"/>
    <w:uiPriority w:val="34"/>
    <w:qFormat/>
    <w:rsid w:val="004E7417"/>
    <w:pPr>
      <w:ind w:left="720"/>
      <w:contextualSpacing/>
    </w:pPr>
  </w:style>
  <w:style w:type="character" w:styleId="CommentReference">
    <w:name w:val="annotation reference"/>
    <w:basedOn w:val="DefaultParagraphFont"/>
    <w:uiPriority w:val="99"/>
    <w:semiHidden/>
    <w:unhideWhenUsed/>
    <w:rsid w:val="00C63D86"/>
    <w:rPr>
      <w:sz w:val="16"/>
      <w:szCs w:val="16"/>
    </w:rPr>
  </w:style>
  <w:style w:type="paragraph" w:styleId="CommentText">
    <w:name w:val="annotation text"/>
    <w:basedOn w:val="Normal"/>
    <w:link w:val="CommentTextChar"/>
    <w:unhideWhenUsed/>
    <w:rsid w:val="00C63D86"/>
    <w:pPr>
      <w:spacing w:line="240" w:lineRule="auto"/>
    </w:pPr>
    <w:rPr>
      <w:sz w:val="20"/>
      <w:szCs w:val="20"/>
    </w:rPr>
  </w:style>
  <w:style w:type="character" w:customStyle="1" w:styleId="CommentTextChar">
    <w:name w:val="Comment Text Char"/>
    <w:basedOn w:val="DefaultParagraphFont"/>
    <w:link w:val="CommentText"/>
    <w:rsid w:val="00C63D86"/>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C63D86"/>
    <w:rPr>
      <w:b/>
      <w:bCs/>
    </w:rPr>
  </w:style>
  <w:style w:type="character" w:customStyle="1" w:styleId="CommentSubjectChar">
    <w:name w:val="Comment Subject Char"/>
    <w:basedOn w:val="CommentTextChar"/>
    <w:link w:val="CommentSubject"/>
    <w:uiPriority w:val="99"/>
    <w:semiHidden/>
    <w:rsid w:val="00C63D86"/>
    <w:rPr>
      <w:rFonts w:eastAsiaTheme="minorEastAsia"/>
      <w:b/>
      <w:bCs/>
      <w:sz w:val="20"/>
      <w:szCs w:val="20"/>
      <w:lang w:eastAsia="zh-CN"/>
    </w:rPr>
  </w:style>
  <w:style w:type="character" w:styleId="PlaceholderText">
    <w:name w:val="Placeholder Text"/>
    <w:basedOn w:val="DefaultParagraphFont"/>
    <w:uiPriority w:val="99"/>
    <w:semiHidden/>
    <w:rsid w:val="00783FBA"/>
    <w:rPr>
      <w:color w:val="808080"/>
    </w:rPr>
  </w:style>
  <w:style w:type="character" w:customStyle="1" w:styleId="gi">
    <w:name w:val="gi"/>
    <w:basedOn w:val="DefaultParagraphFont"/>
    <w:rsid w:val="00642B80"/>
  </w:style>
  <w:style w:type="character" w:styleId="Hyperlink">
    <w:name w:val="Hyperlink"/>
    <w:basedOn w:val="DefaultParagraphFont"/>
    <w:uiPriority w:val="99"/>
    <w:unhideWhenUsed/>
    <w:rsid w:val="00166F3E"/>
    <w:rPr>
      <w:color w:val="0563C1" w:themeColor="hyperlink"/>
      <w:u w:val="single"/>
    </w:rPr>
  </w:style>
  <w:style w:type="character" w:customStyle="1" w:styleId="Mention">
    <w:name w:val="Mention"/>
    <w:basedOn w:val="DefaultParagraphFont"/>
    <w:uiPriority w:val="99"/>
    <w:semiHidden/>
    <w:unhideWhenUsed/>
    <w:rsid w:val="00D671DD"/>
    <w:rPr>
      <w:color w:val="2B579A"/>
      <w:shd w:val="clear" w:color="auto" w:fill="E6E6E6"/>
    </w:rPr>
  </w:style>
  <w:style w:type="character" w:customStyle="1" w:styleId="apple-converted-space">
    <w:name w:val="apple-converted-space"/>
    <w:basedOn w:val="DefaultParagraphFont"/>
    <w:rsid w:val="009F04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18"/>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018"/>
    <w:pPr>
      <w:spacing w:after="0" w:line="240" w:lineRule="auto"/>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45018"/>
    <w:rPr>
      <w:i/>
      <w:iCs/>
    </w:rPr>
  </w:style>
  <w:style w:type="paragraph" w:styleId="Bibliography">
    <w:name w:val="Bibliography"/>
    <w:basedOn w:val="Normal"/>
    <w:next w:val="Normal"/>
    <w:uiPriority w:val="37"/>
    <w:unhideWhenUsed/>
    <w:rsid w:val="005A1389"/>
    <w:pPr>
      <w:tabs>
        <w:tab w:val="left" w:pos="504"/>
      </w:tabs>
      <w:spacing w:after="240" w:line="240" w:lineRule="auto"/>
      <w:ind w:left="504" w:hanging="504"/>
    </w:pPr>
  </w:style>
  <w:style w:type="table" w:customStyle="1" w:styleId="GridTable2-Accent11">
    <w:name w:val="Grid Table 2 - Accent 11"/>
    <w:basedOn w:val="TableNormal"/>
    <w:uiPriority w:val="47"/>
    <w:rsid w:val="007C1790"/>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2C12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C1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244"/>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9F6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BA0"/>
    <w:rPr>
      <w:rFonts w:eastAsiaTheme="minorEastAsia"/>
      <w:lang w:eastAsia="zh-CN"/>
    </w:rPr>
  </w:style>
  <w:style w:type="paragraph" w:styleId="Footer">
    <w:name w:val="footer"/>
    <w:basedOn w:val="Normal"/>
    <w:link w:val="FooterChar"/>
    <w:uiPriority w:val="99"/>
    <w:unhideWhenUsed/>
    <w:rsid w:val="009F6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BA0"/>
    <w:rPr>
      <w:rFonts w:eastAsiaTheme="minorEastAsia"/>
      <w:lang w:eastAsia="zh-CN"/>
    </w:rPr>
  </w:style>
  <w:style w:type="table" w:customStyle="1" w:styleId="GridTable2-Accent12">
    <w:name w:val="Grid Table 2 - Accent 12"/>
    <w:basedOn w:val="TableNormal"/>
    <w:uiPriority w:val="47"/>
    <w:rsid w:val="00D375A7"/>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E3091B"/>
    <w:pPr>
      <w:spacing w:after="0" w:line="240" w:lineRule="auto"/>
    </w:pPr>
    <w:rPr>
      <w:lang w:eastAsia="zh-CN"/>
    </w:rPr>
  </w:style>
  <w:style w:type="paragraph" w:styleId="ListParagraph">
    <w:name w:val="List Paragraph"/>
    <w:basedOn w:val="Normal"/>
    <w:uiPriority w:val="34"/>
    <w:qFormat/>
    <w:rsid w:val="004E7417"/>
    <w:pPr>
      <w:ind w:left="720"/>
      <w:contextualSpacing/>
    </w:pPr>
  </w:style>
  <w:style w:type="character" w:styleId="CommentReference">
    <w:name w:val="annotation reference"/>
    <w:basedOn w:val="DefaultParagraphFont"/>
    <w:uiPriority w:val="99"/>
    <w:semiHidden/>
    <w:unhideWhenUsed/>
    <w:rsid w:val="00C63D86"/>
    <w:rPr>
      <w:sz w:val="16"/>
      <w:szCs w:val="16"/>
    </w:rPr>
  </w:style>
  <w:style w:type="paragraph" w:styleId="CommentText">
    <w:name w:val="annotation text"/>
    <w:basedOn w:val="Normal"/>
    <w:link w:val="CommentTextChar"/>
    <w:unhideWhenUsed/>
    <w:rsid w:val="00C63D86"/>
    <w:pPr>
      <w:spacing w:line="240" w:lineRule="auto"/>
    </w:pPr>
    <w:rPr>
      <w:sz w:val="20"/>
      <w:szCs w:val="20"/>
    </w:rPr>
  </w:style>
  <w:style w:type="character" w:customStyle="1" w:styleId="CommentTextChar">
    <w:name w:val="Comment Text Char"/>
    <w:basedOn w:val="DefaultParagraphFont"/>
    <w:link w:val="CommentText"/>
    <w:rsid w:val="00C63D86"/>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C63D86"/>
    <w:rPr>
      <w:b/>
      <w:bCs/>
    </w:rPr>
  </w:style>
  <w:style w:type="character" w:customStyle="1" w:styleId="CommentSubjectChar">
    <w:name w:val="Comment Subject Char"/>
    <w:basedOn w:val="CommentTextChar"/>
    <w:link w:val="CommentSubject"/>
    <w:uiPriority w:val="99"/>
    <w:semiHidden/>
    <w:rsid w:val="00C63D86"/>
    <w:rPr>
      <w:rFonts w:eastAsiaTheme="minorEastAsia"/>
      <w:b/>
      <w:bCs/>
      <w:sz w:val="20"/>
      <w:szCs w:val="20"/>
      <w:lang w:eastAsia="zh-CN"/>
    </w:rPr>
  </w:style>
  <w:style w:type="character" w:styleId="PlaceholderText">
    <w:name w:val="Placeholder Text"/>
    <w:basedOn w:val="DefaultParagraphFont"/>
    <w:uiPriority w:val="99"/>
    <w:semiHidden/>
    <w:rsid w:val="00783FBA"/>
    <w:rPr>
      <w:color w:val="808080"/>
    </w:rPr>
  </w:style>
  <w:style w:type="character" w:customStyle="1" w:styleId="gi">
    <w:name w:val="gi"/>
    <w:basedOn w:val="DefaultParagraphFont"/>
    <w:rsid w:val="00642B80"/>
  </w:style>
  <w:style w:type="character" w:styleId="Hyperlink">
    <w:name w:val="Hyperlink"/>
    <w:basedOn w:val="DefaultParagraphFont"/>
    <w:uiPriority w:val="99"/>
    <w:unhideWhenUsed/>
    <w:rsid w:val="00166F3E"/>
    <w:rPr>
      <w:color w:val="0563C1" w:themeColor="hyperlink"/>
      <w:u w:val="single"/>
    </w:rPr>
  </w:style>
  <w:style w:type="character" w:customStyle="1" w:styleId="Mention">
    <w:name w:val="Mention"/>
    <w:basedOn w:val="DefaultParagraphFont"/>
    <w:uiPriority w:val="99"/>
    <w:semiHidden/>
    <w:unhideWhenUsed/>
    <w:rsid w:val="00D671DD"/>
    <w:rPr>
      <w:color w:val="2B579A"/>
      <w:shd w:val="clear" w:color="auto" w:fill="E6E6E6"/>
    </w:rPr>
  </w:style>
  <w:style w:type="character" w:customStyle="1" w:styleId="apple-converted-space">
    <w:name w:val="apple-converted-space"/>
    <w:basedOn w:val="DefaultParagraphFont"/>
    <w:rsid w:val="009F0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9664">
      <w:bodyDiv w:val="1"/>
      <w:marLeft w:val="0"/>
      <w:marRight w:val="0"/>
      <w:marTop w:val="0"/>
      <w:marBottom w:val="0"/>
      <w:divBdr>
        <w:top w:val="none" w:sz="0" w:space="0" w:color="auto"/>
        <w:left w:val="none" w:sz="0" w:space="0" w:color="auto"/>
        <w:bottom w:val="none" w:sz="0" w:space="0" w:color="auto"/>
        <w:right w:val="none" w:sz="0" w:space="0" w:color="auto"/>
      </w:divBdr>
    </w:div>
    <w:div w:id="359089507">
      <w:bodyDiv w:val="1"/>
      <w:marLeft w:val="0"/>
      <w:marRight w:val="0"/>
      <w:marTop w:val="0"/>
      <w:marBottom w:val="0"/>
      <w:divBdr>
        <w:top w:val="none" w:sz="0" w:space="0" w:color="auto"/>
        <w:left w:val="none" w:sz="0" w:space="0" w:color="auto"/>
        <w:bottom w:val="none" w:sz="0" w:space="0" w:color="auto"/>
        <w:right w:val="none" w:sz="0" w:space="0" w:color="auto"/>
      </w:divBdr>
      <w:divsChild>
        <w:div w:id="403071342">
          <w:marLeft w:val="144"/>
          <w:marRight w:val="0"/>
          <w:marTop w:val="240"/>
          <w:marBottom w:val="40"/>
          <w:divBdr>
            <w:top w:val="none" w:sz="0" w:space="0" w:color="auto"/>
            <w:left w:val="none" w:sz="0" w:space="0" w:color="auto"/>
            <w:bottom w:val="none" w:sz="0" w:space="0" w:color="auto"/>
            <w:right w:val="none" w:sz="0" w:space="0" w:color="auto"/>
          </w:divBdr>
        </w:div>
        <w:div w:id="326598482">
          <w:marLeft w:val="144"/>
          <w:marRight w:val="0"/>
          <w:marTop w:val="240"/>
          <w:marBottom w:val="40"/>
          <w:divBdr>
            <w:top w:val="none" w:sz="0" w:space="0" w:color="auto"/>
            <w:left w:val="none" w:sz="0" w:space="0" w:color="auto"/>
            <w:bottom w:val="none" w:sz="0" w:space="0" w:color="auto"/>
            <w:right w:val="none" w:sz="0" w:space="0" w:color="auto"/>
          </w:divBdr>
        </w:div>
      </w:divsChild>
    </w:div>
    <w:div w:id="369692416">
      <w:bodyDiv w:val="1"/>
      <w:marLeft w:val="0"/>
      <w:marRight w:val="0"/>
      <w:marTop w:val="0"/>
      <w:marBottom w:val="0"/>
      <w:divBdr>
        <w:top w:val="none" w:sz="0" w:space="0" w:color="auto"/>
        <w:left w:val="none" w:sz="0" w:space="0" w:color="auto"/>
        <w:bottom w:val="none" w:sz="0" w:space="0" w:color="auto"/>
        <w:right w:val="none" w:sz="0" w:space="0" w:color="auto"/>
      </w:divBdr>
    </w:div>
    <w:div w:id="590547721">
      <w:bodyDiv w:val="1"/>
      <w:marLeft w:val="0"/>
      <w:marRight w:val="0"/>
      <w:marTop w:val="0"/>
      <w:marBottom w:val="0"/>
      <w:divBdr>
        <w:top w:val="none" w:sz="0" w:space="0" w:color="auto"/>
        <w:left w:val="none" w:sz="0" w:space="0" w:color="auto"/>
        <w:bottom w:val="none" w:sz="0" w:space="0" w:color="auto"/>
        <w:right w:val="none" w:sz="0" w:space="0" w:color="auto"/>
      </w:divBdr>
    </w:div>
    <w:div w:id="681052138">
      <w:bodyDiv w:val="1"/>
      <w:marLeft w:val="0"/>
      <w:marRight w:val="0"/>
      <w:marTop w:val="0"/>
      <w:marBottom w:val="0"/>
      <w:divBdr>
        <w:top w:val="none" w:sz="0" w:space="0" w:color="auto"/>
        <w:left w:val="none" w:sz="0" w:space="0" w:color="auto"/>
        <w:bottom w:val="none" w:sz="0" w:space="0" w:color="auto"/>
        <w:right w:val="none" w:sz="0" w:space="0" w:color="auto"/>
      </w:divBdr>
    </w:div>
    <w:div w:id="682362198">
      <w:bodyDiv w:val="1"/>
      <w:marLeft w:val="0"/>
      <w:marRight w:val="0"/>
      <w:marTop w:val="0"/>
      <w:marBottom w:val="0"/>
      <w:divBdr>
        <w:top w:val="none" w:sz="0" w:space="0" w:color="auto"/>
        <w:left w:val="none" w:sz="0" w:space="0" w:color="auto"/>
        <w:bottom w:val="none" w:sz="0" w:space="0" w:color="auto"/>
        <w:right w:val="none" w:sz="0" w:space="0" w:color="auto"/>
      </w:divBdr>
    </w:div>
    <w:div w:id="690643202">
      <w:bodyDiv w:val="1"/>
      <w:marLeft w:val="0"/>
      <w:marRight w:val="0"/>
      <w:marTop w:val="0"/>
      <w:marBottom w:val="0"/>
      <w:divBdr>
        <w:top w:val="none" w:sz="0" w:space="0" w:color="auto"/>
        <w:left w:val="none" w:sz="0" w:space="0" w:color="auto"/>
        <w:bottom w:val="none" w:sz="0" w:space="0" w:color="auto"/>
        <w:right w:val="none" w:sz="0" w:space="0" w:color="auto"/>
      </w:divBdr>
    </w:div>
    <w:div w:id="789322275">
      <w:bodyDiv w:val="1"/>
      <w:marLeft w:val="0"/>
      <w:marRight w:val="0"/>
      <w:marTop w:val="0"/>
      <w:marBottom w:val="0"/>
      <w:divBdr>
        <w:top w:val="none" w:sz="0" w:space="0" w:color="auto"/>
        <w:left w:val="none" w:sz="0" w:space="0" w:color="auto"/>
        <w:bottom w:val="none" w:sz="0" w:space="0" w:color="auto"/>
        <w:right w:val="none" w:sz="0" w:space="0" w:color="auto"/>
      </w:divBdr>
      <w:divsChild>
        <w:div w:id="1075279054">
          <w:marLeft w:val="144"/>
          <w:marRight w:val="0"/>
          <w:marTop w:val="240"/>
          <w:marBottom w:val="40"/>
          <w:divBdr>
            <w:top w:val="none" w:sz="0" w:space="0" w:color="auto"/>
            <w:left w:val="none" w:sz="0" w:space="0" w:color="auto"/>
            <w:bottom w:val="none" w:sz="0" w:space="0" w:color="auto"/>
            <w:right w:val="none" w:sz="0" w:space="0" w:color="auto"/>
          </w:divBdr>
        </w:div>
      </w:divsChild>
    </w:div>
    <w:div w:id="797987284">
      <w:bodyDiv w:val="1"/>
      <w:marLeft w:val="0"/>
      <w:marRight w:val="0"/>
      <w:marTop w:val="0"/>
      <w:marBottom w:val="0"/>
      <w:divBdr>
        <w:top w:val="none" w:sz="0" w:space="0" w:color="auto"/>
        <w:left w:val="none" w:sz="0" w:space="0" w:color="auto"/>
        <w:bottom w:val="none" w:sz="0" w:space="0" w:color="auto"/>
        <w:right w:val="none" w:sz="0" w:space="0" w:color="auto"/>
      </w:divBdr>
    </w:div>
    <w:div w:id="821580316">
      <w:bodyDiv w:val="1"/>
      <w:marLeft w:val="0"/>
      <w:marRight w:val="0"/>
      <w:marTop w:val="0"/>
      <w:marBottom w:val="0"/>
      <w:divBdr>
        <w:top w:val="none" w:sz="0" w:space="0" w:color="auto"/>
        <w:left w:val="none" w:sz="0" w:space="0" w:color="auto"/>
        <w:bottom w:val="none" w:sz="0" w:space="0" w:color="auto"/>
        <w:right w:val="none" w:sz="0" w:space="0" w:color="auto"/>
      </w:divBdr>
    </w:div>
    <w:div w:id="822771646">
      <w:bodyDiv w:val="1"/>
      <w:marLeft w:val="0"/>
      <w:marRight w:val="0"/>
      <w:marTop w:val="0"/>
      <w:marBottom w:val="0"/>
      <w:divBdr>
        <w:top w:val="none" w:sz="0" w:space="0" w:color="auto"/>
        <w:left w:val="none" w:sz="0" w:space="0" w:color="auto"/>
        <w:bottom w:val="none" w:sz="0" w:space="0" w:color="auto"/>
        <w:right w:val="none" w:sz="0" w:space="0" w:color="auto"/>
      </w:divBdr>
    </w:div>
    <w:div w:id="856699777">
      <w:bodyDiv w:val="1"/>
      <w:marLeft w:val="0"/>
      <w:marRight w:val="0"/>
      <w:marTop w:val="0"/>
      <w:marBottom w:val="0"/>
      <w:divBdr>
        <w:top w:val="none" w:sz="0" w:space="0" w:color="auto"/>
        <w:left w:val="none" w:sz="0" w:space="0" w:color="auto"/>
        <w:bottom w:val="none" w:sz="0" w:space="0" w:color="auto"/>
        <w:right w:val="none" w:sz="0" w:space="0" w:color="auto"/>
      </w:divBdr>
    </w:div>
    <w:div w:id="943263880">
      <w:bodyDiv w:val="1"/>
      <w:marLeft w:val="0"/>
      <w:marRight w:val="0"/>
      <w:marTop w:val="0"/>
      <w:marBottom w:val="0"/>
      <w:divBdr>
        <w:top w:val="none" w:sz="0" w:space="0" w:color="auto"/>
        <w:left w:val="none" w:sz="0" w:space="0" w:color="auto"/>
        <w:bottom w:val="none" w:sz="0" w:space="0" w:color="auto"/>
        <w:right w:val="none" w:sz="0" w:space="0" w:color="auto"/>
      </w:divBdr>
    </w:div>
    <w:div w:id="1001928521">
      <w:bodyDiv w:val="1"/>
      <w:marLeft w:val="0"/>
      <w:marRight w:val="0"/>
      <w:marTop w:val="0"/>
      <w:marBottom w:val="0"/>
      <w:divBdr>
        <w:top w:val="none" w:sz="0" w:space="0" w:color="auto"/>
        <w:left w:val="none" w:sz="0" w:space="0" w:color="auto"/>
        <w:bottom w:val="none" w:sz="0" w:space="0" w:color="auto"/>
        <w:right w:val="none" w:sz="0" w:space="0" w:color="auto"/>
      </w:divBdr>
    </w:div>
    <w:div w:id="1008292082">
      <w:bodyDiv w:val="1"/>
      <w:marLeft w:val="0"/>
      <w:marRight w:val="0"/>
      <w:marTop w:val="0"/>
      <w:marBottom w:val="0"/>
      <w:divBdr>
        <w:top w:val="none" w:sz="0" w:space="0" w:color="auto"/>
        <w:left w:val="none" w:sz="0" w:space="0" w:color="auto"/>
        <w:bottom w:val="none" w:sz="0" w:space="0" w:color="auto"/>
        <w:right w:val="none" w:sz="0" w:space="0" w:color="auto"/>
      </w:divBdr>
    </w:div>
    <w:div w:id="1044132451">
      <w:bodyDiv w:val="1"/>
      <w:marLeft w:val="0"/>
      <w:marRight w:val="0"/>
      <w:marTop w:val="0"/>
      <w:marBottom w:val="0"/>
      <w:divBdr>
        <w:top w:val="none" w:sz="0" w:space="0" w:color="auto"/>
        <w:left w:val="none" w:sz="0" w:space="0" w:color="auto"/>
        <w:bottom w:val="none" w:sz="0" w:space="0" w:color="auto"/>
        <w:right w:val="none" w:sz="0" w:space="0" w:color="auto"/>
      </w:divBdr>
    </w:div>
    <w:div w:id="1142041104">
      <w:bodyDiv w:val="1"/>
      <w:marLeft w:val="0"/>
      <w:marRight w:val="0"/>
      <w:marTop w:val="0"/>
      <w:marBottom w:val="0"/>
      <w:divBdr>
        <w:top w:val="none" w:sz="0" w:space="0" w:color="auto"/>
        <w:left w:val="none" w:sz="0" w:space="0" w:color="auto"/>
        <w:bottom w:val="none" w:sz="0" w:space="0" w:color="auto"/>
        <w:right w:val="none" w:sz="0" w:space="0" w:color="auto"/>
      </w:divBdr>
      <w:divsChild>
        <w:div w:id="534536948">
          <w:marLeft w:val="144"/>
          <w:marRight w:val="0"/>
          <w:marTop w:val="240"/>
          <w:marBottom w:val="40"/>
          <w:divBdr>
            <w:top w:val="none" w:sz="0" w:space="0" w:color="auto"/>
            <w:left w:val="none" w:sz="0" w:space="0" w:color="auto"/>
            <w:bottom w:val="none" w:sz="0" w:space="0" w:color="auto"/>
            <w:right w:val="none" w:sz="0" w:space="0" w:color="auto"/>
          </w:divBdr>
        </w:div>
        <w:div w:id="1920868435">
          <w:marLeft w:val="605"/>
          <w:marRight w:val="0"/>
          <w:marTop w:val="40"/>
          <w:marBottom w:val="80"/>
          <w:divBdr>
            <w:top w:val="none" w:sz="0" w:space="0" w:color="auto"/>
            <w:left w:val="none" w:sz="0" w:space="0" w:color="auto"/>
            <w:bottom w:val="none" w:sz="0" w:space="0" w:color="auto"/>
            <w:right w:val="none" w:sz="0" w:space="0" w:color="auto"/>
          </w:divBdr>
        </w:div>
        <w:div w:id="2004888122">
          <w:marLeft w:val="605"/>
          <w:marRight w:val="0"/>
          <w:marTop w:val="40"/>
          <w:marBottom w:val="80"/>
          <w:divBdr>
            <w:top w:val="none" w:sz="0" w:space="0" w:color="auto"/>
            <w:left w:val="none" w:sz="0" w:space="0" w:color="auto"/>
            <w:bottom w:val="none" w:sz="0" w:space="0" w:color="auto"/>
            <w:right w:val="none" w:sz="0" w:space="0" w:color="auto"/>
          </w:divBdr>
        </w:div>
        <w:div w:id="20782734">
          <w:marLeft w:val="144"/>
          <w:marRight w:val="0"/>
          <w:marTop w:val="240"/>
          <w:marBottom w:val="40"/>
          <w:divBdr>
            <w:top w:val="none" w:sz="0" w:space="0" w:color="auto"/>
            <w:left w:val="none" w:sz="0" w:space="0" w:color="auto"/>
            <w:bottom w:val="none" w:sz="0" w:space="0" w:color="auto"/>
            <w:right w:val="none" w:sz="0" w:space="0" w:color="auto"/>
          </w:divBdr>
        </w:div>
        <w:div w:id="1900356635">
          <w:marLeft w:val="144"/>
          <w:marRight w:val="0"/>
          <w:marTop w:val="240"/>
          <w:marBottom w:val="40"/>
          <w:divBdr>
            <w:top w:val="none" w:sz="0" w:space="0" w:color="auto"/>
            <w:left w:val="none" w:sz="0" w:space="0" w:color="auto"/>
            <w:bottom w:val="none" w:sz="0" w:space="0" w:color="auto"/>
            <w:right w:val="none" w:sz="0" w:space="0" w:color="auto"/>
          </w:divBdr>
        </w:div>
        <w:div w:id="1777364080">
          <w:marLeft w:val="605"/>
          <w:marRight w:val="0"/>
          <w:marTop w:val="40"/>
          <w:marBottom w:val="80"/>
          <w:divBdr>
            <w:top w:val="none" w:sz="0" w:space="0" w:color="auto"/>
            <w:left w:val="none" w:sz="0" w:space="0" w:color="auto"/>
            <w:bottom w:val="none" w:sz="0" w:space="0" w:color="auto"/>
            <w:right w:val="none" w:sz="0" w:space="0" w:color="auto"/>
          </w:divBdr>
        </w:div>
        <w:div w:id="1148745968">
          <w:marLeft w:val="605"/>
          <w:marRight w:val="0"/>
          <w:marTop w:val="40"/>
          <w:marBottom w:val="80"/>
          <w:divBdr>
            <w:top w:val="none" w:sz="0" w:space="0" w:color="auto"/>
            <w:left w:val="none" w:sz="0" w:space="0" w:color="auto"/>
            <w:bottom w:val="none" w:sz="0" w:space="0" w:color="auto"/>
            <w:right w:val="none" w:sz="0" w:space="0" w:color="auto"/>
          </w:divBdr>
        </w:div>
      </w:divsChild>
    </w:div>
    <w:div w:id="1151215459">
      <w:bodyDiv w:val="1"/>
      <w:marLeft w:val="0"/>
      <w:marRight w:val="0"/>
      <w:marTop w:val="0"/>
      <w:marBottom w:val="0"/>
      <w:divBdr>
        <w:top w:val="none" w:sz="0" w:space="0" w:color="auto"/>
        <w:left w:val="none" w:sz="0" w:space="0" w:color="auto"/>
        <w:bottom w:val="none" w:sz="0" w:space="0" w:color="auto"/>
        <w:right w:val="none" w:sz="0" w:space="0" w:color="auto"/>
      </w:divBdr>
    </w:div>
    <w:div w:id="1312055234">
      <w:bodyDiv w:val="1"/>
      <w:marLeft w:val="0"/>
      <w:marRight w:val="0"/>
      <w:marTop w:val="0"/>
      <w:marBottom w:val="0"/>
      <w:divBdr>
        <w:top w:val="none" w:sz="0" w:space="0" w:color="auto"/>
        <w:left w:val="none" w:sz="0" w:space="0" w:color="auto"/>
        <w:bottom w:val="none" w:sz="0" w:space="0" w:color="auto"/>
        <w:right w:val="none" w:sz="0" w:space="0" w:color="auto"/>
      </w:divBdr>
    </w:div>
    <w:div w:id="1410425024">
      <w:bodyDiv w:val="1"/>
      <w:marLeft w:val="0"/>
      <w:marRight w:val="0"/>
      <w:marTop w:val="0"/>
      <w:marBottom w:val="0"/>
      <w:divBdr>
        <w:top w:val="none" w:sz="0" w:space="0" w:color="auto"/>
        <w:left w:val="none" w:sz="0" w:space="0" w:color="auto"/>
        <w:bottom w:val="none" w:sz="0" w:space="0" w:color="auto"/>
        <w:right w:val="none" w:sz="0" w:space="0" w:color="auto"/>
      </w:divBdr>
      <w:divsChild>
        <w:div w:id="253907146">
          <w:marLeft w:val="0"/>
          <w:marRight w:val="0"/>
          <w:marTop w:val="0"/>
          <w:marBottom w:val="0"/>
          <w:divBdr>
            <w:top w:val="none" w:sz="0" w:space="0" w:color="auto"/>
            <w:left w:val="none" w:sz="0" w:space="0" w:color="auto"/>
            <w:bottom w:val="none" w:sz="0" w:space="0" w:color="auto"/>
            <w:right w:val="none" w:sz="0" w:space="0" w:color="auto"/>
          </w:divBdr>
        </w:div>
        <w:div w:id="1764064511">
          <w:marLeft w:val="0"/>
          <w:marRight w:val="0"/>
          <w:marTop w:val="0"/>
          <w:marBottom w:val="0"/>
          <w:divBdr>
            <w:top w:val="none" w:sz="0" w:space="0" w:color="auto"/>
            <w:left w:val="none" w:sz="0" w:space="0" w:color="auto"/>
            <w:bottom w:val="none" w:sz="0" w:space="0" w:color="auto"/>
            <w:right w:val="none" w:sz="0" w:space="0" w:color="auto"/>
          </w:divBdr>
        </w:div>
        <w:div w:id="1792434910">
          <w:marLeft w:val="0"/>
          <w:marRight w:val="0"/>
          <w:marTop w:val="0"/>
          <w:marBottom w:val="0"/>
          <w:divBdr>
            <w:top w:val="none" w:sz="0" w:space="0" w:color="auto"/>
            <w:left w:val="none" w:sz="0" w:space="0" w:color="auto"/>
            <w:bottom w:val="none" w:sz="0" w:space="0" w:color="auto"/>
            <w:right w:val="none" w:sz="0" w:space="0" w:color="auto"/>
          </w:divBdr>
        </w:div>
        <w:div w:id="261112921">
          <w:marLeft w:val="0"/>
          <w:marRight w:val="0"/>
          <w:marTop w:val="0"/>
          <w:marBottom w:val="0"/>
          <w:divBdr>
            <w:top w:val="none" w:sz="0" w:space="0" w:color="auto"/>
            <w:left w:val="none" w:sz="0" w:space="0" w:color="auto"/>
            <w:bottom w:val="none" w:sz="0" w:space="0" w:color="auto"/>
            <w:right w:val="none" w:sz="0" w:space="0" w:color="auto"/>
          </w:divBdr>
        </w:div>
        <w:div w:id="426463382">
          <w:marLeft w:val="0"/>
          <w:marRight w:val="0"/>
          <w:marTop w:val="0"/>
          <w:marBottom w:val="0"/>
          <w:divBdr>
            <w:top w:val="none" w:sz="0" w:space="0" w:color="auto"/>
            <w:left w:val="none" w:sz="0" w:space="0" w:color="auto"/>
            <w:bottom w:val="none" w:sz="0" w:space="0" w:color="auto"/>
            <w:right w:val="none" w:sz="0" w:space="0" w:color="auto"/>
          </w:divBdr>
        </w:div>
        <w:div w:id="643896240">
          <w:marLeft w:val="0"/>
          <w:marRight w:val="0"/>
          <w:marTop w:val="0"/>
          <w:marBottom w:val="0"/>
          <w:divBdr>
            <w:top w:val="none" w:sz="0" w:space="0" w:color="auto"/>
            <w:left w:val="none" w:sz="0" w:space="0" w:color="auto"/>
            <w:bottom w:val="none" w:sz="0" w:space="0" w:color="auto"/>
            <w:right w:val="none" w:sz="0" w:space="0" w:color="auto"/>
          </w:divBdr>
        </w:div>
        <w:div w:id="1159537252">
          <w:marLeft w:val="0"/>
          <w:marRight w:val="0"/>
          <w:marTop w:val="0"/>
          <w:marBottom w:val="0"/>
          <w:divBdr>
            <w:top w:val="none" w:sz="0" w:space="0" w:color="auto"/>
            <w:left w:val="none" w:sz="0" w:space="0" w:color="auto"/>
            <w:bottom w:val="none" w:sz="0" w:space="0" w:color="auto"/>
            <w:right w:val="none" w:sz="0" w:space="0" w:color="auto"/>
          </w:divBdr>
        </w:div>
        <w:div w:id="1953197707">
          <w:marLeft w:val="0"/>
          <w:marRight w:val="0"/>
          <w:marTop w:val="0"/>
          <w:marBottom w:val="0"/>
          <w:divBdr>
            <w:top w:val="none" w:sz="0" w:space="0" w:color="auto"/>
            <w:left w:val="none" w:sz="0" w:space="0" w:color="auto"/>
            <w:bottom w:val="none" w:sz="0" w:space="0" w:color="auto"/>
            <w:right w:val="none" w:sz="0" w:space="0" w:color="auto"/>
          </w:divBdr>
        </w:div>
        <w:div w:id="1736392074">
          <w:marLeft w:val="0"/>
          <w:marRight w:val="0"/>
          <w:marTop w:val="0"/>
          <w:marBottom w:val="0"/>
          <w:divBdr>
            <w:top w:val="none" w:sz="0" w:space="0" w:color="auto"/>
            <w:left w:val="none" w:sz="0" w:space="0" w:color="auto"/>
            <w:bottom w:val="none" w:sz="0" w:space="0" w:color="auto"/>
            <w:right w:val="none" w:sz="0" w:space="0" w:color="auto"/>
          </w:divBdr>
        </w:div>
        <w:div w:id="1890607427">
          <w:marLeft w:val="0"/>
          <w:marRight w:val="0"/>
          <w:marTop w:val="0"/>
          <w:marBottom w:val="0"/>
          <w:divBdr>
            <w:top w:val="none" w:sz="0" w:space="0" w:color="auto"/>
            <w:left w:val="none" w:sz="0" w:space="0" w:color="auto"/>
            <w:bottom w:val="none" w:sz="0" w:space="0" w:color="auto"/>
            <w:right w:val="none" w:sz="0" w:space="0" w:color="auto"/>
          </w:divBdr>
        </w:div>
        <w:div w:id="1716467628">
          <w:marLeft w:val="0"/>
          <w:marRight w:val="0"/>
          <w:marTop w:val="0"/>
          <w:marBottom w:val="0"/>
          <w:divBdr>
            <w:top w:val="none" w:sz="0" w:space="0" w:color="auto"/>
            <w:left w:val="none" w:sz="0" w:space="0" w:color="auto"/>
            <w:bottom w:val="none" w:sz="0" w:space="0" w:color="auto"/>
            <w:right w:val="none" w:sz="0" w:space="0" w:color="auto"/>
          </w:divBdr>
        </w:div>
        <w:div w:id="1825007858">
          <w:marLeft w:val="0"/>
          <w:marRight w:val="0"/>
          <w:marTop w:val="0"/>
          <w:marBottom w:val="0"/>
          <w:divBdr>
            <w:top w:val="none" w:sz="0" w:space="0" w:color="auto"/>
            <w:left w:val="none" w:sz="0" w:space="0" w:color="auto"/>
            <w:bottom w:val="none" w:sz="0" w:space="0" w:color="auto"/>
            <w:right w:val="none" w:sz="0" w:space="0" w:color="auto"/>
          </w:divBdr>
        </w:div>
        <w:div w:id="855004158">
          <w:marLeft w:val="0"/>
          <w:marRight w:val="0"/>
          <w:marTop w:val="0"/>
          <w:marBottom w:val="0"/>
          <w:divBdr>
            <w:top w:val="none" w:sz="0" w:space="0" w:color="auto"/>
            <w:left w:val="none" w:sz="0" w:space="0" w:color="auto"/>
            <w:bottom w:val="none" w:sz="0" w:space="0" w:color="auto"/>
            <w:right w:val="none" w:sz="0" w:space="0" w:color="auto"/>
          </w:divBdr>
        </w:div>
        <w:div w:id="1285188886">
          <w:marLeft w:val="0"/>
          <w:marRight w:val="0"/>
          <w:marTop w:val="0"/>
          <w:marBottom w:val="0"/>
          <w:divBdr>
            <w:top w:val="none" w:sz="0" w:space="0" w:color="auto"/>
            <w:left w:val="none" w:sz="0" w:space="0" w:color="auto"/>
            <w:bottom w:val="none" w:sz="0" w:space="0" w:color="auto"/>
            <w:right w:val="none" w:sz="0" w:space="0" w:color="auto"/>
          </w:divBdr>
        </w:div>
        <w:div w:id="266040160">
          <w:marLeft w:val="0"/>
          <w:marRight w:val="0"/>
          <w:marTop w:val="0"/>
          <w:marBottom w:val="0"/>
          <w:divBdr>
            <w:top w:val="none" w:sz="0" w:space="0" w:color="auto"/>
            <w:left w:val="none" w:sz="0" w:space="0" w:color="auto"/>
            <w:bottom w:val="none" w:sz="0" w:space="0" w:color="auto"/>
            <w:right w:val="none" w:sz="0" w:space="0" w:color="auto"/>
          </w:divBdr>
        </w:div>
      </w:divsChild>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575159573">
      <w:bodyDiv w:val="1"/>
      <w:marLeft w:val="0"/>
      <w:marRight w:val="0"/>
      <w:marTop w:val="0"/>
      <w:marBottom w:val="0"/>
      <w:divBdr>
        <w:top w:val="none" w:sz="0" w:space="0" w:color="auto"/>
        <w:left w:val="none" w:sz="0" w:space="0" w:color="auto"/>
        <w:bottom w:val="none" w:sz="0" w:space="0" w:color="auto"/>
        <w:right w:val="none" w:sz="0" w:space="0" w:color="auto"/>
      </w:divBdr>
    </w:div>
    <w:div w:id="1581140926">
      <w:bodyDiv w:val="1"/>
      <w:marLeft w:val="0"/>
      <w:marRight w:val="0"/>
      <w:marTop w:val="0"/>
      <w:marBottom w:val="0"/>
      <w:divBdr>
        <w:top w:val="none" w:sz="0" w:space="0" w:color="auto"/>
        <w:left w:val="none" w:sz="0" w:space="0" w:color="auto"/>
        <w:bottom w:val="none" w:sz="0" w:space="0" w:color="auto"/>
        <w:right w:val="none" w:sz="0" w:space="0" w:color="auto"/>
      </w:divBdr>
    </w:div>
    <w:div w:id="1740790368">
      <w:bodyDiv w:val="1"/>
      <w:marLeft w:val="0"/>
      <w:marRight w:val="0"/>
      <w:marTop w:val="0"/>
      <w:marBottom w:val="0"/>
      <w:divBdr>
        <w:top w:val="none" w:sz="0" w:space="0" w:color="auto"/>
        <w:left w:val="none" w:sz="0" w:space="0" w:color="auto"/>
        <w:bottom w:val="none" w:sz="0" w:space="0" w:color="auto"/>
        <w:right w:val="none" w:sz="0" w:space="0" w:color="auto"/>
      </w:divBdr>
    </w:div>
    <w:div w:id="1748533146">
      <w:bodyDiv w:val="1"/>
      <w:marLeft w:val="0"/>
      <w:marRight w:val="0"/>
      <w:marTop w:val="0"/>
      <w:marBottom w:val="0"/>
      <w:divBdr>
        <w:top w:val="none" w:sz="0" w:space="0" w:color="auto"/>
        <w:left w:val="none" w:sz="0" w:space="0" w:color="auto"/>
        <w:bottom w:val="none" w:sz="0" w:space="0" w:color="auto"/>
        <w:right w:val="none" w:sz="0" w:space="0" w:color="auto"/>
      </w:divBdr>
    </w:div>
    <w:div w:id="1813521014">
      <w:bodyDiv w:val="1"/>
      <w:marLeft w:val="0"/>
      <w:marRight w:val="0"/>
      <w:marTop w:val="0"/>
      <w:marBottom w:val="0"/>
      <w:divBdr>
        <w:top w:val="none" w:sz="0" w:space="0" w:color="auto"/>
        <w:left w:val="none" w:sz="0" w:space="0" w:color="auto"/>
        <w:bottom w:val="none" w:sz="0" w:space="0" w:color="auto"/>
        <w:right w:val="none" w:sz="0" w:space="0" w:color="auto"/>
      </w:divBdr>
    </w:div>
    <w:div w:id="191681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image" Target="media/image3.tiff"/><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gus.jeffrey1@my.nd.edu.au" TargetMode="External"/><Relationship Id="rId10"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BCC4-3C91-B245-AA01-D792E041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13421</Words>
  <Characters>76505</Characters>
  <Application>Microsoft Macintosh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Angus Jeffrey</dc:creator>
  <cp:lastModifiedBy>Na Ma</cp:lastModifiedBy>
  <cp:revision>2</cp:revision>
  <dcterms:created xsi:type="dcterms:W3CDTF">2017-05-18T22:37:00Z</dcterms:created>
  <dcterms:modified xsi:type="dcterms:W3CDTF">2017-05-18T22:37:00Z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id="Lj0VHoSu"/&gt;&lt;style id="http://www.zotero.org/styles/world-journal-of-gastroenterology"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