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EE1C5" w14:textId="77777777" w:rsidR="00C95724" w:rsidRPr="00310581" w:rsidRDefault="00C95724" w:rsidP="009315CE">
      <w:pPr>
        <w:adjustRightInd w:val="0"/>
        <w:snapToGrid w:val="0"/>
        <w:spacing w:line="360" w:lineRule="auto"/>
        <w:rPr>
          <w:rFonts w:ascii="Book Antiqua" w:eastAsia="Times New Roman" w:hAnsi="Book Antiqua" w:cs="SimSun"/>
          <w:b/>
          <w:i/>
          <w:color w:val="000000"/>
        </w:rPr>
      </w:pPr>
      <w:bookmarkStart w:id="0" w:name="OLE_LINK545"/>
      <w:bookmarkStart w:id="1" w:name="OLE_LINK546"/>
      <w:bookmarkStart w:id="2" w:name="OLE_LINK592"/>
      <w:bookmarkStart w:id="3" w:name="OLE_LINK113"/>
      <w:bookmarkStart w:id="4" w:name="OLE_LINK114"/>
      <w:bookmarkStart w:id="5" w:name="OLE_LINK11"/>
      <w:r w:rsidRPr="00310581">
        <w:rPr>
          <w:rFonts w:ascii="Book Antiqua" w:eastAsia="Times New Roman" w:hAnsi="Book Antiqua" w:cs="SimSun"/>
          <w:b/>
          <w:color w:val="000000"/>
        </w:rPr>
        <w:t xml:space="preserve">Name of </w:t>
      </w:r>
      <w:r w:rsidRPr="00C63820">
        <w:rPr>
          <w:rFonts w:ascii="Book Antiqua" w:eastAsia="Times New Roman" w:hAnsi="Book Antiqua" w:cs="SimSun"/>
          <w:b/>
          <w:caps/>
          <w:color w:val="000000"/>
        </w:rPr>
        <w:t>j</w:t>
      </w:r>
      <w:r w:rsidRPr="00310581">
        <w:rPr>
          <w:rFonts w:ascii="Book Antiqua" w:eastAsia="Times New Roman" w:hAnsi="Book Antiqua" w:cs="SimSun"/>
          <w:b/>
          <w:color w:val="000000"/>
        </w:rPr>
        <w:t xml:space="preserve">ournal: </w:t>
      </w:r>
      <w:bookmarkStart w:id="6" w:name="OLE_LINK718"/>
      <w:bookmarkStart w:id="7" w:name="OLE_LINK719"/>
      <w:bookmarkStart w:id="8" w:name="OLE_LINK645"/>
      <w:bookmarkStart w:id="9" w:name="OLE_LINK661"/>
      <w:bookmarkStart w:id="10" w:name="OLE_LINK1068"/>
      <w:r w:rsidRPr="00310581">
        <w:rPr>
          <w:rFonts w:ascii="Book Antiqua" w:eastAsia="Times New Roman" w:hAnsi="Book Antiqua" w:cs="SimSun"/>
          <w:b/>
          <w:i/>
          <w:color w:val="000000"/>
        </w:rPr>
        <w:t xml:space="preserve">World Journal of </w:t>
      </w:r>
      <w:bookmarkStart w:id="11" w:name="OLE_LINK1222"/>
      <w:bookmarkStart w:id="12" w:name="OLE_LINK1223"/>
      <w:r w:rsidRPr="00310581">
        <w:rPr>
          <w:rFonts w:ascii="Book Antiqua" w:eastAsia="Times New Roman" w:hAnsi="Book Antiqua" w:cs="SimSun"/>
          <w:b/>
          <w:i/>
          <w:color w:val="000000"/>
        </w:rPr>
        <w:t>Gastroenterology</w:t>
      </w:r>
      <w:bookmarkEnd w:id="6"/>
      <w:bookmarkEnd w:id="7"/>
      <w:bookmarkEnd w:id="8"/>
      <w:bookmarkEnd w:id="9"/>
      <w:bookmarkEnd w:id="10"/>
      <w:bookmarkEnd w:id="11"/>
      <w:bookmarkEnd w:id="12"/>
    </w:p>
    <w:p w14:paraId="23183B6E" w14:textId="36D9F292" w:rsidR="00C95724" w:rsidRPr="00310581" w:rsidRDefault="00C95724" w:rsidP="009315CE">
      <w:pPr>
        <w:adjustRightInd w:val="0"/>
        <w:snapToGrid w:val="0"/>
        <w:spacing w:line="360" w:lineRule="auto"/>
        <w:rPr>
          <w:rFonts w:ascii="Book Antiqua" w:hAnsi="Book Antiqua" w:cs="Arial"/>
          <w:color w:val="000000"/>
          <w:lang w:val="en"/>
        </w:rPr>
      </w:pPr>
      <w:r w:rsidRPr="00310581">
        <w:rPr>
          <w:rFonts w:ascii="Book Antiqua" w:hAnsi="Book Antiqua" w:cs="Arial"/>
          <w:b/>
          <w:color w:val="000000"/>
          <w:lang w:val="en"/>
        </w:rPr>
        <w:t>Manuscript NO: 35987</w:t>
      </w:r>
    </w:p>
    <w:p w14:paraId="73AC9DFC" w14:textId="7415F831" w:rsidR="00C95724" w:rsidRPr="00310581" w:rsidRDefault="00C95724" w:rsidP="009315CE">
      <w:pPr>
        <w:snapToGrid w:val="0"/>
        <w:spacing w:line="360" w:lineRule="auto"/>
        <w:rPr>
          <w:rFonts w:ascii="Book Antiqua" w:hAnsi="Book Antiqua"/>
          <w:b/>
        </w:rPr>
      </w:pPr>
      <w:r w:rsidRPr="00310581">
        <w:rPr>
          <w:rFonts w:ascii="Book Antiqua" w:hAnsi="Book Antiqua"/>
          <w:b/>
        </w:rPr>
        <w:t>Manuscript Type: ORIGINAL ARTICLE</w:t>
      </w:r>
    </w:p>
    <w:bookmarkEnd w:id="0"/>
    <w:bookmarkEnd w:id="1"/>
    <w:bookmarkEnd w:id="2"/>
    <w:p w14:paraId="63236683" w14:textId="5EFF8FF5" w:rsidR="00C95724" w:rsidRPr="00310581" w:rsidRDefault="00C95724" w:rsidP="009315CE">
      <w:pPr>
        <w:pStyle w:val="p1"/>
        <w:snapToGrid w:val="0"/>
        <w:spacing w:line="360" w:lineRule="auto"/>
        <w:rPr>
          <w:rFonts w:ascii="Book Antiqua" w:hAnsi="Book Antiqua"/>
          <w:b/>
          <w:i/>
          <w:sz w:val="24"/>
          <w:szCs w:val="24"/>
        </w:rPr>
      </w:pPr>
    </w:p>
    <w:p w14:paraId="27AC9227" w14:textId="0EB630F8" w:rsidR="001F5466" w:rsidRPr="00DC409F" w:rsidRDefault="00C95724" w:rsidP="009315CE">
      <w:pPr>
        <w:pStyle w:val="p1"/>
        <w:snapToGrid w:val="0"/>
        <w:spacing w:line="360" w:lineRule="auto"/>
        <w:rPr>
          <w:rFonts w:ascii="Book Antiqua" w:hAnsi="Book Antiqua"/>
          <w:b/>
          <w:i/>
          <w:sz w:val="24"/>
          <w:szCs w:val="24"/>
        </w:rPr>
      </w:pPr>
      <w:r w:rsidRPr="00310581">
        <w:rPr>
          <w:rFonts w:ascii="Book Antiqua" w:hAnsi="Book Antiqua"/>
          <w:b/>
          <w:i/>
          <w:sz w:val="24"/>
          <w:szCs w:val="24"/>
        </w:rPr>
        <w:t>Basic Study</w:t>
      </w:r>
    </w:p>
    <w:p w14:paraId="2F003EC7" w14:textId="23E0B498" w:rsidR="001F5466" w:rsidRDefault="001F5466" w:rsidP="009315CE">
      <w:pPr>
        <w:snapToGrid w:val="0"/>
        <w:spacing w:line="360" w:lineRule="auto"/>
        <w:outlineLvl w:val="0"/>
        <w:rPr>
          <w:rFonts w:ascii="Book Antiqua" w:hAnsi="Book Antiqua"/>
          <w:b/>
          <w:bCs/>
          <w:color w:val="000000"/>
          <w:kern w:val="0"/>
        </w:rPr>
      </w:pPr>
      <w:r w:rsidRPr="00310581">
        <w:rPr>
          <w:rFonts w:ascii="Book Antiqua" w:hAnsi="Book Antiqua"/>
          <w:b/>
          <w:bCs/>
          <w:color w:val="000000"/>
        </w:rPr>
        <w:t xml:space="preserve">miR-192-5p regulates </w:t>
      </w:r>
      <w:bookmarkStart w:id="13" w:name="OLE_LINK97"/>
      <w:bookmarkStart w:id="14" w:name="OLE_LINK98"/>
      <w:r w:rsidRPr="00310581">
        <w:rPr>
          <w:rFonts w:ascii="Book Antiqua" w:hAnsi="Book Antiqua"/>
          <w:b/>
          <w:bCs/>
          <w:color w:val="000000"/>
        </w:rPr>
        <w:t xml:space="preserve">lipid </w:t>
      </w:r>
      <w:bookmarkStart w:id="15" w:name="OLE_LINK91"/>
      <w:bookmarkStart w:id="16" w:name="OLE_LINK92"/>
      <w:r w:rsidRPr="00310581">
        <w:rPr>
          <w:rFonts w:ascii="Book Antiqua" w:hAnsi="Book Antiqua"/>
          <w:b/>
          <w:bCs/>
          <w:color w:val="000000"/>
          <w:kern w:val="0"/>
        </w:rPr>
        <w:t>synthesis</w:t>
      </w:r>
      <w:bookmarkEnd w:id="13"/>
      <w:bookmarkEnd w:id="14"/>
      <w:bookmarkEnd w:id="15"/>
      <w:bookmarkEnd w:id="16"/>
      <w:r w:rsidRPr="00310581">
        <w:rPr>
          <w:rFonts w:ascii="Book Antiqua" w:hAnsi="Book Antiqua"/>
          <w:b/>
          <w:bCs/>
          <w:color w:val="000000"/>
          <w:kern w:val="0"/>
        </w:rPr>
        <w:t xml:space="preserve"> in non-alcoholic fatty liver disease through SCD-1</w:t>
      </w:r>
      <w:r w:rsidR="00C95724" w:rsidRPr="00310581">
        <w:rPr>
          <w:rFonts w:ascii="Book Antiqua" w:hAnsi="Book Antiqua"/>
          <w:b/>
          <w:bCs/>
          <w:color w:val="000000"/>
          <w:kern w:val="0"/>
        </w:rPr>
        <w:t xml:space="preserve"> </w:t>
      </w:r>
      <w:r w:rsidRPr="00310581">
        <w:rPr>
          <w:rFonts w:ascii="Book Antiqua" w:hAnsi="Book Antiqua"/>
          <w:b/>
          <w:bCs/>
          <w:color w:val="000000"/>
        </w:rPr>
        <w:t xml:space="preserve">miR-192-5p regulates lipid </w:t>
      </w:r>
      <w:r w:rsidRPr="00310581">
        <w:rPr>
          <w:rFonts w:ascii="Book Antiqua" w:hAnsi="Book Antiqua"/>
          <w:b/>
          <w:bCs/>
          <w:color w:val="000000"/>
          <w:kern w:val="0"/>
        </w:rPr>
        <w:t xml:space="preserve">synthesis through SCD-1 </w:t>
      </w:r>
    </w:p>
    <w:p w14:paraId="0A70CD61" w14:textId="77777777" w:rsidR="006F0E66" w:rsidRPr="00310581" w:rsidRDefault="006F0E66" w:rsidP="009315CE">
      <w:pPr>
        <w:snapToGrid w:val="0"/>
        <w:spacing w:line="360" w:lineRule="auto"/>
        <w:jc w:val="left"/>
        <w:outlineLvl w:val="0"/>
        <w:rPr>
          <w:rFonts w:ascii="Book Antiqua" w:hAnsi="Book Antiqua"/>
          <w:b/>
          <w:bCs/>
          <w:color w:val="000000"/>
          <w:kern w:val="0"/>
        </w:rPr>
      </w:pPr>
    </w:p>
    <w:p w14:paraId="37751EBA" w14:textId="6450F0E4" w:rsidR="001F5466" w:rsidRPr="006F0E66" w:rsidRDefault="006F0E66" w:rsidP="009315CE">
      <w:pPr>
        <w:snapToGrid w:val="0"/>
        <w:spacing w:line="360" w:lineRule="auto"/>
        <w:jc w:val="left"/>
        <w:outlineLvl w:val="0"/>
        <w:rPr>
          <w:rFonts w:ascii="Book Antiqua" w:hAnsi="Book Antiqua"/>
          <w:i/>
          <w:color w:val="000000"/>
        </w:rPr>
      </w:pPr>
      <w:r w:rsidRPr="00310581">
        <w:rPr>
          <w:rFonts w:ascii="Book Antiqua" w:hAnsi="Book Antiqua"/>
          <w:color w:val="000000"/>
        </w:rPr>
        <w:t>Liu</w:t>
      </w:r>
      <w:r>
        <w:rPr>
          <w:rFonts w:ascii="Book Antiqua" w:hAnsi="Book Antiqua" w:hint="eastAsia"/>
          <w:color w:val="000000"/>
        </w:rPr>
        <w:t xml:space="preserve"> XL</w:t>
      </w:r>
      <w:r w:rsidRPr="006F0E66">
        <w:rPr>
          <w:rFonts w:ascii="Book Antiqua" w:hAnsi="Book Antiqua" w:hint="eastAsia"/>
          <w:i/>
          <w:color w:val="000000"/>
        </w:rPr>
        <w:t xml:space="preserve"> et al. </w:t>
      </w:r>
      <w:r w:rsidRPr="006F0E66">
        <w:rPr>
          <w:rFonts w:ascii="Book Antiqua" w:hAnsi="Book Antiqua"/>
          <w:bCs/>
          <w:color w:val="000000"/>
        </w:rPr>
        <w:t xml:space="preserve">miR-192-5p regulates lipid </w:t>
      </w:r>
      <w:r w:rsidRPr="006F0E66">
        <w:rPr>
          <w:rFonts w:ascii="Book Antiqua" w:hAnsi="Book Antiqua"/>
          <w:bCs/>
          <w:color w:val="000000"/>
          <w:kern w:val="0"/>
        </w:rPr>
        <w:t xml:space="preserve">synthesis in </w:t>
      </w:r>
      <w:r w:rsidRPr="006F0E66">
        <w:rPr>
          <w:rFonts w:ascii="Book Antiqua" w:hAnsi="Book Antiqua" w:hint="eastAsia"/>
          <w:bCs/>
          <w:color w:val="000000"/>
          <w:kern w:val="0"/>
        </w:rPr>
        <w:t>NAFLD</w:t>
      </w:r>
    </w:p>
    <w:p w14:paraId="2483C8E6" w14:textId="77777777" w:rsidR="006F0E66" w:rsidRPr="00DC409F" w:rsidRDefault="006F0E66" w:rsidP="009315CE">
      <w:pPr>
        <w:snapToGrid w:val="0"/>
        <w:spacing w:line="360" w:lineRule="auto"/>
        <w:jc w:val="left"/>
        <w:outlineLvl w:val="0"/>
        <w:rPr>
          <w:rFonts w:ascii="Book Antiqua" w:hAnsi="Book Antiqua"/>
          <w:b/>
          <w:bCs/>
          <w:color w:val="000000"/>
          <w:kern w:val="0"/>
        </w:rPr>
      </w:pPr>
    </w:p>
    <w:bookmarkEnd w:id="3"/>
    <w:bookmarkEnd w:id="4"/>
    <w:bookmarkEnd w:id="5"/>
    <w:p w14:paraId="23289585" w14:textId="1B4B85A2" w:rsidR="001F5466" w:rsidRPr="00DC409F" w:rsidRDefault="001F5466" w:rsidP="009315CE">
      <w:pPr>
        <w:snapToGrid w:val="0"/>
        <w:spacing w:line="360" w:lineRule="auto"/>
        <w:outlineLvl w:val="0"/>
        <w:rPr>
          <w:rFonts w:ascii="Book Antiqua" w:hAnsi="Book Antiqua"/>
          <w:color w:val="000000"/>
        </w:rPr>
      </w:pPr>
      <w:r w:rsidRPr="00DC409F">
        <w:rPr>
          <w:rFonts w:ascii="Book Antiqua" w:hAnsi="Book Antiqua"/>
          <w:color w:val="000000"/>
        </w:rPr>
        <w:t>Xiao-Lin Liu</w:t>
      </w:r>
      <w:bookmarkStart w:id="17" w:name="OLE_LINK116"/>
      <w:bookmarkStart w:id="18" w:name="OLE_LINK117"/>
      <w:r w:rsidRPr="00DC409F">
        <w:rPr>
          <w:rFonts w:ascii="Book Antiqua" w:hAnsi="Book Antiqua"/>
          <w:color w:val="000000"/>
        </w:rPr>
        <w:t xml:space="preserve">, Hai-Xia Cao, </w:t>
      </w:r>
      <w:bookmarkStart w:id="19" w:name="OLE_LINK60"/>
      <w:bookmarkStart w:id="20" w:name="OLE_LINK83"/>
      <w:r w:rsidRPr="00DC409F">
        <w:rPr>
          <w:rFonts w:ascii="Book Antiqua" w:hAnsi="Book Antiqua"/>
          <w:color w:val="000000"/>
        </w:rPr>
        <w:t>Bao-Can Wang</w:t>
      </w:r>
      <w:bookmarkEnd w:id="19"/>
      <w:bookmarkEnd w:id="20"/>
      <w:r w:rsidRPr="00DC409F">
        <w:rPr>
          <w:rFonts w:ascii="Book Antiqua" w:hAnsi="Book Antiqua"/>
          <w:color w:val="000000"/>
        </w:rPr>
        <w:t>, Feng-Zhi Xin, Rui-Nan Zhang, Da Zhou, Rui-Xu Yang, Ze-Hua Zhao, Qin Pan, Jian-Gao Fan</w:t>
      </w:r>
      <w:bookmarkEnd w:id="17"/>
      <w:bookmarkEnd w:id="18"/>
    </w:p>
    <w:p w14:paraId="1C68EB6F" w14:textId="77777777" w:rsidR="00C95724" w:rsidRPr="00310581" w:rsidRDefault="00C95724" w:rsidP="009315CE">
      <w:pPr>
        <w:snapToGrid w:val="0"/>
        <w:spacing w:line="360" w:lineRule="auto"/>
        <w:outlineLvl w:val="0"/>
        <w:rPr>
          <w:rFonts w:ascii="Book Antiqua" w:hAnsi="Book Antiqua"/>
          <w:color w:val="000000"/>
        </w:rPr>
      </w:pPr>
    </w:p>
    <w:p w14:paraId="76587496" w14:textId="77777777" w:rsidR="00C95724" w:rsidRPr="00310581" w:rsidRDefault="00C95724" w:rsidP="009315CE">
      <w:pPr>
        <w:snapToGrid w:val="0"/>
        <w:spacing w:line="360" w:lineRule="auto"/>
        <w:outlineLvl w:val="0"/>
        <w:rPr>
          <w:rFonts w:ascii="Book Antiqua" w:hAnsi="Book Antiqua"/>
          <w:color w:val="000000"/>
        </w:rPr>
      </w:pPr>
      <w:r w:rsidRPr="00310581">
        <w:rPr>
          <w:rFonts w:ascii="Book Antiqua" w:hAnsi="Book Antiqua"/>
          <w:b/>
          <w:color w:val="000000"/>
        </w:rPr>
        <w:t>Xiao-Lin Liu, Hai-Xia Cao, Bao-Can Wang, Feng-Zhi Xin, Rui-Nan Zhang, Da Zhou, Rui-Xu Yang, Ze-Hua Zhao, Qin Pan, and Jian-Gao Fan,</w:t>
      </w:r>
      <w:r w:rsidRPr="00310581">
        <w:rPr>
          <w:rFonts w:ascii="Book Antiqua" w:hAnsi="Book Antiqua"/>
          <w:color w:val="000000"/>
        </w:rPr>
        <w:t xml:space="preserve"> </w:t>
      </w:r>
      <w:r w:rsidR="001F5466" w:rsidRPr="00310581">
        <w:rPr>
          <w:rFonts w:ascii="Book Antiqua" w:hAnsi="Book Antiqua"/>
          <w:color w:val="000000"/>
        </w:rPr>
        <w:t>Center for Fatty Liver, Department of Gastroenterology, Xinhua Hospital Affiliated to Shanghai Jiao Tong University School of Medicine, Shanghai 200092, China</w:t>
      </w:r>
    </w:p>
    <w:p w14:paraId="66FCE1E3" w14:textId="3A7D91E2"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 </w:t>
      </w:r>
    </w:p>
    <w:p w14:paraId="3864D554" w14:textId="5B1494F9" w:rsidR="00C95724" w:rsidRPr="00310581" w:rsidRDefault="00C95724" w:rsidP="009315CE">
      <w:pPr>
        <w:snapToGrid w:val="0"/>
        <w:spacing w:line="360" w:lineRule="auto"/>
        <w:outlineLvl w:val="0"/>
        <w:rPr>
          <w:rFonts w:ascii="Book Antiqua" w:hAnsi="Book Antiqua"/>
          <w:color w:val="000000"/>
        </w:rPr>
      </w:pPr>
      <w:r w:rsidRPr="00310581">
        <w:rPr>
          <w:rFonts w:ascii="Book Antiqua" w:hAnsi="Book Antiqua"/>
          <w:b/>
          <w:bCs/>
        </w:rPr>
        <w:t>ORCID number:</w:t>
      </w:r>
      <w:r w:rsidRPr="00310581">
        <w:rPr>
          <w:rFonts w:ascii="Book Antiqua" w:hAnsi="Book Antiqua"/>
          <w:color w:val="000000"/>
        </w:rPr>
        <w:t xml:space="preserve"> Xiao-Lin Liu (0000-0003-4560-7589); Hai-Xia Cao (0000-0002-8265-9460); Bao-Can Wang (0000-0002-6288-8100); Feng-Zhi Xin (0000-0001-9674-0481); Rui-Nan Zhang (0000-0001-9049-3010); Da Zhou (0000-0001-8838-1351); Rui-Xu Yang (0000-0001-9384-6408); Ze-Hua Zhao (0000-0002-3708-8881); Qin Pan (0000-0001-5855-4952); Jian-Gao Fan (0000-0001-7443-5056).</w:t>
      </w:r>
    </w:p>
    <w:p w14:paraId="5EB405E2" w14:textId="77777777" w:rsidR="001F5466" w:rsidRPr="00310581" w:rsidRDefault="001F5466" w:rsidP="009315CE">
      <w:pPr>
        <w:snapToGrid w:val="0"/>
        <w:spacing w:line="360" w:lineRule="auto"/>
        <w:outlineLvl w:val="0"/>
        <w:rPr>
          <w:rFonts w:ascii="Book Antiqua" w:hAnsi="Book Antiqua"/>
          <w:color w:val="000000"/>
        </w:rPr>
      </w:pPr>
    </w:p>
    <w:p w14:paraId="3B52A5B7" w14:textId="1CF4C2E4" w:rsidR="001F5466" w:rsidRPr="00310581" w:rsidRDefault="001F5466" w:rsidP="009315CE">
      <w:pPr>
        <w:snapToGrid w:val="0"/>
        <w:spacing w:line="360" w:lineRule="auto"/>
        <w:outlineLvl w:val="0"/>
        <w:rPr>
          <w:rFonts w:ascii="Book Antiqua" w:hAnsi="Book Antiqua"/>
        </w:rPr>
      </w:pPr>
      <w:r w:rsidRPr="00310581">
        <w:rPr>
          <w:rFonts w:ascii="Book Antiqua" w:hAnsi="Book Antiqua"/>
          <w:b/>
        </w:rPr>
        <w:t>Author contributions:</w:t>
      </w:r>
      <w:r w:rsidR="00C95724" w:rsidRPr="00310581">
        <w:rPr>
          <w:rFonts w:ascii="Book Antiqua" w:hAnsi="Book Antiqua"/>
        </w:rPr>
        <w:t xml:space="preserve"> </w:t>
      </w:r>
      <w:r w:rsidRPr="00310581">
        <w:rPr>
          <w:rFonts w:ascii="Book Antiqua" w:hAnsi="Book Antiqua"/>
        </w:rPr>
        <w:t>Fan</w:t>
      </w:r>
      <w:bookmarkStart w:id="21" w:name="OLE_LINK99"/>
      <w:bookmarkStart w:id="22" w:name="OLE_LINK100"/>
      <w:r w:rsidR="00C95724" w:rsidRPr="00310581">
        <w:rPr>
          <w:rFonts w:ascii="Book Antiqua" w:hAnsi="Book Antiqua"/>
        </w:rPr>
        <w:t xml:space="preserve"> JG</w:t>
      </w:r>
      <w:r w:rsidRPr="00310581">
        <w:rPr>
          <w:rFonts w:ascii="Book Antiqua" w:hAnsi="Book Antiqua"/>
        </w:rPr>
        <w:t xml:space="preserve">, </w:t>
      </w:r>
      <w:r w:rsidR="00C95724" w:rsidRPr="00310581">
        <w:rPr>
          <w:rFonts w:ascii="Book Antiqua" w:hAnsi="Book Antiqua"/>
        </w:rPr>
        <w:t xml:space="preserve"> </w:t>
      </w:r>
      <w:r w:rsidRPr="00310581">
        <w:rPr>
          <w:rFonts w:ascii="Book Antiqua" w:hAnsi="Book Antiqua"/>
        </w:rPr>
        <w:t xml:space="preserve">Cao </w:t>
      </w:r>
      <w:bookmarkEnd w:id="21"/>
      <w:bookmarkEnd w:id="22"/>
      <w:r w:rsidR="00C95724" w:rsidRPr="00310581">
        <w:rPr>
          <w:rFonts w:ascii="Book Antiqua" w:hAnsi="Book Antiqua"/>
        </w:rPr>
        <w:t xml:space="preserve">HX </w:t>
      </w:r>
      <w:r w:rsidRPr="00310581">
        <w:rPr>
          <w:rFonts w:ascii="Book Antiqua" w:hAnsi="Book Antiqua"/>
        </w:rPr>
        <w:t xml:space="preserve">and </w:t>
      </w:r>
      <w:r w:rsidR="00C95724" w:rsidRPr="00310581">
        <w:rPr>
          <w:rFonts w:ascii="Book Antiqua" w:hAnsi="Book Antiqua"/>
        </w:rPr>
        <w:t xml:space="preserve"> </w:t>
      </w:r>
      <w:r w:rsidRPr="00310581">
        <w:rPr>
          <w:rFonts w:ascii="Book Antiqua" w:hAnsi="Book Antiqua"/>
        </w:rPr>
        <w:t xml:space="preserve">Liu </w:t>
      </w:r>
      <w:r w:rsidR="00C95724" w:rsidRPr="00310581">
        <w:rPr>
          <w:rFonts w:ascii="Book Antiqua" w:hAnsi="Book Antiqua"/>
        </w:rPr>
        <w:t xml:space="preserve">XL </w:t>
      </w:r>
      <w:r w:rsidRPr="00310581">
        <w:rPr>
          <w:rFonts w:ascii="Book Antiqua" w:hAnsi="Book Antiqua"/>
        </w:rPr>
        <w:t xml:space="preserve">conceived and designed the experiments; </w:t>
      </w:r>
      <w:r w:rsidR="00C95724" w:rsidRPr="00310581">
        <w:rPr>
          <w:rFonts w:ascii="Book Antiqua" w:hAnsi="Book Antiqua"/>
        </w:rPr>
        <w:t xml:space="preserve"> </w:t>
      </w:r>
      <w:r w:rsidRPr="00310581">
        <w:rPr>
          <w:rFonts w:ascii="Book Antiqua" w:hAnsi="Book Antiqua"/>
        </w:rPr>
        <w:t>Liu</w:t>
      </w:r>
      <w:r w:rsidR="00C95724" w:rsidRPr="00310581">
        <w:rPr>
          <w:rFonts w:ascii="Book Antiqua" w:hAnsi="Book Antiqua"/>
        </w:rPr>
        <w:t xml:space="preserve"> XL</w:t>
      </w:r>
      <w:r w:rsidRPr="00310581">
        <w:rPr>
          <w:rFonts w:ascii="Book Antiqua" w:hAnsi="Book Antiqua"/>
        </w:rPr>
        <w:t xml:space="preserve">, </w:t>
      </w:r>
      <w:r w:rsidR="00C95724" w:rsidRPr="00310581">
        <w:rPr>
          <w:rFonts w:ascii="Book Antiqua" w:hAnsi="Book Antiqua"/>
        </w:rPr>
        <w:t xml:space="preserve"> </w:t>
      </w:r>
      <w:r w:rsidRPr="00310581">
        <w:rPr>
          <w:rFonts w:ascii="Book Antiqua" w:hAnsi="Book Antiqua"/>
        </w:rPr>
        <w:t>Xin</w:t>
      </w:r>
      <w:r w:rsidR="00C95724" w:rsidRPr="00310581">
        <w:rPr>
          <w:rFonts w:ascii="Book Antiqua" w:hAnsi="Book Antiqua"/>
        </w:rPr>
        <w:t xml:space="preserve"> FZ</w:t>
      </w:r>
      <w:r w:rsidRPr="00310581">
        <w:rPr>
          <w:rFonts w:ascii="Book Antiqua" w:hAnsi="Book Antiqua"/>
        </w:rPr>
        <w:t xml:space="preserve">, </w:t>
      </w:r>
      <w:r w:rsidR="00C95724" w:rsidRPr="00310581">
        <w:rPr>
          <w:rFonts w:ascii="Book Antiqua" w:hAnsi="Book Antiqua"/>
        </w:rPr>
        <w:t xml:space="preserve"> </w:t>
      </w:r>
      <w:r w:rsidRPr="00310581">
        <w:rPr>
          <w:rFonts w:ascii="Book Antiqua" w:hAnsi="Book Antiqua"/>
        </w:rPr>
        <w:t>Zhang</w:t>
      </w:r>
      <w:r w:rsidR="00C95724" w:rsidRPr="00310581">
        <w:rPr>
          <w:rFonts w:ascii="Book Antiqua" w:hAnsi="Book Antiqua"/>
        </w:rPr>
        <w:t xml:space="preserve"> RN</w:t>
      </w:r>
      <w:r w:rsidRPr="00310581">
        <w:rPr>
          <w:rFonts w:ascii="Book Antiqua" w:hAnsi="Book Antiqua"/>
        </w:rPr>
        <w:t xml:space="preserve">, </w:t>
      </w:r>
      <w:r w:rsidR="00C95724" w:rsidRPr="00310581">
        <w:rPr>
          <w:rFonts w:ascii="Book Antiqua" w:hAnsi="Book Antiqua"/>
        </w:rPr>
        <w:t xml:space="preserve"> </w:t>
      </w:r>
      <w:r w:rsidRPr="00310581">
        <w:rPr>
          <w:rFonts w:ascii="Book Antiqua" w:hAnsi="Book Antiqua"/>
        </w:rPr>
        <w:t>Zhou</w:t>
      </w:r>
      <w:r w:rsidR="00C95724" w:rsidRPr="00310581">
        <w:rPr>
          <w:rFonts w:ascii="Book Antiqua" w:hAnsi="Book Antiqua"/>
        </w:rPr>
        <w:t xml:space="preserve"> D</w:t>
      </w:r>
      <w:r w:rsidRPr="00310581">
        <w:rPr>
          <w:rFonts w:ascii="Book Antiqua" w:hAnsi="Book Antiqua"/>
        </w:rPr>
        <w:t xml:space="preserve">, </w:t>
      </w:r>
      <w:r w:rsidR="00C95724" w:rsidRPr="00310581">
        <w:rPr>
          <w:rFonts w:ascii="Book Antiqua" w:hAnsi="Book Antiqua"/>
        </w:rPr>
        <w:t xml:space="preserve"> </w:t>
      </w:r>
      <w:r w:rsidRPr="00310581">
        <w:rPr>
          <w:rFonts w:ascii="Book Antiqua" w:hAnsi="Book Antiqua"/>
        </w:rPr>
        <w:t>Yang</w:t>
      </w:r>
      <w:r w:rsidR="00C95724" w:rsidRPr="00310581">
        <w:rPr>
          <w:rFonts w:ascii="Book Antiqua" w:hAnsi="Book Antiqua"/>
        </w:rPr>
        <w:t xml:space="preserve"> RX</w:t>
      </w:r>
      <w:r w:rsidRPr="00310581">
        <w:rPr>
          <w:rFonts w:ascii="Book Antiqua" w:hAnsi="Book Antiqua"/>
        </w:rPr>
        <w:t xml:space="preserve">, and </w:t>
      </w:r>
      <w:r w:rsidR="00C95724" w:rsidRPr="00310581">
        <w:rPr>
          <w:rFonts w:ascii="Book Antiqua" w:hAnsi="Book Antiqua"/>
        </w:rPr>
        <w:t xml:space="preserve"> </w:t>
      </w:r>
      <w:r w:rsidRPr="00310581">
        <w:rPr>
          <w:rFonts w:ascii="Book Antiqua" w:hAnsi="Book Antiqua"/>
        </w:rPr>
        <w:t xml:space="preserve">Zhao </w:t>
      </w:r>
      <w:r w:rsidR="00C95724" w:rsidRPr="00310581">
        <w:rPr>
          <w:rFonts w:ascii="Book Antiqua" w:hAnsi="Book Antiqua"/>
        </w:rPr>
        <w:t xml:space="preserve">ZH </w:t>
      </w:r>
      <w:r w:rsidRPr="00310581">
        <w:rPr>
          <w:rFonts w:ascii="Book Antiqua" w:hAnsi="Book Antiqua"/>
        </w:rPr>
        <w:t xml:space="preserve">performed the experiments; </w:t>
      </w:r>
      <w:r w:rsidR="00C95724" w:rsidRPr="00310581">
        <w:rPr>
          <w:rFonts w:ascii="Book Antiqua" w:hAnsi="Book Antiqua"/>
        </w:rPr>
        <w:t xml:space="preserve"> </w:t>
      </w:r>
      <w:r w:rsidRPr="00310581">
        <w:rPr>
          <w:rFonts w:ascii="Book Antiqua" w:hAnsi="Book Antiqua"/>
        </w:rPr>
        <w:t xml:space="preserve">Wang </w:t>
      </w:r>
      <w:r w:rsidR="00C95724" w:rsidRPr="00310581">
        <w:rPr>
          <w:rFonts w:ascii="Book Antiqua" w:hAnsi="Book Antiqua"/>
        </w:rPr>
        <w:t xml:space="preserve"> BC </w:t>
      </w:r>
      <w:r w:rsidRPr="00310581">
        <w:rPr>
          <w:rFonts w:ascii="Book Antiqua" w:hAnsi="Book Antiqua"/>
        </w:rPr>
        <w:t xml:space="preserve">and </w:t>
      </w:r>
      <w:r w:rsidR="00C95724" w:rsidRPr="00310581">
        <w:rPr>
          <w:rFonts w:ascii="Book Antiqua" w:hAnsi="Book Antiqua"/>
        </w:rPr>
        <w:t xml:space="preserve"> </w:t>
      </w:r>
      <w:r w:rsidRPr="00310581">
        <w:rPr>
          <w:rFonts w:ascii="Book Antiqua" w:hAnsi="Book Antiqua"/>
        </w:rPr>
        <w:t>Pan</w:t>
      </w:r>
      <w:r w:rsidR="00C95724" w:rsidRPr="00310581">
        <w:rPr>
          <w:rFonts w:ascii="Book Antiqua" w:hAnsi="Book Antiqua"/>
        </w:rPr>
        <w:t xml:space="preserve"> Q</w:t>
      </w:r>
      <w:r w:rsidRPr="00310581">
        <w:rPr>
          <w:rFonts w:ascii="Book Antiqua" w:hAnsi="Book Antiqua"/>
        </w:rPr>
        <w:t xml:space="preserve"> analyzed the data;</w:t>
      </w:r>
      <w:r w:rsidR="00C95724" w:rsidRPr="00310581">
        <w:rPr>
          <w:rFonts w:ascii="Book Antiqua" w:hAnsi="Book Antiqua"/>
        </w:rPr>
        <w:t xml:space="preserve"> </w:t>
      </w:r>
      <w:r w:rsidRPr="00310581">
        <w:rPr>
          <w:rFonts w:ascii="Book Antiqua" w:hAnsi="Book Antiqua"/>
        </w:rPr>
        <w:t>Fan</w:t>
      </w:r>
      <w:r w:rsidR="00C95724" w:rsidRPr="00310581">
        <w:rPr>
          <w:rFonts w:ascii="Book Antiqua" w:hAnsi="Book Antiqua"/>
        </w:rPr>
        <w:t xml:space="preserve"> JG</w:t>
      </w:r>
      <w:r w:rsidRPr="00310581">
        <w:rPr>
          <w:rFonts w:ascii="Book Antiqua" w:hAnsi="Book Antiqua"/>
        </w:rPr>
        <w:t xml:space="preserve">, </w:t>
      </w:r>
      <w:r w:rsidR="00C95724" w:rsidRPr="00310581">
        <w:rPr>
          <w:rFonts w:ascii="Book Antiqua" w:hAnsi="Book Antiqua"/>
        </w:rPr>
        <w:t xml:space="preserve"> </w:t>
      </w:r>
      <w:r w:rsidRPr="00310581">
        <w:rPr>
          <w:rFonts w:ascii="Book Antiqua" w:hAnsi="Book Antiqua"/>
        </w:rPr>
        <w:t xml:space="preserve">Cao </w:t>
      </w:r>
      <w:r w:rsidR="00C95724" w:rsidRPr="00310581">
        <w:rPr>
          <w:rFonts w:ascii="Book Antiqua" w:hAnsi="Book Antiqua"/>
        </w:rPr>
        <w:t xml:space="preserve">HX </w:t>
      </w:r>
      <w:r w:rsidRPr="00310581">
        <w:rPr>
          <w:rFonts w:ascii="Book Antiqua" w:hAnsi="Book Antiqua"/>
        </w:rPr>
        <w:t>and</w:t>
      </w:r>
      <w:r w:rsidR="00C95724" w:rsidRPr="00310581">
        <w:rPr>
          <w:rFonts w:ascii="Book Antiqua" w:hAnsi="Book Antiqua"/>
        </w:rPr>
        <w:t xml:space="preserve"> </w:t>
      </w:r>
      <w:r w:rsidRPr="00310581">
        <w:rPr>
          <w:rFonts w:ascii="Book Antiqua" w:hAnsi="Book Antiqua"/>
        </w:rPr>
        <w:t xml:space="preserve">Liu </w:t>
      </w:r>
      <w:r w:rsidR="00C95724" w:rsidRPr="00310581">
        <w:rPr>
          <w:rFonts w:ascii="Book Antiqua" w:hAnsi="Book Antiqua"/>
        </w:rPr>
        <w:t xml:space="preserve">XL </w:t>
      </w:r>
      <w:r w:rsidRPr="00310581">
        <w:rPr>
          <w:rFonts w:ascii="Book Antiqua" w:hAnsi="Book Antiqua"/>
        </w:rPr>
        <w:t>wrote the paper</w:t>
      </w:r>
      <w:r w:rsidR="00C95724" w:rsidRPr="00310581">
        <w:rPr>
          <w:rFonts w:ascii="Book Antiqua" w:hAnsi="Book Antiqua"/>
        </w:rPr>
        <w:t xml:space="preserve">; </w:t>
      </w:r>
      <w:r w:rsidR="00C95724" w:rsidRPr="00310581">
        <w:rPr>
          <w:rFonts w:ascii="Book Antiqua" w:hAnsi="Book Antiqua"/>
          <w:color w:val="000000"/>
        </w:rPr>
        <w:t>Liu</w:t>
      </w:r>
      <w:r w:rsidR="00C95724" w:rsidRPr="00310581">
        <w:rPr>
          <w:rFonts w:ascii="Book Antiqua" w:hAnsi="Book Antiqua"/>
          <w:color w:val="000000"/>
          <w:vertAlign w:val="superscript"/>
        </w:rPr>
        <w:t xml:space="preserve"> </w:t>
      </w:r>
      <w:r w:rsidR="00C95724" w:rsidRPr="00310581">
        <w:rPr>
          <w:rFonts w:ascii="Book Antiqua" w:hAnsi="Book Antiqua"/>
          <w:color w:val="000000"/>
        </w:rPr>
        <w:t>XL, Cao</w:t>
      </w:r>
      <w:r w:rsidR="00C95724" w:rsidRPr="00310581">
        <w:rPr>
          <w:rFonts w:ascii="Book Antiqua" w:hAnsi="Book Antiqua"/>
          <w:color w:val="000000"/>
          <w:vertAlign w:val="superscript"/>
        </w:rPr>
        <w:t xml:space="preserve"> </w:t>
      </w:r>
      <w:r w:rsidR="00C95724" w:rsidRPr="00310581">
        <w:rPr>
          <w:rFonts w:ascii="Book Antiqua" w:hAnsi="Book Antiqua"/>
          <w:color w:val="000000"/>
        </w:rPr>
        <w:t>HX and Fan JG contributed equally to this work.</w:t>
      </w:r>
    </w:p>
    <w:p w14:paraId="6CAC258F" w14:textId="77777777" w:rsidR="001F5466" w:rsidRPr="00310581" w:rsidRDefault="001F5466" w:rsidP="009315CE">
      <w:pPr>
        <w:snapToGrid w:val="0"/>
        <w:spacing w:line="360" w:lineRule="auto"/>
        <w:outlineLvl w:val="0"/>
        <w:rPr>
          <w:rFonts w:ascii="Book Antiqua" w:hAnsi="Book Antiqua"/>
          <w:color w:val="000000"/>
        </w:rPr>
      </w:pPr>
    </w:p>
    <w:p w14:paraId="2329D51D" w14:textId="6A9C9DEA" w:rsidR="001F5466" w:rsidRPr="00310581" w:rsidRDefault="001F5466" w:rsidP="009315CE">
      <w:pPr>
        <w:snapToGrid w:val="0"/>
        <w:spacing w:line="360" w:lineRule="auto"/>
        <w:rPr>
          <w:rFonts w:ascii="Book Antiqua" w:hAnsi="Book Antiqua"/>
          <w:color w:val="000000"/>
        </w:rPr>
      </w:pPr>
      <w:r w:rsidRPr="00310581">
        <w:rPr>
          <w:rFonts w:ascii="Book Antiqua" w:hAnsi="Book Antiqua"/>
          <w:b/>
        </w:rPr>
        <w:lastRenderedPageBreak/>
        <w:t xml:space="preserve">Supported by </w:t>
      </w:r>
      <w:r w:rsidRPr="00310581">
        <w:rPr>
          <w:rFonts w:ascii="Book Antiqua" w:hAnsi="Book Antiqua"/>
          <w:color w:val="000000"/>
        </w:rPr>
        <w:t>National Key Research and Development Plan "Precision Medicine Research"</w:t>
      </w:r>
      <w:r w:rsidR="00C95724" w:rsidRPr="00310581">
        <w:rPr>
          <w:rFonts w:ascii="Book Antiqua" w:hAnsi="Book Antiqua"/>
          <w:color w:val="000000"/>
        </w:rPr>
        <w:t xml:space="preserve">, </w:t>
      </w:r>
      <w:r w:rsidRPr="00310581">
        <w:rPr>
          <w:rFonts w:ascii="Book Antiqua" w:hAnsi="Book Antiqua"/>
          <w:color w:val="000000"/>
        </w:rPr>
        <w:t>No. 2017YFSF090203</w:t>
      </w:r>
      <w:r w:rsidR="00C95724" w:rsidRPr="00310581">
        <w:rPr>
          <w:rFonts w:ascii="Book Antiqua" w:hAnsi="Book Antiqua"/>
          <w:color w:val="000000"/>
        </w:rPr>
        <w:t>;</w:t>
      </w:r>
      <w:r w:rsidRPr="00310581">
        <w:rPr>
          <w:rFonts w:ascii="Book Antiqua" w:hAnsi="Book Antiqua"/>
          <w:color w:val="000000"/>
        </w:rPr>
        <w:t xml:space="preserve"> National Key Basic Research Project</w:t>
      </w:r>
      <w:r w:rsidR="00C95724" w:rsidRPr="00310581">
        <w:rPr>
          <w:rFonts w:ascii="Book Antiqua" w:hAnsi="Book Antiqua"/>
          <w:color w:val="000000"/>
        </w:rPr>
        <w:t xml:space="preserve">, </w:t>
      </w:r>
      <w:r w:rsidRPr="00310581">
        <w:rPr>
          <w:rFonts w:ascii="Book Antiqua" w:hAnsi="Book Antiqua"/>
          <w:color w:val="000000"/>
        </w:rPr>
        <w:t>No. 2012CB517501</w:t>
      </w:r>
      <w:r w:rsidR="00DC409F">
        <w:rPr>
          <w:rFonts w:ascii="Book Antiqua" w:hAnsi="Book Antiqua" w:hint="eastAsia"/>
          <w:color w:val="000000"/>
        </w:rPr>
        <w:t>;</w:t>
      </w:r>
      <w:r w:rsidRPr="00310581">
        <w:rPr>
          <w:rFonts w:ascii="Book Antiqua" w:hAnsi="Book Antiqua"/>
          <w:color w:val="000000"/>
        </w:rPr>
        <w:t xml:space="preserve"> National Natural Science Foundation of China</w:t>
      </w:r>
      <w:r w:rsidR="00C95724" w:rsidRPr="00310581">
        <w:rPr>
          <w:rFonts w:ascii="Book Antiqua" w:hAnsi="Book Antiqua"/>
          <w:color w:val="000000"/>
        </w:rPr>
        <w:t xml:space="preserve">, </w:t>
      </w:r>
      <w:r w:rsidRPr="00310581">
        <w:rPr>
          <w:rFonts w:ascii="Book Antiqua" w:hAnsi="Book Antiqua"/>
          <w:color w:val="000000"/>
        </w:rPr>
        <w:t>No. 81470840</w:t>
      </w:r>
      <w:r w:rsidR="00C95724" w:rsidRPr="00310581">
        <w:rPr>
          <w:rFonts w:ascii="Book Antiqua" w:hAnsi="Book Antiqua"/>
          <w:color w:val="000000"/>
        </w:rPr>
        <w:t xml:space="preserve"> and</w:t>
      </w:r>
      <w:r w:rsidRPr="00310581">
        <w:rPr>
          <w:rFonts w:ascii="Book Antiqua" w:hAnsi="Book Antiqua"/>
          <w:color w:val="000000"/>
        </w:rPr>
        <w:t xml:space="preserve"> No. 81600464.</w:t>
      </w:r>
    </w:p>
    <w:p w14:paraId="16E17E3F" w14:textId="77777777" w:rsidR="001F5466" w:rsidRPr="00310581" w:rsidRDefault="001F5466" w:rsidP="009315CE">
      <w:pPr>
        <w:snapToGrid w:val="0"/>
        <w:spacing w:line="360" w:lineRule="auto"/>
        <w:outlineLvl w:val="0"/>
        <w:rPr>
          <w:rFonts w:ascii="Book Antiqua" w:hAnsi="Book Antiqua"/>
          <w:color w:val="000000"/>
        </w:rPr>
      </w:pPr>
    </w:p>
    <w:p w14:paraId="63B50004" w14:textId="77777777" w:rsidR="001F5466" w:rsidRPr="00310581" w:rsidRDefault="001F5466" w:rsidP="009315CE">
      <w:pPr>
        <w:snapToGrid w:val="0"/>
        <w:spacing w:line="360" w:lineRule="auto"/>
        <w:outlineLvl w:val="0"/>
        <w:rPr>
          <w:rFonts w:ascii="Book Antiqua" w:hAnsi="Book Antiqua"/>
        </w:rPr>
      </w:pPr>
      <w:r w:rsidRPr="00310581">
        <w:rPr>
          <w:rFonts w:ascii="Book Antiqua" w:hAnsi="Book Antiqua"/>
          <w:b/>
        </w:rPr>
        <w:t>Institutional review board statement:</w:t>
      </w:r>
      <w:r w:rsidRPr="00310581">
        <w:rPr>
          <w:rFonts w:ascii="Book Antiqua" w:hAnsi="Book Antiqua"/>
        </w:rPr>
        <w:t xml:space="preserve"> The study was reviewed and approved by the Ethics Committee of Xin Hua Hospital Affiliated to Shanghai Jiaotong University School of Medicine.</w:t>
      </w:r>
    </w:p>
    <w:p w14:paraId="31CE7E15" w14:textId="77777777" w:rsidR="001F5466" w:rsidRPr="00310581" w:rsidRDefault="001F5466" w:rsidP="009315CE">
      <w:pPr>
        <w:snapToGrid w:val="0"/>
        <w:spacing w:line="360" w:lineRule="auto"/>
        <w:outlineLvl w:val="0"/>
        <w:rPr>
          <w:rFonts w:ascii="Book Antiqua" w:hAnsi="Book Antiqua"/>
          <w:color w:val="000000"/>
        </w:rPr>
      </w:pPr>
    </w:p>
    <w:p w14:paraId="59C7C34B" w14:textId="1D857700"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color w:val="000000"/>
        </w:rPr>
        <w:t xml:space="preserve">Institutional </w:t>
      </w:r>
      <w:r w:rsidR="00C95724" w:rsidRPr="00310581">
        <w:rPr>
          <w:rFonts w:ascii="Book Antiqua" w:hAnsi="Book Antiqua"/>
          <w:b/>
          <w:color w:val="000000"/>
        </w:rPr>
        <w:t>animal care and use committee stat</w:t>
      </w:r>
      <w:r w:rsidRPr="00310581">
        <w:rPr>
          <w:rFonts w:ascii="Book Antiqua" w:hAnsi="Book Antiqua"/>
          <w:b/>
          <w:color w:val="000000"/>
        </w:rPr>
        <w:t xml:space="preserve">ement: </w:t>
      </w:r>
      <w:r w:rsidRPr="00310581">
        <w:rPr>
          <w:rFonts w:ascii="Book Antiqua" w:hAnsi="Book Antiqua"/>
          <w:color w:val="000000"/>
        </w:rPr>
        <w:t>All procedures involving animals were reviewed and approved by the Institutional Animal Care and Use Committee of SHRM (SHRM-IACUC-001).</w:t>
      </w:r>
    </w:p>
    <w:p w14:paraId="5F9C0204" w14:textId="77777777" w:rsidR="001F5466" w:rsidRPr="00310581" w:rsidRDefault="001F5466" w:rsidP="009315CE">
      <w:pPr>
        <w:snapToGrid w:val="0"/>
        <w:spacing w:line="360" w:lineRule="auto"/>
        <w:outlineLvl w:val="0"/>
        <w:rPr>
          <w:rFonts w:ascii="Book Antiqua" w:hAnsi="Book Antiqua"/>
          <w:color w:val="000000"/>
        </w:rPr>
      </w:pPr>
    </w:p>
    <w:p w14:paraId="7F063143" w14:textId="77777777"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color w:val="000000"/>
        </w:rPr>
        <w:t xml:space="preserve">Conflict-of-interest statement: </w:t>
      </w:r>
      <w:r w:rsidRPr="00310581">
        <w:rPr>
          <w:rFonts w:ascii="Book Antiqua" w:hAnsi="Book Antiqua"/>
          <w:color w:val="000000"/>
        </w:rPr>
        <w:t>The authors declared that there is no conflict of interest related to this study.</w:t>
      </w:r>
    </w:p>
    <w:p w14:paraId="7F121184" w14:textId="77777777" w:rsidR="00C95724" w:rsidRPr="00310581" w:rsidRDefault="00C95724" w:rsidP="009315CE">
      <w:pPr>
        <w:snapToGrid w:val="0"/>
        <w:spacing w:line="360" w:lineRule="auto"/>
        <w:outlineLvl w:val="0"/>
        <w:rPr>
          <w:rFonts w:ascii="Book Antiqua" w:hAnsi="Book Antiqua"/>
          <w:color w:val="000000"/>
        </w:rPr>
      </w:pPr>
    </w:p>
    <w:p w14:paraId="471FCA44" w14:textId="77777777" w:rsidR="00C95724" w:rsidRPr="00310581" w:rsidRDefault="00C95724" w:rsidP="009315CE">
      <w:pPr>
        <w:snapToGrid w:val="0"/>
        <w:spacing w:line="360" w:lineRule="auto"/>
        <w:rPr>
          <w:rFonts w:ascii="Book Antiqua" w:hAnsi="Book Antiqua"/>
          <w:b/>
          <w:color w:val="000000"/>
          <w:kern w:val="0"/>
        </w:rPr>
      </w:pPr>
      <w:bookmarkStart w:id="23" w:name="OLE_LINK155"/>
      <w:bookmarkStart w:id="24" w:name="OLE_LINK183"/>
      <w:bookmarkStart w:id="25" w:name="OLE_LINK441"/>
      <w:r w:rsidRPr="00310581">
        <w:rPr>
          <w:rFonts w:ascii="Book Antiqua" w:hAnsi="Book Antiqua"/>
          <w:b/>
          <w:color w:val="000000"/>
          <w:kern w:val="0"/>
        </w:rPr>
        <w:t xml:space="preserve">Open-Access: </w:t>
      </w:r>
      <w:r w:rsidRPr="00310581">
        <w:rPr>
          <w:rFonts w:ascii="Book Antiqua" w:hAnsi="Book Antiqua"/>
          <w:color w:val="000000"/>
          <w:kern w:val="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bookmarkEnd w:id="24"/>
    <w:bookmarkEnd w:id="25"/>
    <w:p w14:paraId="1B567C52" w14:textId="727068A5" w:rsidR="00C95724" w:rsidRPr="00310581" w:rsidRDefault="00C95724" w:rsidP="009315CE">
      <w:pPr>
        <w:snapToGrid w:val="0"/>
        <w:spacing w:line="360" w:lineRule="auto"/>
        <w:rPr>
          <w:rFonts w:ascii="Book Antiqua" w:hAnsi="Book Antiqua" w:cs="Arial Unicode MS"/>
          <w:color w:val="000000"/>
        </w:rPr>
      </w:pPr>
    </w:p>
    <w:p w14:paraId="5FEC15ED" w14:textId="77777777" w:rsidR="00C95724" w:rsidRPr="00310581" w:rsidRDefault="00C95724" w:rsidP="009315CE">
      <w:pPr>
        <w:snapToGrid w:val="0"/>
        <w:spacing w:line="360" w:lineRule="auto"/>
        <w:rPr>
          <w:rFonts w:ascii="Book Antiqua" w:hAnsi="Book Antiqua" w:cs="Arial Unicode MS"/>
          <w:color w:val="000000"/>
        </w:rPr>
      </w:pPr>
      <w:r w:rsidRPr="00310581">
        <w:rPr>
          <w:rFonts w:ascii="Book Antiqua" w:hAnsi="Book Antiqua" w:cs="Arial Unicode MS"/>
          <w:b/>
          <w:color w:val="000000"/>
        </w:rPr>
        <w:t xml:space="preserve">Manuscript source: </w:t>
      </w:r>
      <w:r w:rsidRPr="00310581">
        <w:rPr>
          <w:rFonts w:ascii="Book Antiqua" w:hAnsi="Book Antiqua" w:cs="Arial Unicode MS"/>
          <w:color w:val="000000"/>
        </w:rPr>
        <w:t>Unsolicited manuscript</w:t>
      </w:r>
    </w:p>
    <w:p w14:paraId="2C4F30AF" w14:textId="77777777" w:rsidR="001F5466" w:rsidRPr="00310581" w:rsidRDefault="001F5466" w:rsidP="009315CE">
      <w:pPr>
        <w:snapToGrid w:val="0"/>
        <w:spacing w:line="360" w:lineRule="auto"/>
        <w:outlineLvl w:val="0"/>
        <w:rPr>
          <w:rFonts w:ascii="Book Antiqua" w:hAnsi="Book Antiqua"/>
          <w:color w:val="000000"/>
        </w:rPr>
      </w:pPr>
    </w:p>
    <w:p w14:paraId="750B765F" w14:textId="57B3CBDE"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color w:val="000000"/>
        </w:rPr>
        <w:t>Correspondence to: Jian-Gao Fan, Professor,</w:t>
      </w:r>
      <w:r w:rsidRPr="00310581">
        <w:rPr>
          <w:rFonts w:ascii="Book Antiqua" w:hAnsi="Book Antiqua"/>
          <w:color w:val="000000"/>
        </w:rPr>
        <w:t xml:space="preserve"> Center for Fatty Liver, Department of Gastroenterology, Xin Hua Hospital Affiliated to Shanghai Jiao Tong University School of Medicine, 1665 Kong Jiang Road, Shanghai 200092, China. fanjiangao@xinhuamed.com.cn</w:t>
      </w:r>
    </w:p>
    <w:p w14:paraId="53C921AE" w14:textId="2432F752"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color w:val="000000"/>
        </w:rPr>
        <w:lastRenderedPageBreak/>
        <w:t>Telephone</w:t>
      </w:r>
      <w:r w:rsidRPr="00310581">
        <w:rPr>
          <w:rFonts w:ascii="Book Antiqua" w:hAnsi="Book Antiqua"/>
          <w:color w:val="000000"/>
        </w:rPr>
        <w:t>: +86-21-25077340</w:t>
      </w:r>
    </w:p>
    <w:p w14:paraId="661E041F" w14:textId="77777777" w:rsidR="001F5466" w:rsidRPr="00310581" w:rsidRDefault="001F5466" w:rsidP="009315CE">
      <w:pPr>
        <w:snapToGrid w:val="0"/>
        <w:spacing w:line="360" w:lineRule="auto"/>
        <w:outlineLvl w:val="0"/>
        <w:rPr>
          <w:rFonts w:ascii="Book Antiqua" w:hAnsi="Book Antiqua"/>
          <w:color w:val="000000"/>
        </w:rPr>
      </w:pPr>
    </w:p>
    <w:p w14:paraId="64A37658" w14:textId="58946742" w:rsidR="00C95724" w:rsidRPr="00310581" w:rsidRDefault="00C95724" w:rsidP="009315CE">
      <w:pPr>
        <w:snapToGrid w:val="0"/>
        <w:spacing w:line="360" w:lineRule="auto"/>
        <w:rPr>
          <w:rFonts w:ascii="Book Antiqua" w:hAnsi="Book Antiqua"/>
          <w:b/>
        </w:rPr>
      </w:pPr>
      <w:bookmarkStart w:id="26" w:name="OLE_LINK476"/>
      <w:bookmarkStart w:id="27" w:name="OLE_LINK477"/>
      <w:bookmarkStart w:id="28" w:name="OLE_LINK528"/>
      <w:bookmarkStart w:id="29" w:name="OLE_LINK557"/>
      <w:r w:rsidRPr="00310581">
        <w:rPr>
          <w:rFonts w:ascii="Book Antiqua" w:hAnsi="Book Antiqua"/>
          <w:b/>
        </w:rPr>
        <w:t xml:space="preserve">Received: </w:t>
      </w:r>
      <w:r w:rsidRPr="00310581">
        <w:rPr>
          <w:rFonts w:ascii="Book Antiqua" w:hAnsi="Book Antiqua"/>
        </w:rPr>
        <w:t>August 24, 2017</w:t>
      </w:r>
    </w:p>
    <w:p w14:paraId="6DFFEF99" w14:textId="00173105" w:rsidR="00C95724" w:rsidRPr="00310581" w:rsidRDefault="00C95724" w:rsidP="009315CE">
      <w:pPr>
        <w:snapToGrid w:val="0"/>
        <w:spacing w:line="360" w:lineRule="auto"/>
        <w:rPr>
          <w:rFonts w:ascii="Book Antiqua" w:hAnsi="Book Antiqua"/>
          <w:b/>
        </w:rPr>
      </w:pPr>
      <w:r w:rsidRPr="00310581">
        <w:rPr>
          <w:rFonts w:ascii="Book Antiqua" w:hAnsi="Book Antiqua"/>
          <w:b/>
        </w:rPr>
        <w:t>Peer-review started:</w:t>
      </w:r>
      <w:r w:rsidRPr="00310581">
        <w:rPr>
          <w:rFonts w:ascii="Book Antiqua" w:hAnsi="Book Antiqua"/>
        </w:rPr>
        <w:t xml:space="preserve"> August 25, 2017</w:t>
      </w:r>
    </w:p>
    <w:p w14:paraId="0E97B46D" w14:textId="57F13BBE" w:rsidR="00C95724" w:rsidRPr="00310581" w:rsidRDefault="00C95724" w:rsidP="009315CE">
      <w:pPr>
        <w:snapToGrid w:val="0"/>
        <w:spacing w:line="360" w:lineRule="auto"/>
        <w:rPr>
          <w:rFonts w:ascii="Book Antiqua" w:hAnsi="Book Antiqua"/>
          <w:b/>
        </w:rPr>
      </w:pPr>
      <w:r w:rsidRPr="00310581">
        <w:rPr>
          <w:rFonts w:ascii="Book Antiqua" w:hAnsi="Book Antiqua"/>
          <w:b/>
        </w:rPr>
        <w:t xml:space="preserve">First decision: </w:t>
      </w:r>
      <w:r w:rsidRPr="00310581">
        <w:rPr>
          <w:rFonts w:ascii="Book Antiqua" w:hAnsi="Book Antiqua"/>
        </w:rPr>
        <w:t>October 11, 2017</w:t>
      </w:r>
    </w:p>
    <w:p w14:paraId="6CF16607" w14:textId="0734BC95" w:rsidR="00C95724" w:rsidRPr="00310581" w:rsidRDefault="00C95724" w:rsidP="009315CE">
      <w:pPr>
        <w:snapToGrid w:val="0"/>
        <w:spacing w:line="360" w:lineRule="auto"/>
        <w:rPr>
          <w:rFonts w:ascii="Book Antiqua" w:hAnsi="Book Antiqua"/>
          <w:b/>
        </w:rPr>
      </w:pPr>
      <w:r w:rsidRPr="00310581">
        <w:rPr>
          <w:rFonts w:ascii="Book Antiqua" w:hAnsi="Book Antiqua"/>
          <w:b/>
        </w:rPr>
        <w:t>Revised:</w:t>
      </w:r>
      <w:r w:rsidRPr="00310581">
        <w:rPr>
          <w:rFonts w:ascii="Book Antiqua" w:hAnsi="Book Antiqua"/>
        </w:rPr>
        <w:t xml:space="preserve"> October 16, 2017</w:t>
      </w:r>
    </w:p>
    <w:p w14:paraId="03E40FBC" w14:textId="7B002F28" w:rsidR="00C95724" w:rsidRPr="00310581" w:rsidRDefault="00C95724" w:rsidP="009315CE">
      <w:pPr>
        <w:snapToGrid w:val="0"/>
        <w:spacing w:line="360" w:lineRule="auto"/>
        <w:rPr>
          <w:rFonts w:ascii="Book Antiqua" w:hAnsi="Book Antiqua"/>
          <w:b/>
        </w:rPr>
      </w:pPr>
      <w:r w:rsidRPr="00310581">
        <w:rPr>
          <w:rFonts w:ascii="Book Antiqua" w:hAnsi="Book Antiqua"/>
          <w:b/>
        </w:rPr>
        <w:t>Accepted:</w:t>
      </w:r>
      <w:r w:rsidR="00876B17" w:rsidRPr="00876B17">
        <w:t xml:space="preserve"> </w:t>
      </w:r>
      <w:r w:rsidR="00876B17" w:rsidRPr="00876B17">
        <w:rPr>
          <w:rFonts w:ascii="Book Antiqua" w:hAnsi="Book Antiqua"/>
        </w:rPr>
        <w:t>October 27, 2017</w:t>
      </w:r>
      <w:r w:rsidRPr="00310581">
        <w:rPr>
          <w:rFonts w:ascii="Book Antiqua" w:hAnsi="Book Antiqua"/>
          <w:b/>
        </w:rPr>
        <w:t xml:space="preserve">  </w:t>
      </w:r>
    </w:p>
    <w:p w14:paraId="5F3C5611" w14:textId="77777777" w:rsidR="00C95724" w:rsidRPr="00310581" w:rsidRDefault="00C95724" w:rsidP="009315CE">
      <w:pPr>
        <w:snapToGrid w:val="0"/>
        <w:spacing w:line="360" w:lineRule="auto"/>
        <w:rPr>
          <w:rFonts w:ascii="Book Antiqua" w:hAnsi="Book Antiqua"/>
          <w:b/>
        </w:rPr>
      </w:pPr>
      <w:r w:rsidRPr="00310581">
        <w:rPr>
          <w:rFonts w:ascii="Book Antiqua" w:hAnsi="Book Antiqua"/>
          <w:b/>
        </w:rPr>
        <w:t>Article in press:</w:t>
      </w:r>
    </w:p>
    <w:p w14:paraId="28BEC1EA" w14:textId="77777777" w:rsidR="00C95724" w:rsidRPr="00310581" w:rsidRDefault="00C95724" w:rsidP="009315CE">
      <w:pPr>
        <w:snapToGrid w:val="0"/>
        <w:spacing w:line="360" w:lineRule="auto"/>
        <w:rPr>
          <w:rFonts w:ascii="Book Antiqua" w:hAnsi="Book Antiqua"/>
          <w:b/>
        </w:rPr>
      </w:pPr>
      <w:r w:rsidRPr="00310581">
        <w:rPr>
          <w:rFonts w:ascii="Book Antiqua" w:hAnsi="Book Antiqua"/>
          <w:b/>
        </w:rPr>
        <w:t>Published online:</w:t>
      </w:r>
    </w:p>
    <w:bookmarkEnd w:id="26"/>
    <w:bookmarkEnd w:id="27"/>
    <w:bookmarkEnd w:id="28"/>
    <w:bookmarkEnd w:id="29"/>
    <w:p w14:paraId="28911964" w14:textId="05E469EE" w:rsidR="001F5466" w:rsidRPr="00310581" w:rsidRDefault="001F5466" w:rsidP="009315CE">
      <w:pPr>
        <w:snapToGrid w:val="0"/>
        <w:spacing w:line="360" w:lineRule="auto"/>
        <w:outlineLvl w:val="0"/>
        <w:rPr>
          <w:rFonts w:ascii="Book Antiqua" w:hAnsi="Book Antiqua"/>
          <w:b/>
          <w:color w:val="000000"/>
        </w:rPr>
      </w:pPr>
      <w:r w:rsidRPr="00310581">
        <w:rPr>
          <w:rFonts w:ascii="Book Antiqua" w:hAnsi="Book Antiqua"/>
          <w:color w:val="000000"/>
        </w:rPr>
        <w:br w:type="page"/>
      </w:r>
      <w:r w:rsidRPr="00310581">
        <w:rPr>
          <w:rFonts w:ascii="Book Antiqua" w:hAnsi="Book Antiqua"/>
          <w:b/>
          <w:color w:val="000000"/>
        </w:rPr>
        <w:lastRenderedPageBreak/>
        <w:t>A</w:t>
      </w:r>
      <w:r w:rsidR="00C95724" w:rsidRPr="00310581">
        <w:rPr>
          <w:rFonts w:ascii="Book Antiqua" w:hAnsi="Book Antiqua"/>
          <w:b/>
          <w:color w:val="000000"/>
        </w:rPr>
        <w:t>bstract</w:t>
      </w:r>
    </w:p>
    <w:p w14:paraId="44F7AD32" w14:textId="77777777" w:rsidR="00C95724" w:rsidRPr="00310581" w:rsidRDefault="00C95724" w:rsidP="009315CE">
      <w:pPr>
        <w:snapToGrid w:val="0"/>
        <w:spacing w:line="360" w:lineRule="auto"/>
        <w:outlineLvl w:val="0"/>
        <w:rPr>
          <w:rFonts w:ascii="Book Antiqua" w:hAnsi="Book Antiqua"/>
          <w:b/>
          <w:i/>
          <w:color w:val="000000"/>
        </w:rPr>
      </w:pPr>
      <w:r w:rsidRPr="00310581">
        <w:rPr>
          <w:rFonts w:ascii="Book Antiqua" w:hAnsi="Book Antiqua"/>
          <w:b/>
          <w:i/>
          <w:color w:val="000000"/>
        </w:rPr>
        <w:t>AIM</w:t>
      </w:r>
    </w:p>
    <w:p w14:paraId="6187DC08" w14:textId="474D557A"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To evaluate the levels of miR-192-5p in </w:t>
      </w:r>
      <w:r w:rsidR="00C95724" w:rsidRPr="00310581">
        <w:rPr>
          <w:rFonts w:ascii="Book Antiqua" w:hAnsi="Book Antiqua"/>
          <w:color w:val="000000"/>
        </w:rPr>
        <w:t xml:space="preserve">non-alcoholic fatty liver disease (NAFLD) </w:t>
      </w:r>
      <w:r w:rsidRPr="00310581">
        <w:rPr>
          <w:rFonts w:ascii="Book Antiqua" w:hAnsi="Book Antiqua"/>
          <w:color w:val="000000"/>
        </w:rPr>
        <w:t xml:space="preserve">models and demonstrate the role of miR-192-5p in lipid accumulation. </w:t>
      </w:r>
    </w:p>
    <w:p w14:paraId="0926F6C2" w14:textId="77777777" w:rsidR="00C95724" w:rsidRPr="00310581" w:rsidRDefault="00C95724" w:rsidP="009315CE">
      <w:pPr>
        <w:snapToGrid w:val="0"/>
        <w:spacing w:line="360" w:lineRule="auto"/>
        <w:outlineLvl w:val="0"/>
        <w:rPr>
          <w:rFonts w:ascii="Book Antiqua" w:hAnsi="Book Antiqua"/>
          <w:color w:val="000000"/>
          <w:kern w:val="0"/>
        </w:rPr>
      </w:pPr>
    </w:p>
    <w:p w14:paraId="0FD290F4" w14:textId="77777777" w:rsidR="00C95724" w:rsidRPr="00310581" w:rsidRDefault="00C95724" w:rsidP="009315CE">
      <w:pPr>
        <w:snapToGrid w:val="0"/>
        <w:spacing w:line="360" w:lineRule="auto"/>
        <w:outlineLvl w:val="0"/>
        <w:rPr>
          <w:rFonts w:ascii="Book Antiqua" w:hAnsi="Book Antiqua"/>
          <w:b/>
          <w:i/>
          <w:color w:val="000000"/>
          <w:kern w:val="0"/>
        </w:rPr>
      </w:pPr>
      <w:r w:rsidRPr="00310581">
        <w:rPr>
          <w:rFonts w:ascii="Book Antiqua" w:hAnsi="Book Antiqua"/>
          <w:b/>
          <w:i/>
          <w:color w:val="000000"/>
          <w:kern w:val="0"/>
        </w:rPr>
        <w:t>METHODS</w:t>
      </w:r>
    </w:p>
    <w:p w14:paraId="3410FC6B" w14:textId="1C0FA38E"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kern w:val="0"/>
        </w:rPr>
        <w:t xml:space="preserve">Thirty </w:t>
      </w:r>
      <w:r w:rsidRPr="00310581">
        <w:rPr>
          <w:rFonts w:ascii="Book Antiqua" w:hAnsi="Book Antiqua"/>
          <w:color w:val="000000"/>
        </w:rPr>
        <w:t>Sprague Dawley rats</w:t>
      </w:r>
      <w:r w:rsidRPr="00310581">
        <w:rPr>
          <w:rFonts w:ascii="Book Antiqua" w:hAnsi="Book Antiqua"/>
          <w:color w:val="000000"/>
          <w:kern w:val="0"/>
        </w:rPr>
        <w:t xml:space="preserve"> were randomly divided into three groups, which were given a standard diet, a high-fat diet (HFD), and an HFD with injection of </w:t>
      </w:r>
      <w:bookmarkStart w:id="30" w:name="OLE_LINK61"/>
      <w:bookmarkStart w:id="31" w:name="OLE_LINK62"/>
      <w:r w:rsidRPr="00310581">
        <w:rPr>
          <w:rFonts w:ascii="Book Antiqua" w:hAnsi="Book Antiqua"/>
          <w:color w:val="000000"/>
          <w:kern w:val="0"/>
        </w:rPr>
        <w:t>liraglutide</w:t>
      </w:r>
      <w:bookmarkEnd w:id="30"/>
      <w:bookmarkEnd w:id="31"/>
      <w:r w:rsidRPr="00310581">
        <w:rPr>
          <w:rFonts w:ascii="Book Antiqua" w:hAnsi="Book Antiqua"/>
          <w:color w:val="000000"/>
          <w:kern w:val="0"/>
        </w:rPr>
        <w:t xml:space="preserve">. </w:t>
      </w:r>
      <w:bookmarkStart w:id="32" w:name="OLE_LINK55"/>
      <w:bookmarkStart w:id="33" w:name="OLE_LINK56"/>
      <w:r w:rsidRPr="00310581">
        <w:rPr>
          <w:rFonts w:ascii="Book Antiqua" w:hAnsi="Book Antiqua"/>
          <w:color w:val="000000"/>
          <w:kern w:val="0"/>
        </w:rPr>
        <w:t>At the end of 16 weeks, hepatic miR-192-5p and stearoyl-CoA desaturase 1 (SCD-1) levels were measured. MiR-192-5p</w:t>
      </w:r>
      <w:bookmarkEnd w:id="32"/>
      <w:bookmarkEnd w:id="33"/>
      <w:r w:rsidRPr="00310581">
        <w:rPr>
          <w:rFonts w:ascii="Book Antiqua" w:hAnsi="Book Antiqua"/>
          <w:color w:val="000000"/>
          <w:kern w:val="0"/>
        </w:rPr>
        <w:t xml:space="preserve"> mimics and inhibitors and SCD-1 siRNA were transfected into Huh7 cells exposed to palmitic acid (PA</w:t>
      </w:r>
      <w:r w:rsidRPr="00310581">
        <w:rPr>
          <w:rFonts w:ascii="Book Antiqua" w:hAnsi="Book Antiqua"/>
          <w:color w:val="000000"/>
        </w:rPr>
        <w:t>). Lipid accumulation was evaluated by Oil Red O staining and triglyceride assays. Direct interaction was validated by dual-luciferase reporter gene assays.</w:t>
      </w:r>
    </w:p>
    <w:p w14:paraId="1F0239EE" w14:textId="77777777" w:rsidR="00C95724" w:rsidRPr="00310581" w:rsidRDefault="00C95724" w:rsidP="009315CE">
      <w:pPr>
        <w:snapToGrid w:val="0"/>
        <w:spacing w:line="360" w:lineRule="auto"/>
        <w:outlineLvl w:val="0"/>
        <w:rPr>
          <w:rFonts w:ascii="Book Antiqua" w:hAnsi="Book Antiqua"/>
          <w:color w:val="000000"/>
        </w:rPr>
      </w:pPr>
    </w:p>
    <w:p w14:paraId="77F97EFE" w14:textId="77777777" w:rsidR="00C95724" w:rsidRPr="00310581" w:rsidRDefault="00C95724" w:rsidP="009315CE">
      <w:pPr>
        <w:snapToGrid w:val="0"/>
        <w:spacing w:line="360" w:lineRule="auto"/>
        <w:outlineLvl w:val="0"/>
        <w:rPr>
          <w:rFonts w:ascii="Book Antiqua" w:hAnsi="Book Antiqua"/>
          <w:b/>
          <w:i/>
          <w:color w:val="000000"/>
        </w:rPr>
      </w:pPr>
      <w:r w:rsidRPr="00310581">
        <w:rPr>
          <w:rFonts w:ascii="Book Antiqua" w:hAnsi="Book Antiqua"/>
          <w:b/>
          <w:i/>
          <w:color w:val="000000"/>
        </w:rPr>
        <w:t>RESULTS</w:t>
      </w:r>
    </w:p>
    <w:p w14:paraId="4924439F" w14:textId="77777777" w:rsidR="00C95724" w:rsidRPr="00310581" w:rsidRDefault="001F5466" w:rsidP="009315CE">
      <w:pPr>
        <w:snapToGrid w:val="0"/>
        <w:spacing w:line="360" w:lineRule="auto"/>
        <w:outlineLvl w:val="0"/>
        <w:rPr>
          <w:rFonts w:ascii="Book Antiqua" w:hAnsi="Book Antiqua"/>
          <w:color w:val="000000"/>
          <w:kern w:val="0"/>
        </w:rPr>
      </w:pPr>
      <w:r w:rsidRPr="00310581">
        <w:rPr>
          <w:rFonts w:ascii="Book Antiqua" w:hAnsi="Book Antiqua"/>
          <w:color w:val="000000"/>
        </w:rPr>
        <w:t xml:space="preserve">The HFD rats showed </w:t>
      </w:r>
      <w:r w:rsidRPr="00310581">
        <w:rPr>
          <w:rFonts w:ascii="Book Antiqua" w:hAnsi="Book Antiqua"/>
          <w:color w:val="000000"/>
          <w:kern w:val="0"/>
        </w:rPr>
        <w:t>a 0.46-fold decrease and a 3.5-fold increase in</w:t>
      </w:r>
      <w:r w:rsidRPr="00310581">
        <w:rPr>
          <w:rFonts w:ascii="Book Antiqua" w:hAnsi="Book Antiqua"/>
          <w:color w:val="000000"/>
        </w:rPr>
        <w:t xml:space="preserve"> hepatic </w:t>
      </w:r>
      <w:r w:rsidRPr="00310581">
        <w:rPr>
          <w:rFonts w:ascii="Book Antiqua" w:hAnsi="Book Antiqua"/>
          <w:color w:val="000000"/>
          <w:kern w:val="0"/>
        </w:rPr>
        <w:t xml:space="preserve">miR-192-5p and SCD-1 protein levels compared with controls, respectively, which could be reversed </w:t>
      </w:r>
      <w:r w:rsidRPr="00310581">
        <w:rPr>
          <w:rFonts w:ascii="Book Antiqua" w:hAnsi="Book Antiqua"/>
          <w:color w:val="000000"/>
        </w:rPr>
        <w:t xml:space="preserve">after disease remission </w:t>
      </w:r>
      <w:r w:rsidRPr="00310581">
        <w:rPr>
          <w:rFonts w:ascii="Book Antiqua" w:hAnsi="Book Antiqua"/>
          <w:color w:val="000000"/>
          <w:kern w:val="0"/>
        </w:rPr>
        <w:t xml:space="preserve">by liraglutide injection </w:t>
      </w:r>
      <w:bookmarkStart w:id="34" w:name="OLE_LINK93"/>
      <w:bookmarkStart w:id="35" w:name="OLE_LINK94"/>
      <w:r w:rsidRPr="00310581">
        <w:rPr>
          <w:rFonts w:ascii="Book Antiqua" w:hAnsi="Book Antiqua"/>
          <w:color w:val="000000"/>
          <w:kern w:val="0"/>
        </w:rPr>
        <w:t>(</w:t>
      </w:r>
      <w:r w:rsidRPr="00310581">
        <w:rPr>
          <w:rFonts w:ascii="Book Antiqua" w:hAnsi="Book Antiqua"/>
          <w:i/>
          <w:color w:val="000000"/>
          <w:kern w:val="0"/>
        </w:rPr>
        <w:t>P</w:t>
      </w:r>
      <w:r w:rsidR="00C95724" w:rsidRPr="00310581">
        <w:rPr>
          <w:rFonts w:ascii="Book Antiqua" w:hAnsi="Book Antiqua"/>
          <w:color w:val="000000"/>
          <w:kern w:val="0"/>
        </w:rPr>
        <w:t xml:space="preserve"> </w:t>
      </w:r>
      <w:r w:rsidRPr="00310581">
        <w:rPr>
          <w:rFonts w:ascii="Book Antiqua" w:hAnsi="Book Antiqua"/>
          <w:color w:val="000000"/>
          <w:kern w:val="0"/>
        </w:rPr>
        <w:t>&lt;</w:t>
      </w:r>
      <w:r w:rsidR="00C95724" w:rsidRPr="00310581">
        <w:rPr>
          <w:rFonts w:ascii="Book Antiqua" w:hAnsi="Book Antiqua"/>
          <w:color w:val="000000"/>
          <w:kern w:val="0"/>
        </w:rPr>
        <w:t xml:space="preserve"> </w:t>
      </w:r>
      <w:r w:rsidRPr="00310581">
        <w:rPr>
          <w:rFonts w:ascii="Book Antiqua" w:hAnsi="Book Antiqua"/>
          <w:color w:val="000000"/>
          <w:kern w:val="0"/>
        </w:rPr>
        <w:t>0.01)</w:t>
      </w:r>
      <w:bookmarkEnd w:id="34"/>
      <w:bookmarkEnd w:id="35"/>
      <w:r w:rsidRPr="00310581">
        <w:rPr>
          <w:rFonts w:ascii="Book Antiqua" w:hAnsi="Book Antiqua"/>
          <w:color w:val="000000"/>
          <w:kern w:val="0"/>
        </w:rPr>
        <w:t>. The Huh7 cells exposed to PA also showed down-regulation and up-regulation of miR-192-5p and SCD-1 protein levels, respectively (</w:t>
      </w:r>
      <w:r w:rsidR="00C95724" w:rsidRPr="00310581">
        <w:rPr>
          <w:rFonts w:ascii="Book Antiqua" w:hAnsi="Book Antiqua"/>
          <w:i/>
          <w:color w:val="000000"/>
          <w:kern w:val="0"/>
        </w:rPr>
        <w:t>P</w:t>
      </w:r>
      <w:r w:rsidR="00C95724" w:rsidRPr="00310581">
        <w:rPr>
          <w:rFonts w:ascii="Book Antiqua" w:hAnsi="Book Antiqua"/>
          <w:color w:val="000000"/>
          <w:kern w:val="0"/>
        </w:rPr>
        <w:t xml:space="preserve"> </w:t>
      </w:r>
      <w:r w:rsidRPr="00310581">
        <w:rPr>
          <w:rFonts w:ascii="Book Antiqua" w:hAnsi="Book Antiqua"/>
          <w:color w:val="000000"/>
          <w:kern w:val="0"/>
        </w:rPr>
        <w:t>&lt;</w:t>
      </w:r>
      <w:r w:rsidR="00C95724" w:rsidRPr="00310581">
        <w:rPr>
          <w:rFonts w:ascii="Book Antiqua" w:hAnsi="Book Antiqua"/>
          <w:color w:val="000000"/>
          <w:kern w:val="0"/>
        </w:rPr>
        <w:t xml:space="preserve"> </w:t>
      </w:r>
      <w:r w:rsidRPr="00310581">
        <w:rPr>
          <w:rFonts w:ascii="Book Antiqua" w:hAnsi="Book Antiqua"/>
          <w:color w:val="000000"/>
          <w:kern w:val="0"/>
        </w:rPr>
        <w:t xml:space="preserve">0.01). Transfection with </w:t>
      </w:r>
      <w:r w:rsidRPr="00310581">
        <w:rPr>
          <w:rFonts w:ascii="Book Antiqua" w:hAnsi="Book Antiqua"/>
          <w:color w:val="000000"/>
        </w:rPr>
        <w:t xml:space="preserve">miR-192-5p mimics and inhibitors in Huh7 cells induced dramatic repression and promotion of SCD-1 protein levels, respectively </w:t>
      </w:r>
      <w:r w:rsidRPr="00310581">
        <w:rPr>
          <w:rFonts w:ascii="Book Antiqua" w:hAnsi="Book Antiqua"/>
          <w:color w:val="000000"/>
          <w:kern w:val="0"/>
        </w:rPr>
        <w:t>(</w:t>
      </w:r>
      <w:r w:rsidR="00C95724" w:rsidRPr="00310581">
        <w:rPr>
          <w:rFonts w:ascii="Book Antiqua" w:hAnsi="Book Antiqua"/>
          <w:i/>
          <w:color w:val="000000"/>
          <w:kern w:val="0"/>
        </w:rPr>
        <w:t>P</w:t>
      </w:r>
      <w:r w:rsidR="00C95724" w:rsidRPr="00310581">
        <w:rPr>
          <w:rFonts w:ascii="Book Antiqua" w:hAnsi="Book Antiqua"/>
          <w:color w:val="000000"/>
          <w:kern w:val="0"/>
        </w:rPr>
        <w:t xml:space="preserve"> </w:t>
      </w:r>
      <w:r w:rsidRPr="00310581">
        <w:rPr>
          <w:rFonts w:ascii="Book Antiqua" w:hAnsi="Book Antiqua"/>
          <w:color w:val="000000"/>
          <w:kern w:val="0"/>
        </w:rPr>
        <w:t>&lt;</w:t>
      </w:r>
      <w:r w:rsidR="00C95724" w:rsidRPr="00310581">
        <w:rPr>
          <w:rFonts w:ascii="Book Antiqua" w:hAnsi="Book Antiqua"/>
          <w:color w:val="000000"/>
          <w:kern w:val="0"/>
        </w:rPr>
        <w:t xml:space="preserve"> </w:t>
      </w:r>
      <w:r w:rsidRPr="00310581">
        <w:rPr>
          <w:rFonts w:ascii="Book Antiqua" w:hAnsi="Book Antiqua"/>
          <w:color w:val="000000"/>
          <w:kern w:val="0"/>
        </w:rPr>
        <w:t>0.01)</w:t>
      </w:r>
      <w:r w:rsidRPr="00310581">
        <w:rPr>
          <w:rFonts w:ascii="Book Antiqua" w:hAnsi="Book Antiqua"/>
          <w:color w:val="000000"/>
        </w:rPr>
        <w:t xml:space="preserve">. Luciferase activity was suppressed and enhanced by miR-192-5p mimics and inhibitors, respectively, in wild-type SCD-1 </w:t>
      </w:r>
      <w:r w:rsidRPr="00310581">
        <w:rPr>
          <w:rFonts w:ascii="Book Antiqua" w:hAnsi="Book Antiqua"/>
          <w:color w:val="000000"/>
          <w:kern w:val="0"/>
        </w:rPr>
        <w:t>(</w:t>
      </w:r>
      <w:r w:rsidR="00C95724" w:rsidRPr="00310581">
        <w:rPr>
          <w:rFonts w:ascii="Book Antiqua" w:hAnsi="Book Antiqua"/>
          <w:i/>
          <w:color w:val="000000"/>
          <w:kern w:val="0"/>
        </w:rPr>
        <w:t>P</w:t>
      </w:r>
      <w:r w:rsidR="00C95724" w:rsidRPr="00310581">
        <w:rPr>
          <w:rFonts w:ascii="Book Antiqua" w:hAnsi="Book Antiqua"/>
          <w:color w:val="000000"/>
          <w:kern w:val="0"/>
        </w:rPr>
        <w:t xml:space="preserve"> </w:t>
      </w:r>
      <w:r w:rsidRPr="00310581">
        <w:rPr>
          <w:rFonts w:ascii="Book Antiqua" w:hAnsi="Book Antiqua"/>
          <w:color w:val="000000"/>
          <w:kern w:val="0"/>
        </w:rPr>
        <w:t>&lt;</w:t>
      </w:r>
      <w:r w:rsidR="00C95724" w:rsidRPr="00310581">
        <w:rPr>
          <w:rFonts w:ascii="Book Antiqua" w:hAnsi="Book Antiqua"/>
          <w:color w:val="000000"/>
          <w:kern w:val="0"/>
        </w:rPr>
        <w:t xml:space="preserve"> </w:t>
      </w:r>
      <w:r w:rsidRPr="00310581">
        <w:rPr>
          <w:rFonts w:ascii="Book Antiqua" w:hAnsi="Book Antiqua"/>
          <w:color w:val="000000"/>
          <w:kern w:val="0"/>
        </w:rPr>
        <w:t>0.01)</w:t>
      </w:r>
      <w:r w:rsidRPr="00310581">
        <w:rPr>
          <w:rFonts w:ascii="Book Antiqua" w:hAnsi="Book Antiqua"/>
          <w:color w:val="000000"/>
        </w:rPr>
        <w:t xml:space="preserve"> but not in mutant SCD-1. </w:t>
      </w:r>
      <w:r w:rsidRPr="00310581">
        <w:rPr>
          <w:rFonts w:ascii="Book Antiqua" w:hAnsi="Book Antiqua"/>
          <w:color w:val="000000"/>
          <w:kern w:val="0"/>
        </w:rPr>
        <w:t>miR-192-5p overexpression reduced lipid accumulation significantly in PA-treated Huh7 cells, and SCD-1 siRNA transfection abrogated the lipid deposition aggravated by miR-192-5p inhibitors (</w:t>
      </w:r>
      <w:r w:rsidR="00C95724" w:rsidRPr="00310581">
        <w:rPr>
          <w:rFonts w:ascii="Book Antiqua" w:hAnsi="Book Antiqua"/>
          <w:i/>
          <w:color w:val="000000"/>
          <w:kern w:val="0"/>
        </w:rPr>
        <w:t>P</w:t>
      </w:r>
      <w:r w:rsidR="00C95724" w:rsidRPr="00310581">
        <w:rPr>
          <w:rFonts w:ascii="Book Antiqua" w:hAnsi="Book Antiqua"/>
          <w:color w:val="000000"/>
          <w:kern w:val="0"/>
        </w:rPr>
        <w:t xml:space="preserve"> </w:t>
      </w:r>
      <w:r w:rsidRPr="00310581">
        <w:rPr>
          <w:rFonts w:ascii="Book Antiqua" w:hAnsi="Book Antiqua"/>
          <w:color w:val="000000"/>
          <w:kern w:val="0"/>
        </w:rPr>
        <w:t>&lt;</w:t>
      </w:r>
      <w:r w:rsidR="00C95724" w:rsidRPr="00310581">
        <w:rPr>
          <w:rFonts w:ascii="Book Antiqua" w:hAnsi="Book Antiqua"/>
          <w:color w:val="000000"/>
          <w:kern w:val="0"/>
        </w:rPr>
        <w:t xml:space="preserve"> </w:t>
      </w:r>
      <w:r w:rsidRPr="00310581">
        <w:rPr>
          <w:rFonts w:ascii="Book Antiqua" w:hAnsi="Book Antiqua"/>
          <w:color w:val="000000"/>
          <w:kern w:val="0"/>
        </w:rPr>
        <w:t>0.01).</w:t>
      </w:r>
    </w:p>
    <w:p w14:paraId="0AB062BA" w14:textId="0F43123E"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 </w:t>
      </w:r>
    </w:p>
    <w:p w14:paraId="137E2396" w14:textId="161723CC" w:rsidR="00C95724"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CONCLUSION</w:t>
      </w:r>
      <w:r w:rsidR="007A5E9D">
        <w:rPr>
          <w:rFonts w:ascii="Book Antiqua" w:hAnsi="Book Antiqua" w:hint="eastAsia"/>
          <w:b/>
          <w:i/>
          <w:color w:val="000000"/>
        </w:rPr>
        <w:t xml:space="preserve"> </w:t>
      </w:r>
    </w:p>
    <w:p w14:paraId="2BC8227C" w14:textId="6927E08C" w:rsidR="001F5466" w:rsidRPr="00310581" w:rsidRDefault="001F5466" w:rsidP="009315CE">
      <w:pPr>
        <w:snapToGrid w:val="0"/>
        <w:spacing w:line="360" w:lineRule="auto"/>
        <w:outlineLvl w:val="0"/>
        <w:rPr>
          <w:rFonts w:ascii="Book Antiqua" w:eastAsia="Times New Roman" w:hAnsi="Book Antiqua"/>
          <w:color w:val="000000"/>
          <w:kern w:val="0"/>
        </w:rPr>
      </w:pPr>
      <w:r w:rsidRPr="00310581">
        <w:rPr>
          <w:rFonts w:ascii="Book Antiqua" w:hAnsi="Book Antiqua"/>
          <w:color w:val="000000"/>
        </w:rPr>
        <w:lastRenderedPageBreak/>
        <w:t xml:space="preserve">This study demonstrated </w:t>
      </w:r>
      <w:r w:rsidRPr="00310581">
        <w:rPr>
          <w:rFonts w:ascii="Book Antiqua" w:hAnsi="Book Antiqua"/>
          <w:color w:val="000000"/>
          <w:kern w:val="0"/>
        </w:rPr>
        <w:t>that miR-192-5p had a negative regulatory role in lipid synthesis, which was mediated through its direct regulation on SCD-1.</w:t>
      </w:r>
      <w:r w:rsidRPr="00310581">
        <w:rPr>
          <w:rFonts w:ascii="Book Antiqua" w:eastAsia="Times New Roman" w:hAnsi="Book Antiqua"/>
          <w:color w:val="000000"/>
          <w:kern w:val="0"/>
        </w:rPr>
        <w:t xml:space="preserve"> </w:t>
      </w:r>
    </w:p>
    <w:p w14:paraId="37DFA944" w14:textId="77777777" w:rsidR="001F5466" w:rsidRPr="00310581" w:rsidRDefault="001F5466" w:rsidP="009315CE">
      <w:pPr>
        <w:snapToGrid w:val="0"/>
        <w:spacing w:line="360" w:lineRule="auto"/>
        <w:outlineLvl w:val="0"/>
        <w:rPr>
          <w:rFonts w:ascii="Book Antiqua" w:hAnsi="Book Antiqua"/>
          <w:color w:val="000000"/>
        </w:rPr>
      </w:pPr>
    </w:p>
    <w:p w14:paraId="1A6D74B7" w14:textId="0018195B"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color w:val="000000"/>
        </w:rPr>
        <w:t xml:space="preserve">Key words: </w:t>
      </w:r>
      <w:r w:rsidRPr="00310581">
        <w:rPr>
          <w:rFonts w:ascii="Book Antiqua" w:hAnsi="Book Antiqua"/>
          <w:color w:val="000000"/>
        </w:rPr>
        <w:t>miR-192-5p;</w:t>
      </w:r>
      <w:r w:rsidRPr="00310581">
        <w:rPr>
          <w:rFonts w:ascii="Book Antiqua" w:hAnsi="Book Antiqua"/>
          <w:color w:val="000000"/>
          <w:kern w:val="0"/>
        </w:rPr>
        <w:t xml:space="preserve"> Stearoyl-CoA desaturase 1</w:t>
      </w:r>
      <w:r w:rsidRPr="00310581">
        <w:rPr>
          <w:rFonts w:ascii="Book Antiqua" w:hAnsi="Book Antiqua"/>
          <w:color w:val="000000"/>
        </w:rPr>
        <w:t>; High fat diet; Lipid synthesis; Non-alcoholic fatty liver disease</w:t>
      </w:r>
    </w:p>
    <w:p w14:paraId="04829072" w14:textId="77777777" w:rsidR="00C95724" w:rsidRPr="00310581" w:rsidRDefault="00C95724" w:rsidP="009315CE">
      <w:pPr>
        <w:snapToGrid w:val="0"/>
        <w:spacing w:line="360" w:lineRule="auto"/>
        <w:outlineLvl w:val="0"/>
        <w:rPr>
          <w:rFonts w:ascii="Book Antiqua" w:hAnsi="Book Antiqua"/>
          <w:color w:val="000000"/>
        </w:rPr>
      </w:pPr>
    </w:p>
    <w:p w14:paraId="36D42B01" w14:textId="77777777" w:rsidR="00C95724" w:rsidRPr="00310581" w:rsidRDefault="00C95724" w:rsidP="009315CE">
      <w:pPr>
        <w:snapToGrid w:val="0"/>
        <w:spacing w:line="360" w:lineRule="auto"/>
        <w:rPr>
          <w:rFonts w:ascii="Book Antiqua" w:hAnsi="Book Antiqua" w:cs="Arial"/>
        </w:rPr>
      </w:pPr>
      <w:r w:rsidRPr="00310581">
        <w:rPr>
          <w:rFonts w:ascii="Book Antiqua" w:hAnsi="Book Antiqua"/>
          <w:b/>
        </w:rPr>
        <w:t xml:space="preserve">© </w:t>
      </w:r>
      <w:r w:rsidRPr="00310581">
        <w:rPr>
          <w:rFonts w:ascii="Book Antiqua" w:hAnsi="Book Antiqua" w:cs="Arial"/>
          <w:b/>
        </w:rPr>
        <w:t xml:space="preserve">The Author(s) 2017. </w:t>
      </w:r>
      <w:r w:rsidRPr="00310581">
        <w:rPr>
          <w:rFonts w:ascii="Book Antiqua" w:hAnsi="Book Antiqua" w:cs="Arial"/>
        </w:rPr>
        <w:t>Published by Baishideng Publishing Group Inc. All rights reserved.</w:t>
      </w:r>
    </w:p>
    <w:p w14:paraId="7423503E" w14:textId="77777777" w:rsidR="001F5466" w:rsidRPr="00310581" w:rsidRDefault="001F5466" w:rsidP="009315CE">
      <w:pPr>
        <w:snapToGrid w:val="0"/>
        <w:spacing w:line="360" w:lineRule="auto"/>
        <w:outlineLvl w:val="0"/>
        <w:rPr>
          <w:rFonts w:ascii="Book Antiqua" w:hAnsi="Book Antiqua"/>
          <w:color w:val="000000"/>
        </w:rPr>
      </w:pPr>
    </w:p>
    <w:p w14:paraId="09CA4A78" w14:textId="2E7EC32C"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color w:val="000000"/>
        </w:rPr>
        <w:t>Core tips:</w:t>
      </w:r>
      <w:r w:rsidR="00C95724" w:rsidRPr="00310581">
        <w:rPr>
          <w:rFonts w:ascii="Book Antiqua" w:hAnsi="Book Antiqua"/>
          <w:color w:val="000000"/>
        </w:rPr>
        <w:t xml:space="preserve"> </w:t>
      </w:r>
      <w:r w:rsidRPr="00310581">
        <w:rPr>
          <w:rFonts w:ascii="Book Antiqua" w:hAnsi="Book Antiqua"/>
          <w:color w:val="000000"/>
        </w:rPr>
        <w:t xml:space="preserve">Hepatic miR-192-5p levels decreased in </w:t>
      </w:r>
      <w:r w:rsidR="00C95724" w:rsidRPr="00310581">
        <w:rPr>
          <w:rFonts w:ascii="Book Antiqua" w:hAnsi="Book Antiqua"/>
          <w:color w:val="000000"/>
        </w:rPr>
        <w:t xml:space="preserve">non-alcoholic steatohepatitis </w:t>
      </w:r>
      <w:r w:rsidRPr="00310581">
        <w:rPr>
          <w:rFonts w:ascii="Book Antiqua" w:hAnsi="Book Antiqua"/>
          <w:color w:val="000000"/>
        </w:rPr>
        <w:t xml:space="preserve">rat models fed with an </w:t>
      </w:r>
      <w:r w:rsidR="00C95724" w:rsidRPr="00310581">
        <w:rPr>
          <w:rFonts w:ascii="Book Antiqua" w:hAnsi="Book Antiqua"/>
          <w:color w:val="000000"/>
          <w:kern w:val="0"/>
        </w:rPr>
        <w:t>high-fat diet</w:t>
      </w:r>
      <w:r w:rsidR="00DC409F">
        <w:rPr>
          <w:rFonts w:ascii="Book Antiqua" w:hAnsi="Book Antiqua" w:hint="eastAsia"/>
          <w:color w:val="000000"/>
          <w:kern w:val="0"/>
        </w:rPr>
        <w:t xml:space="preserve"> </w:t>
      </w:r>
      <w:r w:rsidRPr="00310581">
        <w:rPr>
          <w:rFonts w:ascii="Book Antiqua" w:hAnsi="Book Antiqua"/>
          <w:color w:val="000000"/>
        </w:rPr>
        <w:t xml:space="preserve">and the decrease could be reversed after disease remission by liraglutide therapy. miR-192-5p showed a direct interaction with </w:t>
      </w:r>
      <w:r w:rsidR="00C95724" w:rsidRPr="00310581">
        <w:rPr>
          <w:rFonts w:ascii="Book Antiqua" w:hAnsi="Book Antiqua"/>
          <w:color w:val="000000"/>
          <w:kern w:val="0"/>
        </w:rPr>
        <w:t>stearoyl-CoA desaturase 1 (SCD-1)</w:t>
      </w:r>
      <w:r w:rsidRPr="00310581">
        <w:rPr>
          <w:rFonts w:ascii="Book Antiqua" w:hAnsi="Book Antiqua"/>
          <w:color w:val="000000"/>
        </w:rPr>
        <w:t xml:space="preserve">. miR-192-5p overexpression significantly alleviated lipid accumulation in Huh7 cells exposed to PA, and SCD-1 siRNA </w:t>
      </w:r>
      <w:r w:rsidRPr="00310581">
        <w:rPr>
          <w:rFonts w:ascii="Book Antiqua" w:hAnsi="Book Antiqua"/>
          <w:color w:val="000000"/>
          <w:kern w:val="0"/>
        </w:rPr>
        <w:t>abrogated the lipid deposition aggravated by miR-192-5p inhibitors.</w:t>
      </w:r>
      <w:r w:rsidRPr="00310581">
        <w:rPr>
          <w:rFonts w:ascii="Book Antiqua" w:hAnsi="Book Antiqua"/>
          <w:color w:val="000000"/>
        </w:rPr>
        <w:t xml:space="preserve"> Our study provides evidence that miR-192-5p participates in lipid synthesis in </w:t>
      </w:r>
      <w:r w:rsidR="00C95724" w:rsidRPr="00310581">
        <w:rPr>
          <w:rFonts w:ascii="Book Antiqua" w:hAnsi="Book Antiqua"/>
          <w:color w:val="000000"/>
        </w:rPr>
        <w:t xml:space="preserve">non-alcoholic fatty liver disease (NAFLD) </w:t>
      </w:r>
      <w:r w:rsidRPr="00310581">
        <w:rPr>
          <w:rFonts w:ascii="Book Antiqua" w:hAnsi="Book Antiqua"/>
          <w:color w:val="000000"/>
        </w:rPr>
        <w:t>through SCD-1 and provides new insight in that the overexpression of miR-192-5p may represent a promising treatment for NAFLD.</w:t>
      </w:r>
    </w:p>
    <w:p w14:paraId="74BE800A" w14:textId="77777777" w:rsidR="00C95724" w:rsidRPr="00310581" w:rsidRDefault="00C95724" w:rsidP="009315CE">
      <w:pPr>
        <w:widowControl/>
        <w:snapToGrid w:val="0"/>
        <w:spacing w:line="360" w:lineRule="auto"/>
        <w:jc w:val="left"/>
        <w:rPr>
          <w:rFonts w:ascii="Book Antiqua" w:hAnsi="Book Antiqua"/>
          <w:color w:val="000000"/>
        </w:rPr>
      </w:pPr>
    </w:p>
    <w:p w14:paraId="4B42FAAA" w14:textId="77777777" w:rsidR="00C95724" w:rsidRPr="00310581" w:rsidRDefault="00C95724" w:rsidP="009315CE">
      <w:pPr>
        <w:snapToGrid w:val="0"/>
        <w:spacing w:line="360" w:lineRule="auto"/>
        <w:outlineLvl w:val="0"/>
        <w:rPr>
          <w:rFonts w:ascii="Book Antiqua" w:eastAsiaTheme="minorEastAsia" w:hAnsi="Book Antiqua"/>
          <w:color w:val="000000"/>
        </w:rPr>
      </w:pPr>
      <w:r w:rsidRPr="00310581">
        <w:rPr>
          <w:rFonts w:ascii="Book Antiqua" w:hAnsi="Book Antiqua"/>
          <w:color w:val="000000"/>
        </w:rPr>
        <w:t>Liu XL, Cao HX, Wang BC, Xin FZ, Zhang RN, Zhou D, Yang RY, Zhao ZH, Pan Q, Fan JG. miR-192-5p regulates lipid synthesis in non-alcoholic fatty liver disease through SCD-1 miR-192-5p regulates lipid synthesis through SCD-1.</w:t>
      </w:r>
      <w:r w:rsidRPr="00310581">
        <w:rPr>
          <w:rFonts w:ascii="Book Antiqua" w:eastAsia="Times New Roman" w:hAnsi="Book Antiqua" w:cs="SimSun"/>
          <w:b/>
          <w:i/>
          <w:color w:val="000000"/>
        </w:rPr>
        <w:t xml:space="preserve"> </w:t>
      </w:r>
      <w:r w:rsidRPr="00310581">
        <w:rPr>
          <w:rFonts w:ascii="Book Antiqua" w:eastAsia="Times New Roman" w:hAnsi="Book Antiqua" w:cs="SimSun"/>
          <w:i/>
          <w:color w:val="000000"/>
        </w:rPr>
        <w:t>World J</w:t>
      </w:r>
      <w:r w:rsidRPr="00310581">
        <w:rPr>
          <w:rFonts w:ascii="Book Antiqua" w:eastAsiaTheme="minorEastAsia" w:hAnsi="Book Antiqua" w:cs="SimSun"/>
          <w:i/>
          <w:color w:val="000000"/>
        </w:rPr>
        <w:t xml:space="preserve"> </w:t>
      </w:r>
      <w:r w:rsidRPr="00310581">
        <w:rPr>
          <w:rFonts w:ascii="Book Antiqua" w:eastAsia="Times New Roman" w:hAnsi="Book Antiqua" w:cs="SimSun"/>
          <w:i/>
          <w:color w:val="000000"/>
        </w:rPr>
        <w:t>Gastroenterol</w:t>
      </w:r>
      <w:r w:rsidRPr="00310581">
        <w:rPr>
          <w:rFonts w:ascii="Book Antiqua" w:eastAsiaTheme="minorEastAsia" w:hAnsi="Book Antiqua" w:cs="SimSun"/>
          <w:i/>
          <w:color w:val="000000"/>
        </w:rPr>
        <w:t xml:space="preserve"> </w:t>
      </w:r>
      <w:r w:rsidRPr="00310581">
        <w:rPr>
          <w:rFonts w:ascii="Book Antiqua" w:eastAsiaTheme="minorEastAsia" w:hAnsi="Book Antiqua" w:cs="SimSun"/>
          <w:color w:val="000000"/>
        </w:rPr>
        <w:t>2017; In press</w:t>
      </w:r>
    </w:p>
    <w:p w14:paraId="30979F75" w14:textId="77777777" w:rsidR="001F5466" w:rsidRPr="00310581" w:rsidRDefault="001F5466" w:rsidP="009315CE">
      <w:pPr>
        <w:widowControl/>
        <w:snapToGrid w:val="0"/>
        <w:spacing w:line="360" w:lineRule="auto"/>
        <w:jc w:val="left"/>
        <w:rPr>
          <w:rFonts w:ascii="Book Antiqua" w:hAnsi="Book Antiqua"/>
          <w:b/>
          <w:color w:val="000000"/>
        </w:rPr>
      </w:pPr>
      <w:r w:rsidRPr="00310581">
        <w:rPr>
          <w:rFonts w:ascii="Book Antiqua" w:hAnsi="Book Antiqua"/>
          <w:color w:val="000000"/>
        </w:rPr>
        <w:br w:type="page"/>
      </w:r>
      <w:r w:rsidRPr="00310581">
        <w:rPr>
          <w:rFonts w:ascii="Book Antiqua" w:hAnsi="Book Antiqua"/>
          <w:b/>
          <w:color w:val="000000"/>
        </w:rPr>
        <w:lastRenderedPageBreak/>
        <w:t>INTRODUCTION</w:t>
      </w:r>
    </w:p>
    <w:p w14:paraId="43CD1861" w14:textId="125BEB19"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With the prevalence of obesity and metabolic syndrome, </w:t>
      </w:r>
      <w:bookmarkStart w:id="36" w:name="OLE_LINK39"/>
      <w:bookmarkStart w:id="37" w:name="OLE_LINK40"/>
      <w:r w:rsidRPr="00310581">
        <w:rPr>
          <w:rFonts w:ascii="Book Antiqua" w:hAnsi="Book Antiqua"/>
          <w:color w:val="000000"/>
        </w:rPr>
        <w:t>non-alcoholic fatty liver disease</w:t>
      </w:r>
      <w:bookmarkEnd w:id="36"/>
      <w:bookmarkEnd w:id="37"/>
      <w:r w:rsidRPr="00310581">
        <w:rPr>
          <w:rFonts w:ascii="Book Antiqua" w:hAnsi="Book Antiqua"/>
          <w:color w:val="000000"/>
        </w:rPr>
        <w:t xml:space="preserve"> (NAFLD) has become the most common chronic liver disease worldwide, including China</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w:t>
      </w:r>
      <w:r w:rsidRPr="00310581">
        <w:rPr>
          <w:rFonts w:ascii="Book Antiqua" w:hAnsi="Book Antiqua"/>
          <w:color w:val="000000"/>
        </w:rPr>
        <w:t xml:space="preserve">. Based on the “multiple hit” theory of NAFLD pathogenesis, </w:t>
      </w:r>
      <w:bookmarkStart w:id="38" w:name="OLE_LINK36"/>
      <w:bookmarkStart w:id="39" w:name="OLE_LINK37"/>
      <w:r w:rsidRPr="00310581">
        <w:rPr>
          <w:rFonts w:ascii="Book Antiqua" w:hAnsi="Book Antiqua"/>
          <w:color w:val="000000"/>
        </w:rPr>
        <w:t>lipid accumulation initiates simple hepatic steatosis and subsequently triggers multiple insults, ultimately inducing non-alcoholic steatohepatitis (NASH), cirrhosis, and even hepatocellular carcinoma in predisposed individuals</w:t>
      </w:r>
      <w:bookmarkEnd w:id="38"/>
      <w:bookmarkEnd w:id="39"/>
      <w:r w:rsidR="00C95724" w:rsidRPr="00310581">
        <w:rPr>
          <w:rFonts w:ascii="Book Antiqua" w:hAnsi="Book Antiqua"/>
          <w:color w:val="000000"/>
          <w:vertAlign w:val="superscript"/>
        </w:rPr>
        <w:t>[</w:t>
      </w:r>
      <w:r w:rsidR="00C95724" w:rsidRPr="00310581">
        <w:rPr>
          <w:rFonts w:ascii="Book Antiqua" w:hAnsi="Book Antiqua"/>
          <w:noProof/>
          <w:color w:val="000000"/>
          <w:vertAlign w:val="superscript"/>
        </w:rPr>
        <w:t>2,</w:t>
      </w:r>
      <w:r w:rsidRPr="00310581">
        <w:rPr>
          <w:rFonts w:ascii="Book Antiqua" w:hAnsi="Book Antiqua"/>
          <w:noProof/>
          <w:color w:val="000000"/>
          <w:vertAlign w:val="superscript"/>
        </w:rPr>
        <w:t>3]</w:t>
      </w:r>
      <w:r w:rsidRPr="00310581">
        <w:rPr>
          <w:rFonts w:ascii="Book Antiqua" w:hAnsi="Book Antiqua"/>
          <w:color w:val="000000"/>
        </w:rPr>
        <w:t>. Briefly, high levels of lipid metabolites, such as free fatty acids (FFA), could cause mitochondrial dysfunction, endoplasmic reticulum stress, and consequent activation of inflammatory responses</w:t>
      </w:r>
      <w:r w:rsidR="00C95724" w:rsidRPr="00310581">
        <w:rPr>
          <w:rFonts w:ascii="Book Antiqua" w:hAnsi="Book Antiqua"/>
          <w:color w:val="000000"/>
          <w:vertAlign w:val="superscript"/>
        </w:rPr>
        <w:t>[</w:t>
      </w:r>
      <w:r w:rsidR="00C95724" w:rsidRPr="00310581">
        <w:rPr>
          <w:rFonts w:ascii="Book Antiqua" w:hAnsi="Book Antiqua"/>
          <w:noProof/>
          <w:color w:val="000000"/>
          <w:vertAlign w:val="superscript"/>
        </w:rPr>
        <w:t>4,</w:t>
      </w:r>
      <w:r w:rsidRPr="00310581">
        <w:rPr>
          <w:rFonts w:ascii="Book Antiqua" w:hAnsi="Book Antiqua"/>
          <w:noProof/>
          <w:color w:val="000000"/>
          <w:vertAlign w:val="superscript"/>
        </w:rPr>
        <w:t>5]</w:t>
      </w:r>
      <w:r w:rsidRPr="00310581">
        <w:rPr>
          <w:rFonts w:ascii="Book Antiqua" w:hAnsi="Book Antiqua"/>
          <w:color w:val="000000"/>
        </w:rPr>
        <w:t xml:space="preserve">. </w:t>
      </w:r>
      <w:bookmarkStart w:id="40" w:name="OLE_LINK15"/>
      <w:bookmarkStart w:id="41" w:name="OLE_LINK16"/>
      <w:r w:rsidRPr="00310581">
        <w:rPr>
          <w:rFonts w:ascii="Book Antiqua" w:hAnsi="Book Antiqua"/>
          <w:color w:val="000000"/>
        </w:rPr>
        <w:t xml:space="preserve">In addition to the </w:t>
      </w:r>
      <w:bookmarkStart w:id="42" w:name="OLE_LINK73"/>
      <w:bookmarkStart w:id="43" w:name="OLE_LINK74"/>
      <w:r w:rsidRPr="00310581">
        <w:rPr>
          <w:rFonts w:ascii="Book Antiqua" w:hAnsi="Book Antiqua"/>
          <w:color w:val="000000"/>
        </w:rPr>
        <w:t>classical factors involved in the progression of NAFLD</w:t>
      </w:r>
      <w:bookmarkEnd w:id="42"/>
      <w:bookmarkEnd w:id="43"/>
      <w:r w:rsidRPr="00310581">
        <w:rPr>
          <w:rFonts w:ascii="Book Antiqua" w:hAnsi="Book Antiqua"/>
          <w:color w:val="000000"/>
        </w:rPr>
        <w:t xml:space="preserve">, epigenetic </w:t>
      </w:r>
      <w:r w:rsidRPr="00310581">
        <w:rPr>
          <w:rFonts w:ascii="Book Antiqua" w:hAnsi="Book Antiqua"/>
        </w:rPr>
        <w:t xml:space="preserve">mechanisms are gradually </w:t>
      </w:r>
      <w:r w:rsidRPr="00310581">
        <w:rPr>
          <w:rFonts w:ascii="Book Antiqua" w:hAnsi="Book Antiqua"/>
          <w:color w:val="000000"/>
        </w:rPr>
        <w:t>identified as important regulators in the pathogenesis of this disease. The most thoroughly studied markers for epigenetic alterations in NALFD are DNA methylation and the actions of microRNAs</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6-8]</w:t>
      </w:r>
      <w:bookmarkEnd w:id="40"/>
      <w:bookmarkEnd w:id="41"/>
      <w:r w:rsidRPr="00310581">
        <w:rPr>
          <w:rFonts w:ascii="Book Antiqua" w:hAnsi="Book Antiqua"/>
          <w:color w:val="000000"/>
        </w:rPr>
        <w:t xml:space="preserve">. MicroRNAs are </w:t>
      </w:r>
      <w:r w:rsidRPr="00310581">
        <w:rPr>
          <w:rFonts w:ascii="Book Antiqua" w:hAnsi="Book Antiqua"/>
          <w:color w:val="000000"/>
          <w:kern w:val="0"/>
        </w:rPr>
        <w:t>non-coding RNAs composed of 18 to 25 nucleotides, and they play important roles in regulating a wide spectrum of biological processes, including fatty acid metabolism</w:t>
      </w:r>
      <w:r w:rsidR="00C95724" w:rsidRPr="00310581">
        <w:rPr>
          <w:rFonts w:ascii="Book Antiqua" w:hAnsi="Book Antiqua"/>
          <w:color w:val="000000"/>
          <w:kern w:val="0"/>
          <w:vertAlign w:val="superscript"/>
        </w:rPr>
        <w:t>[</w:t>
      </w:r>
      <w:r w:rsidR="00C95724" w:rsidRPr="00310581">
        <w:rPr>
          <w:rFonts w:ascii="Book Antiqua" w:hAnsi="Book Antiqua"/>
          <w:noProof/>
          <w:color w:val="000000"/>
          <w:kern w:val="0"/>
          <w:vertAlign w:val="superscript"/>
        </w:rPr>
        <w:t>9,</w:t>
      </w:r>
      <w:r w:rsidRPr="00310581">
        <w:rPr>
          <w:rFonts w:ascii="Book Antiqua" w:hAnsi="Book Antiqua"/>
          <w:noProof/>
          <w:color w:val="000000"/>
          <w:kern w:val="0"/>
          <w:vertAlign w:val="superscript"/>
        </w:rPr>
        <w:t>10]</w:t>
      </w:r>
      <w:r w:rsidRPr="00310581">
        <w:rPr>
          <w:rFonts w:ascii="Book Antiqua" w:hAnsi="Book Antiqua"/>
          <w:color w:val="000000"/>
          <w:kern w:val="0"/>
        </w:rPr>
        <w:t xml:space="preserve">. </w:t>
      </w:r>
      <w:bookmarkStart w:id="44" w:name="OLE_LINK69"/>
      <w:bookmarkStart w:id="45" w:name="OLE_LINK70"/>
      <w:bookmarkStart w:id="46" w:name="OLE_LINK41"/>
      <w:bookmarkStart w:id="47" w:name="OLE_LINK42"/>
      <w:r w:rsidRPr="00310581">
        <w:rPr>
          <w:rFonts w:ascii="Book Antiqua" w:hAnsi="Book Antiqua"/>
          <w:color w:val="000000"/>
          <w:kern w:val="0"/>
        </w:rPr>
        <w:t>Serum miR-192-5p levels have been reported to differentiate control livers, simple hepatic steatosis, and NASH in clinical studies</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11]</w:t>
      </w:r>
      <w:r w:rsidRPr="00310581">
        <w:rPr>
          <w:rFonts w:ascii="Book Antiqua" w:hAnsi="Book Antiqua"/>
          <w:color w:val="000000"/>
          <w:kern w:val="0"/>
        </w:rPr>
        <w:t xml:space="preserve">. Similarly, our previous research in NAFLD patients also found that serum </w:t>
      </w:r>
      <w:bookmarkStart w:id="48" w:name="OLE_LINK96"/>
      <w:bookmarkStart w:id="49" w:name="OLE_LINK101"/>
      <w:r w:rsidRPr="00310581">
        <w:rPr>
          <w:rFonts w:ascii="Book Antiqua" w:hAnsi="Book Antiqua"/>
          <w:color w:val="000000"/>
          <w:kern w:val="0"/>
        </w:rPr>
        <w:t>miR-192-5p levels</w:t>
      </w:r>
      <w:bookmarkEnd w:id="48"/>
      <w:bookmarkEnd w:id="49"/>
      <w:r w:rsidRPr="00310581">
        <w:rPr>
          <w:rFonts w:ascii="Book Antiqua" w:hAnsi="Book Antiqua"/>
          <w:color w:val="000000"/>
          <w:kern w:val="0"/>
        </w:rPr>
        <w:t xml:space="preserve"> showed good correlations with hepatic steatosis and inflammatory activity</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12]</w:t>
      </w:r>
      <w:r w:rsidRPr="00310581">
        <w:rPr>
          <w:rFonts w:ascii="Book Antiqua" w:hAnsi="Book Antiqua"/>
          <w:color w:val="000000"/>
          <w:kern w:val="0"/>
        </w:rPr>
        <w:t xml:space="preserve">. </w:t>
      </w:r>
      <w:bookmarkEnd w:id="44"/>
      <w:bookmarkEnd w:id="45"/>
      <w:r w:rsidRPr="00310581">
        <w:rPr>
          <w:rFonts w:ascii="Book Antiqua" w:hAnsi="Book Antiqua"/>
          <w:color w:val="000000"/>
          <w:kern w:val="0"/>
        </w:rPr>
        <w:t>Alt</w:t>
      </w:r>
      <w:r w:rsidRPr="00310581">
        <w:rPr>
          <w:rFonts w:ascii="Book Antiqua" w:hAnsi="Book Antiqua"/>
          <w:color w:val="000000"/>
        </w:rPr>
        <w:t>hough miR-192-5p is abundant in the liver, early studies mainly focused on its regulatory role in cell growth, apoptosis and tumor metastasis</w:t>
      </w:r>
      <w:r w:rsidR="00C95724" w:rsidRPr="00310581">
        <w:rPr>
          <w:rFonts w:ascii="Book Antiqua" w:hAnsi="Book Antiqua"/>
          <w:noProof/>
          <w:color w:val="000000"/>
          <w:vertAlign w:val="superscript"/>
        </w:rPr>
        <w:t>[13,</w:t>
      </w:r>
      <w:r w:rsidRPr="00310581">
        <w:rPr>
          <w:rFonts w:ascii="Book Antiqua" w:hAnsi="Book Antiqua"/>
          <w:noProof/>
          <w:color w:val="000000"/>
          <w:vertAlign w:val="superscript"/>
        </w:rPr>
        <w:t>14]</w:t>
      </w:r>
      <w:r w:rsidRPr="00310581">
        <w:rPr>
          <w:rFonts w:ascii="Book Antiqua" w:hAnsi="Book Antiqua"/>
          <w:color w:val="000000"/>
        </w:rPr>
        <w:t>; however, little is known about its role in lipid metabolism.</w:t>
      </w:r>
      <w:bookmarkEnd w:id="46"/>
      <w:bookmarkEnd w:id="47"/>
    </w:p>
    <w:p w14:paraId="2E2D2904" w14:textId="22C587D5" w:rsidR="001F5466" w:rsidRPr="00310581" w:rsidRDefault="001F5466" w:rsidP="009315CE">
      <w:pPr>
        <w:snapToGrid w:val="0"/>
        <w:spacing w:line="360" w:lineRule="auto"/>
        <w:ind w:firstLineChars="100" w:firstLine="240"/>
        <w:outlineLvl w:val="0"/>
        <w:rPr>
          <w:rFonts w:ascii="Book Antiqua" w:hAnsi="Book Antiqua"/>
          <w:color w:val="000000"/>
        </w:rPr>
      </w:pPr>
      <w:bookmarkStart w:id="50" w:name="OLE_LINK49"/>
      <w:bookmarkStart w:id="51" w:name="OLE_LINK50"/>
      <w:r w:rsidRPr="00310581">
        <w:rPr>
          <w:rFonts w:ascii="Book Antiqua" w:hAnsi="Book Antiqua"/>
          <w:color w:val="000000"/>
          <w:kern w:val="0"/>
        </w:rPr>
        <w:t>Stearoyl-CoA desaturase 1</w:t>
      </w:r>
      <w:r w:rsidRPr="00310581">
        <w:rPr>
          <w:rFonts w:ascii="Book Antiqua" w:hAnsi="Book Antiqua"/>
          <w:color w:val="000000"/>
        </w:rPr>
        <w:t xml:space="preserve"> (SCD-1)</w:t>
      </w:r>
      <w:bookmarkEnd w:id="50"/>
      <w:bookmarkEnd w:id="51"/>
      <w:r w:rsidRPr="00310581">
        <w:rPr>
          <w:rFonts w:ascii="Book Antiqua" w:hAnsi="Book Antiqua"/>
          <w:color w:val="000000"/>
        </w:rPr>
        <w:t xml:space="preserve"> plays an important role in the biosynthesis of monounsaturated fatty acids and serves as a key regulatory enzyme in the last stage of hepatic de novo lipogenesis (DNL). Increased DNL has been confirmed in NAFLD patients compared with controls</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15]</w:t>
      </w:r>
      <w:r w:rsidRPr="00310581">
        <w:rPr>
          <w:rFonts w:ascii="Book Antiqua" w:hAnsi="Book Antiqua"/>
          <w:color w:val="000000"/>
        </w:rPr>
        <w:t xml:space="preserve">. Enhanced hepatic SCD-1 activity promotes the accumulation of hepatic lipids, especially </w:t>
      </w:r>
      <w:bookmarkStart w:id="52" w:name="OLE_LINK54"/>
      <w:bookmarkStart w:id="53" w:name="OLE_LINK53"/>
      <w:r w:rsidRPr="00310581">
        <w:rPr>
          <w:rFonts w:ascii="Book Antiqua" w:hAnsi="Book Antiqua"/>
          <w:color w:val="000000"/>
        </w:rPr>
        <w:t>triglyceride</w:t>
      </w:r>
      <w:bookmarkEnd w:id="52"/>
      <w:bookmarkEnd w:id="53"/>
      <w:r w:rsidRPr="00310581">
        <w:rPr>
          <w:rFonts w:ascii="Book Antiqua" w:hAnsi="Book Antiqua"/>
          <w:color w:val="000000"/>
        </w:rPr>
        <w:t xml:space="preserve"> (TG), and consequently leads to the progression of NAFLD</w:t>
      </w:r>
      <w:r w:rsidRPr="00310581">
        <w:rPr>
          <w:rFonts w:ascii="Book Antiqua" w:hAnsi="Book Antiqua"/>
          <w:noProof/>
          <w:color w:val="000000"/>
          <w:vertAlign w:val="superscript"/>
        </w:rPr>
        <w:t>[16]</w:t>
      </w:r>
      <w:r w:rsidRPr="00310581">
        <w:rPr>
          <w:rFonts w:ascii="Book Antiqua" w:hAnsi="Book Antiqua"/>
          <w:color w:val="000000"/>
        </w:rPr>
        <w:t xml:space="preserve">. Recent research has suggested that the expression of SCD-1 may be regulated </w:t>
      </w:r>
      <w:r w:rsidRPr="00310581">
        <w:rPr>
          <w:rFonts w:ascii="Book Antiqua" w:hAnsi="Book Antiqua"/>
          <w:color w:val="000000"/>
        </w:rPr>
        <w:lastRenderedPageBreak/>
        <w:t>through SREBP-1c-dependent and SREBP-1c-independent pathways</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17]</w:t>
      </w:r>
      <w:r w:rsidRPr="00310581">
        <w:rPr>
          <w:rFonts w:ascii="Book Antiqua" w:hAnsi="Book Antiqua"/>
          <w:color w:val="000000"/>
        </w:rPr>
        <w:t>, but whether SCD-1 can be regulated by microRNAs in NAFLD has not been fully studied.</w:t>
      </w:r>
    </w:p>
    <w:p w14:paraId="158B47E3" w14:textId="37BE78A4" w:rsidR="001F5466" w:rsidRPr="00310581" w:rsidRDefault="001F5466" w:rsidP="009315CE">
      <w:pPr>
        <w:snapToGrid w:val="0"/>
        <w:spacing w:line="360" w:lineRule="auto"/>
        <w:ind w:firstLineChars="100" w:firstLine="240"/>
        <w:outlineLvl w:val="0"/>
        <w:rPr>
          <w:rFonts w:ascii="Book Antiqua" w:hAnsi="Book Antiqua"/>
          <w:color w:val="000000"/>
        </w:rPr>
      </w:pPr>
      <w:r w:rsidRPr="00310581">
        <w:rPr>
          <w:rFonts w:ascii="Book Antiqua" w:hAnsi="Book Antiqua"/>
          <w:color w:val="000000"/>
        </w:rPr>
        <w:t xml:space="preserve">To address the above questions, we conducted this study in high-fat diet (HFD)-fed rats and </w:t>
      </w:r>
      <w:bookmarkStart w:id="54" w:name="OLE_LINK51"/>
      <w:bookmarkStart w:id="55" w:name="OLE_LINK52"/>
      <w:r w:rsidRPr="00310581">
        <w:rPr>
          <w:rFonts w:ascii="Book Antiqua" w:hAnsi="Book Antiqua"/>
          <w:color w:val="000000"/>
        </w:rPr>
        <w:t>palmitic acid (PA)</w:t>
      </w:r>
      <w:bookmarkEnd w:id="54"/>
      <w:bookmarkEnd w:id="55"/>
      <w:r w:rsidRPr="00310581">
        <w:rPr>
          <w:rFonts w:ascii="Book Antiqua" w:hAnsi="Book Antiqua"/>
          <w:color w:val="000000"/>
        </w:rPr>
        <w:t xml:space="preserve">-treated Huh7 cells. The hepatic and hepatocellular levels of miR-192-5p in NAFLD were evaluated both in vivo and in vitro. </w:t>
      </w:r>
      <w:bookmarkStart w:id="56" w:name="OLE_LINK71"/>
      <w:bookmarkStart w:id="57" w:name="OLE_LINK72"/>
      <w:r w:rsidRPr="00310581">
        <w:rPr>
          <w:rFonts w:ascii="Book Antiqua" w:hAnsi="Book Antiqua"/>
          <w:color w:val="000000"/>
        </w:rPr>
        <w:t>Overexpression and knockdown of miR-192-5p were performed in Huh7 cells to determine the regulatory effects of miR-192-5p in lipid accumulation, and luciferase reporter assays could confirm the direct interaction between miR-192-5p and SCD-1.</w:t>
      </w:r>
      <w:bookmarkEnd w:id="56"/>
      <w:bookmarkEnd w:id="57"/>
      <w:r w:rsidR="00DC409F">
        <w:rPr>
          <w:rFonts w:ascii="Book Antiqua" w:hAnsi="Book Antiqua" w:hint="eastAsia"/>
          <w:color w:val="000000"/>
        </w:rPr>
        <w:t xml:space="preserve"> </w:t>
      </w:r>
      <w:r w:rsidRPr="00310581">
        <w:rPr>
          <w:rFonts w:ascii="Book Antiqua" w:hAnsi="Book Antiqua"/>
          <w:color w:val="000000"/>
        </w:rPr>
        <w:t xml:space="preserve">Therefore, we attempted to illustrate the role of miR-192-5p in hepatic lipid metabolism in NAFLD. </w:t>
      </w:r>
    </w:p>
    <w:p w14:paraId="1B51833E" w14:textId="77777777" w:rsidR="001F5466" w:rsidRPr="00310581" w:rsidRDefault="001F5466" w:rsidP="009315CE">
      <w:pPr>
        <w:snapToGrid w:val="0"/>
        <w:spacing w:line="360" w:lineRule="auto"/>
        <w:outlineLvl w:val="0"/>
        <w:rPr>
          <w:rFonts w:ascii="Book Antiqua" w:hAnsi="Book Antiqua"/>
          <w:color w:val="000000"/>
        </w:rPr>
      </w:pPr>
    </w:p>
    <w:p w14:paraId="2124A8B5" w14:textId="77777777" w:rsidR="001F5466" w:rsidRPr="00310581" w:rsidRDefault="001F5466" w:rsidP="009315CE">
      <w:pPr>
        <w:snapToGrid w:val="0"/>
        <w:spacing w:line="360" w:lineRule="auto"/>
        <w:outlineLvl w:val="0"/>
        <w:rPr>
          <w:rFonts w:ascii="Book Antiqua" w:hAnsi="Book Antiqua"/>
          <w:b/>
          <w:color w:val="000000"/>
        </w:rPr>
      </w:pPr>
      <w:r w:rsidRPr="00310581">
        <w:rPr>
          <w:rFonts w:ascii="Book Antiqua" w:hAnsi="Book Antiqua"/>
          <w:b/>
          <w:color w:val="000000"/>
        </w:rPr>
        <w:t>MATERIALS AND METHODS</w:t>
      </w:r>
    </w:p>
    <w:p w14:paraId="1668F0A9"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Animals and treatment</w:t>
      </w:r>
    </w:p>
    <w:p w14:paraId="42B289EE" w14:textId="21270006"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The animal experiment was designed to minimize pain or discomfort to the animals. A total of 30 male Sprague Dawley rats (6</w:t>
      </w:r>
      <w:r w:rsidR="00C95724" w:rsidRPr="00310581">
        <w:rPr>
          <w:rFonts w:ascii="Book Antiqua" w:hAnsi="Book Antiqua"/>
          <w:color w:val="000000"/>
        </w:rPr>
        <w:t>-wk-</w:t>
      </w:r>
      <w:r w:rsidRPr="00310581">
        <w:rPr>
          <w:rFonts w:ascii="Book Antiqua" w:hAnsi="Book Antiqua"/>
          <w:color w:val="000000"/>
        </w:rPr>
        <w:t xml:space="preserve">old) were purchased from the Shanghai Experimental Animal Center of the Chinese Academy of Sciences (Shanghai, China) and were housed under controlled conditions of temperature (24° ± 2°C), humidity (50% </w:t>
      </w:r>
      <w:bookmarkStart w:id="58" w:name="OLE_LINK77"/>
      <w:bookmarkStart w:id="59" w:name="OLE_LINK78"/>
      <w:r w:rsidRPr="00310581">
        <w:rPr>
          <w:rFonts w:ascii="Book Antiqua" w:hAnsi="Book Antiqua"/>
          <w:color w:val="000000"/>
        </w:rPr>
        <w:t>±</w:t>
      </w:r>
      <w:bookmarkEnd w:id="58"/>
      <w:bookmarkEnd w:id="59"/>
      <w:r w:rsidRPr="00310581">
        <w:rPr>
          <w:rFonts w:ascii="Book Antiqua" w:hAnsi="Book Antiqua"/>
          <w:color w:val="000000"/>
        </w:rPr>
        <w:t xml:space="preserve"> 5%), and a light/dark cycle (12 h) with free access to food and water. After acclimation for one week on a standard diet, they were randomized into three groups (10 rats/group). The control group received a standard diet; the HFD group was fed an HFD (88% standard diet, 10% lard, and 2% cholesterol)</w:t>
      </w:r>
      <w:bookmarkStart w:id="60" w:name="OLE_LINK47"/>
      <w:bookmarkStart w:id="61" w:name="OLE_LINK48"/>
      <w:r w:rsidRPr="00310581">
        <w:rPr>
          <w:rFonts w:ascii="Book Antiqua" w:hAnsi="Book Antiqua"/>
          <w:color w:val="000000"/>
        </w:rPr>
        <w:t xml:space="preserve">; and the therapy group was fed an HFD and received intraperitoneal injections of liraglutide (Sigma, St. Louis, </w:t>
      </w:r>
      <w:r w:rsidR="00C95724" w:rsidRPr="00310581">
        <w:rPr>
          <w:rFonts w:ascii="Book Antiqua" w:hAnsi="Book Antiqua"/>
          <w:color w:val="000000"/>
        </w:rPr>
        <w:t>United States</w:t>
      </w:r>
      <w:r w:rsidRPr="00310581">
        <w:rPr>
          <w:rFonts w:ascii="Book Antiqua" w:hAnsi="Book Antiqua"/>
          <w:color w:val="000000"/>
        </w:rPr>
        <w:t xml:space="preserve">; 0.6 mg/kg in saline solution) for the last 8 </w:t>
      </w:r>
      <w:r w:rsidR="00C95724" w:rsidRPr="00310581">
        <w:rPr>
          <w:rFonts w:ascii="Book Antiqua" w:hAnsi="Book Antiqua"/>
          <w:color w:val="000000"/>
        </w:rPr>
        <w:t>wk</w:t>
      </w:r>
      <w:r w:rsidRPr="00310581">
        <w:rPr>
          <w:rFonts w:ascii="Book Antiqua" w:hAnsi="Book Antiqua"/>
          <w:color w:val="000000"/>
        </w:rPr>
        <w:t xml:space="preserve">. </w:t>
      </w:r>
      <w:bookmarkEnd w:id="60"/>
      <w:bookmarkEnd w:id="61"/>
      <w:r w:rsidRPr="00310581">
        <w:rPr>
          <w:rFonts w:ascii="Book Antiqua" w:hAnsi="Book Antiqua"/>
          <w:color w:val="000000"/>
        </w:rPr>
        <w:t xml:space="preserve">This experiment followed the National Research Council’s Guide for the Care and Use of Laboratory Animals and was approved by the Institutional Animal Care and Use Committee </w:t>
      </w:r>
      <w:bookmarkStart w:id="62" w:name="OLE_LINK87"/>
      <w:bookmarkStart w:id="63" w:name="OLE_LINK88"/>
      <w:r w:rsidRPr="00310581">
        <w:rPr>
          <w:rFonts w:ascii="Book Antiqua" w:hAnsi="Book Antiqua"/>
          <w:color w:val="000000"/>
        </w:rPr>
        <w:t>of SHRM (SHRM-IACUC-001)</w:t>
      </w:r>
      <w:bookmarkEnd w:id="62"/>
      <w:bookmarkEnd w:id="63"/>
      <w:r w:rsidRPr="00310581">
        <w:rPr>
          <w:rFonts w:ascii="Book Antiqua" w:hAnsi="Book Antiqua"/>
          <w:color w:val="000000"/>
        </w:rPr>
        <w:t>.</w:t>
      </w:r>
    </w:p>
    <w:p w14:paraId="28E03EE8" w14:textId="77777777" w:rsidR="00C95724" w:rsidRPr="00310581" w:rsidRDefault="00C95724" w:rsidP="009315CE">
      <w:pPr>
        <w:snapToGrid w:val="0"/>
        <w:spacing w:line="360" w:lineRule="auto"/>
        <w:ind w:firstLineChars="100" w:firstLine="240"/>
        <w:outlineLvl w:val="0"/>
        <w:rPr>
          <w:rFonts w:ascii="Book Antiqua" w:hAnsi="Book Antiqua"/>
          <w:color w:val="000000"/>
        </w:rPr>
      </w:pPr>
    </w:p>
    <w:p w14:paraId="566235BE"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Sample collection and measurement</w:t>
      </w:r>
    </w:p>
    <w:p w14:paraId="10B4A267" w14:textId="7D66CE31"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At the end of 16 </w:t>
      </w:r>
      <w:r w:rsidR="00C95724" w:rsidRPr="00310581">
        <w:rPr>
          <w:rFonts w:ascii="Book Antiqua" w:hAnsi="Book Antiqua"/>
          <w:color w:val="000000"/>
        </w:rPr>
        <w:t>wk</w:t>
      </w:r>
      <w:r w:rsidRPr="00310581">
        <w:rPr>
          <w:rFonts w:ascii="Book Antiqua" w:hAnsi="Book Antiqua"/>
          <w:color w:val="000000"/>
        </w:rPr>
        <w:t xml:space="preserve">, the rats were euthanized after an overnight fast. Parts of </w:t>
      </w:r>
      <w:r w:rsidRPr="00310581">
        <w:rPr>
          <w:rFonts w:ascii="Book Antiqua" w:hAnsi="Book Antiqua"/>
          <w:color w:val="000000"/>
        </w:rPr>
        <w:lastRenderedPageBreak/>
        <w:t>the rat livers were fixed in 4% paraformaldehyde overnight and embedded in paraffin wax for histological assessments with hematoxylin-eosin (H&amp;E) staining. The remaining portions were snap frozen in liquid nitrogen and stored at -80</w:t>
      </w:r>
      <w:r w:rsidR="00C95724" w:rsidRPr="00310581">
        <w:rPr>
          <w:rFonts w:ascii="Book Antiqua" w:hAnsi="Book Antiqua"/>
          <w:color w:val="000000"/>
        </w:rPr>
        <w:t xml:space="preserve"> </w:t>
      </w:r>
      <w:r w:rsidRPr="00310581">
        <w:rPr>
          <w:rFonts w:ascii="Book Antiqua" w:hAnsi="Book Antiqua"/>
          <w:color w:val="000000"/>
        </w:rPr>
        <w:t>°C for Oil Red O staining and other analyses. The hepatic TG levels of the rats were measured by an assay kit (Nanjing Jiancheng Bioengineering Institute, Nanjing, China) according to the manufacturer’s instructions.</w:t>
      </w:r>
    </w:p>
    <w:p w14:paraId="6C013352" w14:textId="77777777" w:rsidR="00C95724" w:rsidRPr="00310581" w:rsidRDefault="00C95724" w:rsidP="009315CE">
      <w:pPr>
        <w:snapToGrid w:val="0"/>
        <w:spacing w:line="360" w:lineRule="auto"/>
        <w:outlineLvl w:val="0"/>
        <w:rPr>
          <w:rFonts w:ascii="Book Antiqua" w:hAnsi="Book Antiqua"/>
          <w:color w:val="000000"/>
        </w:rPr>
      </w:pPr>
    </w:p>
    <w:p w14:paraId="7CC6FDDD" w14:textId="77777777"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i/>
          <w:color w:val="000000"/>
        </w:rPr>
        <w:t>Cell culture</w:t>
      </w:r>
    </w:p>
    <w:p w14:paraId="79060D2E" w14:textId="7226C498"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rPr>
        <w:t>The Huh7 cell lines were obtained from American Type Culture Collection (ATCC; Manassas, VA) and were cultured in Dulbecco’s modified eagle medium (DMEM) supplemented with 1</w:t>
      </w:r>
      <w:r w:rsidRPr="00310581">
        <w:rPr>
          <w:rFonts w:ascii="Book Antiqua" w:hAnsi="Book Antiqua"/>
          <w:color w:val="000000"/>
        </w:rPr>
        <w:t xml:space="preserve">0% fetal bovine serum (FBS; Gibco, California, </w:t>
      </w:r>
      <w:r w:rsidR="00C95724" w:rsidRPr="00310581">
        <w:rPr>
          <w:rFonts w:ascii="Book Antiqua" w:hAnsi="Book Antiqua"/>
          <w:color w:val="000000"/>
        </w:rPr>
        <w:t>United States</w:t>
      </w:r>
      <w:r w:rsidRPr="00310581">
        <w:rPr>
          <w:rFonts w:ascii="Book Antiqua" w:hAnsi="Book Antiqua"/>
          <w:color w:val="000000"/>
        </w:rPr>
        <w:t>) under an atmosphere of 5% CO</w:t>
      </w:r>
      <w:r w:rsidRPr="00310581">
        <w:rPr>
          <w:rFonts w:ascii="Book Antiqua" w:hAnsi="Book Antiqua"/>
          <w:color w:val="000000"/>
          <w:vertAlign w:val="subscript"/>
        </w:rPr>
        <w:t>2</w:t>
      </w:r>
      <w:r w:rsidRPr="00310581">
        <w:rPr>
          <w:rFonts w:ascii="Book Antiqua" w:hAnsi="Book Antiqua"/>
          <w:color w:val="000000"/>
        </w:rPr>
        <w:t xml:space="preserve"> at 37</w:t>
      </w:r>
      <w:r w:rsidR="00C95724" w:rsidRPr="00310581">
        <w:rPr>
          <w:rFonts w:ascii="Book Antiqua" w:hAnsi="Book Antiqua"/>
          <w:color w:val="000000"/>
        </w:rPr>
        <w:t xml:space="preserve"> </w:t>
      </w:r>
      <w:r w:rsidRPr="00310581">
        <w:rPr>
          <w:rFonts w:ascii="Book Antiqua" w:hAnsi="Book Antiqua"/>
          <w:color w:val="000000"/>
        </w:rPr>
        <w:t xml:space="preserve">°C. PA powder (Sigma, St. Louis, </w:t>
      </w:r>
      <w:r w:rsidR="00C95724" w:rsidRPr="00310581">
        <w:rPr>
          <w:rFonts w:ascii="Book Antiqua" w:hAnsi="Book Antiqua"/>
          <w:color w:val="000000"/>
        </w:rPr>
        <w:t>United States</w:t>
      </w:r>
      <w:r w:rsidRPr="00310581">
        <w:rPr>
          <w:rFonts w:ascii="Book Antiqua" w:hAnsi="Book Antiqua"/>
          <w:color w:val="000000"/>
        </w:rPr>
        <w:t>) was dissolved in Milli-Q water supplem</w:t>
      </w:r>
      <w:r w:rsidRPr="00310581">
        <w:rPr>
          <w:rFonts w:ascii="Book Antiqua" w:hAnsi="Book Antiqua"/>
        </w:rPr>
        <w:t>ented with 1% fatty acid-free BSA (Sigma,</w:t>
      </w:r>
      <w:r w:rsidRPr="00310581">
        <w:rPr>
          <w:rFonts w:ascii="Book Antiqua" w:hAnsi="Book Antiqua"/>
          <w:color w:val="000000"/>
        </w:rPr>
        <w:t xml:space="preserve"> St. Louis,</w:t>
      </w:r>
      <w:r w:rsidRPr="00310581">
        <w:rPr>
          <w:rFonts w:ascii="Book Antiqua" w:hAnsi="Book Antiqua"/>
        </w:rPr>
        <w:t xml:space="preserve"> </w:t>
      </w:r>
      <w:r w:rsidR="00C95724" w:rsidRPr="00310581">
        <w:rPr>
          <w:rFonts w:ascii="Book Antiqua" w:hAnsi="Book Antiqua"/>
        </w:rPr>
        <w:t>United States</w:t>
      </w:r>
      <w:r w:rsidRPr="00310581">
        <w:rPr>
          <w:rFonts w:ascii="Book Antiqua" w:hAnsi="Book Antiqua"/>
        </w:rPr>
        <w:t xml:space="preserve">) </w:t>
      </w:r>
      <w:r w:rsidRPr="00310581">
        <w:rPr>
          <w:rFonts w:ascii="Book Antiqua" w:hAnsi="Book Antiqua"/>
          <w:color w:val="000000"/>
        </w:rPr>
        <w:t>at 70</w:t>
      </w:r>
      <w:r w:rsidR="00C95724" w:rsidRPr="00310581">
        <w:rPr>
          <w:rFonts w:ascii="Book Antiqua" w:hAnsi="Book Antiqua"/>
          <w:color w:val="000000"/>
        </w:rPr>
        <w:t xml:space="preserve"> </w:t>
      </w:r>
      <w:r w:rsidRPr="00310581">
        <w:rPr>
          <w:rFonts w:ascii="Book Antiqua" w:hAnsi="Book Antiqua"/>
          <w:color w:val="000000"/>
        </w:rPr>
        <w:t>°C and filtrated through a 0.22-um filter to yield a 5 m</w:t>
      </w:r>
      <w:r w:rsidR="00C95724" w:rsidRPr="00310581">
        <w:rPr>
          <w:rFonts w:ascii="Book Antiqua" w:hAnsi="Book Antiqua"/>
          <w:color w:val="000000"/>
        </w:rPr>
        <w:t>mol/L</w:t>
      </w:r>
      <w:r w:rsidRPr="00310581">
        <w:rPr>
          <w:rFonts w:ascii="Book Antiqua" w:hAnsi="Book Antiqua"/>
          <w:color w:val="000000"/>
        </w:rPr>
        <w:t xml:space="preserve"> stock solution of PA. The working PA solution was added to the cells at 0.3 </w:t>
      </w:r>
      <w:r w:rsidR="00C95724" w:rsidRPr="00310581">
        <w:rPr>
          <w:rFonts w:ascii="Book Antiqua" w:hAnsi="Book Antiqua"/>
          <w:color w:val="000000"/>
        </w:rPr>
        <w:t>mmol/L</w:t>
      </w:r>
      <w:r w:rsidRPr="00310581">
        <w:rPr>
          <w:rFonts w:ascii="Book Antiqua" w:hAnsi="Book Antiqua"/>
          <w:color w:val="000000"/>
        </w:rPr>
        <w:t xml:space="preserve"> and 0.5 </w:t>
      </w:r>
      <w:r w:rsidR="00C95724" w:rsidRPr="00310581">
        <w:rPr>
          <w:rFonts w:ascii="Book Antiqua" w:hAnsi="Book Antiqua"/>
          <w:color w:val="000000"/>
        </w:rPr>
        <w:t>mmol/L</w:t>
      </w:r>
      <w:r w:rsidRPr="00310581">
        <w:rPr>
          <w:rFonts w:ascii="Book Antiqua" w:hAnsi="Book Antiqua"/>
          <w:color w:val="000000"/>
        </w:rPr>
        <w:t xml:space="preserve">. </w:t>
      </w:r>
    </w:p>
    <w:p w14:paraId="5450EA09" w14:textId="77777777" w:rsidR="00C95724" w:rsidRPr="00310581" w:rsidRDefault="00C95724" w:rsidP="009315CE">
      <w:pPr>
        <w:snapToGrid w:val="0"/>
        <w:spacing w:line="360" w:lineRule="auto"/>
        <w:outlineLvl w:val="0"/>
        <w:rPr>
          <w:rFonts w:ascii="Book Antiqua" w:hAnsi="Book Antiqua"/>
          <w:color w:val="000000"/>
        </w:rPr>
      </w:pPr>
    </w:p>
    <w:p w14:paraId="78348E53" w14:textId="50A32877" w:rsidR="001F5466" w:rsidRPr="00310581" w:rsidRDefault="001F5466" w:rsidP="009315CE">
      <w:pPr>
        <w:snapToGrid w:val="0"/>
        <w:spacing w:line="360" w:lineRule="auto"/>
        <w:outlineLvl w:val="0"/>
        <w:rPr>
          <w:rFonts w:ascii="Book Antiqua" w:hAnsi="Book Antiqua"/>
          <w:b/>
          <w:i/>
          <w:color w:val="000000"/>
        </w:rPr>
      </w:pPr>
      <w:bookmarkStart w:id="64" w:name="OLE_LINK103"/>
      <w:bookmarkStart w:id="65" w:name="OLE_LINK104"/>
      <w:r w:rsidRPr="00310581">
        <w:rPr>
          <w:rFonts w:ascii="Book Antiqua" w:hAnsi="Book Antiqua"/>
          <w:b/>
          <w:i/>
          <w:color w:val="000000"/>
        </w:rPr>
        <w:t xml:space="preserve">Cell </w:t>
      </w:r>
      <w:r w:rsidR="00C95724" w:rsidRPr="00310581">
        <w:rPr>
          <w:rFonts w:ascii="Book Antiqua" w:hAnsi="Book Antiqua"/>
          <w:b/>
          <w:i/>
          <w:color w:val="000000"/>
        </w:rPr>
        <w:t>viability detection</w:t>
      </w:r>
    </w:p>
    <w:bookmarkEnd w:id="64"/>
    <w:bookmarkEnd w:id="65"/>
    <w:p w14:paraId="134506A8" w14:textId="69F51142"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We performed </w:t>
      </w:r>
      <w:r w:rsidRPr="00310581">
        <w:rPr>
          <w:rFonts w:ascii="Book Antiqua" w:hAnsi="Book Antiqua"/>
        </w:rPr>
        <w:t>cell viab</w:t>
      </w:r>
      <w:r w:rsidRPr="00310581">
        <w:rPr>
          <w:rFonts w:ascii="Book Antiqua" w:hAnsi="Book Antiqua"/>
          <w:color w:val="000000"/>
        </w:rPr>
        <w:t>ility measurements using the Cell Counting Kit-8 (CCK-8; Dojindo Molecular Technologies, Kumamoto, Japan) according to the manufacturer’s instructions. Huh7 cells were plated onto a 96-well plate and 0, 0.3, and 0.5 m</w:t>
      </w:r>
      <w:r w:rsidR="00C95724" w:rsidRPr="00310581">
        <w:rPr>
          <w:rFonts w:ascii="Book Antiqua" w:hAnsi="Book Antiqua"/>
          <w:color w:val="000000"/>
        </w:rPr>
        <w:t>mol/L</w:t>
      </w:r>
      <w:r w:rsidRPr="00310581">
        <w:rPr>
          <w:rFonts w:ascii="Book Antiqua" w:hAnsi="Book Antiqua"/>
          <w:color w:val="000000"/>
        </w:rPr>
        <w:t xml:space="preserve"> of PA culture media were added for 8, 16 and 24 h</w:t>
      </w:r>
      <w:r w:rsidR="00C95724" w:rsidRPr="00310581">
        <w:rPr>
          <w:rFonts w:ascii="Book Antiqua" w:hAnsi="Book Antiqua"/>
          <w:color w:val="000000"/>
        </w:rPr>
        <w:t xml:space="preserve"> </w:t>
      </w:r>
      <w:r w:rsidRPr="00310581">
        <w:rPr>
          <w:rFonts w:ascii="Book Antiqua" w:hAnsi="Book Antiqua"/>
          <w:color w:val="000000"/>
        </w:rPr>
        <w:t>of incubation. The absorbance of the CCK-8 was obtained at 450 nm, and the values were normalized to those of the control group.</w:t>
      </w:r>
    </w:p>
    <w:p w14:paraId="1E543D11" w14:textId="77777777" w:rsidR="00C95724" w:rsidRPr="00310581" w:rsidRDefault="00C95724" w:rsidP="009315CE">
      <w:pPr>
        <w:snapToGrid w:val="0"/>
        <w:spacing w:line="360" w:lineRule="auto"/>
        <w:outlineLvl w:val="0"/>
        <w:rPr>
          <w:rFonts w:ascii="Book Antiqua" w:hAnsi="Book Antiqua"/>
          <w:color w:val="000000"/>
        </w:rPr>
      </w:pPr>
    </w:p>
    <w:p w14:paraId="5A1D2249" w14:textId="77777777"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i/>
          <w:color w:val="000000"/>
        </w:rPr>
        <w:t>Oil Red O Staining and</w:t>
      </w:r>
      <w:bookmarkStart w:id="66" w:name="OLE_LINK17"/>
      <w:bookmarkStart w:id="67" w:name="OLE_LINK18"/>
      <w:r w:rsidRPr="00310581">
        <w:rPr>
          <w:rFonts w:ascii="Book Antiqua" w:hAnsi="Book Antiqua"/>
          <w:b/>
          <w:i/>
          <w:color w:val="000000"/>
        </w:rPr>
        <w:t xml:space="preserve"> Intracellular TG Assay</w:t>
      </w:r>
      <w:bookmarkEnd w:id="66"/>
      <w:bookmarkEnd w:id="67"/>
    </w:p>
    <w:p w14:paraId="2AB940C2" w14:textId="69D2F611"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For Oil Red O staining, the cell culture plate was washed twice with phosphate-buffered saline and fixed in 10% neutral formalin. Oil Red O (Sigma, St. Louis, </w:t>
      </w:r>
      <w:r w:rsidR="00C95724" w:rsidRPr="00310581">
        <w:rPr>
          <w:rFonts w:ascii="Book Antiqua" w:hAnsi="Book Antiqua"/>
          <w:color w:val="000000"/>
        </w:rPr>
        <w:t>United States</w:t>
      </w:r>
      <w:r w:rsidRPr="00310581">
        <w:rPr>
          <w:rFonts w:ascii="Book Antiqua" w:hAnsi="Book Antiqua"/>
          <w:color w:val="000000"/>
        </w:rPr>
        <w:t xml:space="preserve">) was dissolved in isopropanol as a stock </w:t>
      </w:r>
      <w:r w:rsidRPr="00310581">
        <w:rPr>
          <w:rFonts w:ascii="Book Antiqua" w:hAnsi="Book Antiqua"/>
          <w:color w:val="000000"/>
        </w:rPr>
        <w:lastRenderedPageBreak/>
        <w:t>solution and was diluted 3:2 with ddH</w:t>
      </w:r>
      <w:r w:rsidRPr="00310581">
        <w:rPr>
          <w:rFonts w:ascii="Book Antiqua" w:hAnsi="Book Antiqua"/>
          <w:color w:val="000000"/>
          <w:vertAlign w:val="subscript"/>
        </w:rPr>
        <w:t>2</w:t>
      </w:r>
      <w:r w:rsidRPr="00310581">
        <w:rPr>
          <w:rFonts w:ascii="Book Antiqua" w:hAnsi="Book Antiqua"/>
          <w:color w:val="000000"/>
        </w:rPr>
        <w:t>O to be added to the plate for 15 minutes, followed by washing in 60% isopropanol. Then, the plate was counterstained with hematoxylin after rinsing in distilled water. The intracellular TG levels of Huh7 cells were measured using a TG assay kit (Applygen Technologies Inc., Beijing, China) according to the manufacturer’s instructions. Cellular TG levels were normalized to their protein contents.</w:t>
      </w:r>
    </w:p>
    <w:p w14:paraId="7FBA2FF5" w14:textId="77777777" w:rsidR="008A78E9" w:rsidRDefault="008A78E9" w:rsidP="009315CE">
      <w:pPr>
        <w:snapToGrid w:val="0"/>
        <w:spacing w:line="360" w:lineRule="auto"/>
        <w:outlineLvl w:val="0"/>
        <w:rPr>
          <w:rFonts w:ascii="Book Antiqua" w:hAnsi="Book Antiqua"/>
          <w:b/>
          <w:i/>
          <w:color w:val="000000"/>
        </w:rPr>
      </w:pPr>
    </w:p>
    <w:p w14:paraId="1FF61E15"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MiRNA and small interfering RNA (siRNA) transfection</w:t>
      </w:r>
    </w:p>
    <w:p w14:paraId="3FECC9AB" w14:textId="7EEB5E45"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Huh7 cells were transfected with 50 n</w:t>
      </w:r>
      <w:r w:rsidR="00C95724" w:rsidRPr="00310581">
        <w:rPr>
          <w:rFonts w:ascii="Book Antiqua" w:hAnsi="Book Antiqua"/>
          <w:color w:val="000000"/>
        </w:rPr>
        <w:t>mol/L</w:t>
      </w:r>
      <w:r w:rsidRPr="00310581">
        <w:rPr>
          <w:rFonts w:ascii="Book Antiqua" w:hAnsi="Book Antiqua"/>
          <w:color w:val="000000"/>
        </w:rPr>
        <w:t xml:space="preserve"> </w:t>
      </w:r>
      <w:bookmarkStart w:id="68" w:name="OLE_LINK160"/>
      <w:bookmarkStart w:id="69" w:name="OLE_LINK161"/>
      <w:r w:rsidRPr="00310581">
        <w:rPr>
          <w:rFonts w:ascii="Book Antiqua" w:hAnsi="Book Antiqua"/>
          <w:color w:val="000000"/>
        </w:rPr>
        <w:t>miR-192-5p mimics</w:t>
      </w:r>
      <w:r w:rsidR="00E26EF6" w:rsidRPr="00310581">
        <w:rPr>
          <w:rFonts w:ascii="Book Antiqua" w:hAnsi="Book Antiqua"/>
          <w:color w:val="000000"/>
        </w:rPr>
        <w:t xml:space="preserve"> (Cat. No: miR10000222; Ribobio, Guangzhou, China)</w:t>
      </w:r>
      <w:r w:rsidRPr="00310581">
        <w:rPr>
          <w:rFonts w:ascii="Book Antiqua" w:hAnsi="Book Antiqua"/>
          <w:color w:val="000000"/>
        </w:rPr>
        <w:t>, 200 n</w:t>
      </w:r>
      <w:r w:rsidR="00C95724" w:rsidRPr="00310581">
        <w:rPr>
          <w:rFonts w:ascii="Book Antiqua" w:hAnsi="Book Antiqua"/>
          <w:color w:val="000000"/>
        </w:rPr>
        <w:t>mol/L</w:t>
      </w:r>
      <w:r w:rsidRPr="00310581">
        <w:rPr>
          <w:rFonts w:ascii="Book Antiqua" w:hAnsi="Book Antiqua"/>
          <w:color w:val="000000"/>
        </w:rPr>
        <w:t xml:space="preserve"> miR-192-5p inhibitors</w:t>
      </w:r>
      <w:r w:rsidR="00E26EF6" w:rsidRPr="00310581">
        <w:rPr>
          <w:rFonts w:ascii="Book Antiqua" w:hAnsi="Book Antiqua"/>
          <w:color w:val="000000"/>
        </w:rPr>
        <w:t xml:space="preserve"> (</w:t>
      </w:r>
      <w:r w:rsidR="00E26EF6" w:rsidRPr="00310581">
        <w:rPr>
          <w:rFonts w:ascii="Book Antiqua" w:hAnsi="Book Antiqua"/>
          <w:color w:val="000000"/>
          <w:kern w:val="0"/>
        </w:rPr>
        <w:t>Cat.</w:t>
      </w:r>
      <w:r w:rsidR="00E26EF6" w:rsidRPr="00310581">
        <w:rPr>
          <w:rFonts w:ascii="Book Antiqua" w:hAnsi="Book Antiqua"/>
          <w:kern w:val="0"/>
        </w:rPr>
        <w:t xml:space="preserve"> </w:t>
      </w:r>
      <w:r w:rsidR="00E26EF6" w:rsidRPr="00310581">
        <w:rPr>
          <w:rFonts w:ascii="Book Antiqua" w:hAnsi="Book Antiqua"/>
          <w:color w:val="000000"/>
          <w:kern w:val="0"/>
        </w:rPr>
        <w:t>No:</w:t>
      </w:r>
      <w:r w:rsidR="00E26EF6" w:rsidRPr="00310581">
        <w:rPr>
          <w:rFonts w:ascii="Book Antiqua" w:eastAsia="Times New Roman" w:hAnsi="Book Antiqua" w:cstheme="minorBidi"/>
          <w:kern w:val="0"/>
        </w:rPr>
        <w:t xml:space="preserve"> </w:t>
      </w:r>
      <w:r w:rsidR="00E26EF6" w:rsidRPr="00310581">
        <w:rPr>
          <w:rFonts w:ascii="Book Antiqua" w:hAnsi="Book Antiqua"/>
          <w:color w:val="000000"/>
        </w:rPr>
        <w:t>miR20000222; Ribobio, Guangzhou, China)</w:t>
      </w:r>
      <w:r w:rsidRPr="00310581">
        <w:rPr>
          <w:rFonts w:ascii="Book Antiqua" w:hAnsi="Book Antiqua"/>
          <w:color w:val="000000"/>
        </w:rPr>
        <w:t>, 50 n</w:t>
      </w:r>
      <w:r w:rsidR="00C95724" w:rsidRPr="00310581">
        <w:rPr>
          <w:rFonts w:ascii="Book Antiqua" w:hAnsi="Book Antiqua"/>
          <w:color w:val="000000"/>
        </w:rPr>
        <w:t>mol/L</w:t>
      </w:r>
      <w:r w:rsidRPr="00310581">
        <w:rPr>
          <w:rFonts w:ascii="Book Antiqua" w:hAnsi="Book Antiqua"/>
          <w:color w:val="000000"/>
        </w:rPr>
        <w:t xml:space="preserve"> SCD-1 siRNAs</w:t>
      </w:r>
      <w:r w:rsidR="00E26EF6" w:rsidRPr="00310581">
        <w:rPr>
          <w:rFonts w:ascii="Book Antiqua" w:hAnsi="Book Antiqua"/>
          <w:color w:val="000000"/>
        </w:rPr>
        <w:t xml:space="preserve"> (</w:t>
      </w:r>
      <w:r w:rsidR="00E26EF6" w:rsidRPr="00310581">
        <w:rPr>
          <w:rFonts w:ascii="Book Antiqua" w:hAnsi="Book Antiqua"/>
          <w:color w:val="000000"/>
          <w:kern w:val="0"/>
        </w:rPr>
        <w:t>Cat.</w:t>
      </w:r>
      <w:r w:rsidR="00E26EF6" w:rsidRPr="00310581">
        <w:rPr>
          <w:rFonts w:ascii="Book Antiqua" w:hAnsi="Book Antiqua"/>
          <w:kern w:val="0"/>
        </w:rPr>
        <w:t xml:space="preserve"> </w:t>
      </w:r>
      <w:r w:rsidR="00E26EF6" w:rsidRPr="00310581">
        <w:rPr>
          <w:rFonts w:ascii="Book Antiqua" w:hAnsi="Book Antiqua"/>
          <w:color w:val="000000"/>
          <w:kern w:val="0"/>
        </w:rPr>
        <w:t>No:</w:t>
      </w:r>
      <w:r w:rsidR="00E26EF6" w:rsidRPr="00310581">
        <w:rPr>
          <w:rFonts w:ascii="Book Antiqua" w:eastAsia="Times New Roman" w:hAnsi="Book Antiqua" w:cstheme="minorBidi"/>
          <w:kern w:val="0"/>
        </w:rPr>
        <w:t xml:space="preserve"> </w:t>
      </w:r>
      <w:r w:rsidR="00E26EF6" w:rsidRPr="00310581">
        <w:rPr>
          <w:rFonts w:ascii="Book Antiqua" w:hAnsi="Book Antiqua"/>
          <w:color w:val="000000"/>
        </w:rPr>
        <w:t>stB0007776A; Ribobio, Guangzhou, China)</w:t>
      </w:r>
      <w:r w:rsidRPr="00310581">
        <w:rPr>
          <w:rFonts w:ascii="Book Antiqua" w:hAnsi="Book Antiqua"/>
          <w:color w:val="000000"/>
        </w:rPr>
        <w:t xml:space="preserve"> and their respective negative controls</w:t>
      </w:r>
      <w:bookmarkEnd w:id="68"/>
      <w:bookmarkEnd w:id="69"/>
      <w:r w:rsidRPr="00310581">
        <w:rPr>
          <w:rFonts w:ascii="Book Antiqua" w:hAnsi="Book Antiqua"/>
          <w:color w:val="000000"/>
        </w:rPr>
        <w:t xml:space="preserve"> (NC; Ribo</w:t>
      </w:r>
      <w:r w:rsidR="00E26EF6" w:rsidRPr="00310581">
        <w:rPr>
          <w:rFonts w:ascii="Book Antiqua" w:hAnsi="Book Antiqua"/>
          <w:color w:val="000000"/>
        </w:rPr>
        <w:t>b</w:t>
      </w:r>
      <w:r w:rsidRPr="00310581">
        <w:rPr>
          <w:rFonts w:ascii="Book Antiqua" w:hAnsi="Book Antiqua"/>
          <w:color w:val="000000"/>
        </w:rPr>
        <w:t xml:space="preserve">io, Guangzhou, China) according to the manufacturer’s instructions with Lipofectamine 2000 (Invitrogen, Carlsbad, </w:t>
      </w:r>
      <w:r w:rsidR="00C95724" w:rsidRPr="00310581">
        <w:rPr>
          <w:rFonts w:ascii="Book Antiqua" w:hAnsi="Book Antiqua"/>
          <w:color w:val="000000"/>
        </w:rPr>
        <w:t>United States</w:t>
      </w:r>
      <w:r w:rsidRPr="00310581">
        <w:rPr>
          <w:rFonts w:ascii="Book Antiqua" w:hAnsi="Book Antiqua"/>
          <w:color w:val="000000"/>
        </w:rPr>
        <w:t xml:space="preserve">) and Opti-MEM medium (Gibco, California, </w:t>
      </w:r>
      <w:r w:rsidR="00C95724" w:rsidRPr="00310581">
        <w:rPr>
          <w:rFonts w:ascii="Book Antiqua" w:hAnsi="Book Antiqua"/>
          <w:color w:val="000000"/>
        </w:rPr>
        <w:t>United States</w:t>
      </w:r>
      <w:r w:rsidRPr="00310581">
        <w:rPr>
          <w:rFonts w:ascii="Book Antiqua" w:hAnsi="Book Antiqua"/>
          <w:color w:val="000000"/>
        </w:rPr>
        <w:t xml:space="preserve">). The medium was replaced with DMEM with 10% FBS after transfection for 6 h. Experiments were performed 24 h after transfection. </w:t>
      </w:r>
    </w:p>
    <w:p w14:paraId="77224648" w14:textId="77777777" w:rsidR="00C95724" w:rsidRPr="00310581" w:rsidRDefault="00C95724" w:rsidP="009315CE">
      <w:pPr>
        <w:snapToGrid w:val="0"/>
        <w:spacing w:line="360" w:lineRule="auto"/>
        <w:outlineLvl w:val="0"/>
        <w:rPr>
          <w:rFonts w:ascii="Book Antiqua" w:hAnsi="Book Antiqua"/>
          <w:color w:val="000000"/>
        </w:rPr>
      </w:pPr>
    </w:p>
    <w:p w14:paraId="7A018E3E"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Luciferase reporter assay</w:t>
      </w:r>
    </w:p>
    <w:p w14:paraId="28BADAA9" w14:textId="7038B4DA"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The sequence of the wild type (WT) or mutant (Mut) seed region of SCD-1 was cloned into a psiCHECK-2 luciferase vector (Promega, Madison, WI, </w:t>
      </w:r>
      <w:r w:rsidR="00C95724" w:rsidRPr="00310581">
        <w:rPr>
          <w:rFonts w:ascii="Book Antiqua" w:hAnsi="Book Antiqua"/>
          <w:color w:val="000000"/>
        </w:rPr>
        <w:t>United States</w:t>
      </w:r>
      <w:r w:rsidRPr="00310581">
        <w:rPr>
          <w:rFonts w:ascii="Book Antiqua" w:hAnsi="Book Antiqua"/>
          <w:color w:val="000000"/>
        </w:rPr>
        <w:t>) between XhoI and NotI sites. After being plated onto a 96-well plate, 293T cells were transfected with 0.16 µg of SCD-1 3’ untranslated region (3’UTR) vector (WT and Mut) and empty vector and 50 n</w:t>
      </w:r>
      <w:r w:rsidR="0070278B" w:rsidRPr="00310581">
        <w:rPr>
          <w:rFonts w:ascii="Book Antiqua" w:hAnsi="Book Antiqua"/>
          <w:color w:val="000000"/>
        </w:rPr>
        <w:t>mol/L</w:t>
      </w:r>
      <w:r w:rsidRPr="00310581">
        <w:rPr>
          <w:rFonts w:ascii="Book Antiqua" w:hAnsi="Book Antiqua"/>
          <w:color w:val="000000"/>
        </w:rPr>
        <w:t xml:space="preserve"> miR-192-5p mimics, 200 n</w:t>
      </w:r>
      <w:r w:rsidR="00C95724" w:rsidRPr="00310581">
        <w:rPr>
          <w:rFonts w:ascii="Book Antiqua" w:hAnsi="Book Antiqua"/>
          <w:color w:val="000000"/>
        </w:rPr>
        <w:t>mol/L</w:t>
      </w:r>
      <w:r w:rsidRPr="00310581">
        <w:rPr>
          <w:rFonts w:ascii="Book Antiqua" w:hAnsi="Book Antiqua"/>
          <w:color w:val="000000"/>
        </w:rPr>
        <w:t xml:space="preserve"> inhibitor, and their respective NCs. The culture medium was changed to complete DMEM after 6 h</w:t>
      </w:r>
      <w:bookmarkStart w:id="70" w:name="OLE_LINK19"/>
      <w:bookmarkStart w:id="71" w:name="OLE_LINK20"/>
      <w:r w:rsidRPr="00310581">
        <w:rPr>
          <w:rFonts w:ascii="Book Antiqua" w:hAnsi="Book Antiqua"/>
          <w:color w:val="000000"/>
        </w:rPr>
        <w:t xml:space="preserve">. Luciferase activity </w:t>
      </w:r>
      <w:bookmarkEnd w:id="70"/>
      <w:bookmarkEnd w:id="71"/>
      <w:r w:rsidRPr="00310581">
        <w:rPr>
          <w:rFonts w:ascii="Book Antiqua" w:hAnsi="Book Antiqua"/>
          <w:color w:val="000000"/>
        </w:rPr>
        <w:t xml:space="preserve">was measured using the Promega Dual-Luciferase system 48 h after transfection, and the relative luciferase activity was calculated as Renilla luciferase to Firefly luciferase. </w:t>
      </w:r>
    </w:p>
    <w:p w14:paraId="268C8A88" w14:textId="77777777" w:rsidR="00C95724" w:rsidRPr="00310581" w:rsidRDefault="00C95724" w:rsidP="009315CE">
      <w:pPr>
        <w:snapToGrid w:val="0"/>
        <w:spacing w:line="360" w:lineRule="auto"/>
        <w:outlineLvl w:val="0"/>
        <w:rPr>
          <w:rFonts w:ascii="Book Antiqua" w:hAnsi="Book Antiqua"/>
          <w:color w:val="000000"/>
        </w:rPr>
      </w:pPr>
    </w:p>
    <w:p w14:paraId="23633BDF" w14:textId="4C8AE2ED"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Quantitative real-time polymerase chain reaction</w:t>
      </w:r>
      <w:r w:rsidR="00DC409F">
        <w:rPr>
          <w:rFonts w:ascii="Book Antiqua" w:hAnsi="Book Antiqua" w:hint="eastAsia"/>
          <w:b/>
          <w:i/>
          <w:color w:val="000000"/>
        </w:rPr>
        <w:t xml:space="preserve"> </w:t>
      </w:r>
    </w:p>
    <w:p w14:paraId="30FC8F83" w14:textId="0B1A53BC"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lastRenderedPageBreak/>
        <w:t xml:space="preserve">Total RNA enriched with miRNA was isolated and extracted from frozen liver and Huh7 cells using TRIzol (Invitrogen, Carlsbad, CA). RNA samples were analyzed on a NanoDrop 1000 spectrophotometer (Nano-drop Technologies, Wilmington, DE) to assess its yield and purity. As previous described, complementary DNA </w:t>
      </w:r>
      <w:bookmarkStart w:id="72" w:name="OLE_LINK84"/>
      <w:bookmarkStart w:id="73" w:name="OLE_LINK95"/>
      <w:r w:rsidRPr="00310581">
        <w:rPr>
          <w:rFonts w:ascii="Book Antiqua" w:hAnsi="Book Antiqua"/>
          <w:color w:val="000000"/>
        </w:rPr>
        <w:t>for mRNA was synthesized using the PrimeScript RT Reagent Kit (Takara, Shiga, Japan) and SYBR Premix Ex Taq (</w:t>
      </w:r>
      <w:bookmarkStart w:id="74" w:name="OLE_LINK156"/>
      <w:bookmarkStart w:id="75" w:name="OLE_LINK157"/>
      <w:r w:rsidRPr="00310581">
        <w:rPr>
          <w:rFonts w:ascii="Book Antiqua" w:hAnsi="Book Antiqua"/>
          <w:color w:val="000000"/>
        </w:rPr>
        <w:t>Cat.</w:t>
      </w:r>
      <w:r w:rsidRPr="00310581">
        <w:rPr>
          <w:rFonts w:ascii="Book Antiqua" w:hAnsi="Book Antiqua"/>
        </w:rPr>
        <w:t xml:space="preserve"> </w:t>
      </w:r>
      <w:r w:rsidRPr="00310581">
        <w:rPr>
          <w:rFonts w:ascii="Book Antiqua" w:hAnsi="Book Antiqua"/>
          <w:color w:val="000000"/>
        </w:rPr>
        <w:t>No:</w:t>
      </w:r>
      <w:bookmarkEnd w:id="74"/>
      <w:bookmarkEnd w:id="75"/>
      <w:r w:rsidRPr="00310581">
        <w:rPr>
          <w:rFonts w:ascii="Book Antiqua" w:hAnsi="Book Antiqua"/>
          <w:color w:val="000000"/>
        </w:rPr>
        <w:t xml:space="preserve"> RR420A; Takara, Shiga, Japan) was used for </w:t>
      </w:r>
      <w:r w:rsidR="00DC409F" w:rsidRPr="00DC409F">
        <w:rPr>
          <w:rFonts w:ascii="Book Antiqua" w:hAnsi="Book Antiqua"/>
          <w:color w:val="000000"/>
        </w:rPr>
        <w:t>quantitative real-time polymerase chain reaction (qRT-PCR)</w:t>
      </w:r>
      <w:r w:rsidRPr="00310581">
        <w:rPr>
          <w:rFonts w:ascii="Book Antiqua" w:hAnsi="Book Antiqua"/>
          <w:color w:val="000000"/>
        </w:rPr>
        <w:t>. In the reverse-transcription reactions of miRNA, poly A modification and first-strand cDNA synthesis were performed with 500 ng of total RNA each reaction using the Mir-X miRNA First-Strand Synthesis Kit (Cat.</w:t>
      </w:r>
      <w:r w:rsidRPr="00310581">
        <w:rPr>
          <w:rFonts w:ascii="Book Antiqua" w:hAnsi="Book Antiqua"/>
        </w:rPr>
        <w:t xml:space="preserve"> </w:t>
      </w:r>
      <w:r w:rsidRPr="00310581">
        <w:rPr>
          <w:rFonts w:ascii="Book Antiqua" w:hAnsi="Book Antiqua"/>
          <w:color w:val="000000"/>
        </w:rPr>
        <w:t>No: 638313; Takara, Shiga, Japan)</w:t>
      </w:r>
      <w:bookmarkEnd w:id="72"/>
      <w:bookmarkEnd w:id="73"/>
      <w:r w:rsidRPr="00310581">
        <w:rPr>
          <w:rFonts w:ascii="Book Antiqua" w:hAnsi="Book Antiqua"/>
          <w:color w:val="000000"/>
        </w:rPr>
        <w:t xml:space="preserve"> according to the manufacturer’s instructions. Subsequent qPCR was performed in a total reaction volume of 20 μ</w:t>
      </w:r>
      <w:r w:rsidR="00DC409F" w:rsidRPr="00310581">
        <w:rPr>
          <w:rFonts w:ascii="Book Antiqua" w:hAnsi="Book Antiqua"/>
          <w:color w:val="000000"/>
        </w:rPr>
        <w:t>L</w:t>
      </w:r>
      <w:r w:rsidRPr="00310581">
        <w:rPr>
          <w:rFonts w:ascii="Book Antiqua" w:hAnsi="Book Antiqua"/>
          <w:color w:val="000000"/>
        </w:rPr>
        <w:t xml:space="preserve"> using 2 μ</w:t>
      </w:r>
      <w:r w:rsidR="00DC409F" w:rsidRPr="00310581">
        <w:rPr>
          <w:rFonts w:ascii="Book Antiqua" w:hAnsi="Book Antiqua"/>
          <w:color w:val="000000"/>
        </w:rPr>
        <w:t>L</w:t>
      </w:r>
      <w:r w:rsidRPr="00310581">
        <w:rPr>
          <w:rFonts w:ascii="Book Antiqua" w:hAnsi="Book Antiqua"/>
          <w:color w:val="000000"/>
        </w:rPr>
        <w:t xml:space="preserve"> of diluted (1:10) cDNA using SYBR Premix Ex Taq II (Cat.</w:t>
      </w:r>
      <w:r w:rsidRPr="00310581">
        <w:rPr>
          <w:rFonts w:ascii="Book Antiqua" w:hAnsi="Book Antiqua"/>
        </w:rPr>
        <w:t xml:space="preserve"> </w:t>
      </w:r>
      <w:r w:rsidRPr="00310581">
        <w:rPr>
          <w:rFonts w:ascii="Book Antiqua" w:hAnsi="Book Antiqua"/>
          <w:color w:val="000000"/>
        </w:rPr>
        <w:t>No: RR820A; Takara, Shiga, Japan) according to the manufacturer’s instructions. Dissociation curve analysis was performed at the end of cycling program to control PCR specificity.</w:t>
      </w:r>
      <w:r w:rsidRPr="00310581" w:rsidDel="003B4567">
        <w:rPr>
          <w:rFonts w:ascii="Book Antiqua" w:hAnsi="Book Antiqua"/>
          <w:color w:val="000000"/>
        </w:rPr>
        <w:t xml:space="preserve"> </w:t>
      </w:r>
      <w:r w:rsidRPr="00310581">
        <w:rPr>
          <w:rFonts w:ascii="Book Antiqua" w:hAnsi="Book Antiqua"/>
          <w:color w:val="000000"/>
        </w:rPr>
        <w:t>The mRNA and miRNA abundance was normalized to that of 18</w:t>
      </w:r>
      <w:r w:rsidR="00DC409F">
        <w:rPr>
          <w:rFonts w:ascii="Book Antiqua" w:hAnsi="Book Antiqua" w:hint="eastAsia"/>
          <w:color w:val="000000"/>
        </w:rPr>
        <w:t xml:space="preserve"> </w:t>
      </w:r>
      <w:r w:rsidRPr="00310581">
        <w:rPr>
          <w:rFonts w:ascii="Book Antiqua" w:hAnsi="Book Antiqua"/>
          <w:color w:val="000000"/>
        </w:rPr>
        <w:t>s and U6, and relative gene expression was analyzed based on the 2</w:t>
      </w:r>
      <w:r w:rsidRPr="00310581">
        <w:rPr>
          <w:rFonts w:ascii="Book Antiqua" w:hAnsi="Book Antiqua"/>
          <w:color w:val="000000"/>
          <w:vertAlign w:val="superscript"/>
        </w:rPr>
        <w:t>-ΔΔCt</w:t>
      </w:r>
      <w:r w:rsidRPr="00310581">
        <w:rPr>
          <w:rFonts w:ascii="Book Antiqua" w:hAnsi="Book Antiqua"/>
          <w:color w:val="000000"/>
        </w:rPr>
        <w:t xml:space="preserve"> method. </w:t>
      </w:r>
      <w:bookmarkStart w:id="76" w:name="OLE_LINK158"/>
      <w:bookmarkStart w:id="77" w:name="OLE_LINK159"/>
      <w:r w:rsidRPr="00310581">
        <w:rPr>
          <w:rFonts w:ascii="Book Antiqua" w:hAnsi="Book Antiqua"/>
          <w:color w:val="000000"/>
        </w:rPr>
        <w:t>Sequences of primers used were: SCD-1: 5’- GGATGCTCGTGCCAGTG-3’, 5’-ACTCAGTGCCAGGTTAGAAG-3’; 18s: 5’-AAGTTTCAGCACAT CCTGCGAGTA-3’, 5’-TTGGTGAGGTCAATGTCTGCTTTC-3’; miR-192-5p: 5’-CTGACCTATGAATTGACAGCC-3’; U6: 5’-AGAGAAGATTAGCATGGCCCCTG-3’.</w:t>
      </w:r>
    </w:p>
    <w:p w14:paraId="4FECE0B0" w14:textId="77777777" w:rsidR="0070278B" w:rsidRPr="00310581" w:rsidRDefault="0070278B" w:rsidP="009315CE">
      <w:pPr>
        <w:snapToGrid w:val="0"/>
        <w:spacing w:line="360" w:lineRule="auto"/>
        <w:outlineLvl w:val="0"/>
        <w:rPr>
          <w:rFonts w:ascii="Book Antiqua" w:hAnsi="Book Antiqua"/>
          <w:color w:val="000000"/>
        </w:rPr>
      </w:pPr>
    </w:p>
    <w:bookmarkEnd w:id="76"/>
    <w:bookmarkEnd w:id="77"/>
    <w:p w14:paraId="641A6297"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Western blotting</w:t>
      </w:r>
    </w:p>
    <w:p w14:paraId="63451810" w14:textId="582BEB09"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Protein samples of 30 µg were analyzed by 10% sodium dodecyl sulfate polyacrylamide gel electrophoresis and then transferred to nitrocellulose membranes. The membranes were blocked with 5% skim milk in TBST for 2 h</w:t>
      </w:r>
      <w:r w:rsidR="0070278B" w:rsidRPr="00310581">
        <w:rPr>
          <w:rFonts w:ascii="Book Antiqua" w:hAnsi="Book Antiqua"/>
          <w:color w:val="000000"/>
        </w:rPr>
        <w:t xml:space="preserve"> </w:t>
      </w:r>
      <w:r w:rsidRPr="00310581">
        <w:rPr>
          <w:rFonts w:ascii="Book Antiqua" w:hAnsi="Book Antiqua"/>
          <w:color w:val="000000"/>
        </w:rPr>
        <w:t xml:space="preserve">at room temperature and then incubated with mouse monoclonal antibody against SCD-1 (Abcam, Cambridge, </w:t>
      </w:r>
      <w:r w:rsidR="0070278B" w:rsidRPr="00310581">
        <w:rPr>
          <w:rFonts w:ascii="Book Antiqua" w:hAnsi="Book Antiqua"/>
          <w:color w:val="000000"/>
        </w:rPr>
        <w:t>United Kingdom</w:t>
      </w:r>
      <w:r w:rsidRPr="00310581">
        <w:rPr>
          <w:rFonts w:ascii="Book Antiqua" w:hAnsi="Book Antiqua"/>
          <w:color w:val="000000"/>
        </w:rPr>
        <w:t>) and mouse monoclonal tubulin antibody (Beyotime, Shanghai, China) overnight at 4</w:t>
      </w:r>
      <w:r w:rsidR="0070278B" w:rsidRPr="00310581">
        <w:rPr>
          <w:rFonts w:ascii="Book Antiqua" w:hAnsi="Book Antiqua"/>
          <w:color w:val="000000"/>
        </w:rPr>
        <w:t xml:space="preserve"> </w:t>
      </w:r>
      <w:r w:rsidRPr="00310581">
        <w:rPr>
          <w:rFonts w:ascii="Book Antiqua" w:hAnsi="Book Antiqua"/>
          <w:color w:val="000000"/>
        </w:rPr>
        <w:t xml:space="preserve">°C. Then, these </w:t>
      </w:r>
      <w:r w:rsidRPr="00310581">
        <w:rPr>
          <w:rFonts w:ascii="Book Antiqua" w:hAnsi="Book Antiqua"/>
          <w:color w:val="000000"/>
        </w:rPr>
        <w:lastRenderedPageBreak/>
        <w:t xml:space="preserve">membranes were washed and incubated at room temperature with an anti-mouse secondary antibody (Beyotime, Shanghai, China) for 1 h. Immune complexes were detected using a western chemiluminescent HRP substrate (Millipore Corporation, Billerica, MA). </w:t>
      </w:r>
    </w:p>
    <w:p w14:paraId="5989CA66" w14:textId="77777777" w:rsidR="0070278B" w:rsidRPr="00310581" w:rsidRDefault="0070278B" w:rsidP="009315CE">
      <w:pPr>
        <w:snapToGrid w:val="0"/>
        <w:spacing w:line="360" w:lineRule="auto"/>
        <w:outlineLvl w:val="0"/>
        <w:rPr>
          <w:rFonts w:ascii="Book Antiqua" w:hAnsi="Book Antiqua"/>
          <w:color w:val="000000"/>
        </w:rPr>
      </w:pPr>
    </w:p>
    <w:p w14:paraId="6CB91C84" w14:textId="77777777"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b/>
          <w:i/>
          <w:color w:val="000000"/>
        </w:rPr>
        <w:t>Statistical analysis</w:t>
      </w:r>
    </w:p>
    <w:p w14:paraId="1487D3B7" w14:textId="45929D42" w:rsidR="001F5466" w:rsidRPr="00310581" w:rsidRDefault="001F5466" w:rsidP="009315CE">
      <w:pPr>
        <w:snapToGrid w:val="0"/>
        <w:spacing w:line="360" w:lineRule="auto"/>
        <w:outlineLvl w:val="0"/>
        <w:rPr>
          <w:rFonts w:ascii="Book Antiqua" w:hAnsi="Book Antiqua"/>
          <w:color w:val="000000"/>
        </w:rPr>
      </w:pPr>
      <w:r w:rsidRPr="00310581">
        <w:rPr>
          <w:rFonts w:ascii="Book Antiqua" w:hAnsi="Book Antiqua"/>
          <w:color w:val="000000"/>
        </w:rPr>
        <w:t xml:space="preserve">The data are expressed as the means ± SEM. A statistical comparison was made using a two-tailed Student </w:t>
      </w:r>
      <w:r w:rsidRPr="00310581">
        <w:rPr>
          <w:rFonts w:ascii="Book Antiqua" w:hAnsi="Book Antiqua"/>
          <w:i/>
          <w:color w:val="000000"/>
        </w:rPr>
        <w:t>t</w:t>
      </w:r>
      <w:r w:rsidRPr="00310581">
        <w:rPr>
          <w:rFonts w:ascii="Book Antiqua" w:hAnsi="Book Antiqua"/>
          <w:color w:val="000000"/>
        </w:rPr>
        <w:t xml:space="preserve">-test between two groups and a one-way analysis of variance test followed by Student–Newman–Kuels analyses among multiple groups. Differences were considered significant at </w:t>
      </w:r>
      <w:r w:rsidRPr="00310581">
        <w:rPr>
          <w:rFonts w:ascii="Book Antiqua" w:hAnsi="Book Antiqua"/>
          <w:i/>
          <w:color w:val="000000"/>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 xml:space="preserve">0.05. All analyses were performed using GraphPad Prism 6.0 software (San Diego, CA, </w:t>
      </w:r>
      <w:r w:rsidR="00DC409F" w:rsidRPr="00DC409F">
        <w:rPr>
          <w:rFonts w:ascii="Book Antiqua" w:hAnsi="Book Antiqua"/>
          <w:color w:val="000000"/>
        </w:rPr>
        <w:t>United States</w:t>
      </w:r>
      <w:r w:rsidRPr="00310581">
        <w:rPr>
          <w:rFonts w:ascii="Book Antiqua" w:hAnsi="Book Antiqua"/>
          <w:color w:val="000000"/>
        </w:rPr>
        <w:t>). The statistical methods used in this study were reviewed by Guang-Yu Chen from Clinical Epidemiology Center, Shanghai Jiao Tong University.</w:t>
      </w:r>
    </w:p>
    <w:p w14:paraId="39D1CC5A" w14:textId="77777777" w:rsidR="001F5466" w:rsidRPr="00310581" w:rsidRDefault="001F5466" w:rsidP="009315CE">
      <w:pPr>
        <w:snapToGrid w:val="0"/>
        <w:spacing w:line="360" w:lineRule="auto"/>
        <w:outlineLvl w:val="0"/>
        <w:rPr>
          <w:rFonts w:ascii="Book Antiqua" w:hAnsi="Book Antiqua"/>
          <w:color w:val="000000"/>
        </w:rPr>
      </w:pPr>
    </w:p>
    <w:p w14:paraId="40996D5D" w14:textId="77777777" w:rsidR="001F5466" w:rsidRPr="00310581" w:rsidRDefault="001F5466" w:rsidP="009315CE">
      <w:pPr>
        <w:snapToGrid w:val="0"/>
        <w:spacing w:line="360" w:lineRule="auto"/>
        <w:outlineLvl w:val="0"/>
        <w:rPr>
          <w:rFonts w:ascii="Book Antiqua" w:hAnsi="Book Antiqua"/>
          <w:b/>
          <w:color w:val="000000"/>
        </w:rPr>
      </w:pPr>
      <w:r w:rsidRPr="00310581">
        <w:rPr>
          <w:rFonts w:ascii="Book Antiqua" w:hAnsi="Book Antiqua"/>
          <w:b/>
          <w:color w:val="000000"/>
        </w:rPr>
        <w:t>RESULTS</w:t>
      </w:r>
    </w:p>
    <w:p w14:paraId="59056C5D"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The miR-192-5p and SCD-1 levels in the liver of rat models</w:t>
      </w:r>
    </w:p>
    <w:p w14:paraId="401B14FC" w14:textId="3F242740" w:rsidR="001F5466" w:rsidRPr="00310581" w:rsidRDefault="001F5466" w:rsidP="009315CE">
      <w:pPr>
        <w:snapToGrid w:val="0"/>
        <w:spacing w:line="360" w:lineRule="auto"/>
        <w:rPr>
          <w:rFonts w:ascii="Book Antiqua" w:hAnsi="Book Antiqua"/>
          <w:color w:val="000000"/>
        </w:rPr>
      </w:pPr>
      <w:r w:rsidRPr="00310581">
        <w:rPr>
          <w:rFonts w:ascii="Book Antiqua" w:hAnsi="Book Antiqua"/>
        </w:rPr>
        <w:t>At the end of the 16</w:t>
      </w:r>
      <w:r w:rsidRPr="00310581">
        <w:rPr>
          <w:rFonts w:ascii="Book Antiqua" w:hAnsi="Book Antiqua"/>
          <w:vertAlign w:val="superscript"/>
        </w:rPr>
        <w:t>th</w:t>
      </w:r>
      <w:r w:rsidRPr="00310581">
        <w:rPr>
          <w:rFonts w:ascii="Book Antiqua" w:hAnsi="Book Antiqua"/>
        </w:rPr>
        <w:t xml:space="preserve"> week, all the rats in HFD group developed NASH with significant hepatic macro-vesicular steatosis, ballooning degeneration, and lobular inflammation. The mean body weight of the HFD rats (661.7 ± 15.8 g) was higher than that of the controls (566.7 </w:t>
      </w:r>
      <w:bookmarkStart w:id="78" w:name="OLE_LINK79"/>
      <w:bookmarkStart w:id="79" w:name="OLE_LINK80"/>
      <w:r w:rsidRPr="00310581">
        <w:rPr>
          <w:rFonts w:ascii="Book Antiqua" w:hAnsi="Book Antiqua"/>
        </w:rPr>
        <w:t>±</w:t>
      </w:r>
      <w:bookmarkEnd w:id="78"/>
      <w:bookmarkEnd w:id="79"/>
      <w:r w:rsidRPr="00310581">
        <w:rPr>
          <w:rFonts w:ascii="Book Antiqua" w:hAnsi="Book Antiqua"/>
        </w:rPr>
        <w:t xml:space="preserve"> 8.1 g, </w:t>
      </w:r>
      <w:r w:rsidRPr="00310581">
        <w:rPr>
          <w:rFonts w:ascii="Book Antiqua" w:hAnsi="Book Antiqua"/>
          <w:i/>
        </w:rPr>
        <w:t>P</w:t>
      </w:r>
      <w:r w:rsidR="0070278B" w:rsidRPr="00310581">
        <w:rPr>
          <w:rFonts w:ascii="Book Antiqua" w:hAnsi="Book Antiqua"/>
        </w:rPr>
        <w:t xml:space="preserve"> </w:t>
      </w:r>
      <w:r w:rsidRPr="00310581">
        <w:rPr>
          <w:rFonts w:ascii="Book Antiqua" w:hAnsi="Book Antiqua"/>
        </w:rPr>
        <w:t>&lt;</w:t>
      </w:r>
      <w:r w:rsidR="0070278B" w:rsidRPr="00310581">
        <w:rPr>
          <w:rFonts w:ascii="Book Antiqua" w:hAnsi="Book Antiqua"/>
        </w:rPr>
        <w:t xml:space="preserve"> </w:t>
      </w:r>
      <w:r w:rsidRPr="00310581">
        <w:rPr>
          <w:rFonts w:ascii="Book Antiqua" w:hAnsi="Book Antiqua"/>
        </w:rPr>
        <w:t xml:space="preserve">0.01), and they also had increased hepatic TG levels (335 ± 9 </w:t>
      </w:r>
      <w:bookmarkStart w:id="80" w:name="OLE_LINK81"/>
      <w:bookmarkStart w:id="81" w:name="OLE_LINK82"/>
      <w:r w:rsidRPr="00310581">
        <w:rPr>
          <w:rFonts w:ascii="Book Antiqua" w:hAnsi="Book Antiqua"/>
        </w:rPr>
        <w:t>mol/g</w:t>
      </w:r>
      <w:bookmarkEnd w:id="80"/>
      <w:bookmarkEnd w:id="81"/>
      <w:r w:rsidRPr="00310581">
        <w:rPr>
          <w:rFonts w:ascii="Book Antiqua" w:hAnsi="Book Antiqua"/>
        </w:rPr>
        <w:t>) compar</w:t>
      </w:r>
      <w:bookmarkStart w:id="82" w:name="OLE_LINK75"/>
      <w:bookmarkStart w:id="83" w:name="OLE_LINK76"/>
      <w:r w:rsidRPr="00310581">
        <w:rPr>
          <w:rFonts w:ascii="Book Antiqua" w:hAnsi="Book Antiqua"/>
        </w:rPr>
        <w:t xml:space="preserve">ed with the control group (101 ± 10 µmol/g, </w:t>
      </w:r>
      <w:r w:rsidR="0070278B" w:rsidRPr="00310581">
        <w:rPr>
          <w:rFonts w:ascii="Book Antiqua" w:hAnsi="Book Antiqua"/>
          <w:i/>
        </w:rPr>
        <w:t>P</w:t>
      </w:r>
      <w:r w:rsidR="0070278B" w:rsidRPr="00310581">
        <w:rPr>
          <w:rFonts w:ascii="Book Antiqua" w:hAnsi="Book Antiqua"/>
        </w:rPr>
        <w:t xml:space="preserve"> </w:t>
      </w:r>
      <w:r w:rsidRPr="00310581">
        <w:rPr>
          <w:rFonts w:ascii="Book Antiqua" w:hAnsi="Book Antiqua"/>
        </w:rPr>
        <w:t>&lt;</w:t>
      </w:r>
      <w:r w:rsidR="0070278B" w:rsidRPr="00310581">
        <w:rPr>
          <w:rFonts w:ascii="Book Antiqua" w:hAnsi="Book Antiqua"/>
        </w:rPr>
        <w:t xml:space="preserve"> </w:t>
      </w:r>
      <w:r w:rsidRPr="00310581">
        <w:rPr>
          <w:rFonts w:ascii="Book Antiqua" w:hAnsi="Book Antiqua"/>
        </w:rPr>
        <w:t>0.01)</w:t>
      </w:r>
      <w:bookmarkEnd w:id="82"/>
      <w:bookmarkEnd w:id="83"/>
      <w:r w:rsidRPr="00310581">
        <w:rPr>
          <w:rFonts w:ascii="Book Antiqua" w:hAnsi="Book Antiqua"/>
        </w:rPr>
        <w:t xml:space="preserve">. The injection of </w:t>
      </w:r>
      <w:bookmarkStart w:id="84" w:name="OLE_LINK3"/>
      <w:bookmarkStart w:id="85" w:name="OLE_LINK4"/>
      <w:bookmarkStart w:id="86" w:name="OLE_LINK147"/>
      <w:r w:rsidRPr="00310581">
        <w:rPr>
          <w:rFonts w:ascii="Book Antiqua" w:hAnsi="Book Antiqua"/>
        </w:rPr>
        <w:t>liraglutide</w:t>
      </w:r>
      <w:bookmarkEnd w:id="84"/>
      <w:bookmarkEnd w:id="85"/>
      <w:bookmarkEnd w:id="86"/>
      <w:r w:rsidRPr="00310581">
        <w:rPr>
          <w:rFonts w:ascii="Book Antiqua" w:hAnsi="Book Antiqua"/>
        </w:rPr>
        <w:t xml:space="preserve"> in HFD rats alleviated hepatic steatosis and reduced body weight (533.1 ± 7.4 g) and hepatic TG levels (241 ± 14 µmol/g) significantly (</w:t>
      </w:r>
      <w:r w:rsidR="0070278B" w:rsidRPr="00310581">
        <w:rPr>
          <w:rFonts w:ascii="Book Antiqua" w:hAnsi="Book Antiqua"/>
          <w:i/>
        </w:rPr>
        <w:t>P</w:t>
      </w:r>
      <w:r w:rsidR="0070278B" w:rsidRPr="00310581">
        <w:rPr>
          <w:rFonts w:ascii="Book Antiqua" w:hAnsi="Book Antiqua"/>
        </w:rPr>
        <w:t xml:space="preserve"> </w:t>
      </w:r>
      <w:r w:rsidRPr="00310581">
        <w:rPr>
          <w:rFonts w:ascii="Book Antiqua" w:hAnsi="Book Antiqua"/>
        </w:rPr>
        <w:t>&lt;</w:t>
      </w:r>
      <w:r w:rsidR="0070278B" w:rsidRPr="00310581">
        <w:rPr>
          <w:rFonts w:ascii="Book Antiqua" w:hAnsi="Book Antiqua"/>
        </w:rPr>
        <w:t xml:space="preserve"> 0.01, Figures 1</w:t>
      </w:r>
      <w:r w:rsidRPr="00310581">
        <w:rPr>
          <w:rFonts w:ascii="Book Antiqua" w:hAnsi="Book Antiqua"/>
        </w:rPr>
        <w:t>A, B</w:t>
      </w:r>
      <w:r w:rsidR="0070278B" w:rsidRPr="00310581">
        <w:rPr>
          <w:rFonts w:ascii="Book Antiqua" w:hAnsi="Book Antiqua"/>
        </w:rPr>
        <w:t xml:space="preserve"> and </w:t>
      </w:r>
      <w:r w:rsidRPr="00310581">
        <w:rPr>
          <w:rFonts w:ascii="Book Antiqua" w:hAnsi="Book Antiqua"/>
        </w:rPr>
        <w:t>C). The analysis of serum biochemical parameters in animal models showed that the HFD rat had higher alanine transaminase (ALT), aspartate transaminase (AST), and low density lipoprotein (LDL) levels, and lower high density lipoprotein (HDL) levels compared with the control group (</w:t>
      </w:r>
      <w:r w:rsidRPr="00310581">
        <w:rPr>
          <w:rFonts w:ascii="Book Antiqua" w:hAnsi="Book Antiqua"/>
          <w:i/>
        </w:rPr>
        <w:t>P</w:t>
      </w:r>
      <w:r w:rsidR="0070278B" w:rsidRPr="00310581">
        <w:rPr>
          <w:rFonts w:ascii="Book Antiqua" w:hAnsi="Book Antiqua"/>
        </w:rPr>
        <w:t xml:space="preserve"> </w:t>
      </w:r>
      <w:r w:rsidRPr="00310581">
        <w:rPr>
          <w:rFonts w:ascii="Book Antiqua" w:hAnsi="Book Antiqua"/>
        </w:rPr>
        <w:t>&lt;</w:t>
      </w:r>
      <w:r w:rsidR="0070278B" w:rsidRPr="00310581">
        <w:rPr>
          <w:rFonts w:ascii="Book Antiqua" w:hAnsi="Book Antiqua"/>
        </w:rPr>
        <w:t xml:space="preserve"> </w:t>
      </w:r>
      <w:r w:rsidRPr="00310581">
        <w:rPr>
          <w:rFonts w:ascii="Book Antiqua" w:hAnsi="Book Antiqua"/>
        </w:rPr>
        <w:t>0.05). The liraglutide group showed a significant decrease of ALT and AST compared with HFD group (</w:t>
      </w:r>
      <w:r w:rsidR="0070278B" w:rsidRPr="00310581">
        <w:rPr>
          <w:rFonts w:ascii="Book Antiqua" w:hAnsi="Book Antiqua"/>
          <w:i/>
        </w:rPr>
        <w:t>P</w:t>
      </w:r>
      <w:r w:rsidR="0070278B" w:rsidRPr="00310581">
        <w:rPr>
          <w:rFonts w:ascii="Book Antiqua" w:hAnsi="Book Antiqua"/>
        </w:rPr>
        <w:t xml:space="preserve"> </w:t>
      </w:r>
      <w:r w:rsidRPr="00310581">
        <w:rPr>
          <w:rFonts w:ascii="Book Antiqua" w:hAnsi="Book Antiqua"/>
        </w:rPr>
        <w:t>&lt;</w:t>
      </w:r>
      <w:r w:rsidR="0070278B" w:rsidRPr="00310581">
        <w:rPr>
          <w:rFonts w:ascii="Book Antiqua" w:hAnsi="Book Antiqua"/>
        </w:rPr>
        <w:t xml:space="preserve"> </w:t>
      </w:r>
      <w:r w:rsidRPr="00310581">
        <w:rPr>
          <w:rFonts w:ascii="Book Antiqua" w:hAnsi="Book Antiqua"/>
        </w:rPr>
        <w:t xml:space="preserve">0.05), but there was no statistically difference in serum </w:t>
      </w:r>
      <w:r w:rsidRPr="00310581">
        <w:rPr>
          <w:rFonts w:ascii="Book Antiqua" w:hAnsi="Book Antiqua"/>
        </w:rPr>
        <w:lastRenderedPageBreak/>
        <w:t xml:space="preserve">LDL and HDL levels (Table 1). </w:t>
      </w:r>
      <w:r w:rsidRPr="00310581">
        <w:rPr>
          <w:rFonts w:ascii="Book Antiqua" w:hAnsi="Book Antiqua"/>
          <w:color w:val="000000"/>
        </w:rPr>
        <w:t>The qRT-PCR results showed that HFD rats had decreased hepatic miR-192-5p levels (0.46-fold) compared with the controls and that liraglutide therapy could abrogate the reduction of miR-192-5p in HFD rat livers (</w:t>
      </w:r>
      <w:r w:rsidR="0070278B" w:rsidRPr="00310581">
        <w:rPr>
          <w:rFonts w:ascii="Book Antiqua" w:hAnsi="Book Antiqua"/>
          <w:i/>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0.01</w:t>
      </w:r>
      <w:r w:rsidR="0070278B" w:rsidRPr="00310581">
        <w:rPr>
          <w:rFonts w:ascii="Book Antiqua" w:hAnsi="Book Antiqua"/>
          <w:color w:val="000000"/>
        </w:rPr>
        <w:t>;</w:t>
      </w:r>
      <w:r w:rsidRPr="00310581">
        <w:rPr>
          <w:rFonts w:ascii="Book Antiqua" w:hAnsi="Book Antiqua"/>
          <w:color w:val="000000"/>
        </w:rPr>
        <w:t xml:space="preserve"> Figure 1D). In addition to decreased hepatic miR-192-5p levels, the protein expressions of hepatic SCD-1 were markedly elevated (3.5-fold) in rats fed with a HFD, and liraglutide therapy could reduce hepatic SCD-1 levels in HFD rats (</w:t>
      </w:r>
      <w:r w:rsidR="0070278B" w:rsidRPr="00310581">
        <w:rPr>
          <w:rFonts w:ascii="Book Antiqua" w:hAnsi="Book Antiqua"/>
          <w:i/>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0.01</w:t>
      </w:r>
      <w:r w:rsidR="0070278B" w:rsidRPr="00310581">
        <w:rPr>
          <w:rFonts w:ascii="Book Antiqua" w:hAnsi="Book Antiqua"/>
          <w:color w:val="000000"/>
        </w:rPr>
        <w:t>;</w:t>
      </w:r>
      <w:r w:rsidRPr="00310581">
        <w:rPr>
          <w:rFonts w:ascii="Book Antiqua" w:hAnsi="Book Antiqua"/>
          <w:color w:val="000000"/>
        </w:rPr>
        <w:t xml:space="preserve"> Figure 1 E). </w:t>
      </w:r>
    </w:p>
    <w:p w14:paraId="6902908C" w14:textId="77777777" w:rsidR="0070278B" w:rsidRPr="00310581" w:rsidRDefault="0070278B" w:rsidP="009315CE">
      <w:pPr>
        <w:snapToGrid w:val="0"/>
        <w:spacing w:line="360" w:lineRule="auto"/>
        <w:rPr>
          <w:rFonts w:ascii="Book Antiqua" w:hAnsi="Book Antiqua"/>
          <w:color w:val="000000"/>
        </w:rPr>
      </w:pPr>
    </w:p>
    <w:p w14:paraId="6A00E248"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Palmitate induced the down regulation of miR-192-5p in vitro</w:t>
      </w:r>
    </w:p>
    <w:p w14:paraId="3EF5E316" w14:textId="11FEAEF2" w:rsidR="001F5466" w:rsidRPr="00310581" w:rsidRDefault="001F5466" w:rsidP="009315CE">
      <w:pPr>
        <w:snapToGrid w:val="0"/>
        <w:spacing w:line="360" w:lineRule="auto"/>
        <w:rPr>
          <w:rFonts w:ascii="Book Antiqua" w:hAnsi="Book Antiqua"/>
          <w:color w:val="000000"/>
        </w:rPr>
      </w:pPr>
      <w:r w:rsidRPr="00310581">
        <w:rPr>
          <w:rFonts w:ascii="Book Antiqua" w:hAnsi="Book Antiqua"/>
          <w:color w:val="000000"/>
        </w:rPr>
        <w:t>According to the results of the CCK-8 test, 0.5 m</w:t>
      </w:r>
      <w:r w:rsidR="0070278B" w:rsidRPr="00310581">
        <w:rPr>
          <w:rFonts w:ascii="Book Antiqua" w:hAnsi="Book Antiqua"/>
          <w:color w:val="000000"/>
        </w:rPr>
        <w:t>mol/L</w:t>
      </w:r>
      <w:r w:rsidRPr="00310581">
        <w:rPr>
          <w:rFonts w:ascii="Book Antiqua" w:hAnsi="Book Antiqua"/>
          <w:color w:val="000000"/>
        </w:rPr>
        <w:t xml:space="preserve"> PA induced cell death as early as 8 hours, but 0.3 m</w:t>
      </w:r>
      <w:r w:rsidR="0070278B" w:rsidRPr="00310581">
        <w:rPr>
          <w:rFonts w:ascii="Book Antiqua" w:hAnsi="Book Antiqua"/>
          <w:color w:val="000000"/>
        </w:rPr>
        <w:t>mol/L</w:t>
      </w:r>
      <w:r w:rsidRPr="00310581">
        <w:rPr>
          <w:rFonts w:ascii="Book Antiqua" w:hAnsi="Book Antiqua"/>
          <w:color w:val="000000"/>
        </w:rPr>
        <w:t xml:space="preserve"> PA showed no significant cytotoxic effects until 16 hours (Figure 2A). To induce lipid accumulation without cytotoxicity in vitro, we chose to expose Huh7 cells to 0.3 m</w:t>
      </w:r>
      <w:r w:rsidR="0070278B" w:rsidRPr="00310581">
        <w:rPr>
          <w:rFonts w:ascii="Book Antiqua" w:hAnsi="Book Antiqua"/>
          <w:color w:val="000000"/>
        </w:rPr>
        <w:t>mol/L</w:t>
      </w:r>
      <w:r w:rsidRPr="00310581">
        <w:rPr>
          <w:rFonts w:ascii="Book Antiqua" w:hAnsi="Book Antiqua"/>
          <w:color w:val="000000"/>
        </w:rPr>
        <w:t xml:space="preserve"> PA for 8 h. The TG levels in Huh7 cells increased to approximately 45 µmol/g after exposur</w:t>
      </w:r>
      <w:r w:rsidRPr="00310581">
        <w:rPr>
          <w:rFonts w:ascii="Book Antiqua" w:hAnsi="Book Antiqua"/>
        </w:rPr>
        <w:t>e to 0.3 m</w:t>
      </w:r>
      <w:r w:rsidR="0070278B" w:rsidRPr="00310581">
        <w:rPr>
          <w:rFonts w:ascii="Book Antiqua" w:hAnsi="Book Antiqua"/>
          <w:color w:val="000000"/>
        </w:rPr>
        <w:t>mol/L</w:t>
      </w:r>
      <w:r w:rsidRPr="00310581">
        <w:rPr>
          <w:rFonts w:ascii="Book Antiqua" w:hAnsi="Book Antiqua"/>
        </w:rPr>
        <w:t xml:space="preserve"> PA</w:t>
      </w:r>
      <w:r w:rsidRPr="00310581">
        <w:rPr>
          <w:rFonts w:ascii="Book Antiqua" w:hAnsi="Book Antiqua"/>
          <w:color w:val="000000"/>
        </w:rPr>
        <w:t xml:space="preserve"> for 8 hours </w:t>
      </w:r>
      <w:bookmarkStart w:id="87" w:name="OLE_LINK1"/>
      <w:bookmarkStart w:id="88" w:name="OLE_LINK2"/>
      <w:r w:rsidRPr="00310581">
        <w:rPr>
          <w:rFonts w:ascii="Book Antiqua" w:hAnsi="Book Antiqua"/>
          <w:color w:val="000000"/>
        </w:rPr>
        <w:t>(Figure 2B)</w:t>
      </w:r>
      <w:bookmarkEnd w:id="87"/>
      <w:bookmarkEnd w:id="88"/>
      <w:r w:rsidRPr="00310581">
        <w:rPr>
          <w:rFonts w:ascii="Book Antiqua" w:hAnsi="Book Antiqua"/>
          <w:color w:val="000000"/>
        </w:rPr>
        <w:t xml:space="preserve">, and the Oil Red O staining showed obvious lipid </w:t>
      </w:r>
      <w:r w:rsidRPr="00310581">
        <w:rPr>
          <w:rFonts w:ascii="Book Antiqua" w:hAnsi="Book Antiqua"/>
        </w:rPr>
        <w:t>droplets</w:t>
      </w:r>
      <w:r w:rsidRPr="00310581">
        <w:rPr>
          <w:rFonts w:ascii="Book Antiqua" w:hAnsi="Book Antiqua"/>
          <w:color w:val="000000"/>
        </w:rPr>
        <w:t xml:space="preserve"> in the cells (Figure 2C). Similar to HFD rat livers, the miR-192-5p levels in PA-treated Huh7 cells showed significant downregulation (55%, </w:t>
      </w:r>
      <w:r w:rsidRPr="00310581">
        <w:rPr>
          <w:rFonts w:ascii="Book Antiqua" w:hAnsi="Book Antiqua"/>
          <w:i/>
          <w:color w:val="000000"/>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0.01) compared to the controls (Figure 2D). However, the SCD-1 protein levels showed a 2.64-fold increase in PA-treated Huh7 cells (</w:t>
      </w:r>
      <w:r w:rsidRPr="00310581">
        <w:rPr>
          <w:rFonts w:ascii="Book Antiqua" w:hAnsi="Book Antiqua"/>
          <w:i/>
          <w:color w:val="000000"/>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0.01; Figure 2E).</w:t>
      </w:r>
    </w:p>
    <w:p w14:paraId="728A38ED" w14:textId="77777777" w:rsidR="0070278B" w:rsidRPr="00310581" w:rsidRDefault="0070278B" w:rsidP="009315CE">
      <w:pPr>
        <w:snapToGrid w:val="0"/>
        <w:spacing w:line="360" w:lineRule="auto"/>
        <w:rPr>
          <w:rFonts w:ascii="Book Antiqua" w:hAnsi="Book Antiqua"/>
          <w:color w:val="000000"/>
        </w:rPr>
      </w:pPr>
    </w:p>
    <w:p w14:paraId="7A15914A" w14:textId="77777777" w:rsidR="001F5466" w:rsidRPr="00310581" w:rsidRDefault="001F5466" w:rsidP="009315CE">
      <w:pPr>
        <w:snapToGrid w:val="0"/>
        <w:spacing w:line="360" w:lineRule="auto"/>
        <w:outlineLvl w:val="0"/>
        <w:rPr>
          <w:rFonts w:ascii="Book Antiqua" w:hAnsi="Book Antiqua"/>
          <w:b/>
          <w:i/>
          <w:color w:val="000000"/>
        </w:rPr>
      </w:pPr>
      <w:r w:rsidRPr="00310581">
        <w:rPr>
          <w:rFonts w:ascii="Book Antiqua" w:hAnsi="Book Antiqua"/>
          <w:b/>
          <w:i/>
          <w:color w:val="000000"/>
        </w:rPr>
        <w:t xml:space="preserve">SCD-1 was a direct target of miR-192-5p </w:t>
      </w:r>
    </w:p>
    <w:p w14:paraId="2873BCF8" w14:textId="2C19AA2D" w:rsidR="001F5466" w:rsidRPr="00310581" w:rsidRDefault="001F5466" w:rsidP="009315CE">
      <w:pPr>
        <w:snapToGrid w:val="0"/>
        <w:spacing w:line="360" w:lineRule="auto"/>
        <w:rPr>
          <w:rFonts w:ascii="Book Antiqua" w:hAnsi="Book Antiqua"/>
          <w:color w:val="000000"/>
        </w:rPr>
      </w:pPr>
      <w:r w:rsidRPr="00310581">
        <w:rPr>
          <w:rFonts w:ascii="Book Antiqua" w:hAnsi="Book Antiqua"/>
        </w:rPr>
        <w:t xml:space="preserve">Based on the results from the TargetScan, miRanda, and PicTar database, there were hundreds of predicted targets for miR-192-5p. Among these, SCD-1 was the one that participated in lipid metabolism and increased dramatically in NAFLD. Therefore, we </w:t>
      </w:r>
      <w:bookmarkStart w:id="89" w:name="OLE_LINK57"/>
      <w:bookmarkStart w:id="90" w:name="OLE_LINK58"/>
      <w:r w:rsidRPr="00310581">
        <w:rPr>
          <w:rFonts w:ascii="Book Antiqua" w:hAnsi="Book Antiqua"/>
        </w:rPr>
        <w:t xml:space="preserve">performed </w:t>
      </w:r>
      <w:bookmarkStart w:id="91" w:name="OLE_LINK13"/>
      <w:bookmarkStart w:id="92" w:name="OLE_LINK14"/>
      <w:r w:rsidRPr="00310581">
        <w:rPr>
          <w:rFonts w:ascii="Book Antiqua" w:hAnsi="Book Antiqua"/>
        </w:rPr>
        <w:t>dual luciferase reporter gene assays</w:t>
      </w:r>
      <w:bookmarkEnd w:id="91"/>
      <w:bookmarkEnd w:id="92"/>
      <w:r w:rsidRPr="00310581">
        <w:rPr>
          <w:rFonts w:ascii="Book Antiqua" w:hAnsi="Book Antiqua"/>
        </w:rPr>
        <w:t xml:space="preserve"> to validate the direct interaction between miR-192-5p and SCD-</w:t>
      </w:r>
      <w:bookmarkEnd w:id="89"/>
      <w:bookmarkEnd w:id="90"/>
      <w:r w:rsidRPr="00310581">
        <w:rPr>
          <w:rFonts w:ascii="Book Antiqua" w:hAnsi="Book Antiqua"/>
        </w:rPr>
        <w:t>1. The bindin</w:t>
      </w:r>
      <w:r w:rsidRPr="00310581">
        <w:rPr>
          <w:rFonts w:ascii="Book Antiqua" w:hAnsi="Book Antiqua"/>
          <w:color w:val="000000"/>
        </w:rPr>
        <w:t xml:space="preserve">g sites of miR-192-5p with 3’ UTR of SCD-1 are shown in Figure 3A, and the miR-192-5p seed sequence was deleted in mutant SCD-1. </w:t>
      </w:r>
      <w:bookmarkStart w:id="93" w:name="OLE_LINK65"/>
      <w:bookmarkStart w:id="94" w:name="OLE_LINK66"/>
      <w:r w:rsidRPr="00310581">
        <w:rPr>
          <w:rFonts w:ascii="Book Antiqua" w:hAnsi="Book Antiqua"/>
          <w:color w:val="000000"/>
        </w:rPr>
        <w:t xml:space="preserve">The luciferase activity in WT </w:t>
      </w:r>
      <w:bookmarkStart w:id="95" w:name="OLE_LINK7"/>
      <w:bookmarkStart w:id="96" w:name="OLE_LINK8"/>
      <w:r w:rsidRPr="00310581">
        <w:rPr>
          <w:rFonts w:ascii="Book Antiqua" w:hAnsi="Book Antiqua"/>
          <w:color w:val="000000"/>
        </w:rPr>
        <w:t>SCD-1 3’ UTR</w:t>
      </w:r>
      <w:bookmarkEnd w:id="95"/>
      <w:bookmarkEnd w:id="96"/>
      <w:r w:rsidRPr="00310581">
        <w:rPr>
          <w:rFonts w:ascii="Book Antiqua" w:hAnsi="Book Antiqua"/>
          <w:color w:val="000000"/>
        </w:rPr>
        <w:t xml:space="preserve"> was suppressed to 60% by miR-192-5p mimics and showed a 1.25-fold increase by miR-192-5p inhibitors c</w:t>
      </w:r>
      <w:bookmarkEnd w:id="93"/>
      <w:bookmarkEnd w:id="94"/>
      <w:r w:rsidRPr="00310581">
        <w:rPr>
          <w:rFonts w:ascii="Book Antiqua" w:hAnsi="Book Antiqua"/>
          <w:color w:val="000000"/>
        </w:rPr>
        <w:t xml:space="preserve">ompared </w:t>
      </w:r>
      <w:r w:rsidRPr="00310581">
        <w:rPr>
          <w:rFonts w:ascii="Book Antiqua" w:hAnsi="Book Antiqua"/>
          <w:color w:val="000000"/>
        </w:rPr>
        <w:lastRenderedPageBreak/>
        <w:t>with their respective negative controls (</w:t>
      </w:r>
      <w:r w:rsidRPr="00310581">
        <w:rPr>
          <w:rFonts w:ascii="Book Antiqua" w:hAnsi="Book Antiqua"/>
          <w:i/>
          <w:color w:val="000000"/>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 xml:space="preserve">0.01). However, these repressive and stimulatory effects could be abrogated by the mutation of the SCD-1 3’UTR (Figure 3B), suggesting the direct interaction between miR-192-5p and the 3’UTR of SCD-1 mRNA. At the same time, we measured the mRNA levels of SCD-1 in Huh7 cells when transfected with miR-192-5p mimics and inhibitors, but neither of them showed significant differences compared with their respective negative controls (Figure 3C). Fortunately, we found an obvious reduction in SCD-1 protein levels in Huh7 cells transfected with miR-192-5p mimics and an induction of these levels when transfected with miR-192-5p inhibitors compared with their </w:t>
      </w:r>
      <w:bookmarkStart w:id="97" w:name="OLE_LINK9"/>
      <w:bookmarkStart w:id="98" w:name="OLE_LINK10"/>
      <w:r w:rsidRPr="00310581">
        <w:rPr>
          <w:rFonts w:ascii="Book Antiqua" w:hAnsi="Book Antiqua"/>
          <w:color w:val="000000"/>
        </w:rPr>
        <w:t xml:space="preserve">separate </w:t>
      </w:r>
      <w:bookmarkEnd w:id="97"/>
      <w:bookmarkEnd w:id="98"/>
      <w:r w:rsidRPr="00310581">
        <w:rPr>
          <w:rFonts w:ascii="Book Antiqua" w:hAnsi="Book Antiqua"/>
          <w:color w:val="000000"/>
        </w:rPr>
        <w:t>negative controls (</w:t>
      </w:r>
      <w:r w:rsidRPr="00310581">
        <w:rPr>
          <w:rFonts w:ascii="Book Antiqua" w:hAnsi="Book Antiqua"/>
          <w:i/>
          <w:color w:val="000000"/>
        </w:rPr>
        <w:t>P</w:t>
      </w:r>
      <w:r w:rsidR="0070278B" w:rsidRPr="00310581">
        <w:rPr>
          <w:rFonts w:ascii="Book Antiqua" w:hAnsi="Book Antiqua"/>
          <w:i/>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 xml:space="preserve">0.01; Figure 3D). </w:t>
      </w:r>
    </w:p>
    <w:p w14:paraId="1BAA7DC8" w14:textId="77777777" w:rsidR="0070278B" w:rsidRPr="00310581" w:rsidRDefault="0070278B" w:rsidP="009315CE">
      <w:pPr>
        <w:snapToGrid w:val="0"/>
        <w:spacing w:line="360" w:lineRule="auto"/>
        <w:rPr>
          <w:rFonts w:ascii="Book Antiqua" w:hAnsi="Book Antiqua"/>
          <w:color w:val="000000"/>
        </w:rPr>
      </w:pPr>
    </w:p>
    <w:p w14:paraId="7B253DF2" w14:textId="77777777" w:rsidR="001F5466" w:rsidRPr="00310581" w:rsidRDefault="001F5466" w:rsidP="009315CE">
      <w:pPr>
        <w:snapToGrid w:val="0"/>
        <w:spacing w:line="360" w:lineRule="auto"/>
        <w:rPr>
          <w:rFonts w:ascii="Book Antiqua" w:hAnsi="Book Antiqua"/>
          <w:b/>
          <w:color w:val="000000"/>
        </w:rPr>
      </w:pPr>
      <w:r w:rsidRPr="00310581">
        <w:rPr>
          <w:rFonts w:ascii="Book Antiqua" w:hAnsi="Book Antiqua"/>
          <w:b/>
          <w:i/>
          <w:color w:val="000000"/>
        </w:rPr>
        <w:t>MiR-192-5p alleviated lipid accumulation by interacting with SCD-1</w:t>
      </w:r>
    </w:p>
    <w:p w14:paraId="5EC67488" w14:textId="18E3ED2F" w:rsidR="001F5466" w:rsidRPr="00310581" w:rsidRDefault="001F5466" w:rsidP="009315CE">
      <w:pPr>
        <w:snapToGrid w:val="0"/>
        <w:spacing w:line="360" w:lineRule="auto"/>
        <w:rPr>
          <w:rFonts w:ascii="Book Antiqua" w:hAnsi="Book Antiqua"/>
          <w:color w:val="000000"/>
        </w:rPr>
      </w:pPr>
      <w:r w:rsidRPr="00310581">
        <w:rPr>
          <w:rFonts w:ascii="Book Antiqua" w:hAnsi="Book Antiqua"/>
          <w:color w:val="000000"/>
        </w:rPr>
        <w:t xml:space="preserve">To evaluate the function of miR-192-5p in lipid metabolism, we transfected Huh7 cells with mimic NC and miR-192-5p mimics and cultured them in 0.3 mM PA medium. From Oil Red O staining, we found that the overexpression of miR-192-5p could alleviate lipid accumulation in Huh7 cells after exposure to PA for 8 hours (Figure 4A). As expected, Huh7 cells transfected with miR-192-5p mimics resulted in a significant reduction (23%) in cellular </w:t>
      </w:r>
      <w:bookmarkStart w:id="99" w:name="OLE_LINK5"/>
      <w:bookmarkStart w:id="100" w:name="OLE_LINK6"/>
      <w:r w:rsidRPr="00310581">
        <w:rPr>
          <w:rFonts w:ascii="Book Antiqua" w:hAnsi="Book Antiqua"/>
          <w:color w:val="000000"/>
        </w:rPr>
        <w:t xml:space="preserve">TG </w:t>
      </w:r>
      <w:bookmarkEnd w:id="99"/>
      <w:bookmarkEnd w:id="100"/>
      <w:r w:rsidRPr="00310581">
        <w:rPr>
          <w:rFonts w:ascii="Book Antiqua" w:hAnsi="Book Antiqua"/>
          <w:color w:val="000000"/>
        </w:rPr>
        <w:t>levels compared with mimic NC after PA exposure (</w:t>
      </w:r>
      <w:r w:rsidRPr="00310581">
        <w:rPr>
          <w:rFonts w:ascii="Book Antiqua" w:hAnsi="Book Antiqua"/>
          <w:i/>
          <w:color w:val="000000"/>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 xml:space="preserve">0.01; Figure 4B). </w:t>
      </w:r>
      <w:r w:rsidRPr="00310581">
        <w:rPr>
          <w:rFonts w:ascii="Book Antiqua" w:hAnsi="Book Antiqua"/>
          <w:color w:val="000000"/>
          <w:kern w:val="0"/>
        </w:rPr>
        <w:t>We further explored the regulation level of miR-192-5p on SCD-1 express</w:t>
      </w:r>
      <w:r w:rsidRPr="00310581">
        <w:rPr>
          <w:rFonts w:ascii="Book Antiqua" w:hAnsi="Book Antiqua"/>
          <w:color w:val="000000"/>
        </w:rPr>
        <w:t>ion in PA-treated Huh7 cells. The protein levels of SCD-1 were enriched significantly after PA exposure, and the increase could be blocked by the transfection of miR-192-5p mimics (Figure 4C).</w:t>
      </w:r>
    </w:p>
    <w:p w14:paraId="6FA24ECC" w14:textId="77777777" w:rsidR="0070278B" w:rsidRPr="00310581" w:rsidRDefault="0070278B" w:rsidP="009315CE">
      <w:pPr>
        <w:snapToGrid w:val="0"/>
        <w:spacing w:line="360" w:lineRule="auto"/>
        <w:rPr>
          <w:rFonts w:ascii="Book Antiqua" w:hAnsi="Book Antiqua"/>
          <w:color w:val="000000"/>
        </w:rPr>
      </w:pPr>
    </w:p>
    <w:p w14:paraId="7E717CEA" w14:textId="77777777" w:rsidR="001F5466" w:rsidRPr="00310581" w:rsidRDefault="001F5466" w:rsidP="009315CE">
      <w:pPr>
        <w:snapToGrid w:val="0"/>
        <w:spacing w:line="360" w:lineRule="auto"/>
        <w:rPr>
          <w:rFonts w:ascii="Book Antiqua" w:hAnsi="Book Antiqua"/>
          <w:b/>
          <w:i/>
          <w:color w:val="000000"/>
        </w:rPr>
      </w:pPr>
      <w:r w:rsidRPr="00310581">
        <w:rPr>
          <w:rFonts w:ascii="Book Antiqua" w:hAnsi="Book Antiqua"/>
          <w:b/>
          <w:i/>
          <w:color w:val="000000"/>
        </w:rPr>
        <w:t>SCD-1 mediated the promoting effect of the miR-192-5p inhibitor on lipid accumulation</w:t>
      </w:r>
    </w:p>
    <w:p w14:paraId="62D21258" w14:textId="04A95FCD" w:rsidR="001F5466" w:rsidRPr="00310581" w:rsidRDefault="001F5466" w:rsidP="009315CE">
      <w:pPr>
        <w:snapToGrid w:val="0"/>
        <w:spacing w:line="360" w:lineRule="auto"/>
        <w:rPr>
          <w:rFonts w:ascii="Book Antiqua" w:hAnsi="Book Antiqua"/>
          <w:color w:val="000000"/>
        </w:rPr>
      </w:pPr>
      <w:r w:rsidRPr="00310581">
        <w:rPr>
          <w:rFonts w:ascii="Book Antiqua" w:hAnsi="Book Antiqua"/>
          <w:color w:val="000000"/>
        </w:rPr>
        <w:t xml:space="preserve">To further investigate whether the regulation of lipid metabolism by miR-192-5p is mediated by SCD-1, we applied SCD-1 siRNA to perform the </w:t>
      </w:r>
      <w:bookmarkStart w:id="101" w:name="OLE_LINK89"/>
      <w:bookmarkStart w:id="102" w:name="OLE_LINK90"/>
      <w:r w:rsidRPr="00310581">
        <w:rPr>
          <w:rFonts w:ascii="Book Antiqua" w:hAnsi="Book Antiqua"/>
          <w:color w:val="000000"/>
        </w:rPr>
        <w:t>functional remedial experiment</w:t>
      </w:r>
      <w:bookmarkEnd w:id="101"/>
      <w:bookmarkEnd w:id="102"/>
      <w:r w:rsidRPr="00310581">
        <w:rPr>
          <w:rFonts w:ascii="Book Antiqua" w:hAnsi="Book Antiqua"/>
          <w:color w:val="000000"/>
        </w:rPr>
        <w:t xml:space="preserve">. As expected, the miR-192-5p inhibitor significantly increased the protein levels of SCD-1 in PA-treated Huh7 cells </w:t>
      </w:r>
      <w:r w:rsidRPr="00310581">
        <w:rPr>
          <w:rFonts w:ascii="Book Antiqua" w:hAnsi="Book Antiqua"/>
          <w:color w:val="000000"/>
        </w:rPr>
        <w:lastRenderedPageBreak/>
        <w:t>compared with its negative control, and the concomitant SCD-1 siRNA transfection could abrogate the elevated SCD-1 protein levels (Figure 5A). The inhibition of miR-192-5p could aggravate lipid accumulation in PA-treated Huh7 cells, but this could be reversed by SCD-1 knockdown (Figure 5B). Similarly, cellular TG increased after the inhibition of miR-192-5p compared with its negative control, and this promoting effect could be blocked by the transfection of SCD-1 siRNA (</w:t>
      </w:r>
      <w:r w:rsidRPr="00310581">
        <w:rPr>
          <w:rFonts w:ascii="Book Antiqua" w:hAnsi="Book Antiqua"/>
          <w:i/>
          <w:color w:val="000000"/>
        </w:rPr>
        <w:t>P</w:t>
      </w:r>
      <w:r w:rsidR="0070278B" w:rsidRPr="00310581">
        <w:rPr>
          <w:rFonts w:ascii="Book Antiqua" w:hAnsi="Book Antiqua"/>
          <w:color w:val="000000"/>
        </w:rPr>
        <w:t xml:space="preserve"> </w:t>
      </w:r>
      <w:r w:rsidRPr="00310581">
        <w:rPr>
          <w:rFonts w:ascii="Book Antiqua" w:hAnsi="Book Antiqua"/>
          <w:color w:val="000000"/>
        </w:rPr>
        <w:t>&lt;</w:t>
      </w:r>
      <w:r w:rsidR="0070278B" w:rsidRPr="00310581">
        <w:rPr>
          <w:rFonts w:ascii="Book Antiqua" w:hAnsi="Book Antiqua"/>
          <w:color w:val="000000"/>
        </w:rPr>
        <w:t xml:space="preserve"> </w:t>
      </w:r>
      <w:r w:rsidRPr="00310581">
        <w:rPr>
          <w:rFonts w:ascii="Book Antiqua" w:hAnsi="Book Antiqua"/>
          <w:color w:val="000000"/>
        </w:rPr>
        <w:t xml:space="preserve">0.01; Figure 5C). </w:t>
      </w:r>
    </w:p>
    <w:p w14:paraId="3016A531" w14:textId="77777777" w:rsidR="001F5466" w:rsidRPr="00310581" w:rsidRDefault="001F5466" w:rsidP="009315CE">
      <w:pPr>
        <w:snapToGrid w:val="0"/>
        <w:spacing w:line="360" w:lineRule="auto"/>
        <w:rPr>
          <w:rFonts w:ascii="Book Antiqua" w:hAnsi="Book Antiqua"/>
          <w:b/>
          <w:color w:val="000000"/>
        </w:rPr>
      </w:pPr>
      <w:bookmarkStart w:id="103" w:name="OLE_LINK105"/>
      <w:bookmarkStart w:id="104" w:name="OLE_LINK106"/>
    </w:p>
    <w:p w14:paraId="6FCC1FDD" w14:textId="77777777" w:rsidR="001F5466" w:rsidRPr="00310581" w:rsidRDefault="001F5466" w:rsidP="009315CE">
      <w:pPr>
        <w:snapToGrid w:val="0"/>
        <w:spacing w:line="360" w:lineRule="auto"/>
        <w:rPr>
          <w:rFonts w:ascii="Book Antiqua" w:hAnsi="Book Antiqua"/>
          <w:b/>
          <w:color w:val="000000"/>
        </w:rPr>
      </w:pPr>
      <w:r w:rsidRPr="00310581">
        <w:rPr>
          <w:rFonts w:ascii="Book Antiqua" w:hAnsi="Book Antiqua"/>
          <w:b/>
          <w:color w:val="000000"/>
        </w:rPr>
        <w:t>DISCUSSION</w:t>
      </w:r>
    </w:p>
    <w:bookmarkEnd w:id="103"/>
    <w:bookmarkEnd w:id="104"/>
    <w:p w14:paraId="04EF640A" w14:textId="12B17258" w:rsidR="001F5466" w:rsidRPr="00310581" w:rsidRDefault="001F5466" w:rsidP="009315CE">
      <w:pPr>
        <w:snapToGrid w:val="0"/>
        <w:spacing w:line="360" w:lineRule="auto"/>
        <w:rPr>
          <w:rFonts w:ascii="Book Antiqua" w:hAnsi="Book Antiqua"/>
          <w:color w:val="000000"/>
        </w:rPr>
      </w:pPr>
      <w:r w:rsidRPr="00310581">
        <w:rPr>
          <w:rFonts w:ascii="Book Antiqua" w:hAnsi="Book Antiqua"/>
          <w:color w:val="000000"/>
        </w:rPr>
        <w:t xml:space="preserve">In the current study, </w:t>
      </w:r>
      <w:bookmarkStart w:id="105" w:name="OLE_LINK63"/>
      <w:bookmarkStart w:id="106" w:name="OLE_LINK64"/>
      <w:r w:rsidRPr="00310581">
        <w:rPr>
          <w:rFonts w:ascii="Book Antiqua" w:hAnsi="Book Antiqua"/>
          <w:color w:val="000000"/>
        </w:rPr>
        <w:t xml:space="preserve">we demonstrated that miR-192-5p decreased in NAFLD both in vivo and in vitro and the decrease could be reversed after </w:t>
      </w:r>
      <w:bookmarkStart w:id="107" w:name="OLE_LINK150"/>
      <w:bookmarkStart w:id="108" w:name="OLE_LINK151"/>
      <w:r w:rsidRPr="00310581">
        <w:rPr>
          <w:rFonts w:ascii="Book Antiqua" w:hAnsi="Book Antiqua"/>
          <w:color w:val="000000"/>
        </w:rPr>
        <w:t>disease remission</w:t>
      </w:r>
      <w:bookmarkEnd w:id="107"/>
      <w:bookmarkEnd w:id="108"/>
      <w:r w:rsidRPr="00310581">
        <w:rPr>
          <w:rFonts w:ascii="Book Antiqua" w:hAnsi="Book Antiqua"/>
          <w:color w:val="000000"/>
        </w:rPr>
        <w:t xml:space="preserve"> by liraglutide therapy in animal models. Meanwhile, we confirmed that miR-192-5p had a negative regulatory role in lipid synthesis, which was mediated through its regulation on lipogenetic gene SCD-1.</w:t>
      </w:r>
      <w:bookmarkEnd w:id="105"/>
      <w:bookmarkEnd w:id="106"/>
      <w:r w:rsidRPr="00310581">
        <w:rPr>
          <w:rFonts w:ascii="Book Antiqua" w:hAnsi="Book Antiqua"/>
          <w:color w:val="000000"/>
        </w:rPr>
        <w:t xml:space="preserve"> </w:t>
      </w:r>
    </w:p>
    <w:p w14:paraId="6EDD85C2" w14:textId="6A523783" w:rsidR="001F5466" w:rsidRPr="00310581" w:rsidRDefault="001F5466" w:rsidP="009315CE">
      <w:pPr>
        <w:snapToGrid w:val="0"/>
        <w:spacing w:line="360" w:lineRule="auto"/>
        <w:ind w:firstLineChars="100" w:firstLine="240"/>
        <w:rPr>
          <w:rFonts w:ascii="Book Antiqua" w:hAnsi="Book Antiqua"/>
        </w:rPr>
      </w:pPr>
      <w:r w:rsidRPr="00310581">
        <w:rPr>
          <w:rFonts w:ascii="Book Antiqua" w:hAnsi="Book Antiqua"/>
          <w:color w:val="000000"/>
        </w:rPr>
        <w:t xml:space="preserve">Because of the abundance of miR-192-5p in the liver, many researchers have focused on miR-192-5p as a serum biomarker of liver injury. For example, serum levels of miR-192-5p have been found to increase in patients with </w:t>
      </w:r>
      <w:bookmarkStart w:id="109" w:name="OLE_LINK43"/>
      <w:bookmarkStart w:id="110" w:name="OLE_LINK44"/>
      <w:r w:rsidRPr="00310581">
        <w:rPr>
          <w:rFonts w:ascii="Book Antiqua" w:hAnsi="Book Antiqua"/>
          <w:color w:val="000000"/>
        </w:rPr>
        <w:t>various liver diseases</w:t>
      </w:r>
      <w:bookmarkEnd w:id="109"/>
      <w:bookmarkEnd w:id="110"/>
      <w:r w:rsidRPr="00310581">
        <w:rPr>
          <w:rFonts w:ascii="Book Antiqua" w:hAnsi="Book Antiqua"/>
          <w:color w:val="000000"/>
        </w:rPr>
        <w:t>, such as drug-induced liver injury</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18]</w:t>
      </w:r>
      <w:r w:rsidRPr="00310581">
        <w:rPr>
          <w:rFonts w:ascii="Book Antiqua" w:hAnsi="Book Antiqua"/>
          <w:color w:val="000000"/>
        </w:rPr>
        <w:t>, chronic hepatitis B</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19]</w:t>
      </w:r>
      <w:r w:rsidRPr="00310581">
        <w:rPr>
          <w:rFonts w:ascii="Book Antiqua" w:hAnsi="Book Antiqua"/>
          <w:color w:val="000000"/>
        </w:rPr>
        <w:t>, hepatocellular carcinoma</w:t>
      </w:r>
      <w:r w:rsidR="00C95724" w:rsidRPr="00310581">
        <w:rPr>
          <w:rFonts w:ascii="Book Antiqua" w:hAnsi="Book Antiqua"/>
          <w:color w:val="000000"/>
          <w:vertAlign w:val="superscript"/>
        </w:rPr>
        <w:t>[</w:t>
      </w:r>
      <w:r w:rsidR="0070278B" w:rsidRPr="00310581">
        <w:rPr>
          <w:rFonts w:ascii="Book Antiqua" w:hAnsi="Book Antiqua"/>
          <w:noProof/>
          <w:color w:val="000000"/>
          <w:vertAlign w:val="superscript"/>
        </w:rPr>
        <w:t>20,</w:t>
      </w:r>
      <w:r w:rsidRPr="00310581">
        <w:rPr>
          <w:rFonts w:ascii="Book Antiqua" w:hAnsi="Book Antiqua"/>
          <w:noProof/>
          <w:color w:val="000000"/>
          <w:vertAlign w:val="superscript"/>
        </w:rPr>
        <w:t>21]</w:t>
      </w:r>
      <w:r w:rsidRPr="00310581">
        <w:rPr>
          <w:rFonts w:ascii="Book Antiqua" w:hAnsi="Book Antiqua"/>
          <w:color w:val="000000"/>
        </w:rPr>
        <w:t>, and NAFLD</w:t>
      </w:r>
      <w:r w:rsidR="00C95724" w:rsidRPr="00310581">
        <w:rPr>
          <w:rFonts w:ascii="Book Antiqua" w:hAnsi="Book Antiqua"/>
          <w:color w:val="000000"/>
          <w:vertAlign w:val="superscript"/>
        </w:rPr>
        <w:t>[</w:t>
      </w:r>
      <w:r w:rsidR="0070278B" w:rsidRPr="00310581">
        <w:rPr>
          <w:rFonts w:ascii="Book Antiqua" w:hAnsi="Book Antiqua"/>
          <w:noProof/>
          <w:color w:val="000000"/>
          <w:vertAlign w:val="superscript"/>
        </w:rPr>
        <w:t>11,</w:t>
      </w:r>
      <w:r w:rsidRPr="00310581">
        <w:rPr>
          <w:rFonts w:ascii="Book Antiqua" w:hAnsi="Book Antiqua"/>
          <w:noProof/>
          <w:color w:val="000000"/>
          <w:vertAlign w:val="superscript"/>
        </w:rPr>
        <w:t>22]</w:t>
      </w:r>
      <w:r w:rsidRPr="00310581">
        <w:rPr>
          <w:rFonts w:ascii="Book Antiqua" w:hAnsi="Book Antiqua"/>
          <w:color w:val="000000"/>
        </w:rPr>
        <w:t xml:space="preserve">. </w:t>
      </w:r>
      <w:r w:rsidRPr="00310581">
        <w:rPr>
          <w:rFonts w:ascii="Book Antiqua" w:hAnsi="Book Antiqua"/>
          <w:color w:val="000000"/>
          <w:kern w:val="0"/>
        </w:rPr>
        <w:t>Serum miR-122 and miR-192 levels have been reported to differentiate control livers, simple hepatic steatosis, and NASH in clinical studies</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11]</w:t>
      </w:r>
      <w:r w:rsidRPr="00310581">
        <w:rPr>
          <w:rFonts w:ascii="Book Antiqua" w:hAnsi="Book Antiqua"/>
          <w:color w:val="000000"/>
          <w:kern w:val="0"/>
        </w:rPr>
        <w:t>. Similarly, our previous research in NAFLD patients also found that miR-122, miR-192, and miR-34a also showed good correlations with hepatic steatosis and inflammatory activity</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12]</w:t>
      </w:r>
      <w:r w:rsidRPr="00310581">
        <w:rPr>
          <w:rFonts w:ascii="Book Antiqua" w:hAnsi="Book Antiqua"/>
          <w:color w:val="000000"/>
          <w:kern w:val="0"/>
        </w:rPr>
        <w:t>. Among the three microRNAs, miR-122 is the most studied in NAFLD and can regulate numerous genes involved in lipid metabolism, such as sterol regulatory element binding protein (SREBP), acetyl coenzyme A carboxylase 2 (ACC2) and 3-hydroxy-3-methyl-glutaryl coenzyme A reductase (HMGCR)</w:t>
      </w:r>
      <w:r w:rsidR="00C95724" w:rsidRPr="00310581">
        <w:rPr>
          <w:rFonts w:ascii="Book Antiqua" w:hAnsi="Book Antiqua"/>
          <w:color w:val="000000"/>
          <w:kern w:val="0"/>
          <w:vertAlign w:val="superscript"/>
        </w:rPr>
        <w:t>[</w:t>
      </w:r>
      <w:r w:rsidR="0070278B" w:rsidRPr="00310581">
        <w:rPr>
          <w:rFonts w:ascii="Book Antiqua" w:hAnsi="Book Antiqua"/>
          <w:noProof/>
          <w:color w:val="000000"/>
          <w:kern w:val="0"/>
          <w:vertAlign w:val="superscript"/>
        </w:rPr>
        <w:t>23,</w:t>
      </w:r>
      <w:r w:rsidRPr="00310581">
        <w:rPr>
          <w:rFonts w:ascii="Book Antiqua" w:hAnsi="Book Antiqua"/>
          <w:noProof/>
          <w:color w:val="000000"/>
          <w:kern w:val="0"/>
          <w:vertAlign w:val="superscript"/>
        </w:rPr>
        <w:t>24]</w:t>
      </w:r>
      <w:r w:rsidRPr="00310581">
        <w:rPr>
          <w:rFonts w:ascii="Book Antiqua" w:hAnsi="Book Antiqua"/>
          <w:color w:val="000000"/>
          <w:kern w:val="0"/>
        </w:rPr>
        <w:t>. Similarly, miR-34a is characterized as a regulator of peroxisome proliferator-activated receptor α (PPAR-α) and its downstream genes and it induces lipid accumulation in a hepatocyte nuclear factor 4α (HNF-4α)-d</w:t>
      </w:r>
      <w:r w:rsidRPr="00310581">
        <w:rPr>
          <w:rFonts w:ascii="Book Antiqua" w:hAnsi="Book Antiqua"/>
          <w:color w:val="000000"/>
        </w:rPr>
        <w:t>ependent way</w:t>
      </w:r>
      <w:r w:rsidR="00C95724" w:rsidRPr="00310581">
        <w:rPr>
          <w:rFonts w:ascii="Book Antiqua" w:hAnsi="Book Antiqua"/>
          <w:color w:val="000000"/>
          <w:vertAlign w:val="superscript"/>
        </w:rPr>
        <w:t>[</w:t>
      </w:r>
      <w:r w:rsidR="0070278B" w:rsidRPr="00310581">
        <w:rPr>
          <w:rFonts w:ascii="Book Antiqua" w:hAnsi="Book Antiqua"/>
          <w:noProof/>
          <w:color w:val="000000"/>
          <w:vertAlign w:val="superscript"/>
        </w:rPr>
        <w:t>25,</w:t>
      </w:r>
      <w:r w:rsidRPr="00310581">
        <w:rPr>
          <w:rFonts w:ascii="Book Antiqua" w:hAnsi="Book Antiqua"/>
          <w:noProof/>
          <w:color w:val="000000"/>
          <w:vertAlign w:val="superscript"/>
        </w:rPr>
        <w:t>26]</w:t>
      </w:r>
      <w:r w:rsidRPr="00310581">
        <w:rPr>
          <w:rFonts w:ascii="Book Antiqua" w:hAnsi="Book Antiqua"/>
          <w:color w:val="000000"/>
        </w:rPr>
        <w:t xml:space="preserve">. However, the regulatory role of miR-192-5p in </w:t>
      </w:r>
      <w:r w:rsidRPr="00310581">
        <w:rPr>
          <w:rFonts w:ascii="Book Antiqua" w:hAnsi="Book Antiqua"/>
          <w:color w:val="000000"/>
        </w:rPr>
        <w:lastRenderedPageBreak/>
        <w:t xml:space="preserve">NAFLD remains unknown. In our in vivo and in vitro models of NAFLD, </w:t>
      </w:r>
      <w:r w:rsidRPr="00310581">
        <w:rPr>
          <w:rFonts w:ascii="Book Antiqua" w:hAnsi="Book Antiqua"/>
          <w:color w:val="000000"/>
          <w:kern w:val="0"/>
        </w:rPr>
        <w:t>miR-192-5p</w:t>
      </w:r>
      <w:r w:rsidRPr="00310581">
        <w:rPr>
          <w:rFonts w:ascii="Book Antiqua" w:hAnsi="Book Antiqua"/>
          <w:color w:val="000000"/>
        </w:rPr>
        <w:t xml:space="preserve"> decreased in the livers with steatosis and in cells with lipid accumulation. Because </w:t>
      </w:r>
      <w:r w:rsidRPr="00310581">
        <w:rPr>
          <w:rFonts w:ascii="Book Antiqua" w:hAnsi="Book Antiqua"/>
          <w:color w:val="000000"/>
          <w:kern w:val="0"/>
        </w:rPr>
        <w:t>liraglutide is a well-known therapeutic option for weight loss and</w:t>
      </w:r>
      <w:r w:rsidRPr="00310581">
        <w:rPr>
          <w:rFonts w:ascii="Book Antiqua" w:hAnsi="Book Antiqua"/>
          <w:color w:val="000000"/>
        </w:rPr>
        <w:t xml:space="preserve"> NAFLD</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27]</w:t>
      </w:r>
      <w:r w:rsidRPr="00310581">
        <w:rPr>
          <w:rFonts w:ascii="Book Antiqua" w:hAnsi="Book Antiqua"/>
          <w:color w:val="000000"/>
        </w:rPr>
        <w:t xml:space="preserve">, the injection of </w:t>
      </w:r>
      <w:bookmarkStart w:id="111" w:name="OLE_LINK34"/>
      <w:bookmarkStart w:id="112" w:name="OLE_LINK35"/>
      <w:bookmarkStart w:id="113" w:name="OLE_LINK86"/>
      <w:r w:rsidRPr="00310581">
        <w:rPr>
          <w:rFonts w:ascii="Book Antiqua" w:hAnsi="Book Antiqua"/>
          <w:color w:val="000000"/>
          <w:kern w:val="0"/>
        </w:rPr>
        <w:t>liraglutide</w:t>
      </w:r>
      <w:bookmarkEnd w:id="111"/>
      <w:bookmarkEnd w:id="112"/>
      <w:bookmarkEnd w:id="113"/>
      <w:r w:rsidRPr="00310581">
        <w:rPr>
          <w:rFonts w:ascii="Book Antiqua" w:hAnsi="Book Antiqua"/>
          <w:color w:val="000000"/>
          <w:kern w:val="0"/>
        </w:rPr>
        <w:t xml:space="preserve"> in HFD rats significantly alleviated the steatosis and hepatic TG levels, accompanied by the induction of hepatic miR-19</w:t>
      </w:r>
      <w:r w:rsidRPr="00310581">
        <w:rPr>
          <w:rFonts w:ascii="Book Antiqua" w:hAnsi="Book Antiqua"/>
          <w:kern w:val="0"/>
        </w:rPr>
        <w:t>2-5p levels. These results may indicate that miR-192-5p has a negative correlation with hepatic lipid accumulation.</w:t>
      </w:r>
    </w:p>
    <w:p w14:paraId="4361512C" w14:textId="040869F0" w:rsidR="001F5466" w:rsidRPr="00310581" w:rsidRDefault="001F5466" w:rsidP="009315CE">
      <w:pPr>
        <w:snapToGrid w:val="0"/>
        <w:spacing w:line="360" w:lineRule="auto"/>
        <w:ind w:firstLineChars="100" w:firstLine="240"/>
        <w:rPr>
          <w:rFonts w:ascii="Book Antiqua" w:hAnsi="Book Antiqua"/>
          <w:color w:val="000000"/>
        </w:rPr>
      </w:pPr>
      <w:bookmarkStart w:id="114" w:name="OLE_LINK45"/>
      <w:bookmarkStart w:id="115" w:name="OLE_LINK46"/>
      <w:r w:rsidRPr="00310581">
        <w:rPr>
          <w:rFonts w:ascii="Book Antiqua" w:hAnsi="Book Antiqua"/>
          <w:color w:val="000000"/>
        </w:rPr>
        <w:t xml:space="preserve">Originally, </w:t>
      </w:r>
      <w:bookmarkStart w:id="116" w:name="OLE_LINK24"/>
      <w:bookmarkStart w:id="117" w:name="OLE_LINK25"/>
      <w:r w:rsidRPr="00310581">
        <w:rPr>
          <w:rFonts w:ascii="Book Antiqua" w:hAnsi="Book Antiqua"/>
          <w:color w:val="000000"/>
        </w:rPr>
        <w:t>miR-192-5p</w:t>
      </w:r>
      <w:bookmarkEnd w:id="116"/>
      <w:bookmarkEnd w:id="117"/>
      <w:r w:rsidRPr="00310581">
        <w:rPr>
          <w:rFonts w:ascii="Book Antiqua" w:hAnsi="Book Antiqua"/>
          <w:color w:val="000000"/>
        </w:rPr>
        <w:t xml:space="preserve"> was identified as an oncogene in some cancers and shows a negative correlation with the liver metastatic potential of colon cancer cells</w:t>
      </w:r>
      <w:bookmarkEnd w:id="114"/>
      <w:bookmarkEnd w:id="115"/>
      <w:r w:rsidR="00C95724" w:rsidRPr="00310581">
        <w:rPr>
          <w:rFonts w:ascii="Book Antiqua" w:hAnsi="Book Antiqua"/>
          <w:color w:val="000000"/>
          <w:vertAlign w:val="superscript"/>
        </w:rPr>
        <w:t>[</w:t>
      </w:r>
      <w:r w:rsidRPr="00310581">
        <w:rPr>
          <w:rFonts w:ascii="Book Antiqua" w:hAnsi="Book Antiqua"/>
          <w:noProof/>
          <w:color w:val="000000"/>
          <w:vertAlign w:val="superscript"/>
        </w:rPr>
        <w:t>28]</w:t>
      </w:r>
      <w:r w:rsidRPr="00310581">
        <w:rPr>
          <w:rFonts w:ascii="Book Antiqua" w:hAnsi="Book Antiqua"/>
          <w:color w:val="000000"/>
        </w:rPr>
        <w:t xml:space="preserve">. The expression of </w:t>
      </w:r>
      <w:r w:rsidRPr="00310581">
        <w:rPr>
          <w:rFonts w:ascii="Book Antiqua" w:hAnsi="Book Antiqua"/>
          <w:color w:val="000000"/>
          <w:kern w:val="0"/>
        </w:rPr>
        <w:t xml:space="preserve">miR-192-5p is regulated partly by transforming growth factor β1 (TGFβ1) and hepatocyte nuclear factor </w:t>
      </w:r>
      <w:bookmarkStart w:id="118" w:name="OLE_LINK26"/>
      <w:bookmarkStart w:id="119" w:name="OLE_LINK27"/>
      <w:r w:rsidRPr="00310581">
        <w:rPr>
          <w:rFonts w:ascii="Book Antiqua" w:hAnsi="Book Antiqua"/>
          <w:color w:val="000000"/>
          <w:kern w:val="0"/>
        </w:rPr>
        <w:t>4α</w:t>
      </w:r>
      <w:bookmarkEnd w:id="118"/>
      <w:bookmarkEnd w:id="119"/>
      <w:r w:rsidRPr="00310581">
        <w:rPr>
          <w:rFonts w:ascii="Book Antiqua" w:hAnsi="Book Antiqua"/>
          <w:color w:val="000000"/>
          <w:kern w:val="0"/>
        </w:rPr>
        <w:t xml:space="preserve"> (HNF4α)</w:t>
      </w:r>
      <w:r w:rsidR="00C95724" w:rsidRPr="00310581">
        <w:rPr>
          <w:rFonts w:ascii="Book Antiqua" w:hAnsi="Book Antiqua"/>
          <w:color w:val="000000"/>
          <w:kern w:val="0"/>
          <w:vertAlign w:val="superscript"/>
        </w:rPr>
        <w:t>[</w:t>
      </w:r>
      <w:r w:rsidR="0070278B" w:rsidRPr="00310581">
        <w:rPr>
          <w:rFonts w:ascii="Book Antiqua" w:hAnsi="Book Antiqua"/>
          <w:noProof/>
          <w:color w:val="000000"/>
          <w:kern w:val="0"/>
          <w:vertAlign w:val="superscript"/>
        </w:rPr>
        <w:t>29,</w:t>
      </w:r>
      <w:r w:rsidRPr="00310581">
        <w:rPr>
          <w:rFonts w:ascii="Book Antiqua" w:hAnsi="Book Antiqua"/>
          <w:noProof/>
          <w:color w:val="000000"/>
          <w:kern w:val="0"/>
          <w:vertAlign w:val="superscript"/>
        </w:rPr>
        <w:t>30]</w:t>
      </w:r>
      <w:r w:rsidRPr="00310581">
        <w:rPr>
          <w:rFonts w:ascii="Book Antiqua" w:hAnsi="Book Antiqua"/>
          <w:color w:val="000000"/>
          <w:kern w:val="0"/>
        </w:rPr>
        <w:t xml:space="preserve">. </w:t>
      </w:r>
      <w:r w:rsidRPr="00310581">
        <w:rPr>
          <w:rFonts w:ascii="Book Antiqua" w:hAnsi="Book Antiqua"/>
          <w:color w:val="000000"/>
        </w:rPr>
        <w:t>A study</w:t>
      </w:r>
      <w:r w:rsidRPr="00310581">
        <w:rPr>
          <w:rFonts w:ascii="Book Antiqua" w:hAnsi="Book Antiqua"/>
        </w:rPr>
        <w:t xml:space="preserve"> by Roy et al shows</w:t>
      </w:r>
      <w:r w:rsidRPr="00310581">
        <w:rPr>
          <w:rFonts w:ascii="Book Antiqua" w:hAnsi="Book Antiqua"/>
          <w:color w:val="000000"/>
        </w:rPr>
        <w:t xml:space="preserve"> that hepatic miR-192-5p can protect against acute liver injury induced by oxidative stress through the mediation of target gene Zeb2, which is a principal transcriptional regulator in cell survival</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13]</w:t>
      </w:r>
      <w:r w:rsidRPr="00310581">
        <w:rPr>
          <w:rFonts w:ascii="Book Antiqua" w:hAnsi="Book Antiqua"/>
          <w:color w:val="000000"/>
        </w:rPr>
        <w:t>. Furthermore, docosahexaenoic acid (DHA) can up-regulate miR-192 levels in enterocyte Caco-2 cells, and miR-192 shows a repressive effect on the expression of genes involved in lipid metabolism, such as insulin-like growth factor 1 (IGF1), fatty acid binding protein 3 (FABP3), and very low-density lipoprotein receptor (VLDLR)</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31]</w:t>
      </w:r>
      <w:r w:rsidRPr="00310581">
        <w:rPr>
          <w:rFonts w:ascii="Book Antiqua" w:hAnsi="Book Antiqua"/>
          <w:color w:val="000000"/>
        </w:rPr>
        <w:t>. Recently, miR-192-5p was reported to play a role in Bisphenol A-triggered NAFLD by regulating SREBF1</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32]</w:t>
      </w:r>
      <w:r w:rsidRPr="00310581">
        <w:rPr>
          <w:rFonts w:ascii="Book Antiqua" w:hAnsi="Book Antiqua"/>
          <w:color w:val="000000"/>
        </w:rPr>
        <w:t xml:space="preserve">. In our NASH animal models fed with an HFD and in the Huh7 cells treated with saturated fatty acid PA, which are the most well-recognized models for this disease, we demonstrated that the hepatic and cellular levels of miR-192-5p decreased significantly and that the overexpression of </w:t>
      </w:r>
      <w:bookmarkStart w:id="120" w:name="OLE_LINK28"/>
      <w:bookmarkStart w:id="121" w:name="OLE_LINK29"/>
      <w:r w:rsidRPr="00310581">
        <w:rPr>
          <w:rFonts w:ascii="Book Antiqua" w:hAnsi="Book Antiqua"/>
          <w:color w:val="000000"/>
        </w:rPr>
        <w:t>miR-192-5p</w:t>
      </w:r>
      <w:bookmarkEnd w:id="120"/>
      <w:bookmarkEnd w:id="121"/>
      <w:r w:rsidRPr="00310581">
        <w:rPr>
          <w:rFonts w:ascii="Book Antiqua" w:hAnsi="Book Antiqua"/>
          <w:color w:val="000000"/>
        </w:rPr>
        <w:t xml:space="preserve"> could alleviate lipid accumulation in Huh7 cells. These results suggested that, in addition to its role in cell death and apoptosis, </w:t>
      </w:r>
      <w:r w:rsidRPr="00310581">
        <w:rPr>
          <w:rFonts w:ascii="Book Antiqua" w:hAnsi="Book Antiqua"/>
          <w:color w:val="000000"/>
          <w:kern w:val="0"/>
        </w:rPr>
        <w:t>miR-192-5p could participate in lipid metabolism in NAFLD.</w:t>
      </w:r>
    </w:p>
    <w:p w14:paraId="0773DBD4" w14:textId="147B2564" w:rsidR="001F5466" w:rsidRPr="00310581" w:rsidRDefault="001F5466" w:rsidP="009315CE">
      <w:pPr>
        <w:snapToGrid w:val="0"/>
        <w:spacing w:line="360" w:lineRule="auto"/>
        <w:ind w:firstLineChars="100" w:firstLine="240"/>
        <w:rPr>
          <w:rFonts w:ascii="Book Antiqua" w:hAnsi="Book Antiqua"/>
          <w:color w:val="000000"/>
          <w:kern w:val="0"/>
        </w:rPr>
      </w:pPr>
      <w:r w:rsidRPr="00310581">
        <w:rPr>
          <w:rFonts w:ascii="Book Antiqua" w:hAnsi="Book Antiqua"/>
          <w:color w:val="000000"/>
        </w:rPr>
        <w:t>In the livers of NAFLD patients, fat accumulates because of an imbalance between lipid deposition and removal, which is driven by the hepatic synthesis of TG and DNL, especially in conditions of insulin resistance</w:t>
      </w:r>
      <w:r w:rsidR="00C95724" w:rsidRPr="00310581">
        <w:rPr>
          <w:rFonts w:ascii="Book Antiqua" w:hAnsi="Book Antiqua"/>
          <w:color w:val="000000"/>
          <w:vertAlign w:val="superscript"/>
        </w:rPr>
        <w:t>[</w:t>
      </w:r>
      <w:r w:rsidR="0070278B" w:rsidRPr="00310581">
        <w:rPr>
          <w:rFonts w:ascii="Book Antiqua" w:hAnsi="Book Antiqua"/>
          <w:noProof/>
          <w:color w:val="000000"/>
          <w:vertAlign w:val="superscript"/>
        </w:rPr>
        <w:t>16,</w:t>
      </w:r>
      <w:r w:rsidRPr="00310581">
        <w:rPr>
          <w:rFonts w:ascii="Book Antiqua" w:hAnsi="Book Antiqua"/>
          <w:noProof/>
          <w:color w:val="000000"/>
          <w:vertAlign w:val="superscript"/>
        </w:rPr>
        <w:t>33]</w:t>
      </w:r>
      <w:r w:rsidRPr="00310581">
        <w:rPr>
          <w:rFonts w:ascii="Book Antiqua" w:hAnsi="Book Antiqua"/>
          <w:color w:val="000000"/>
        </w:rPr>
        <w:t xml:space="preserve">. </w:t>
      </w:r>
      <w:bookmarkStart w:id="122" w:name="OLE_LINK30"/>
      <w:bookmarkStart w:id="123" w:name="OLE_LINK31"/>
      <w:r w:rsidRPr="00310581">
        <w:rPr>
          <w:rFonts w:ascii="Book Antiqua" w:hAnsi="Book Antiqua"/>
          <w:color w:val="000000"/>
        </w:rPr>
        <w:t xml:space="preserve">The contribution of DNL to hepatic TG synthesis and oxidative stress is </w:t>
      </w:r>
      <w:r w:rsidRPr="00310581">
        <w:rPr>
          <w:rFonts w:ascii="Book Antiqua" w:hAnsi="Book Antiqua"/>
          <w:color w:val="000000"/>
        </w:rPr>
        <w:lastRenderedPageBreak/>
        <w:t>significant, so inhibitors of DNL, such as Aramchol, are important NAFLD treatments for reducing hepatic fat accumulation</w:t>
      </w:r>
      <w:r w:rsidR="00C95724" w:rsidRPr="00310581">
        <w:rPr>
          <w:rFonts w:ascii="Book Antiqua" w:hAnsi="Book Antiqua"/>
          <w:color w:val="000000"/>
          <w:vertAlign w:val="superscript"/>
        </w:rPr>
        <w:t>[</w:t>
      </w:r>
      <w:r w:rsidR="0070278B" w:rsidRPr="00310581">
        <w:rPr>
          <w:rFonts w:ascii="Book Antiqua" w:hAnsi="Book Antiqua"/>
          <w:noProof/>
          <w:color w:val="000000"/>
          <w:vertAlign w:val="superscript"/>
        </w:rPr>
        <w:t>34,</w:t>
      </w:r>
      <w:r w:rsidRPr="00310581">
        <w:rPr>
          <w:rFonts w:ascii="Book Antiqua" w:hAnsi="Book Antiqua"/>
          <w:noProof/>
          <w:color w:val="000000"/>
          <w:vertAlign w:val="superscript"/>
        </w:rPr>
        <w:t>35]</w:t>
      </w:r>
      <w:r w:rsidRPr="00310581">
        <w:rPr>
          <w:rFonts w:ascii="Book Antiqua" w:hAnsi="Book Antiqua"/>
          <w:color w:val="000000"/>
        </w:rPr>
        <w:t xml:space="preserve">. SREBP-1c is reported to be the predominant regulator of DNL in the liver and activates key lipogenic genes </w:t>
      </w:r>
      <w:bookmarkEnd w:id="122"/>
      <w:bookmarkEnd w:id="123"/>
      <w:r w:rsidRPr="00310581">
        <w:rPr>
          <w:rFonts w:ascii="Book Antiqua" w:hAnsi="Book Antiqua"/>
          <w:color w:val="000000"/>
        </w:rPr>
        <w:t>such as SCD-1</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17]</w:t>
      </w:r>
      <w:r w:rsidRPr="00310581">
        <w:rPr>
          <w:rFonts w:ascii="Book Antiqua" w:hAnsi="Book Antiqua"/>
          <w:color w:val="000000"/>
        </w:rPr>
        <w:t>. Meanwhile, hepatic SCD-1 can also induce hepatic steatosis independent of upstream regulation by SREBP-1c</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36]</w:t>
      </w:r>
      <w:r w:rsidRPr="00310581">
        <w:rPr>
          <w:rFonts w:ascii="Book Antiqua" w:hAnsi="Book Antiqua"/>
          <w:color w:val="000000"/>
        </w:rPr>
        <w:t>. SCD-1 is an enzyme that catalyzes the desaturation of fatty acyl-CoA substrates and participates in the biosynthesis of monounsaturated fatty acids, which constitute the primary components of TG</w:t>
      </w:r>
      <w:r w:rsidR="00C95724" w:rsidRPr="00310581">
        <w:rPr>
          <w:rFonts w:ascii="Book Antiqua" w:hAnsi="Book Antiqua"/>
          <w:color w:val="000000"/>
          <w:vertAlign w:val="superscript"/>
        </w:rPr>
        <w:t>[</w:t>
      </w:r>
      <w:r w:rsidRPr="00310581">
        <w:rPr>
          <w:rFonts w:ascii="Book Antiqua" w:hAnsi="Book Antiqua"/>
          <w:noProof/>
          <w:color w:val="000000"/>
          <w:vertAlign w:val="superscript"/>
        </w:rPr>
        <w:t>37]</w:t>
      </w:r>
      <w:r w:rsidRPr="00310581">
        <w:rPr>
          <w:rFonts w:ascii="Book Antiqua" w:hAnsi="Book Antiqua"/>
          <w:color w:val="000000"/>
        </w:rPr>
        <w:t xml:space="preserve">. </w:t>
      </w:r>
      <w:r w:rsidRPr="00310581">
        <w:rPr>
          <w:rFonts w:ascii="Book Antiqua" w:hAnsi="Book Antiqua"/>
          <w:color w:val="000000"/>
          <w:kern w:val="0"/>
        </w:rPr>
        <w:t>Increased SCD-1 activity accelerates the last stage of TG synthesis and stimulates lipid accumulation</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38]</w:t>
      </w:r>
      <w:r w:rsidRPr="00310581">
        <w:rPr>
          <w:rFonts w:ascii="Book Antiqua" w:hAnsi="Book Antiqua"/>
          <w:color w:val="000000"/>
          <w:kern w:val="0"/>
        </w:rPr>
        <w:t>, but repressed SCD-1 expression up-regulates the components in the insulin-signaling pathway</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39]</w:t>
      </w:r>
      <w:r w:rsidRPr="00310581">
        <w:rPr>
          <w:rFonts w:ascii="Book Antiqua" w:hAnsi="Book Antiqua"/>
          <w:color w:val="000000"/>
          <w:kern w:val="0"/>
        </w:rPr>
        <w:t xml:space="preserve"> and reduces obesity in HFD-fed animal models</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40]</w:t>
      </w:r>
      <w:r w:rsidRPr="00310581">
        <w:rPr>
          <w:rFonts w:ascii="Book Antiqua" w:hAnsi="Book Antiqua"/>
          <w:color w:val="000000"/>
          <w:kern w:val="0"/>
        </w:rPr>
        <w:t xml:space="preserve">. </w:t>
      </w:r>
      <w:bookmarkStart w:id="124" w:name="OLE_LINK32"/>
      <w:bookmarkStart w:id="125" w:name="OLE_LINK33"/>
      <w:r w:rsidRPr="00310581">
        <w:rPr>
          <w:rFonts w:ascii="Book Antiqua" w:hAnsi="Book Antiqua"/>
          <w:color w:val="000000"/>
          <w:kern w:val="0"/>
        </w:rPr>
        <w:t>Our present study showed an increase in hepatic SCD-1 levels in rats fed an HFD, and treatment with liraglutide could decrease its levels dramatically.</w:t>
      </w:r>
    </w:p>
    <w:p w14:paraId="02C51B80" w14:textId="2B2F6542" w:rsidR="001F5466" w:rsidRPr="00310581" w:rsidRDefault="001F5466" w:rsidP="009315CE">
      <w:pPr>
        <w:snapToGrid w:val="0"/>
        <w:spacing w:line="360" w:lineRule="auto"/>
        <w:ind w:firstLineChars="100" w:firstLine="240"/>
        <w:rPr>
          <w:rFonts w:ascii="Book Antiqua" w:hAnsi="Book Antiqua"/>
          <w:color w:val="000000"/>
          <w:kern w:val="0"/>
        </w:rPr>
      </w:pPr>
      <w:r w:rsidRPr="00310581">
        <w:rPr>
          <w:rFonts w:ascii="Book Antiqua" w:hAnsi="Book Antiqua"/>
          <w:color w:val="000000"/>
        </w:rPr>
        <w:t>In addition to regulation by upstream transcription factors, SCD-1 may be repressed through a microRNA-mediated mechanism. Recent studies have demonstrated the roles of miR-125b and miR-29a in the regulation of SCD-1</w:t>
      </w:r>
      <w:r w:rsidR="00C95724" w:rsidRPr="00310581">
        <w:rPr>
          <w:rFonts w:ascii="Book Antiqua" w:hAnsi="Book Antiqua"/>
          <w:color w:val="000000"/>
          <w:vertAlign w:val="superscript"/>
        </w:rPr>
        <w:t>[</w:t>
      </w:r>
      <w:r w:rsidR="0070278B" w:rsidRPr="00310581">
        <w:rPr>
          <w:rFonts w:ascii="Book Antiqua" w:hAnsi="Book Antiqua"/>
          <w:noProof/>
          <w:color w:val="000000"/>
          <w:vertAlign w:val="superscript"/>
        </w:rPr>
        <w:t>41,</w:t>
      </w:r>
      <w:r w:rsidRPr="00310581">
        <w:rPr>
          <w:rFonts w:ascii="Book Antiqua" w:hAnsi="Book Antiqua"/>
          <w:noProof/>
          <w:color w:val="000000"/>
          <w:vertAlign w:val="superscript"/>
        </w:rPr>
        <w:t>42]</w:t>
      </w:r>
      <w:r w:rsidRPr="00310581">
        <w:rPr>
          <w:rFonts w:ascii="Book Antiqua" w:hAnsi="Book Antiqua"/>
          <w:color w:val="000000"/>
        </w:rPr>
        <w:t xml:space="preserve">. </w:t>
      </w:r>
      <w:bookmarkEnd w:id="124"/>
      <w:bookmarkEnd w:id="125"/>
      <w:r w:rsidRPr="00310581">
        <w:rPr>
          <w:rFonts w:ascii="Book Antiqua" w:hAnsi="Book Antiqua"/>
          <w:color w:val="000000"/>
          <w:kern w:val="0"/>
        </w:rPr>
        <w:t xml:space="preserve">In our study, we found that </w:t>
      </w:r>
      <w:r w:rsidRPr="00310581">
        <w:rPr>
          <w:rFonts w:ascii="Book Antiqua" w:hAnsi="Book Antiqua"/>
          <w:color w:val="000000"/>
        </w:rPr>
        <w:t>a region of the SCD 3’UTR completely matched a seed sequence (5’</w:t>
      </w:r>
      <w:r w:rsidRPr="00310581">
        <w:rPr>
          <w:rFonts w:ascii="Book Antiqua" w:hAnsi="Book Antiqua"/>
          <w:color w:val="000000"/>
          <w:kern w:val="0"/>
        </w:rPr>
        <w:t xml:space="preserve">-UGACCUA-3’) </w:t>
      </w:r>
      <w:r w:rsidRPr="00310581">
        <w:rPr>
          <w:rFonts w:ascii="Book Antiqua" w:hAnsi="Book Antiqua"/>
          <w:color w:val="000000"/>
        </w:rPr>
        <w:t>at the binding site of miR-192-5p</w:t>
      </w:r>
      <w:r w:rsidRPr="00310581">
        <w:rPr>
          <w:rFonts w:ascii="Book Antiqua" w:hAnsi="Book Antiqua"/>
          <w:color w:val="000000"/>
          <w:kern w:val="0"/>
        </w:rPr>
        <w:t>, demonstrating a direct interaction between miR-192-5p and SCD-1. The knockdown and overexpression of miR-192-5p in Huh7 cells showed significant promotion and inhibition effects, respectively, on the protein expression of SCD-1, but no effects were observed on the mRNA levels of this gene. This result suggested that miR-192-5p could regulate the SCD-1 expression at the post-transcriptional level. Since the mRNA targets are only partially complementary to microRNAs in animals, microRNA-induced silencing complexes (miRISCs) can mediate post-transcriptional silencing in the absence of mRNA degradation</w:t>
      </w:r>
      <w:r w:rsidR="00C95724" w:rsidRPr="00310581">
        <w:rPr>
          <w:rFonts w:ascii="Book Antiqua" w:hAnsi="Book Antiqua"/>
          <w:color w:val="000000"/>
          <w:kern w:val="0"/>
          <w:vertAlign w:val="superscript"/>
        </w:rPr>
        <w:t>[</w:t>
      </w:r>
      <w:r w:rsidRPr="00310581">
        <w:rPr>
          <w:rFonts w:ascii="Book Antiqua" w:hAnsi="Book Antiqua"/>
          <w:noProof/>
          <w:color w:val="000000"/>
          <w:kern w:val="0"/>
          <w:vertAlign w:val="superscript"/>
        </w:rPr>
        <w:t>43]</w:t>
      </w:r>
      <w:r w:rsidRPr="00310581">
        <w:rPr>
          <w:rFonts w:ascii="Book Antiqua" w:hAnsi="Book Antiqua"/>
          <w:color w:val="000000"/>
          <w:kern w:val="0"/>
        </w:rPr>
        <w:t xml:space="preserve">. In addition, the </w:t>
      </w:r>
      <w:r w:rsidRPr="00310581">
        <w:rPr>
          <w:rFonts w:ascii="Book Antiqua" w:hAnsi="Book Antiqua"/>
          <w:color w:val="000000"/>
        </w:rPr>
        <w:t>functional remedial experiment</w:t>
      </w:r>
      <w:r w:rsidRPr="00310581">
        <w:rPr>
          <w:rFonts w:ascii="Book Antiqua" w:hAnsi="Book Antiqua"/>
          <w:color w:val="000000"/>
          <w:kern w:val="0"/>
        </w:rPr>
        <w:t xml:space="preserve"> showed that the transfection of SCD-1 siRNA could significantly abrogate the lipid accumulation induced by miR-192-5p inhibitors, indicating that miR-192-5p regulated lipid metabolism </w:t>
      </w:r>
      <w:r w:rsidRPr="00310581">
        <w:rPr>
          <w:rFonts w:ascii="Book Antiqua" w:hAnsi="Book Antiqua"/>
          <w:color w:val="000000"/>
          <w:kern w:val="0"/>
        </w:rPr>
        <w:lastRenderedPageBreak/>
        <w:t>at least partly through an interaction with SCD-1.</w:t>
      </w:r>
    </w:p>
    <w:p w14:paraId="5EBCBBEA" w14:textId="09F51941" w:rsidR="001F5466" w:rsidRPr="00310581" w:rsidRDefault="001F5466" w:rsidP="009315CE">
      <w:pPr>
        <w:snapToGrid w:val="0"/>
        <w:spacing w:line="360" w:lineRule="auto"/>
        <w:ind w:firstLineChars="100" w:firstLine="240"/>
        <w:outlineLvl w:val="0"/>
        <w:rPr>
          <w:rFonts w:ascii="Book Antiqua" w:hAnsi="Book Antiqua"/>
          <w:color w:val="000000"/>
          <w:kern w:val="0"/>
        </w:rPr>
      </w:pPr>
      <w:r w:rsidRPr="00310581">
        <w:rPr>
          <w:rFonts w:ascii="Book Antiqua" w:hAnsi="Book Antiqua"/>
          <w:color w:val="000000"/>
          <w:kern w:val="0"/>
        </w:rPr>
        <w:t xml:space="preserve">The potential limitation of our study is that the specific regulatory role of miR-192-5p in NAFLD has not been thoroughly validated in vivo. Although one study demonstrated that the over-expression of miR-192-5p could abrogate Bisphenol A-induced hepatic steatosis and lipid accumulation in C57BL/6 mice, whether miR-192-5p can alleviate hepatic steatosis in NAFLD patients remains uncertain. Therefore, hepatic miR-192-5p levels and the treatment effect of miR-192-5p need to be validated in clinical practice. It may be difficult to acquire enough participants due to the invasive method required for the </w:t>
      </w:r>
      <w:bookmarkStart w:id="126" w:name="OLE_LINK12"/>
      <w:bookmarkStart w:id="127" w:name="OLE_LINK59"/>
      <w:r w:rsidRPr="00310581">
        <w:rPr>
          <w:rFonts w:ascii="Book Antiqua" w:hAnsi="Book Antiqua"/>
          <w:color w:val="000000"/>
          <w:kern w:val="0"/>
        </w:rPr>
        <w:t xml:space="preserve">retrieval </w:t>
      </w:r>
      <w:bookmarkEnd w:id="126"/>
      <w:bookmarkEnd w:id="127"/>
      <w:r w:rsidRPr="00310581">
        <w:rPr>
          <w:rFonts w:ascii="Book Antiqua" w:hAnsi="Book Antiqua"/>
          <w:color w:val="000000"/>
          <w:kern w:val="0"/>
        </w:rPr>
        <w:t>of liver samples from NAFLD patients, but it would be</w:t>
      </w:r>
      <w:r w:rsidRPr="00310581">
        <w:rPr>
          <w:rFonts w:ascii="Book Antiqua" w:hAnsi="Book Antiqua"/>
        </w:rPr>
        <w:t xml:space="preserve"> </w:t>
      </w:r>
      <w:r w:rsidRPr="00310581">
        <w:rPr>
          <w:rFonts w:ascii="Book Antiqua" w:hAnsi="Book Antiqua"/>
          <w:color w:val="000000"/>
          <w:kern w:val="0"/>
        </w:rPr>
        <w:t>of practical implications if clinical experiments support our claims going forward. In addition, as the therapy by liraglutide in NAFLD is accompanied by the upregulation of hepatic miR-192-5p levels, the rationale between liraglutide and hepatic miR-192-5p is also an open question.</w:t>
      </w:r>
    </w:p>
    <w:p w14:paraId="0981E59E" w14:textId="1AD67708" w:rsidR="001F5466" w:rsidRPr="00310581" w:rsidRDefault="001F5466" w:rsidP="009315CE">
      <w:pPr>
        <w:snapToGrid w:val="0"/>
        <w:spacing w:line="360" w:lineRule="auto"/>
        <w:ind w:firstLineChars="100" w:firstLine="240"/>
        <w:outlineLvl w:val="0"/>
        <w:rPr>
          <w:rFonts w:ascii="Book Antiqua" w:hAnsi="Book Antiqua"/>
          <w:color w:val="000000"/>
        </w:rPr>
      </w:pPr>
      <w:r w:rsidRPr="00310581">
        <w:rPr>
          <w:rFonts w:ascii="Book Antiqua" w:hAnsi="Book Antiqua"/>
          <w:color w:val="000000"/>
          <w:kern w:val="0"/>
        </w:rPr>
        <w:t xml:space="preserve">In conclusion, we </w:t>
      </w:r>
      <w:r w:rsidRPr="00310581">
        <w:rPr>
          <w:rFonts w:ascii="Book Antiqua" w:hAnsi="Book Antiqua"/>
          <w:color w:val="000000"/>
        </w:rPr>
        <w:t xml:space="preserve">demonstrated that </w:t>
      </w:r>
      <w:bookmarkStart w:id="128" w:name="OLE_LINK120"/>
      <w:bookmarkStart w:id="129" w:name="OLE_LINK121"/>
      <w:r w:rsidRPr="00310581">
        <w:rPr>
          <w:rFonts w:ascii="Book Antiqua" w:hAnsi="Book Antiqua"/>
          <w:color w:val="000000"/>
        </w:rPr>
        <w:t xml:space="preserve">hepatic miR-192-5p levels decreased in NASH rat models fed with an HFD and that this decrease could be reversed after disease remission by liraglutide therapy. </w:t>
      </w:r>
      <w:bookmarkEnd w:id="128"/>
      <w:bookmarkEnd w:id="129"/>
      <w:r w:rsidRPr="00310581">
        <w:rPr>
          <w:rFonts w:ascii="Book Antiqua" w:hAnsi="Book Antiqua"/>
          <w:color w:val="000000"/>
        </w:rPr>
        <w:t xml:space="preserve">We first confirmed that miR-192-5p had a direct regulatory effect on lipogenetic gene SCD-1 and that this mediated the negative regulatory effect of </w:t>
      </w:r>
      <w:r w:rsidRPr="00310581">
        <w:rPr>
          <w:rFonts w:ascii="Book Antiqua" w:hAnsi="Book Antiqua"/>
          <w:color w:val="000000"/>
          <w:kern w:val="0"/>
        </w:rPr>
        <w:t>miR-192-5p</w:t>
      </w:r>
      <w:r w:rsidRPr="00310581">
        <w:rPr>
          <w:rFonts w:ascii="Book Antiqua" w:eastAsia="Times New Roman" w:hAnsi="Book Antiqua"/>
          <w:kern w:val="0"/>
        </w:rPr>
        <w:t xml:space="preserve"> </w:t>
      </w:r>
      <w:r w:rsidRPr="00310581">
        <w:rPr>
          <w:rFonts w:ascii="Book Antiqua" w:hAnsi="Book Antiqua"/>
          <w:color w:val="000000"/>
        </w:rPr>
        <w:t>in lipid synthesis in NAFLD. These data complement the regulators involved in the progression of NAFLD and help us better understand the role of epigenetic factors in this disease. Meanwhile, our study provides new insight in that the overexpression of miR-192-5p may reflect a promising treatment strategy for NAFLD, which calls for more validated data in the future.</w:t>
      </w:r>
    </w:p>
    <w:p w14:paraId="27D0FE61" w14:textId="2B298F94" w:rsidR="001F5466" w:rsidRPr="00310581" w:rsidRDefault="001F5466" w:rsidP="009315CE">
      <w:pPr>
        <w:snapToGrid w:val="0"/>
        <w:spacing w:line="360" w:lineRule="auto"/>
        <w:rPr>
          <w:rFonts w:ascii="Book Antiqua" w:hAnsi="Book Antiqua" w:cs="Segoe UI"/>
          <w:color w:val="333333"/>
          <w:shd w:val="clear" w:color="auto" w:fill="FFFFFF"/>
        </w:rPr>
      </w:pPr>
    </w:p>
    <w:p w14:paraId="17BB9EF7" w14:textId="11361144" w:rsidR="001F5466" w:rsidRPr="00310581" w:rsidRDefault="0070278B" w:rsidP="009315CE">
      <w:pPr>
        <w:snapToGrid w:val="0"/>
        <w:spacing w:line="360" w:lineRule="auto"/>
        <w:rPr>
          <w:rFonts w:ascii="Book Antiqua" w:hAnsi="Book Antiqua"/>
          <w:b/>
        </w:rPr>
      </w:pPr>
      <w:r w:rsidRPr="00310581">
        <w:rPr>
          <w:rFonts w:ascii="Book Antiqua" w:hAnsi="Book Antiqua" w:cs="Segoe UI"/>
          <w:b/>
          <w:color w:val="000000" w:themeColor="text1"/>
          <w:shd w:val="clear" w:color="auto" w:fill="FFFFFF"/>
        </w:rPr>
        <w:t>ARTICLE HIGHLIGHTS</w:t>
      </w:r>
    </w:p>
    <w:p w14:paraId="13CE2766" w14:textId="624129FA" w:rsidR="001F5466" w:rsidRPr="00310581" w:rsidRDefault="001F5466" w:rsidP="009315CE">
      <w:pPr>
        <w:snapToGrid w:val="0"/>
        <w:spacing w:line="360" w:lineRule="auto"/>
        <w:rPr>
          <w:rFonts w:ascii="Book Antiqua" w:hAnsi="Book Antiqua"/>
          <w:b/>
          <w:i/>
          <w:color w:val="000000" w:themeColor="text1"/>
        </w:rPr>
      </w:pPr>
      <w:r w:rsidRPr="00310581">
        <w:rPr>
          <w:rFonts w:ascii="Book Antiqua" w:hAnsi="Book Antiqua"/>
          <w:b/>
          <w:i/>
          <w:color w:val="000000" w:themeColor="text1"/>
        </w:rPr>
        <w:t>Research background</w:t>
      </w:r>
    </w:p>
    <w:p w14:paraId="66CA3A56" w14:textId="3B38377F" w:rsidR="001F5466" w:rsidRPr="00310581" w:rsidRDefault="001F5466" w:rsidP="009315CE">
      <w:pPr>
        <w:snapToGrid w:val="0"/>
        <w:spacing w:line="360" w:lineRule="auto"/>
        <w:rPr>
          <w:rFonts w:ascii="Book Antiqua" w:hAnsi="Book Antiqua"/>
          <w:color w:val="000000" w:themeColor="text1"/>
        </w:rPr>
      </w:pPr>
      <w:r w:rsidRPr="00310581">
        <w:rPr>
          <w:rFonts w:ascii="Book Antiqua" w:hAnsi="Book Antiqua"/>
          <w:color w:val="000000" w:themeColor="text1"/>
        </w:rPr>
        <w:t xml:space="preserve">Based on the “multiple hit” theory of </w:t>
      </w:r>
      <w:r w:rsidR="0070278B" w:rsidRPr="00310581">
        <w:rPr>
          <w:rFonts w:ascii="Book Antiqua" w:hAnsi="Book Antiqua"/>
          <w:color w:val="000000"/>
        </w:rPr>
        <w:t xml:space="preserve">non-alcoholic fatty liver disease (NAFLD) </w:t>
      </w:r>
      <w:r w:rsidRPr="00310581">
        <w:rPr>
          <w:rFonts w:ascii="Book Antiqua" w:hAnsi="Book Antiqua"/>
          <w:color w:val="000000" w:themeColor="text1"/>
        </w:rPr>
        <w:t xml:space="preserve">pathogenesis, lipid accumulation initiates simple hepatic steatosis and subsequently triggers multiple insults, ultimately inducing </w:t>
      </w:r>
      <w:r w:rsidR="0070278B" w:rsidRPr="00310581">
        <w:rPr>
          <w:rFonts w:ascii="Book Antiqua" w:hAnsi="Book Antiqua"/>
          <w:color w:val="000000"/>
        </w:rPr>
        <w:t>non-alcoholic steatohepatitis</w:t>
      </w:r>
      <w:r w:rsidRPr="00310581">
        <w:rPr>
          <w:rFonts w:ascii="Book Antiqua" w:hAnsi="Book Antiqua"/>
          <w:color w:val="000000" w:themeColor="text1"/>
        </w:rPr>
        <w:t xml:space="preserve">, cirrhosis, and even hepatocellular carcinoma. In addition to </w:t>
      </w:r>
      <w:r w:rsidRPr="00310581">
        <w:rPr>
          <w:rFonts w:ascii="Book Antiqua" w:hAnsi="Book Antiqua"/>
          <w:color w:val="000000" w:themeColor="text1"/>
        </w:rPr>
        <w:lastRenderedPageBreak/>
        <w:t xml:space="preserve">the classical factors involved in the progression of NAFLD, microRNAs, which represent epigenetic alterations, have been identified as important post-transcriptional regulators in the pathogenesis of this disease. </w:t>
      </w:r>
    </w:p>
    <w:p w14:paraId="78F45893" w14:textId="77777777" w:rsidR="0070278B" w:rsidRPr="00310581" w:rsidRDefault="0070278B" w:rsidP="009315CE">
      <w:pPr>
        <w:snapToGrid w:val="0"/>
        <w:spacing w:line="360" w:lineRule="auto"/>
        <w:rPr>
          <w:rFonts w:ascii="Book Antiqua" w:hAnsi="Book Antiqua"/>
          <w:color w:val="000000" w:themeColor="text1"/>
        </w:rPr>
      </w:pPr>
    </w:p>
    <w:p w14:paraId="772CDD9D" w14:textId="25BD7F05" w:rsidR="001F5466" w:rsidRPr="00310581" w:rsidRDefault="001F5466" w:rsidP="009315CE">
      <w:pPr>
        <w:snapToGrid w:val="0"/>
        <w:spacing w:line="360" w:lineRule="auto"/>
        <w:rPr>
          <w:rFonts w:ascii="Book Antiqua" w:hAnsi="Book Antiqua"/>
          <w:b/>
          <w:i/>
          <w:color w:val="000000" w:themeColor="text1"/>
        </w:rPr>
      </w:pPr>
      <w:r w:rsidRPr="00310581">
        <w:rPr>
          <w:rFonts w:ascii="Book Antiqua" w:hAnsi="Book Antiqua"/>
          <w:b/>
          <w:i/>
          <w:color w:val="000000" w:themeColor="text1"/>
        </w:rPr>
        <w:t>Research motivation</w:t>
      </w:r>
    </w:p>
    <w:p w14:paraId="0F3ED137" w14:textId="77777777" w:rsidR="001F5466" w:rsidRPr="00310581" w:rsidRDefault="001F5466" w:rsidP="009315CE">
      <w:pPr>
        <w:snapToGrid w:val="0"/>
        <w:spacing w:line="360" w:lineRule="auto"/>
        <w:rPr>
          <w:rFonts w:ascii="Book Antiqua" w:hAnsi="Book Antiqua"/>
          <w:color w:val="000000" w:themeColor="text1"/>
        </w:rPr>
      </w:pPr>
      <w:r w:rsidRPr="00310581">
        <w:rPr>
          <w:rFonts w:ascii="Book Antiqua" w:hAnsi="Book Antiqua"/>
          <w:color w:val="000000" w:themeColor="text1"/>
        </w:rPr>
        <w:t xml:space="preserve">Due to the abundance of miR-192-5p in the liver, many researchers have focused on miR-192-5p as a serum biomarker of liver injury, such as drug-induced liver injury, chronic hepatitis B, hepatocellular carcinoma, and NAFLD. Because microRNAs are important regulators in a wide spectrum of biological processes and metabolic homeostasis, the role of microRNAs in NAFLD pathogenesis is of particular interest. Our previous research in NAFLD patients found that serum miR-192-5p levels could differentiate different stages of NAFLD and showed good correlations with hepatic steatosis and inflammatory activity, but little is known about its regulatory role in lipid metabolism. </w:t>
      </w:r>
    </w:p>
    <w:p w14:paraId="71BEB516" w14:textId="77777777" w:rsidR="0070278B" w:rsidRPr="00310581" w:rsidRDefault="0070278B" w:rsidP="009315CE">
      <w:pPr>
        <w:snapToGrid w:val="0"/>
        <w:spacing w:line="360" w:lineRule="auto"/>
        <w:rPr>
          <w:rFonts w:ascii="Book Antiqua" w:hAnsi="Book Antiqua"/>
          <w:color w:val="000000" w:themeColor="text1"/>
        </w:rPr>
      </w:pPr>
    </w:p>
    <w:p w14:paraId="77ECE426" w14:textId="3C35F7C4" w:rsidR="001F5466" w:rsidRPr="00310581" w:rsidRDefault="001F5466" w:rsidP="009315CE">
      <w:pPr>
        <w:snapToGrid w:val="0"/>
        <w:spacing w:line="360" w:lineRule="auto"/>
        <w:rPr>
          <w:rFonts w:ascii="Book Antiqua" w:hAnsi="Book Antiqua"/>
          <w:b/>
          <w:i/>
          <w:color w:val="000000"/>
        </w:rPr>
      </w:pPr>
      <w:r w:rsidRPr="00310581">
        <w:rPr>
          <w:rFonts w:ascii="Book Antiqua" w:hAnsi="Book Antiqua"/>
          <w:b/>
          <w:i/>
          <w:color w:val="000000" w:themeColor="text1"/>
        </w:rPr>
        <w:t>Research objectives</w:t>
      </w:r>
      <w:r w:rsidRPr="00310581" w:rsidDel="00C8155F">
        <w:rPr>
          <w:rFonts w:ascii="Book Antiqua" w:hAnsi="Book Antiqua"/>
          <w:b/>
          <w:i/>
          <w:color w:val="000000"/>
        </w:rPr>
        <w:t xml:space="preserve"> </w:t>
      </w:r>
    </w:p>
    <w:p w14:paraId="0CB58B0A" w14:textId="54D297AE" w:rsidR="001F5466" w:rsidRPr="00310581" w:rsidRDefault="001F5466" w:rsidP="009315CE">
      <w:pPr>
        <w:snapToGrid w:val="0"/>
        <w:spacing w:line="360" w:lineRule="auto"/>
        <w:rPr>
          <w:rFonts w:ascii="Book Antiqua" w:hAnsi="Book Antiqua"/>
          <w:color w:val="000000" w:themeColor="text1"/>
        </w:rPr>
      </w:pPr>
      <w:r w:rsidRPr="00310581">
        <w:rPr>
          <w:rFonts w:ascii="Book Antiqua" w:hAnsi="Book Antiqua"/>
          <w:color w:val="000000" w:themeColor="text1"/>
        </w:rPr>
        <w:t>We aim to evaluate the hepatic levels of miR-192-5p in rat models of NAFLD, and figure out the role of miR-192-5p in lipid metabolism. After the present study, we have identified the lipogenetic gene SCD-1 as the target gene of miR-192-5p, confirming the negative regulatory effect of miR-192-5p in lipid synthesis in NAFLD. These realized objectives give us a better understanding about the functional mechanism of miR-192-5p in NALFD and provide a new insight in the miRNA-intervention treatment strategy for this disease.</w:t>
      </w:r>
    </w:p>
    <w:p w14:paraId="7D6EEDE5" w14:textId="77777777" w:rsidR="0070278B" w:rsidRPr="00310581" w:rsidRDefault="0070278B" w:rsidP="009315CE">
      <w:pPr>
        <w:snapToGrid w:val="0"/>
        <w:spacing w:line="360" w:lineRule="auto"/>
        <w:rPr>
          <w:rFonts w:ascii="Book Antiqua" w:hAnsi="Book Antiqua"/>
          <w:color w:val="000000"/>
        </w:rPr>
      </w:pPr>
    </w:p>
    <w:p w14:paraId="2BA3C30B" w14:textId="23A96646" w:rsidR="001F5466" w:rsidRPr="00310581" w:rsidRDefault="001F5466" w:rsidP="009315CE">
      <w:pPr>
        <w:snapToGrid w:val="0"/>
        <w:spacing w:line="360" w:lineRule="auto"/>
        <w:rPr>
          <w:rFonts w:ascii="Book Antiqua" w:hAnsi="Book Antiqua"/>
          <w:b/>
          <w:i/>
          <w:color w:val="000000" w:themeColor="text1"/>
        </w:rPr>
      </w:pPr>
      <w:r w:rsidRPr="00310581">
        <w:rPr>
          <w:rFonts w:ascii="Book Antiqua" w:hAnsi="Book Antiqua"/>
          <w:b/>
          <w:i/>
          <w:color w:val="000000" w:themeColor="text1"/>
        </w:rPr>
        <w:t>Research methods</w:t>
      </w:r>
    </w:p>
    <w:p w14:paraId="447E509E" w14:textId="77777777" w:rsidR="001F5466" w:rsidRPr="00310581" w:rsidRDefault="001F5466" w:rsidP="009315CE">
      <w:pPr>
        <w:snapToGrid w:val="0"/>
        <w:spacing w:line="360" w:lineRule="auto"/>
        <w:outlineLvl w:val="0"/>
        <w:rPr>
          <w:rFonts w:ascii="Book Antiqua" w:hAnsi="Book Antiqua"/>
          <w:color w:val="000000" w:themeColor="text1"/>
        </w:rPr>
      </w:pPr>
      <w:r w:rsidRPr="00310581">
        <w:rPr>
          <w:rFonts w:ascii="Book Antiqua" w:hAnsi="Book Antiqua"/>
          <w:color w:val="000000" w:themeColor="text1"/>
        </w:rPr>
        <w:t xml:space="preserve">We conducted this study in HFD - fed rats and palmitic acid - treated Huh7 cells. The hepatic and hepatocellular levels of miR-192-5p in NAFLD were evaluated using quantitative real-time polymerase chain reaction both in vivo and in vitro. The SCD-1 protein levels were examined by western blotting analysis. Oil Red O Staining and TG assay were used to detect the lipid </w:t>
      </w:r>
      <w:r w:rsidRPr="00310581">
        <w:rPr>
          <w:rFonts w:ascii="Book Antiqua" w:hAnsi="Book Antiqua"/>
          <w:color w:val="000000" w:themeColor="text1"/>
        </w:rPr>
        <w:lastRenderedPageBreak/>
        <w:t xml:space="preserve">accumulation in rat livers and hepatocyte. Overexpression and knockdown of miR-192-5p were performed in Huh7 cells with miR-192-5p mimics and inhibitors. Luciferase reporter assays confirmed the direct interaction between miR-192-5p and SCD-1. </w:t>
      </w:r>
    </w:p>
    <w:p w14:paraId="34C55D7A" w14:textId="77777777" w:rsidR="0070278B" w:rsidRPr="00310581" w:rsidRDefault="0070278B" w:rsidP="009315CE">
      <w:pPr>
        <w:snapToGrid w:val="0"/>
        <w:spacing w:line="360" w:lineRule="auto"/>
        <w:outlineLvl w:val="0"/>
        <w:rPr>
          <w:rFonts w:ascii="Book Antiqua" w:hAnsi="Book Antiqua"/>
          <w:color w:val="000000" w:themeColor="text1"/>
        </w:rPr>
      </w:pPr>
    </w:p>
    <w:p w14:paraId="3CE78C26" w14:textId="129FE731" w:rsidR="001F5466" w:rsidRPr="00310581" w:rsidRDefault="001F5466" w:rsidP="009315CE">
      <w:pPr>
        <w:snapToGrid w:val="0"/>
        <w:spacing w:line="360" w:lineRule="auto"/>
        <w:rPr>
          <w:rFonts w:ascii="Book Antiqua" w:hAnsi="Book Antiqua"/>
          <w:b/>
          <w:i/>
          <w:color w:val="000000" w:themeColor="text1"/>
        </w:rPr>
      </w:pPr>
      <w:r w:rsidRPr="00310581">
        <w:rPr>
          <w:rFonts w:ascii="Book Antiqua" w:hAnsi="Book Antiqua"/>
          <w:b/>
          <w:i/>
          <w:color w:val="000000" w:themeColor="text1"/>
        </w:rPr>
        <w:t>Research results</w:t>
      </w:r>
    </w:p>
    <w:p w14:paraId="19F863FA" w14:textId="77777777" w:rsidR="001F5466" w:rsidRPr="00310581" w:rsidRDefault="001F5466" w:rsidP="009315CE">
      <w:pPr>
        <w:snapToGrid w:val="0"/>
        <w:spacing w:line="360" w:lineRule="auto"/>
        <w:rPr>
          <w:rFonts w:ascii="Book Antiqua" w:hAnsi="Book Antiqua"/>
          <w:color w:val="000000" w:themeColor="text1"/>
        </w:rPr>
      </w:pPr>
      <w:r w:rsidRPr="00310581">
        <w:rPr>
          <w:rFonts w:ascii="Book Antiqua" w:hAnsi="Book Antiqua"/>
          <w:color w:val="000000" w:themeColor="text1"/>
        </w:rPr>
        <w:t>In the current study, we found that miR-192-5p decreased in NAFLD both in vivo and in vitro and the decrease could be reversed after disease remission by liraglutide therapy in animal models. Meanwhile, we confirmed that miR-192-5p had a negative regulatory role in lipid synthesis, which was mediated through its regulation on lipogenetic gene SCD-1. While the specific regulatory role of miR-192-5p in NAFLD patients remains unclear, which needs to be validated in clinical experiments.</w:t>
      </w:r>
    </w:p>
    <w:p w14:paraId="1B74FC6C" w14:textId="77777777" w:rsidR="0070278B" w:rsidRPr="00310581" w:rsidRDefault="0070278B" w:rsidP="009315CE">
      <w:pPr>
        <w:snapToGrid w:val="0"/>
        <w:spacing w:line="360" w:lineRule="auto"/>
        <w:rPr>
          <w:rFonts w:ascii="Book Antiqua" w:hAnsi="Book Antiqua"/>
          <w:color w:val="000000" w:themeColor="text1"/>
        </w:rPr>
      </w:pPr>
    </w:p>
    <w:p w14:paraId="69201CF3" w14:textId="720488DB" w:rsidR="001F5466" w:rsidRPr="00310581" w:rsidRDefault="001F5466" w:rsidP="009315CE">
      <w:pPr>
        <w:snapToGrid w:val="0"/>
        <w:spacing w:line="360" w:lineRule="auto"/>
        <w:rPr>
          <w:rFonts w:ascii="Book Antiqua" w:hAnsi="Book Antiqua" w:cs="Segoe UI"/>
          <w:b/>
          <w:i/>
          <w:color w:val="333333"/>
          <w:shd w:val="clear" w:color="auto" w:fill="FFFFFF"/>
        </w:rPr>
      </w:pPr>
      <w:r w:rsidRPr="00310581">
        <w:rPr>
          <w:rFonts w:ascii="Book Antiqua" w:hAnsi="Book Antiqua"/>
          <w:b/>
          <w:i/>
          <w:color w:val="000000" w:themeColor="text1"/>
        </w:rPr>
        <w:t>Research conclusions</w:t>
      </w:r>
    </w:p>
    <w:p w14:paraId="100379C9" w14:textId="3AD88017" w:rsidR="001F5466" w:rsidRPr="00310581" w:rsidRDefault="00DC409F" w:rsidP="009315CE">
      <w:pPr>
        <w:snapToGrid w:val="0"/>
        <w:spacing w:line="360" w:lineRule="auto"/>
        <w:outlineLvl w:val="0"/>
        <w:rPr>
          <w:rFonts w:ascii="Book Antiqua" w:hAnsi="Book Antiqua"/>
          <w:color w:val="000000" w:themeColor="text1"/>
        </w:rPr>
      </w:pPr>
      <w:r>
        <w:rPr>
          <w:rFonts w:ascii="Book Antiqua" w:hAnsi="Book Antiqua"/>
          <w:color w:val="000000" w:themeColor="text1"/>
        </w:rPr>
        <w:t>T</w:t>
      </w:r>
      <w:r>
        <w:rPr>
          <w:rFonts w:ascii="Book Antiqua" w:hAnsi="Book Antiqua" w:hint="eastAsia"/>
          <w:color w:val="000000" w:themeColor="text1"/>
        </w:rPr>
        <w:t>he authors</w:t>
      </w:r>
      <w:r w:rsidR="001F5466" w:rsidRPr="00310581">
        <w:rPr>
          <w:rFonts w:ascii="Book Antiqua" w:hAnsi="Book Antiqua"/>
          <w:color w:val="000000" w:themeColor="text1"/>
        </w:rPr>
        <w:t xml:space="preserve"> demonstrated that miR-192-5p decreased in NAFLD conditions both in vivo and in vitro, which could provide more evidence for the clinical use of circulating miR-192-5p as a biomarker in NAFLD. We firstly confirmed that miR-192-5p showed direct regulation on lipogenetic gene SCD-1 and that this could mediate the negative regulatory effect of miR-192-5p in lipid synthesis in NAFLD. These data complement the regulators involved in the progression of NAFLD and help us better understand the role of epigenetic factors in this disease.</w:t>
      </w:r>
      <w:r>
        <w:rPr>
          <w:rFonts w:ascii="Book Antiqua" w:hAnsi="Book Antiqua" w:hint="eastAsia"/>
          <w:color w:val="000000" w:themeColor="text1"/>
        </w:rPr>
        <w:t xml:space="preserve"> </w:t>
      </w:r>
      <w:r w:rsidR="001F5466" w:rsidRPr="00310581">
        <w:rPr>
          <w:rFonts w:ascii="Book Antiqua" w:hAnsi="Book Antiqua"/>
          <w:color w:val="000000" w:themeColor="text1"/>
        </w:rPr>
        <w:t>Meanwhile, the study provides new insight in that the overexpression of miR-192-5p may reflect a promising treatment strategy for NAFLD, which calls for more validated data in the future.</w:t>
      </w:r>
    </w:p>
    <w:p w14:paraId="4DCFCBCA" w14:textId="77777777" w:rsidR="0070278B" w:rsidRPr="00310581" w:rsidRDefault="0070278B" w:rsidP="009315CE">
      <w:pPr>
        <w:snapToGrid w:val="0"/>
        <w:spacing w:line="360" w:lineRule="auto"/>
        <w:outlineLvl w:val="0"/>
        <w:rPr>
          <w:rFonts w:ascii="Book Antiqua" w:hAnsi="Book Antiqua"/>
          <w:color w:val="000000" w:themeColor="text1"/>
        </w:rPr>
      </w:pPr>
    </w:p>
    <w:p w14:paraId="7063CFE2" w14:textId="37C9F0F4" w:rsidR="001F5466" w:rsidRPr="00310581" w:rsidRDefault="001F5466" w:rsidP="009315CE">
      <w:pPr>
        <w:snapToGrid w:val="0"/>
        <w:spacing w:line="360" w:lineRule="auto"/>
        <w:rPr>
          <w:rFonts w:ascii="Book Antiqua" w:hAnsi="Book Antiqua"/>
          <w:i/>
          <w:color w:val="000000"/>
        </w:rPr>
      </w:pPr>
      <w:r w:rsidRPr="00310581">
        <w:rPr>
          <w:rFonts w:ascii="Book Antiqua" w:hAnsi="Book Antiqua" w:cs="Segoe UI"/>
          <w:b/>
          <w:i/>
          <w:color w:val="000000" w:themeColor="text1"/>
          <w:shd w:val="clear" w:color="auto" w:fill="FFFFFF"/>
        </w:rPr>
        <w:t>Research perspectives</w:t>
      </w:r>
    </w:p>
    <w:p w14:paraId="0CC9A6A3" w14:textId="0CF9B95B" w:rsidR="001F5466" w:rsidRPr="00310581" w:rsidRDefault="00DC409F" w:rsidP="009315CE">
      <w:pPr>
        <w:snapToGrid w:val="0"/>
        <w:spacing w:line="360" w:lineRule="auto"/>
        <w:rPr>
          <w:rFonts w:ascii="Book Antiqua" w:hAnsi="Book Antiqua"/>
          <w:color w:val="000000"/>
        </w:rPr>
      </w:pPr>
      <w:bookmarkStart w:id="130" w:name="_GoBack"/>
      <w:r>
        <w:rPr>
          <w:rFonts w:ascii="Book Antiqua" w:hAnsi="Book Antiqua" w:hint="eastAsia"/>
          <w:color w:val="000000" w:themeColor="text1"/>
        </w:rPr>
        <w:t>This</w:t>
      </w:r>
      <w:r w:rsidR="001F5466" w:rsidRPr="00310581">
        <w:rPr>
          <w:rFonts w:ascii="Book Antiqua" w:hAnsi="Book Antiqua"/>
          <w:color w:val="000000" w:themeColor="text1"/>
        </w:rPr>
        <w:t xml:space="preserve"> study provides us with a new insight that the miRNA intervention maybe a promising treatment strategy for NAFLD. The future study might focus on the specific regulatory role of miR-192-5p in NAFLD</w:t>
      </w:r>
      <w:r w:rsidR="001F5466" w:rsidRPr="00310581">
        <w:rPr>
          <w:rFonts w:ascii="Book Antiqua" w:hAnsi="Book Antiqua"/>
          <w:i/>
          <w:color w:val="000000" w:themeColor="text1"/>
        </w:rPr>
        <w:t xml:space="preserve"> in vivo</w:t>
      </w:r>
      <w:r w:rsidR="001F5466" w:rsidRPr="00310581">
        <w:rPr>
          <w:rFonts w:ascii="Book Antiqua" w:hAnsi="Book Antiqua"/>
          <w:color w:val="000000" w:themeColor="text1"/>
        </w:rPr>
        <w:t xml:space="preserve">, and the treatment effect of miR-192-5p need to be validated in clinical practice. It </w:t>
      </w:r>
      <w:r w:rsidR="001F5466" w:rsidRPr="00310581">
        <w:rPr>
          <w:rFonts w:ascii="Book Antiqua" w:hAnsi="Book Antiqua"/>
          <w:color w:val="000000" w:themeColor="text1"/>
        </w:rPr>
        <w:lastRenderedPageBreak/>
        <w:t>would be of practical implications if clinical experiments support our claims going forward</w:t>
      </w:r>
      <w:bookmarkEnd w:id="130"/>
      <w:r w:rsidR="001F5466" w:rsidRPr="00310581">
        <w:rPr>
          <w:rFonts w:ascii="Book Antiqua" w:hAnsi="Book Antiqua"/>
          <w:color w:val="000000" w:themeColor="text1"/>
        </w:rPr>
        <w:t xml:space="preserve">. </w:t>
      </w:r>
    </w:p>
    <w:p w14:paraId="3C23EBD5" w14:textId="1F76AF82" w:rsidR="001F5466" w:rsidRPr="00310581" w:rsidRDefault="001F5466" w:rsidP="009315CE">
      <w:pPr>
        <w:snapToGrid w:val="0"/>
        <w:spacing w:line="360" w:lineRule="auto"/>
        <w:rPr>
          <w:rFonts w:ascii="Book Antiqua" w:hAnsi="Book Antiqua"/>
          <w:b/>
          <w:color w:val="000000"/>
        </w:rPr>
      </w:pPr>
      <w:r w:rsidRPr="00310581">
        <w:rPr>
          <w:rFonts w:ascii="Book Antiqua" w:hAnsi="Book Antiqua"/>
          <w:color w:val="000000"/>
          <w:kern w:val="0"/>
        </w:rPr>
        <w:br w:type="page"/>
      </w:r>
      <w:r w:rsidRPr="00310581">
        <w:rPr>
          <w:rFonts w:ascii="Book Antiqua" w:hAnsi="Book Antiqua"/>
          <w:b/>
          <w:color w:val="000000"/>
        </w:rPr>
        <w:lastRenderedPageBreak/>
        <w:t>REFERENCES</w:t>
      </w:r>
    </w:p>
    <w:p w14:paraId="20962D7F"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w:t>
      </w:r>
      <w:r w:rsidRPr="00310581">
        <w:rPr>
          <w:rStyle w:val="apple-converted-space"/>
          <w:rFonts w:ascii="Book Antiqua" w:hAnsi="Book Antiqua" w:cs="Tahoma"/>
        </w:rPr>
        <w:t> </w:t>
      </w:r>
      <w:r w:rsidRPr="00310581">
        <w:rPr>
          <w:rFonts w:ascii="Book Antiqua" w:hAnsi="Book Antiqua" w:cs="Tahoma"/>
          <w:b/>
          <w:bCs/>
        </w:rPr>
        <w:t>Fan JG</w:t>
      </w:r>
      <w:r w:rsidRPr="00310581">
        <w:rPr>
          <w:rFonts w:ascii="Book Antiqua" w:hAnsi="Book Antiqua" w:cs="Tahoma"/>
        </w:rPr>
        <w:t>, Kim SU, Wong VW. New trends on obesity and NAFLD in Asia.</w:t>
      </w:r>
      <w:r w:rsidRPr="00310581">
        <w:rPr>
          <w:rStyle w:val="apple-converted-space"/>
          <w:rFonts w:ascii="Book Antiqua" w:hAnsi="Book Antiqua" w:cs="Tahoma"/>
        </w:rPr>
        <w:t> </w:t>
      </w:r>
      <w:r w:rsidRPr="00310581">
        <w:rPr>
          <w:rFonts w:ascii="Book Antiqua" w:hAnsi="Book Antiqua" w:cs="Tahoma"/>
          <w:i/>
          <w:iCs/>
        </w:rPr>
        <w:t>J Hepatol</w:t>
      </w:r>
      <w:r w:rsidRPr="00310581">
        <w:rPr>
          <w:rStyle w:val="apple-converted-space"/>
          <w:rFonts w:ascii="Book Antiqua" w:hAnsi="Book Antiqua" w:cs="Tahoma"/>
        </w:rPr>
        <w:t> </w:t>
      </w:r>
      <w:r w:rsidRPr="00310581">
        <w:rPr>
          <w:rFonts w:ascii="Book Antiqua" w:hAnsi="Book Antiqua" w:cs="Tahoma"/>
        </w:rPr>
        <w:t>2017;</w:t>
      </w:r>
      <w:r w:rsidRPr="00310581">
        <w:rPr>
          <w:rStyle w:val="apple-converted-space"/>
          <w:rFonts w:ascii="Book Antiqua" w:hAnsi="Book Antiqua" w:cs="Tahoma"/>
        </w:rPr>
        <w:t> </w:t>
      </w:r>
      <w:r w:rsidRPr="00310581">
        <w:rPr>
          <w:rFonts w:ascii="Book Antiqua" w:hAnsi="Book Antiqua" w:cs="Tahoma"/>
          <w:b/>
          <w:bCs/>
        </w:rPr>
        <w:t>67</w:t>
      </w:r>
      <w:r w:rsidRPr="00310581">
        <w:rPr>
          <w:rFonts w:ascii="Book Antiqua" w:hAnsi="Book Antiqua" w:cs="Tahoma"/>
        </w:rPr>
        <w:t>: 862-873 [PMID: 28642059 DOI: 10.1016/j.jhep.2017.06.003]</w:t>
      </w:r>
    </w:p>
    <w:p w14:paraId="3C5C27CB"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w:t>
      </w:r>
      <w:r w:rsidRPr="00310581">
        <w:rPr>
          <w:rStyle w:val="apple-converted-space"/>
          <w:rFonts w:ascii="Book Antiqua" w:hAnsi="Book Antiqua" w:cs="Tahoma"/>
        </w:rPr>
        <w:t> </w:t>
      </w:r>
      <w:r w:rsidRPr="00310581">
        <w:rPr>
          <w:rFonts w:ascii="Book Antiqua" w:hAnsi="Book Antiqua" w:cs="Tahoma"/>
          <w:b/>
          <w:bCs/>
        </w:rPr>
        <w:t>Farrell GC</w:t>
      </w:r>
      <w:r w:rsidRPr="00310581">
        <w:rPr>
          <w:rFonts w:ascii="Book Antiqua" w:hAnsi="Book Antiqua" w:cs="Tahoma"/>
        </w:rPr>
        <w:t>, Larter CZ. Nonalcoholic fatty liver disease: from steatosis to cirrhosis.</w:t>
      </w:r>
      <w:r w:rsidRPr="00310581">
        <w:rPr>
          <w:rStyle w:val="apple-converted-space"/>
          <w:rFonts w:ascii="Book Antiqua" w:hAnsi="Book Antiqua" w:cs="Tahoma"/>
        </w:rPr>
        <w:t> </w:t>
      </w:r>
      <w:r w:rsidRPr="00310581">
        <w:rPr>
          <w:rFonts w:ascii="Book Antiqua" w:hAnsi="Book Antiqua" w:cs="Tahoma"/>
          <w:i/>
          <w:iCs/>
        </w:rPr>
        <w:t>Hepatology</w:t>
      </w:r>
      <w:r w:rsidRPr="00310581">
        <w:rPr>
          <w:rStyle w:val="apple-converted-space"/>
          <w:rFonts w:ascii="Book Antiqua" w:hAnsi="Book Antiqua" w:cs="Tahoma"/>
        </w:rPr>
        <w:t> </w:t>
      </w:r>
      <w:r w:rsidRPr="00310581">
        <w:rPr>
          <w:rFonts w:ascii="Book Antiqua" w:hAnsi="Book Antiqua" w:cs="Tahoma"/>
        </w:rPr>
        <w:t>2006;</w:t>
      </w:r>
      <w:r w:rsidRPr="00310581">
        <w:rPr>
          <w:rStyle w:val="apple-converted-space"/>
          <w:rFonts w:ascii="Book Antiqua" w:hAnsi="Book Antiqua" w:cs="Tahoma"/>
        </w:rPr>
        <w:t> </w:t>
      </w:r>
      <w:r w:rsidRPr="00310581">
        <w:rPr>
          <w:rFonts w:ascii="Book Antiqua" w:hAnsi="Book Antiqua" w:cs="Tahoma"/>
          <w:b/>
          <w:bCs/>
        </w:rPr>
        <w:t>43</w:t>
      </w:r>
      <w:r w:rsidRPr="00310581">
        <w:rPr>
          <w:rFonts w:ascii="Book Antiqua" w:hAnsi="Book Antiqua" w:cs="Tahoma"/>
        </w:rPr>
        <w:t>: S99-S112 [PMID: 16447287 DOI: 10.1002/hep.20973]</w:t>
      </w:r>
    </w:p>
    <w:p w14:paraId="366F7B9A"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w:t>
      </w:r>
      <w:r w:rsidRPr="00310581">
        <w:rPr>
          <w:rStyle w:val="apple-converted-space"/>
          <w:rFonts w:ascii="Book Antiqua" w:hAnsi="Book Antiqua" w:cs="Tahoma"/>
        </w:rPr>
        <w:t> </w:t>
      </w:r>
      <w:r w:rsidRPr="00310581">
        <w:rPr>
          <w:rFonts w:ascii="Book Antiqua" w:hAnsi="Book Antiqua" w:cs="Tahoma"/>
          <w:b/>
          <w:bCs/>
        </w:rPr>
        <w:t>Wong VW</w:t>
      </w:r>
      <w:r w:rsidRPr="00310581">
        <w:rPr>
          <w:rFonts w:ascii="Book Antiqua" w:hAnsi="Book Antiqua" w:cs="Tahoma"/>
        </w:rPr>
        <w:t>, Wong GL, Choi PC, Chan AW, Li MK, Chan HY, Chim AM, Yu J, Sung JJ, Chan HL. Disease progression of non-alcoholic fatty liver disease: a prospective study with paired liver biopsies at 3 years.</w:t>
      </w:r>
      <w:r w:rsidRPr="00310581">
        <w:rPr>
          <w:rStyle w:val="apple-converted-space"/>
          <w:rFonts w:ascii="Book Antiqua" w:hAnsi="Book Antiqua" w:cs="Tahoma"/>
        </w:rPr>
        <w:t> </w:t>
      </w:r>
      <w:r w:rsidRPr="00310581">
        <w:rPr>
          <w:rFonts w:ascii="Book Antiqua" w:hAnsi="Book Antiqua" w:cs="Tahoma"/>
          <w:i/>
          <w:iCs/>
        </w:rPr>
        <w:t>Gut</w:t>
      </w:r>
      <w:r w:rsidRPr="00310581">
        <w:rPr>
          <w:rStyle w:val="apple-converted-space"/>
          <w:rFonts w:ascii="Book Antiqua" w:hAnsi="Book Antiqua" w:cs="Tahoma"/>
        </w:rPr>
        <w:t> </w:t>
      </w:r>
      <w:r w:rsidRPr="00310581">
        <w:rPr>
          <w:rFonts w:ascii="Book Antiqua" w:hAnsi="Book Antiqua" w:cs="Tahoma"/>
        </w:rPr>
        <w:t>2010;</w:t>
      </w:r>
      <w:r w:rsidRPr="00310581">
        <w:rPr>
          <w:rStyle w:val="apple-converted-space"/>
          <w:rFonts w:ascii="Book Antiqua" w:hAnsi="Book Antiqua" w:cs="Tahoma"/>
        </w:rPr>
        <w:t> </w:t>
      </w:r>
      <w:r w:rsidRPr="00310581">
        <w:rPr>
          <w:rFonts w:ascii="Book Antiqua" w:hAnsi="Book Antiqua" w:cs="Tahoma"/>
          <w:b/>
          <w:bCs/>
        </w:rPr>
        <w:t>59</w:t>
      </w:r>
      <w:r w:rsidRPr="00310581">
        <w:rPr>
          <w:rFonts w:ascii="Book Antiqua" w:hAnsi="Book Antiqua" w:cs="Tahoma"/>
        </w:rPr>
        <w:t>: 969-974 [PMID: 20581244 DOI: 10.1136/gut.2009.205088]</w:t>
      </w:r>
    </w:p>
    <w:p w14:paraId="6DE58927"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4</w:t>
      </w:r>
      <w:r w:rsidRPr="00310581">
        <w:rPr>
          <w:rStyle w:val="apple-converted-space"/>
          <w:rFonts w:ascii="Book Antiqua" w:hAnsi="Book Antiqua" w:cs="Tahoma"/>
        </w:rPr>
        <w:t> </w:t>
      </w:r>
      <w:r w:rsidRPr="00310581">
        <w:rPr>
          <w:rFonts w:ascii="Book Antiqua" w:hAnsi="Book Antiqua" w:cs="Tahoma"/>
          <w:b/>
          <w:bCs/>
        </w:rPr>
        <w:t>Buzzetti E</w:t>
      </w:r>
      <w:r w:rsidRPr="00310581">
        <w:rPr>
          <w:rFonts w:ascii="Book Antiqua" w:hAnsi="Book Antiqua" w:cs="Tahoma"/>
        </w:rPr>
        <w:t>, Pinzani M, Tsochatzis EA. The multiple-hit pathogenesis of non-alcoholic fatty liver disease (NAFLD).</w:t>
      </w:r>
      <w:r w:rsidRPr="00310581">
        <w:rPr>
          <w:rStyle w:val="apple-converted-space"/>
          <w:rFonts w:ascii="Book Antiqua" w:hAnsi="Book Antiqua" w:cs="Tahoma"/>
        </w:rPr>
        <w:t> </w:t>
      </w:r>
      <w:r w:rsidRPr="00310581">
        <w:rPr>
          <w:rFonts w:ascii="Book Antiqua" w:hAnsi="Book Antiqua" w:cs="Tahoma"/>
          <w:i/>
          <w:iCs/>
        </w:rPr>
        <w:t>Metabolism</w:t>
      </w:r>
      <w:r w:rsidRPr="00310581">
        <w:rPr>
          <w:rStyle w:val="apple-converted-space"/>
          <w:rFonts w:ascii="Book Antiqua" w:hAnsi="Book Antiqua" w:cs="Tahoma"/>
        </w:rPr>
        <w:t> </w:t>
      </w:r>
      <w:r w:rsidRPr="00310581">
        <w:rPr>
          <w:rFonts w:ascii="Book Antiqua" w:hAnsi="Book Antiqua" w:cs="Tahoma"/>
        </w:rPr>
        <w:t>2016;</w:t>
      </w:r>
      <w:r w:rsidRPr="00310581">
        <w:rPr>
          <w:rStyle w:val="apple-converted-space"/>
          <w:rFonts w:ascii="Book Antiqua" w:hAnsi="Book Antiqua" w:cs="Tahoma"/>
        </w:rPr>
        <w:t> </w:t>
      </w:r>
      <w:r w:rsidRPr="00310581">
        <w:rPr>
          <w:rFonts w:ascii="Book Antiqua" w:hAnsi="Book Antiqua" w:cs="Tahoma"/>
          <w:b/>
          <w:bCs/>
        </w:rPr>
        <w:t>65</w:t>
      </w:r>
      <w:r w:rsidRPr="00310581">
        <w:rPr>
          <w:rFonts w:ascii="Book Antiqua" w:hAnsi="Book Antiqua" w:cs="Tahoma"/>
        </w:rPr>
        <w:t>: 1038-1048 [PMID: 26823198 DOI: 10.1016/j.metabol.2015.12.012]</w:t>
      </w:r>
    </w:p>
    <w:p w14:paraId="19CB7E94"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5</w:t>
      </w:r>
      <w:r w:rsidRPr="00310581">
        <w:rPr>
          <w:rStyle w:val="apple-converted-space"/>
          <w:rFonts w:ascii="Book Antiqua" w:hAnsi="Book Antiqua" w:cs="Tahoma"/>
        </w:rPr>
        <w:t> </w:t>
      </w:r>
      <w:r w:rsidRPr="00310581">
        <w:rPr>
          <w:rFonts w:ascii="Book Antiqua" w:hAnsi="Book Antiqua" w:cs="Tahoma"/>
          <w:b/>
          <w:bCs/>
        </w:rPr>
        <w:t>Sookoian S</w:t>
      </w:r>
      <w:r w:rsidRPr="00310581">
        <w:rPr>
          <w:rFonts w:ascii="Book Antiqua" w:hAnsi="Book Antiqua" w:cs="Tahoma"/>
        </w:rPr>
        <w:t>, Rosselli MS, Gemma C, Burgueño AL, Fernández Gianotti T, Castaño GO, Pirola CJ. Epigenetic regulation of insulin resistance in nonalcoholic fatty liver disease: impact of liver methylation of the peroxisome proliferator-activated receptor γ coactivator 1α promoter.</w:t>
      </w:r>
      <w:r w:rsidRPr="00310581">
        <w:rPr>
          <w:rStyle w:val="apple-converted-space"/>
          <w:rFonts w:ascii="Book Antiqua" w:hAnsi="Book Antiqua" w:cs="Tahoma"/>
        </w:rPr>
        <w:t> </w:t>
      </w:r>
      <w:r w:rsidRPr="00310581">
        <w:rPr>
          <w:rFonts w:ascii="Book Antiqua" w:hAnsi="Book Antiqua" w:cs="Tahoma"/>
          <w:i/>
          <w:iCs/>
        </w:rPr>
        <w:t>Hepatology</w:t>
      </w:r>
      <w:r w:rsidRPr="00310581">
        <w:rPr>
          <w:rStyle w:val="apple-converted-space"/>
          <w:rFonts w:ascii="Book Antiqua" w:hAnsi="Book Antiqua" w:cs="Tahoma"/>
        </w:rPr>
        <w:t> </w:t>
      </w:r>
      <w:r w:rsidRPr="00310581">
        <w:rPr>
          <w:rFonts w:ascii="Book Antiqua" w:hAnsi="Book Antiqua" w:cs="Tahoma"/>
        </w:rPr>
        <w:t>2010;</w:t>
      </w:r>
      <w:r w:rsidRPr="00310581">
        <w:rPr>
          <w:rStyle w:val="apple-converted-space"/>
          <w:rFonts w:ascii="Book Antiqua" w:hAnsi="Book Antiqua" w:cs="Tahoma"/>
        </w:rPr>
        <w:t> </w:t>
      </w:r>
      <w:r w:rsidRPr="00310581">
        <w:rPr>
          <w:rFonts w:ascii="Book Antiqua" w:hAnsi="Book Antiqua" w:cs="Tahoma"/>
          <w:b/>
          <w:bCs/>
        </w:rPr>
        <w:t>52</w:t>
      </w:r>
      <w:r w:rsidRPr="00310581">
        <w:rPr>
          <w:rFonts w:ascii="Book Antiqua" w:hAnsi="Book Antiqua" w:cs="Tahoma"/>
        </w:rPr>
        <w:t>: 1992-2000 [PMID: 20890895 DOI: 10.1002/hep.23927]</w:t>
      </w:r>
    </w:p>
    <w:p w14:paraId="2EC3AC56"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6</w:t>
      </w:r>
      <w:r w:rsidRPr="00310581">
        <w:rPr>
          <w:rStyle w:val="apple-converted-space"/>
          <w:rFonts w:ascii="Book Antiqua" w:hAnsi="Book Antiqua" w:cs="Tahoma"/>
        </w:rPr>
        <w:t> </w:t>
      </w:r>
      <w:r w:rsidRPr="00310581">
        <w:rPr>
          <w:rFonts w:ascii="Book Antiqua" w:hAnsi="Book Antiqua" w:cs="Tahoma"/>
          <w:b/>
          <w:bCs/>
        </w:rPr>
        <w:t>Liu XL</w:t>
      </w:r>
      <w:r w:rsidRPr="00310581">
        <w:rPr>
          <w:rFonts w:ascii="Book Antiqua" w:hAnsi="Book Antiqua" w:cs="Tahoma"/>
        </w:rPr>
        <w:t>, Cao HX, Fan JG. MicroRNAs as biomarkers and regulators of nonalcoholic fatty liver disease.</w:t>
      </w:r>
      <w:r w:rsidRPr="00310581">
        <w:rPr>
          <w:rStyle w:val="apple-converted-space"/>
          <w:rFonts w:ascii="Book Antiqua" w:hAnsi="Book Antiqua" w:cs="Tahoma"/>
        </w:rPr>
        <w:t> </w:t>
      </w:r>
      <w:r w:rsidRPr="00310581">
        <w:rPr>
          <w:rFonts w:ascii="Book Antiqua" w:hAnsi="Book Antiqua" w:cs="Tahoma"/>
          <w:i/>
          <w:iCs/>
        </w:rPr>
        <w:t>J Dig Dis</w:t>
      </w:r>
      <w:r w:rsidRPr="00310581">
        <w:rPr>
          <w:rStyle w:val="apple-converted-space"/>
          <w:rFonts w:ascii="Book Antiqua" w:hAnsi="Book Antiqua" w:cs="Tahoma"/>
        </w:rPr>
        <w:t> </w:t>
      </w:r>
      <w:r w:rsidRPr="00310581">
        <w:rPr>
          <w:rFonts w:ascii="Book Antiqua" w:hAnsi="Book Antiqua" w:cs="Tahoma"/>
        </w:rPr>
        <w:t>2016;</w:t>
      </w:r>
      <w:r w:rsidRPr="00310581">
        <w:rPr>
          <w:rStyle w:val="apple-converted-space"/>
          <w:rFonts w:ascii="Book Antiqua" w:hAnsi="Book Antiqua" w:cs="Tahoma"/>
        </w:rPr>
        <w:t> </w:t>
      </w:r>
      <w:r w:rsidRPr="00310581">
        <w:rPr>
          <w:rFonts w:ascii="Book Antiqua" w:hAnsi="Book Antiqua" w:cs="Tahoma"/>
          <w:b/>
          <w:bCs/>
        </w:rPr>
        <w:t>17</w:t>
      </w:r>
      <w:r w:rsidRPr="00310581">
        <w:rPr>
          <w:rFonts w:ascii="Book Antiqua" w:hAnsi="Book Antiqua" w:cs="Tahoma"/>
        </w:rPr>
        <w:t>: 708-715 [PMID: 27628945 DOI: 10.1111/1751-2980.12408]</w:t>
      </w:r>
    </w:p>
    <w:p w14:paraId="23B73E67"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7</w:t>
      </w:r>
      <w:r w:rsidRPr="00310581">
        <w:rPr>
          <w:rStyle w:val="apple-converted-space"/>
          <w:rFonts w:ascii="Book Antiqua" w:hAnsi="Book Antiqua" w:cs="Tahoma"/>
        </w:rPr>
        <w:t> </w:t>
      </w:r>
      <w:r w:rsidRPr="00310581">
        <w:rPr>
          <w:rFonts w:ascii="Book Antiqua" w:hAnsi="Book Antiqua" w:cs="Tahoma"/>
          <w:b/>
          <w:bCs/>
        </w:rPr>
        <w:t>Sun C</w:t>
      </w:r>
      <w:r w:rsidRPr="00310581">
        <w:rPr>
          <w:rFonts w:ascii="Book Antiqua" w:hAnsi="Book Antiqua" w:cs="Tahoma"/>
        </w:rPr>
        <w:t>, Fan JG, Qiao L. Potential epigenetic mechanism in non-alcoholic Fatty liver disease.</w:t>
      </w:r>
      <w:r w:rsidRPr="00310581">
        <w:rPr>
          <w:rStyle w:val="apple-converted-space"/>
          <w:rFonts w:ascii="Book Antiqua" w:hAnsi="Book Antiqua" w:cs="Tahoma"/>
        </w:rPr>
        <w:t> </w:t>
      </w:r>
      <w:r w:rsidRPr="00310581">
        <w:rPr>
          <w:rFonts w:ascii="Book Antiqua" w:hAnsi="Book Antiqua" w:cs="Tahoma"/>
          <w:i/>
          <w:iCs/>
        </w:rPr>
        <w:t>Int J Mol Sci</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16</w:t>
      </w:r>
      <w:r w:rsidRPr="00310581">
        <w:rPr>
          <w:rFonts w:ascii="Book Antiqua" w:hAnsi="Book Antiqua" w:cs="Tahoma"/>
        </w:rPr>
        <w:t>: 5161-5179 [PMID: 25751727 DOI: 10.3390/ijms16035161]</w:t>
      </w:r>
    </w:p>
    <w:p w14:paraId="47E1C31E"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8</w:t>
      </w:r>
      <w:r w:rsidRPr="00310581">
        <w:rPr>
          <w:rStyle w:val="apple-converted-space"/>
          <w:rFonts w:ascii="Book Antiqua" w:hAnsi="Book Antiqua" w:cs="Tahoma"/>
        </w:rPr>
        <w:t> </w:t>
      </w:r>
      <w:r w:rsidRPr="00310581">
        <w:rPr>
          <w:rFonts w:ascii="Book Antiqua" w:hAnsi="Book Antiqua" w:cs="Tahoma"/>
          <w:b/>
          <w:bCs/>
        </w:rPr>
        <w:t>Pirola CJ</w:t>
      </w:r>
      <w:r w:rsidRPr="00310581">
        <w:rPr>
          <w:rFonts w:ascii="Book Antiqua" w:hAnsi="Book Antiqua" w:cs="Tahoma"/>
        </w:rPr>
        <w:t>, Gianotti TF, Burgueño AL, Rey-Funes M, Loidl CF, Mallardi P, Martino JS, Castaño GO, Sookoian S. Epigenetic modification of liver mitochondrial DNA is associated with histological severity of nonalcoholic fatty liver disease.</w:t>
      </w:r>
      <w:r w:rsidRPr="00310581">
        <w:rPr>
          <w:rStyle w:val="apple-converted-space"/>
          <w:rFonts w:ascii="Book Antiqua" w:hAnsi="Book Antiqua" w:cs="Tahoma"/>
        </w:rPr>
        <w:t> </w:t>
      </w:r>
      <w:r w:rsidRPr="00310581">
        <w:rPr>
          <w:rFonts w:ascii="Book Antiqua" w:hAnsi="Book Antiqua" w:cs="Tahoma"/>
          <w:i/>
          <w:iCs/>
        </w:rPr>
        <w:t>Gut</w:t>
      </w:r>
      <w:r w:rsidRPr="00310581">
        <w:rPr>
          <w:rFonts w:ascii="Book Antiqua" w:hAnsi="Book Antiqua" w:cs="Tahoma"/>
        </w:rPr>
        <w:t>2013;</w:t>
      </w:r>
      <w:r w:rsidRPr="00310581">
        <w:rPr>
          <w:rStyle w:val="apple-converted-space"/>
          <w:rFonts w:ascii="Book Antiqua" w:hAnsi="Book Antiqua" w:cs="Tahoma"/>
        </w:rPr>
        <w:t> </w:t>
      </w:r>
      <w:r w:rsidRPr="00310581">
        <w:rPr>
          <w:rFonts w:ascii="Book Antiqua" w:hAnsi="Book Antiqua" w:cs="Tahoma"/>
          <w:b/>
          <w:bCs/>
        </w:rPr>
        <w:t>62</w:t>
      </w:r>
      <w:r w:rsidRPr="00310581">
        <w:rPr>
          <w:rFonts w:ascii="Book Antiqua" w:hAnsi="Book Antiqua" w:cs="Tahoma"/>
        </w:rPr>
        <w:t>: 1356-1363 [PMID: 22879518 DOI: 10.1136/gutjnl-2012-302962]</w:t>
      </w:r>
    </w:p>
    <w:p w14:paraId="3B073D9A"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lastRenderedPageBreak/>
        <w:t>9</w:t>
      </w:r>
      <w:r w:rsidRPr="00310581">
        <w:rPr>
          <w:rStyle w:val="apple-converted-space"/>
          <w:rFonts w:ascii="Book Antiqua" w:hAnsi="Book Antiqua" w:cs="Tahoma"/>
        </w:rPr>
        <w:t> </w:t>
      </w:r>
      <w:r w:rsidRPr="00310581">
        <w:rPr>
          <w:rFonts w:ascii="Book Antiqua" w:hAnsi="Book Antiqua" w:cs="Tahoma"/>
          <w:b/>
          <w:bCs/>
        </w:rPr>
        <w:t>Bartel DP</w:t>
      </w:r>
      <w:r w:rsidRPr="00310581">
        <w:rPr>
          <w:rFonts w:ascii="Book Antiqua" w:hAnsi="Book Antiqua" w:cs="Tahoma"/>
        </w:rPr>
        <w:t>. MicroRNAs: genomics, biogenesis, mechanism, and function.</w:t>
      </w:r>
      <w:r w:rsidRPr="00310581">
        <w:rPr>
          <w:rStyle w:val="apple-converted-space"/>
          <w:rFonts w:ascii="Book Antiqua" w:hAnsi="Book Antiqua" w:cs="Tahoma"/>
        </w:rPr>
        <w:t> </w:t>
      </w:r>
      <w:r w:rsidRPr="00310581">
        <w:rPr>
          <w:rFonts w:ascii="Book Antiqua" w:hAnsi="Book Antiqua" w:cs="Tahoma"/>
          <w:i/>
          <w:iCs/>
        </w:rPr>
        <w:t>Cell</w:t>
      </w:r>
      <w:r w:rsidRPr="00310581">
        <w:rPr>
          <w:rStyle w:val="apple-converted-space"/>
          <w:rFonts w:ascii="Book Antiqua" w:hAnsi="Book Antiqua" w:cs="Tahoma"/>
        </w:rPr>
        <w:t> </w:t>
      </w:r>
      <w:r w:rsidRPr="00310581">
        <w:rPr>
          <w:rFonts w:ascii="Book Antiqua" w:hAnsi="Book Antiqua" w:cs="Tahoma"/>
        </w:rPr>
        <w:t>2004;</w:t>
      </w:r>
      <w:r w:rsidRPr="00310581">
        <w:rPr>
          <w:rStyle w:val="apple-converted-space"/>
          <w:rFonts w:ascii="Book Antiqua" w:hAnsi="Book Antiqua" w:cs="Tahoma"/>
        </w:rPr>
        <w:t> </w:t>
      </w:r>
      <w:r w:rsidRPr="00310581">
        <w:rPr>
          <w:rFonts w:ascii="Book Antiqua" w:hAnsi="Book Antiqua" w:cs="Tahoma"/>
          <w:b/>
          <w:bCs/>
        </w:rPr>
        <w:t>116</w:t>
      </w:r>
      <w:r w:rsidRPr="00310581">
        <w:rPr>
          <w:rFonts w:ascii="Book Antiqua" w:hAnsi="Book Antiqua" w:cs="Tahoma"/>
        </w:rPr>
        <w:t>: 281-297 [PMID: 14744438 DOI: http://dx.doi.org/10.1016/S0092-8674(04)00045-5]</w:t>
      </w:r>
    </w:p>
    <w:p w14:paraId="1FD2FF69"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10</w:t>
      </w:r>
      <w:r w:rsidRPr="00310581">
        <w:rPr>
          <w:rStyle w:val="apple-converted-space"/>
          <w:rFonts w:ascii="Book Antiqua" w:hAnsi="Book Antiqua" w:cs="Tahoma"/>
        </w:rPr>
        <w:t> </w:t>
      </w:r>
      <w:r w:rsidRPr="00310581">
        <w:rPr>
          <w:rFonts w:ascii="Book Antiqua" w:hAnsi="Book Antiqua" w:cs="Tahoma"/>
          <w:b/>
          <w:bCs/>
        </w:rPr>
        <w:t>Rottiers V</w:t>
      </w:r>
      <w:r w:rsidRPr="00310581">
        <w:rPr>
          <w:rFonts w:ascii="Book Antiqua" w:hAnsi="Book Antiqua" w:cs="Tahoma"/>
        </w:rPr>
        <w:t>, Näär AM. MicroRNAs in metabolism and metabolic disorders.</w:t>
      </w:r>
      <w:r w:rsidRPr="00310581">
        <w:rPr>
          <w:rStyle w:val="apple-converted-space"/>
          <w:rFonts w:ascii="Book Antiqua" w:hAnsi="Book Antiqua" w:cs="Tahoma"/>
        </w:rPr>
        <w:t> </w:t>
      </w:r>
      <w:r w:rsidRPr="00310581">
        <w:rPr>
          <w:rFonts w:ascii="Book Antiqua" w:hAnsi="Book Antiqua" w:cs="Tahoma"/>
          <w:i/>
          <w:iCs/>
        </w:rPr>
        <w:t>Nat Rev Mol Cell Biol</w:t>
      </w:r>
      <w:r w:rsidRPr="00310581">
        <w:rPr>
          <w:rStyle w:val="apple-converted-space"/>
          <w:rFonts w:ascii="Book Antiqua" w:hAnsi="Book Antiqua" w:cs="Tahoma"/>
        </w:rPr>
        <w:t> </w:t>
      </w:r>
      <w:r w:rsidRPr="00310581">
        <w:rPr>
          <w:rFonts w:ascii="Book Antiqua" w:hAnsi="Book Antiqua" w:cs="Tahoma"/>
        </w:rPr>
        <w:t>2012;</w:t>
      </w:r>
      <w:r w:rsidRPr="00310581">
        <w:rPr>
          <w:rStyle w:val="apple-converted-space"/>
          <w:rFonts w:ascii="Book Antiqua" w:hAnsi="Book Antiqua" w:cs="Tahoma"/>
        </w:rPr>
        <w:t> </w:t>
      </w:r>
      <w:r w:rsidRPr="00310581">
        <w:rPr>
          <w:rFonts w:ascii="Book Antiqua" w:hAnsi="Book Antiqua" w:cs="Tahoma"/>
          <w:b/>
          <w:bCs/>
        </w:rPr>
        <w:t>13</w:t>
      </w:r>
      <w:r w:rsidRPr="00310581">
        <w:rPr>
          <w:rFonts w:ascii="Book Antiqua" w:hAnsi="Book Antiqua" w:cs="Tahoma"/>
        </w:rPr>
        <w:t>: 239-250 [PMID: 22436747 DOI: 10.1038/nrm3313]</w:t>
      </w:r>
    </w:p>
    <w:p w14:paraId="7C9D170A"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11</w:t>
      </w:r>
      <w:r w:rsidRPr="00310581">
        <w:rPr>
          <w:rStyle w:val="apple-converted-space"/>
          <w:rFonts w:ascii="Book Antiqua" w:hAnsi="Book Antiqua" w:cs="Tahoma"/>
        </w:rPr>
        <w:t> </w:t>
      </w:r>
      <w:r w:rsidRPr="00310581">
        <w:rPr>
          <w:rFonts w:ascii="Book Antiqua" w:hAnsi="Book Antiqua" w:cs="Tahoma"/>
          <w:b/>
          <w:bCs/>
        </w:rPr>
        <w:t>Pirola CJ</w:t>
      </w:r>
      <w:r w:rsidRPr="00310581">
        <w:rPr>
          <w:rFonts w:ascii="Book Antiqua" w:hAnsi="Book Antiqua" w:cs="Tahoma"/>
        </w:rPr>
        <w:t>, Fernández Gianotti T, Castaño GO, Mallardi P, San Martino J, Mora Gonzalez Lopez Ledesma M, Flichman D, Mirshahi F, Sanyal AJ, Sookoian S. Circulating microRNA signature in non-alcoholic fatty liver disease: from serum non-coding RNAs to liver histology and disease pathogenesis.</w:t>
      </w:r>
      <w:r w:rsidRPr="00310581">
        <w:rPr>
          <w:rStyle w:val="apple-converted-space"/>
          <w:rFonts w:ascii="Book Antiqua" w:hAnsi="Book Antiqua" w:cs="Tahoma"/>
        </w:rPr>
        <w:t> </w:t>
      </w:r>
      <w:r w:rsidRPr="00310581">
        <w:rPr>
          <w:rFonts w:ascii="Book Antiqua" w:hAnsi="Book Antiqua" w:cs="Tahoma"/>
          <w:i/>
          <w:iCs/>
        </w:rPr>
        <w:t>Gut</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64</w:t>
      </w:r>
      <w:r w:rsidRPr="00310581">
        <w:rPr>
          <w:rFonts w:ascii="Book Antiqua" w:hAnsi="Book Antiqua" w:cs="Tahoma"/>
        </w:rPr>
        <w:t>: 800-812 [PMID: 24973316 DOI: 10.1136/gutjnl-2014-306996]</w:t>
      </w:r>
    </w:p>
    <w:p w14:paraId="3189C7CE"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12</w:t>
      </w:r>
      <w:r w:rsidRPr="00310581">
        <w:rPr>
          <w:rStyle w:val="apple-converted-space"/>
          <w:rFonts w:ascii="Book Antiqua" w:hAnsi="Book Antiqua" w:cs="Tahoma"/>
        </w:rPr>
        <w:t> </w:t>
      </w:r>
      <w:r w:rsidRPr="00310581">
        <w:rPr>
          <w:rFonts w:ascii="Book Antiqua" w:hAnsi="Book Antiqua" w:cs="Tahoma"/>
          <w:b/>
          <w:bCs/>
        </w:rPr>
        <w:t>Liu XL,</w:t>
      </w:r>
      <w:r w:rsidRPr="00310581">
        <w:rPr>
          <w:rStyle w:val="apple-converted-space"/>
          <w:rFonts w:ascii="Book Antiqua" w:hAnsi="Book Antiqua" w:cs="Tahoma"/>
        </w:rPr>
        <w:t> </w:t>
      </w:r>
      <w:r w:rsidRPr="00310581">
        <w:rPr>
          <w:rFonts w:ascii="Book Antiqua" w:hAnsi="Book Antiqua" w:cs="Tahoma"/>
        </w:rPr>
        <w:t xml:space="preserve">Pan Q, Zhang RN, Shen F, Yan SY, Sun C, Xu ZJ, Chen YW, Fan JG. Disease-specific miR-34a as diagnostic marker of non-alcoholic steatohepatitis in a Chinese population. </w:t>
      </w:r>
      <w:r w:rsidRPr="00310581">
        <w:rPr>
          <w:rFonts w:ascii="Book Antiqua" w:hAnsi="Book Antiqua" w:cs="Tahoma"/>
          <w:i/>
        </w:rPr>
        <w:t>World J Gastroenterol</w:t>
      </w:r>
      <w:r w:rsidRPr="00310581">
        <w:rPr>
          <w:rFonts w:ascii="Book Antiqua" w:hAnsi="Book Antiqua" w:cs="Tahoma"/>
        </w:rPr>
        <w:t xml:space="preserve"> 2016; </w:t>
      </w:r>
      <w:r w:rsidRPr="00310581">
        <w:rPr>
          <w:rFonts w:ascii="Book Antiqua" w:hAnsi="Book Antiqua" w:cs="Tahoma"/>
          <w:b/>
        </w:rPr>
        <w:t>22</w:t>
      </w:r>
      <w:r w:rsidRPr="00310581">
        <w:rPr>
          <w:rFonts w:ascii="Book Antiqua" w:hAnsi="Book Antiqua" w:cs="Tahoma"/>
        </w:rPr>
        <w:t>: 9844 [PMID: 27956809 DOI: 10.3748/wjg.v22.i44.9844]</w:t>
      </w:r>
    </w:p>
    <w:p w14:paraId="0DC2F657"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13</w:t>
      </w:r>
      <w:r w:rsidRPr="00310581">
        <w:rPr>
          <w:rStyle w:val="apple-converted-space"/>
          <w:rFonts w:ascii="Book Antiqua" w:hAnsi="Book Antiqua" w:cs="Tahoma"/>
        </w:rPr>
        <w:t> </w:t>
      </w:r>
      <w:r w:rsidRPr="00310581">
        <w:rPr>
          <w:rFonts w:ascii="Book Antiqua" w:hAnsi="Book Antiqua" w:cs="Tahoma"/>
          <w:b/>
          <w:bCs/>
        </w:rPr>
        <w:t>Roy S</w:t>
      </w:r>
      <w:r w:rsidRPr="00310581">
        <w:rPr>
          <w:rFonts w:ascii="Book Antiqua" w:hAnsi="Book Antiqua" w:cs="Tahoma"/>
        </w:rPr>
        <w:t>, Benz F, Alder J, Bantel H, Janssen J, Vucur M, Gautheron J, Schneider A, Schüller F, Loosen S, Luedde M, Koch A, Tacke F, Luedde T, Trautwein C, Roderburg C. Down-regulation of miR-192-5p protects from oxidative stress-induced acute liver injury.</w:t>
      </w:r>
      <w:r w:rsidRPr="00310581">
        <w:rPr>
          <w:rStyle w:val="apple-converted-space"/>
          <w:rFonts w:ascii="Book Antiqua" w:hAnsi="Book Antiqua" w:cs="Tahoma"/>
        </w:rPr>
        <w:t> </w:t>
      </w:r>
      <w:r w:rsidRPr="00310581">
        <w:rPr>
          <w:rFonts w:ascii="Book Antiqua" w:hAnsi="Book Antiqua" w:cs="Tahoma"/>
          <w:i/>
          <w:iCs/>
        </w:rPr>
        <w:t>Clin Sci</w:t>
      </w:r>
      <w:r w:rsidRPr="00310581">
        <w:rPr>
          <w:rFonts w:ascii="Book Antiqua" w:hAnsi="Book Antiqua" w:cs="Tahoma"/>
          <w:iCs/>
        </w:rPr>
        <w:t xml:space="preserve"> (Lond)</w:t>
      </w:r>
      <w:r w:rsidRPr="00310581">
        <w:rPr>
          <w:rStyle w:val="apple-converted-space"/>
          <w:rFonts w:ascii="Book Antiqua" w:hAnsi="Book Antiqua" w:cs="Tahoma"/>
        </w:rPr>
        <w:t> </w:t>
      </w:r>
      <w:r w:rsidRPr="00310581">
        <w:rPr>
          <w:rFonts w:ascii="Book Antiqua" w:hAnsi="Book Antiqua" w:cs="Tahoma"/>
        </w:rPr>
        <w:t>2016;</w:t>
      </w:r>
      <w:r w:rsidRPr="00310581">
        <w:rPr>
          <w:rStyle w:val="apple-converted-space"/>
          <w:rFonts w:ascii="Book Antiqua" w:hAnsi="Book Antiqua" w:cs="Tahoma"/>
        </w:rPr>
        <w:t> </w:t>
      </w:r>
      <w:r w:rsidRPr="00310581">
        <w:rPr>
          <w:rFonts w:ascii="Book Antiqua" w:hAnsi="Book Antiqua" w:cs="Tahoma"/>
          <w:b/>
          <w:bCs/>
        </w:rPr>
        <w:t>130</w:t>
      </w:r>
      <w:r w:rsidRPr="00310581">
        <w:rPr>
          <w:rFonts w:ascii="Book Antiqua" w:hAnsi="Book Antiqua" w:cs="Tahoma"/>
        </w:rPr>
        <w:t>: 1197-1207 [PMID: 27129188 DOI: 10.1042/cs20160216]</w:t>
      </w:r>
    </w:p>
    <w:p w14:paraId="0B712C8B"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14</w:t>
      </w:r>
      <w:r w:rsidRPr="00310581">
        <w:rPr>
          <w:rStyle w:val="apple-converted-space"/>
          <w:rFonts w:ascii="Book Antiqua" w:hAnsi="Book Antiqua" w:cs="Tahoma"/>
        </w:rPr>
        <w:t> </w:t>
      </w:r>
      <w:r w:rsidRPr="00310581">
        <w:rPr>
          <w:rFonts w:ascii="Book Antiqua" w:hAnsi="Book Antiqua" w:cs="Tahoma"/>
          <w:b/>
          <w:bCs/>
        </w:rPr>
        <w:t>Lian J</w:t>
      </w:r>
      <w:r w:rsidRPr="00310581">
        <w:rPr>
          <w:rFonts w:ascii="Book Antiqua" w:hAnsi="Book Antiqua" w:cs="Tahoma"/>
        </w:rPr>
        <w:t>, Jing Y, Dong Q, Huan L, Chen D, Bao C, Wang Q, Zhao F, Li J, Yao M, Qin L, Liang L, He X. miR-192, a prognostic indicator, targets the SLC39A6/SNAIL pathway to reduce tumor metastasis in human hepatocellular carcinoma.</w:t>
      </w:r>
      <w:r w:rsidRPr="00310581">
        <w:rPr>
          <w:rFonts w:ascii="Book Antiqua" w:hAnsi="Book Antiqua" w:cs="Tahoma"/>
          <w:i/>
          <w:iCs/>
        </w:rPr>
        <w:t>Oncotarget</w:t>
      </w:r>
      <w:r w:rsidRPr="00310581">
        <w:rPr>
          <w:rStyle w:val="apple-converted-space"/>
          <w:rFonts w:ascii="Book Antiqua" w:hAnsi="Book Antiqua" w:cs="Tahoma"/>
        </w:rPr>
        <w:t> </w:t>
      </w:r>
      <w:r w:rsidRPr="00310581">
        <w:rPr>
          <w:rFonts w:ascii="Book Antiqua" w:hAnsi="Book Antiqua" w:cs="Tahoma"/>
        </w:rPr>
        <w:t>2016;</w:t>
      </w:r>
      <w:r w:rsidRPr="00310581">
        <w:rPr>
          <w:rStyle w:val="apple-converted-space"/>
          <w:rFonts w:ascii="Book Antiqua" w:hAnsi="Book Antiqua" w:cs="Tahoma"/>
        </w:rPr>
        <w:t> </w:t>
      </w:r>
      <w:r w:rsidRPr="00310581">
        <w:rPr>
          <w:rFonts w:ascii="Book Antiqua" w:hAnsi="Book Antiqua" w:cs="Tahoma"/>
          <w:b/>
          <w:bCs/>
        </w:rPr>
        <w:t>7</w:t>
      </w:r>
      <w:r w:rsidRPr="00310581">
        <w:rPr>
          <w:rFonts w:ascii="Book Antiqua" w:hAnsi="Book Antiqua" w:cs="Tahoma"/>
        </w:rPr>
        <w:t>: 2672-2683 [PMID: 26684241 DOI: 10.18632/oncotarget.6603]</w:t>
      </w:r>
    </w:p>
    <w:p w14:paraId="0FC6882C"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15</w:t>
      </w:r>
      <w:r w:rsidRPr="00310581">
        <w:rPr>
          <w:rStyle w:val="apple-converted-space"/>
          <w:rFonts w:ascii="Book Antiqua" w:hAnsi="Book Antiqua" w:cs="Tahoma"/>
        </w:rPr>
        <w:t> </w:t>
      </w:r>
      <w:r w:rsidRPr="00310581">
        <w:rPr>
          <w:rFonts w:ascii="Book Antiqua" w:hAnsi="Book Antiqua" w:cs="Tahoma"/>
          <w:b/>
          <w:bCs/>
        </w:rPr>
        <w:t>Lambert JE</w:t>
      </w:r>
      <w:r w:rsidRPr="00310581">
        <w:rPr>
          <w:rFonts w:ascii="Book Antiqua" w:hAnsi="Book Antiqua" w:cs="Tahoma"/>
        </w:rPr>
        <w:t>, Ramos-Roman MA, Browning JD, Parks EJ. Increased de novo lipogenesis is a distinct characteristic of individuals with nonalcoholic fatty liver disease.</w:t>
      </w:r>
      <w:r w:rsidRPr="00310581">
        <w:rPr>
          <w:rStyle w:val="apple-converted-space"/>
          <w:rFonts w:ascii="Book Antiqua" w:hAnsi="Book Antiqua" w:cs="Tahoma"/>
        </w:rPr>
        <w:t> </w:t>
      </w:r>
      <w:r w:rsidRPr="00310581">
        <w:rPr>
          <w:rFonts w:ascii="Book Antiqua" w:hAnsi="Book Antiqua" w:cs="Tahoma"/>
          <w:i/>
          <w:iCs/>
        </w:rPr>
        <w:t>Gastroenterology</w:t>
      </w:r>
      <w:r w:rsidRPr="00310581">
        <w:rPr>
          <w:rStyle w:val="apple-converted-space"/>
          <w:rFonts w:ascii="Book Antiqua" w:hAnsi="Book Antiqua" w:cs="Tahoma"/>
        </w:rPr>
        <w:t> </w:t>
      </w:r>
      <w:r w:rsidRPr="00310581">
        <w:rPr>
          <w:rFonts w:ascii="Book Antiqua" w:hAnsi="Book Antiqua" w:cs="Tahoma"/>
        </w:rPr>
        <w:t>2014;</w:t>
      </w:r>
      <w:r w:rsidRPr="00310581">
        <w:rPr>
          <w:rStyle w:val="apple-converted-space"/>
          <w:rFonts w:ascii="Book Antiqua" w:hAnsi="Book Antiqua" w:cs="Tahoma"/>
        </w:rPr>
        <w:t> </w:t>
      </w:r>
      <w:r w:rsidRPr="00310581">
        <w:rPr>
          <w:rFonts w:ascii="Book Antiqua" w:hAnsi="Book Antiqua" w:cs="Tahoma"/>
          <w:b/>
          <w:bCs/>
        </w:rPr>
        <w:t>146</w:t>
      </w:r>
      <w:r w:rsidRPr="00310581">
        <w:rPr>
          <w:rFonts w:ascii="Book Antiqua" w:hAnsi="Book Antiqua" w:cs="Tahoma"/>
        </w:rPr>
        <w:t>: 726-735 [PMID: 24316260 DOI: 10.1053/j.gastro.2013.11.049]</w:t>
      </w:r>
    </w:p>
    <w:p w14:paraId="4E62B1E3"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lastRenderedPageBreak/>
        <w:t>16</w:t>
      </w:r>
      <w:r w:rsidRPr="00310581">
        <w:rPr>
          <w:rStyle w:val="apple-converted-space"/>
          <w:rFonts w:ascii="Book Antiqua" w:hAnsi="Book Antiqua" w:cs="Tahoma"/>
        </w:rPr>
        <w:t> </w:t>
      </w:r>
      <w:r w:rsidRPr="00310581">
        <w:rPr>
          <w:rFonts w:ascii="Book Antiqua" w:hAnsi="Book Antiqua" w:cs="Tahoma"/>
          <w:b/>
          <w:bCs/>
        </w:rPr>
        <w:t>Saponaro C</w:t>
      </w:r>
      <w:r w:rsidRPr="00310581">
        <w:rPr>
          <w:rFonts w:ascii="Book Antiqua" w:hAnsi="Book Antiqua" w:cs="Tahoma"/>
        </w:rPr>
        <w:t>, Gaggini M, Carli F, Gastaldelli A. The Subtle Balance between Lipolysis and Lipogenesis: A Critical Point in Metabolic Homeostasis.</w:t>
      </w:r>
      <w:r w:rsidRPr="00310581">
        <w:rPr>
          <w:rStyle w:val="apple-converted-space"/>
          <w:rFonts w:ascii="Book Antiqua" w:hAnsi="Book Antiqua" w:cs="Tahoma"/>
        </w:rPr>
        <w:t> </w:t>
      </w:r>
      <w:r w:rsidRPr="00310581">
        <w:rPr>
          <w:rFonts w:ascii="Book Antiqua" w:hAnsi="Book Antiqua" w:cs="Tahoma"/>
          <w:i/>
          <w:iCs/>
        </w:rPr>
        <w:t>Nutrients</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7</w:t>
      </w:r>
      <w:r w:rsidRPr="00310581">
        <w:rPr>
          <w:rFonts w:ascii="Book Antiqua" w:hAnsi="Book Antiqua" w:cs="Tahoma"/>
        </w:rPr>
        <w:t>: 9453-9474 [PMID: 26580649 DOI: 10.3390/nu7115475]</w:t>
      </w:r>
    </w:p>
    <w:p w14:paraId="3B4F2A41"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17</w:t>
      </w:r>
      <w:r w:rsidRPr="00310581">
        <w:rPr>
          <w:rStyle w:val="apple-converted-space"/>
          <w:rFonts w:ascii="Book Antiqua" w:hAnsi="Book Antiqua" w:cs="Tahoma"/>
        </w:rPr>
        <w:t> </w:t>
      </w:r>
      <w:r w:rsidRPr="00310581">
        <w:rPr>
          <w:rFonts w:ascii="Book Antiqua" w:hAnsi="Book Antiqua" w:cs="Tahoma"/>
          <w:b/>
          <w:bCs/>
        </w:rPr>
        <w:t>Miyazaki M</w:t>
      </w:r>
      <w:r w:rsidRPr="00310581">
        <w:rPr>
          <w:rFonts w:ascii="Book Antiqua" w:hAnsi="Book Antiqua" w:cs="Tahoma"/>
        </w:rPr>
        <w:t>, Dobrzyn A, Man WC, Chu K, Sampath H, Kim HJ, Ntambi JM. Stearoyl-CoA desaturase 1 gene expression is necessary for fructose-mediated induction of lipogenic gene expression by sterol regulatory element-binding protein-1c-dependent and -independent mechanisms.</w:t>
      </w:r>
      <w:r w:rsidRPr="00310581">
        <w:rPr>
          <w:rStyle w:val="apple-converted-space"/>
          <w:rFonts w:ascii="Book Antiqua" w:hAnsi="Book Antiqua" w:cs="Tahoma"/>
        </w:rPr>
        <w:t> </w:t>
      </w:r>
      <w:r w:rsidRPr="00310581">
        <w:rPr>
          <w:rFonts w:ascii="Book Antiqua" w:hAnsi="Book Antiqua" w:cs="Tahoma"/>
          <w:i/>
          <w:iCs/>
        </w:rPr>
        <w:t>J Biol Chem</w:t>
      </w:r>
      <w:r w:rsidRPr="00310581">
        <w:rPr>
          <w:rStyle w:val="apple-converted-space"/>
          <w:rFonts w:ascii="Book Antiqua" w:hAnsi="Book Antiqua" w:cs="Tahoma"/>
        </w:rPr>
        <w:t> </w:t>
      </w:r>
      <w:r w:rsidRPr="00310581">
        <w:rPr>
          <w:rFonts w:ascii="Book Antiqua" w:hAnsi="Book Antiqua" w:cs="Tahoma"/>
        </w:rPr>
        <w:t>2004;</w:t>
      </w:r>
      <w:r w:rsidRPr="00310581">
        <w:rPr>
          <w:rStyle w:val="apple-converted-space"/>
          <w:rFonts w:ascii="Book Antiqua" w:hAnsi="Book Antiqua" w:cs="Tahoma"/>
        </w:rPr>
        <w:t> </w:t>
      </w:r>
      <w:r w:rsidRPr="00310581">
        <w:rPr>
          <w:rFonts w:ascii="Book Antiqua" w:hAnsi="Book Antiqua" w:cs="Tahoma"/>
          <w:b/>
          <w:bCs/>
        </w:rPr>
        <w:t>279</w:t>
      </w:r>
      <w:r w:rsidRPr="00310581">
        <w:rPr>
          <w:rFonts w:ascii="Book Antiqua" w:hAnsi="Book Antiqua" w:cs="Tahoma"/>
        </w:rPr>
        <w:t>: 25164-25171 [PMID: 15066988 DOI: 10.1074/jbc.M402781200]</w:t>
      </w:r>
    </w:p>
    <w:p w14:paraId="6714E2D1"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18</w:t>
      </w:r>
      <w:r w:rsidRPr="00310581">
        <w:rPr>
          <w:rStyle w:val="apple-converted-space"/>
          <w:rFonts w:ascii="Book Antiqua" w:hAnsi="Book Antiqua" w:cs="Tahoma"/>
        </w:rPr>
        <w:t> </w:t>
      </w:r>
      <w:r w:rsidRPr="00310581">
        <w:rPr>
          <w:rFonts w:ascii="Book Antiqua" w:hAnsi="Book Antiqua" w:cs="Tahoma"/>
          <w:b/>
          <w:bCs/>
        </w:rPr>
        <w:t>Krauskopf J</w:t>
      </w:r>
      <w:r w:rsidRPr="00310581">
        <w:rPr>
          <w:rFonts w:ascii="Book Antiqua" w:hAnsi="Book Antiqua" w:cs="Tahoma"/>
        </w:rPr>
        <w:t>, Caiment F, Claessen SM, Johnson KJ, Warner RL, Schomaker SJ, Burt DA, Aubrecht J, Kleinjans JC. Application of high-throughput sequencing to circulating microRNAs reveals novel biomarkers for drug-induced liver injury.</w:t>
      </w:r>
      <w:r w:rsidRPr="00310581">
        <w:rPr>
          <w:rFonts w:ascii="Book Antiqua" w:hAnsi="Book Antiqua" w:cs="Tahoma"/>
          <w:i/>
          <w:iCs/>
        </w:rPr>
        <w:t>Toxicol Sci</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143</w:t>
      </w:r>
      <w:r w:rsidRPr="00310581">
        <w:rPr>
          <w:rFonts w:ascii="Book Antiqua" w:hAnsi="Book Antiqua" w:cs="Tahoma"/>
        </w:rPr>
        <w:t>: 268-276 [PMID: 25359176 DOI: 10.1093/toxsci/kfu232]</w:t>
      </w:r>
    </w:p>
    <w:p w14:paraId="274E58A6"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19</w:t>
      </w:r>
      <w:r w:rsidRPr="00310581">
        <w:rPr>
          <w:rStyle w:val="apple-converted-space"/>
          <w:rFonts w:ascii="Book Antiqua" w:hAnsi="Book Antiqua" w:cs="Tahoma"/>
        </w:rPr>
        <w:t> </w:t>
      </w:r>
      <w:r w:rsidRPr="00310581">
        <w:rPr>
          <w:rFonts w:ascii="Book Antiqua" w:hAnsi="Book Antiqua" w:cs="Tahoma"/>
          <w:b/>
          <w:bCs/>
        </w:rPr>
        <w:t>Brunetto MR</w:t>
      </w:r>
      <w:r w:rsidRPr="00310581">
        <w:rPr>
          <w:rFonts w:ascii="Book Antiqua" w:hAnsi="Book Antiqua" w:cs="Tahoma"/>
        </w:rPr>
        <w:t>, Cavallone D, Oliveri F, Moriconi F, Colombatto P, Coco B, Ciccorossi P, Rastelli C, Romagnoli V, Cherubini B, Teilum MW, Blondal T, Bonino F. A serum microRNA signature is associated with the immune control of chronic hepatitis B virus infection.</w:t>
      </w:r>
      <w:r w:rsidRPr="00310581">
        <w:rPr>
          <w:rStyle w:val="apple-converted-space"/>
          <w:rFonts w:ascii="Book Antiqua" w:hAnsi="Book Antiqua" w:cs="Tahoma"/>
        </w:rPr>
        <w:t> </w:t>
      </w:r>
      <w:r w:rsidRPr="00310581">
        <w:rPr>
          <w:rFonts w:ascii="Book Antiqua" w:hAnsi="Book Antiqua" w:cs="Tahoma"/>
          <w:i/>
          <w:iCs/>
        </w:rPr>
        <w:t>PLoS One</w:t>
      </w:r>
      <w:r w:rsidRPr="00310581">
        <w:rPr>
          <w:rStyle w:val="apple-converted-space"/>
          <w:rFonts w:ascii="Book Antiqua" w:hAnsi="Book Antiqua" w:cs="Tahoma"/>
        </w:rPr>
        <w:t> </w:t>
      </w:r>
      <w:r w:rsidRPr="00310581">
        <w:rPr>
          <w:rFonts w:ascii="Book Antiqua" w:hAnsi="Book Antiqua" w:cs="Tahoma"/>
        </w:rPr>
        <w:t>2014;</w:t>
      </w:r>
      <w:r w:rsidRPr="00310581">
        <w:rPr>
          <w:rStyle w:val="apple-converted-space"/>
          <w:rFonts w:ascii="Book Antiqua" w:hAnsi="Book Antiqua" w:cs="Tahoma"/>
        </w:rPr>
        <w:t> </w:t>
      </w:r>
      <w:r w:rsidRPr="00310581">
        <w:rPr>
          <w:rFonts w:ascii="Book Antiqua" w:hAnsi="Book Antiqua" w:cs="Tahoma"/>
          <w:b/>
          <w:bCs/>
        </w:rPr>
        <w:t>9</w:t>
      </w:r>
      <w:r w:rsidRPr="00310581">
        <w:rPr>
          <w:rFonts w:ascii="Book Antiqua" w:hAnsi="Book Antiqua" w:cs="Tahoma"/>
        </w:rPr>
        <w:t>: e110782 [PMID: 25350115 DOI: 10.1371/journal.pone.0110782]</w:t>
      </w:r>
    </w:p>
    <w:p w14:paraId="03ABA14A"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20</w:t>
      </w:r>
      <w:r w:rsidRPr="00310581">
        <w:rPr>
          <w:rStyle w:val="apple-converted-space"/>
          <w:rFonts w:ascii="Book Antiqua" w:hAnsi="Book Antiqua" w:cs="Tahoma"/>
        </w:rPr>
        <w:t> </w:t>
      </w:r>
      <w:r w:rsidRPr="00310581">
        <w:rPr>
          <w:rFonts w:ascii="Book Antiqua" w:hAnsi="Book Antiqua" w:cs="Tahoma"/>
          <w:b/>
          <w:bCs/>
        </w:rPr>
        <w:t>Zhu HT</w:t>
      </w:r>
      <w:r w:rsidRPr="00310581">
        <w:rPr>
          <w:rFonts w:ascii="Book Antiqua" w:hAnsi="Book Antiqua" w:cs="Tahoma"/>
        </w:rPr>
        <w:t>, Liu RB, Liang YY, Hasan AME, Wang HY, Shao Q, Zhang ZC, Wang J, He CY, Wang F, Shao JY. Serum microRNA profiles as diagnostic biomarkers for HBV-positive hepatocellular carcinoma.</w:t>
      </w:r>
      <w:r w:rsidRPr="00310581">
        <w:rPr>
          <w:rStyle w:val="apple-converted-space"/>
          <w:rFonts w:ascii="Book Antiqua" w:hAnsi="Book Antiqua" w:cs="Tahoma"/>
        </w:rPr>
        <w:t> </w:t>
      </w:r>
      <w:r w:rsidRPr="00310581">
        <w:rPr>
          <w:rFonts w:ascii="Book Antiqua" w:hAnsi="Book Antiqua" w:cs="Tahoma"/>
          <w:i/>
          <w:iCs/>
        </w:rPr>
        <w:t>Liver Int</w:t>
      </w:r>
      <w:r w:rsidRPr="00310581">
        <w:rPr>
          <w:rStyle w:val="apple-converted-space"/>
          <w:rFonts w:ascii="Book Antiqua" w:hAnsi="Book Antiqua" w:cs="Tahoma"/>
        </w:rPr>
        <w:t> </w:t>
      </w:r>
      <w:r w:rsidRPr="00310581">
        <w:rPr>
          <w:rFonts w:ascii="Book Antiqua" w:hAnsi="Book Antiqua" w:cs="Tahoma"/>
        </w:rPr>
        <w:t>2017;</w:t>
      </w:r>
      <w:r w:rsidRPr="00310581">
        <w:rPr>
          <w:rStyle w:val="apple-converted-space"/>
          <w:rFonts w:ascii="Book Antiqua" w:hAnsi="Book Antiqua" w:cs="Tahoma"/>
        </w:rPr>
        <w:t> </w:t>
      </w:r>
      <w:r w:rsidRPr="00310581">
        <w:rPr>
          <w:rFonts w:ascii="Book Antiqua" w:hAnsi="Book Antiqua" w:cs="Tahoma"/>
          <w:b/>
          <w:bCs/>
        </w:rPr>
        <w:t>37</w:t>
      </w:r>
      <w:r w:rsidRPr="00310581">
        <w:rPr>
          <w:rFonts w:ascii="Book Antiqua" w:hAnsi="Book Antiqua" w:cs="Tahoma"/>
        </w:rPr>
        <w:t>: 888-896 [PMID: 28061012 DOI: 10.1111/liv.13356]</w:t>
      </w:r>
    </w:p>
    <w:p w14:paraId="6A574436"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21</w:t>
      </w:r>
      <w:r w:rsidRPr="00310581">
        <w:rPr>
          <w:rStyle w:val="apple-converted-space"/>
          <w:rFonts w:ascii="Book Antiqua" w:hAnsi="Book Antiqua" w:cs="Tahoma"/>
        </w:rPr>
        <w:t> </w:t>
      </w:r>
      <w:r w:rsidRPr="00310581">
        <w:rPr>
          <w:rFonts w:ascii="Book Antiqua" w:hAnsi="Book Antiqua" w:cs="Tahoma"/>
          <w:b/>
          <w:bCs/>
        </w:rPr>
        <w:t>Wen Y</w:t>
      </w:r>
      <w:r w:rsidRPr="00310581">
        <w:rPr>
          <w:rFonts w:ascii="Book Antiqua" w:hAnsi="Book Antiqua" w:cs="Tahoma"/>
        </w:rPr>
        <w:t>, Han J, Chen J, Dong J, Xia Y, Liu J, Jiang Y, Dai J, Lu J, Jin G, Han J, Wei Q, Shen H, Sun B, Hu Z. Plasma miRNAs as early biomarkers for detecting hepatocellular carcinoma.</w:t>
      </w:r>
      <w:r w:rsidRPr="00310581">
        <w:rPr>
          <w:rStyle w:val="apple-converted-space"/>
          <w:rFonts w:ascii="Book Antiqua" w:hAnsi="Book Antiqua" w:cs="Tahoma"/>
        </w:rPr>
        <w:t> </w:t>
      </w:r>
      <w:r w:rsidRPr="00310581">
        <w:rPr>
          <w:rFonts w:ascii="Book Antiqua" w:hAnsi="Book Antiqua" w:cs="Tahoma"/>
          <w:i/>
          <w:iCs/>
        </w:rPr>
        <w:t>Int J Cancer</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137</w:t>
      </w:r>
      <w:r w:rsidRPr="00310581">
        <w:rPr>
          <w:rFonts w:ascii="Book Antiqua" w:hAnsi="Book Antiqua" w:cs="Tahoma"/>
        </w:rPr>
        <w:t>: 1679-1690 [PMID: 25845839 DOI: 10.1002/ijc.29544]</w:t>
      </w:r>
    </w:p>
    <w:p w14:paraId="30E0AB87"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22</w:t>
      </w:r>
      <w:r w:rsidRPr="00310581">
        <w:rPr>
          <w:rStyle w:val="apple-converted-space"/>
          <w:rFonts w:ascii="Book Antiqua" w:hAnsi="Book Antiqua" w:cs="Tahoma"/>
        </w:rPr>
        <w:t> </w:t>
      </w:r>
      <w:r w:rsidRPr="00310581">
        <w:rPr>
          <w:rFonts w:ascii="Book Antiqua" w:hAnsi="Book Antiqua" w:cs="Tahoma"/>
          <w:b/>
          <w:bCs/>
        </w:rPr>
        <w:t>Becker PP</w:t>
      </w:r>
      <w:r w:rsidRPr="00310581">
        <w:rPr>
          <w:rFonts w:ascii="Book Antiqua" w:hAnsi="Book Antiqua" w:cs="Tahoma"/>
        </w:rPr>
        <w:t>, Rau M, Schmitt J, Malsch C, Hammer C, Bantel H, Müllhaupt B, Geier A. Performance of Serum microRNAs -122, -192 and -21 as Biomarkers in Patients with Non-Alcoholic Steatohepatitis.</w:t>
      </w:r>
      <w:r w:rsidRPr="00310581">
        <w:rPr>
          <w:rStyle w:val="apple-converted-space"/>
          <w:rFonts w:ascii="Book Antiqua" w:hAnsi="Book Antiqua" w:cs="Tahoma"/>
        </w:rPr>
        <w:t> </w:t>
      </w:r>
      <w:r w:rsidRPr="00310581">
        <w:rPr>
          <w:rFonts w:ascii="Book Antiqua" w:hAnsi="Book Antiqua" w:cs="Tahoma"/>
          <w:i/>
          <w:iCs/>
        </w:rPr>
        <w:t>PLoS One</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10</w:t>
      </w:r>
      <w:r w:rsidRPr="00310581">
        <w:rPr>
          <w:rFonts w:ascii="Book Antiqua" w:hAnsi="Book Antiqua" w:cs="Tahoma"/>
        </w:rPr>
        <w:t>: e0142661 [PMID: 26565986 DOI: 10.1371/journal.pone.0142661]</w:t>
      </w:r>
    </w:p>
    <w:p w14:paraId="362120B4"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lastRenderedPageBreak/>
        <w:t>23</w:t>
      </w:r>
      <w:r w:rsidRPr="00310581">
        <w:rPr>
          <w:rStyle w:val="apple-converted-space"/>
          <w:rFonts w:ascii="Book Antiqua" w:hAnsi="Book Antiqua" w:cs="Tahoma"/>
        </w:rPr>
        <w:t> </w:t>
      </w:r>
      <w:r w:rsidRPr="00310581">
        <w:rPr>
          <w:rFonts w:ascii="Book Antiqua" w:hAnsi="Book Antiqua" w:cs="Tahoma"/>
          <w:b/>
          <w:bCs/>
        </w:rPr>
        <w:t>Castoldi M</w:t>
      </w:r>
      <w:r w:rsidRPr="00310581">
        <w:rPr>
          <w:rFonts w:ascii="Book Antiqua" w:hAnsi="Book Antiqua" w:cs="Tahoma"/>
        </w:rPr>
        <w:t>, Vujic Spasic M, Altamura S, Elmén J, Lindow M, Kiss J, Stolte J, Sparla R, D'Alessandro LA, Klingmüller U, Fleming RE, Longerich T, Gröne HJ, Benes V, Kauppinen S, Hentze MW, Muckenthaler MU. The liver-specific microRNA miR-122 controls systemic iron homeostasis in mice.</w:t>
      </w:r>
      <w:r w:rsidRPr="00310581">
        <w:rPr>
          <w:rStyle w:val="apple-converted-space"/>
          <w:rFonts w:ascii="Book Antiqua" w:hAnsi="Book Antiqua" w:cs="Tahoma"/>
        </w:rPr>
        <w:t> </w:t>
      </w:r>
      <w:r w:rsidRPr="00310581">
        <w:rPr>
          <w:rFonts w:ascii="Book Antiqua" w:hAnsi="Book Antiqua" w:cs="Tahoma"/>
          <w:i/>
          <w:iCs/>
        </w:rPr>
        <w:t>J Clin Invest</w:t>
      </w:r>
      <w:r w:rsidRPr="00310581">
        <w:rPr>
          <w:rStyle w:val="apple-converted-space"/>
          <w:rFonts w:ascii="Book Antiqua" w:hAnsi="Book Antiqua" w:cs="Tahoma"/>
        </w:rPr>
        <w:t> </w:t>
      </w:r>
      <w:r w:rsidRPr="00310581">
        <w:rPr>
          <w:rFonts w:ascii="Book Antiqua" w:hAnsi="Book Antiqua" w:cs="Tahoma"/>
        </w:rPr>
        <w:t>2011;</w:t>
      </w:r>
      <w:r w:rsidRPr="00310581">
        <w:rPr>
          <w:rStyle w:val="apple-converted-space"/>
          <w:rFonts w:ascii="Book Antiqua" w:hAnsi="Book Antiqua" w:cs="Tahoma"/>
        </w:rPr>
        <w:t> </w:t>
      </w:r>
      <w:r w:rsidRPr="00310581">
        <w:rPr>
          <w:rFonts w:ascii="Book Antiqua" w:hAnsi="Book Antiqua" w:cs="Tahoma"/>
          <w:b/>
          <w:bCs/>
        </w:rPr>
        <w:t>121</w:t>
      </w:r>
      <w:r w:rsidRPr="00310581">
        <w:rPr>
          <w:rFonts w:ascii="Book Antiqua" w:hAnsi="Book Antiqua" w:cs="Tahoma"/>
        </w:rPr>
        <w:t>: 1386-1396 [PMID: 21364282 DOI: 10.1172/jci44883]</w:t>
      </w:r>
    </w:p>
    <w:p w14:paraId="2FF057E2"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24</w:t>
      </w:r>
      <w:r w:rsidRPr="00310581">
        <w:rPr>
          <w:rStyle w:val="apple-converted-space"/>
          <w:rFonts w:ascii="Book Antiqua" w:hAnsi="Book Antiqua" w:cs="Tahoma"/>
        </w:rPr>
        <w:t> </w:t>
      </w:r>
      <w:r w:rsidRPr="00310581">
        <w:rPr>
          <w:rFonts w:ascii="Book Antiqua" w:hAnsi="Book Antiqua" w:cs="Tahoma"/>
          <w:b/>
          <w:bCs/>
        </w:rPr>
        <w:t>Esau C</w:t>
      </w:r>
      <w:r w:rsidRPr="00310581">
        <w:rPr>
          <w:rFonts w:ascii="Book Antiqua" w:hAnsi="Book Antiqua" w:cs="Tahoma"/>
        </w:rPr>
        <w:t>, Davis S, Murray SF, Yu XX, Pandey SK, Pear M, Watts L, Booten SL, Graham M, McKay R, Subramaniam A, Propp S, Lollo BA, Freier S, Bennett CF, Bhanot S, Monia BP. miR-122 regulation of lipid metabolism revealed by in vivo antisense targeting.</w:t>
      </w:r>
      <w:r w:rsidRPr="00310581">
        <w:rPr>
          <w:rStyle w:val="apple-converted-space"/>
          <w:rFonts w:ascii="Book Antiqua" w:hAnsi="Book Antiqua" w:cs="Tahoma"/>
        </w:rPr>
        <w:t> </w:t>
      </w:r>
      <w:r w:rsidRPr="00310581">
        <w:rPr>
          <w:rFonts w:ascii="Book Antiqua" w:hAnsi="Book Antiqua" w:cs="Tahoma"/>
          <w:i/>
          <w:iCs/>
        </w:rPr>
        <w:t>Cell Metab</w:t>
      </w:r>
      <w:r w:rsidRPr="00310581">
        <w:rPr>
          <w:rStyle w:val="apple-converted-space"/>
          <w:rFonts w:ascii="Book Antiqua" w:hAnsi="Book Antiqua" w:cs="Tahoma"/>
        </w:rPr>
        <w:t> </w:t>
      </w:r>
      <w:r w:rsidRPr="00310581">
        <w:rPr>
          <w:rFonts w:ascii="Book Antiqua" w:hAnsi="Book Antiqua" w:cs="Tahoma"/>
        </w:rPr>
        <w:t>2006;</w:t>
      </w:r>
      <w:r w:rsidRPr="00310581">
        <w:rPr>
          <w:rStyle w:val="apple-converted-space"/>
          <w:rFonts w:ascii="Book Antiqua" w:hAnsi="Book Antiqua" w:cs="Tahoma"/>
        </w:rPr>
        <w:t> </w:t>
      </w:r>
      <w:r w:rsidRPr="00310581">
        <w:rPr>
          <w:rFonts w:ascii="Book Antiqua" w:hAnsi="Book Antiqua" w:cs="Tahoma"/>
          <w:b/>
          <w:bCs/>
        </w:rPr>
        <w:t>3</w:t>
      </w:r>
      <w:r w:rsidRPr="00310581">
        <w:rPr>
          <w:rFonts w:ascii="Book Antiqua" w:hAnsi="Book Antiqua" w:cs="Tahoma"/>
        </w:rPr>
        <w:t>: 87-98 [PMID: 16459310 DOI: 10.1016/j.cmet.2006.01.005]</w:t>
      </w:r>
    </w:p>
    <w:p w14:paraId="32683F4F"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25</w:t>
      </w:r>
      <w:r w:rsidRPr="00310581">
        <w:rPr>
          <w:rStyle w:val="apple-converted-space"/>
          <w:rFonts w:ascii="Book Antiqua" w:hAnsi="Book Antiqua" w:cs="Tahoma"/>
        </w:rPr>
        <w:t> </w:t>
      </w:r>
      <w:r w:rsidRPr="00310581">
        <w:rPr>
          <w:rFonts w:ascii="Book Antiqua" w:hAnsi="Book Antiqua" w:cs="Tahoma"/>
          <w:b/>
          <w:bCs/>
        </w:rPr>
        <w:t>Ding J</w:t>
      </w:r>
      <w:r w:rsidRPr="00310581">
        <w:rPr>
          <w:rFonts w:ascii="Book Antiqua" w:hAnsi="Book Antiqua" w:cs="Tahoma"/>
        </w:rPr>
        <w:t>, Li M, Wan X, Jin X, Chen S, Yu C, Li Y. Effect of miR-34a in regulating steatosis by targeting PPARα expression in nonalcoholic fatty liver disease.</w:t>
      </w:r>
      <w:r w:rsidRPr="00310581">
        <w:rPr>
          <w:rStyle w:val="apple-converted-space"/>
          <w:rFonts w:ascii="Book Antiqua" w:hAnsi="Book Antiqua" w:cs="Tahoma"/>
        </w:rPr>
        <w:t> </w:t>
      </w:r>
      <w:r w:rsidRPr="00310581">
        <w:rPr>
          <w:rFonts w:ascii="Book Antiqua" w:hAnsi="Book Antiqua" w:cs="Tahoma"/>
          <w:i/>
          <w:iCs/>
        </w:rPr>
        <w:t>Sci Rep</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5</w:t>
      </w:r>
      <w:r w:rsidRPr="00310581">
        <w:rPr>
          <w:rFonts w:ascii="Book Antiqua" w:hAnsi="Book Antiqua" w:cs="Tahoma"/>
        </w:rPr>
        <w:t>: 13729 [PMID: 26330104 DOI: 10.1038/srep13729]</w:t>
      </w:r>
    </w:p>
    <w:p w14:paraId="64519B1B"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26</w:t>
      </w:r>
      <w:r w:rsidRPr="00310581">
        <w:rPr>
          <w:rStyle w:val="apple-converted-space"/>
          <w:rFonts w:ascii="Book Antiqua" w:hAnsi="Book Antiqua" w:cs="Tahoma"/>
        </w:rPr>
        <w:t> </w:t>
      </w:r>
      <w:r w:rsidRPr="00310581">
        <w:rPr>
          <w:rFonts w:ascii="Book Antiqua" w:hAnsi="Book Antiqua" w:cs="Tahoma"/>
          <w:b/>
          <w:bCs/>
        </w:rPr>
        <w:t>Xu Y</w:t>
      </w:r>
      <w:r w:rsidRPr="00310581">
        <w:rPr>
          <w:rFonts w:ascii="Book Antiqua" w:hAnsi="Book Antiqua" w:cs="Tahoma"/>
        </w:rPr>
        <w:t>, Zalzala M, Xu J, Li Y, Yin L, Zhang Y. A metabolic stress-inducible miR-34a-HNF4α pathway regulates lipid and lipoprotein metabolism.</w:t>
      </w:r>
      <w:r w:rsidRPr="00310581">
        <w:rPr>
          <w:rStyle w:val="apple-converted-space"/>
          <w:rFonts w:ascii="Book Antiqua" w:hAnsi="Book Antiqua" w:cs="Tahoma"/>
        </w:rPr>
        <w:t> </w:t>
      </w:r>
      <w:r w:rsidRPr="00310581">
        <w:rPr>
          <w:rFonts w:ascii="Book Antiqua" w:hAnsi="Book Antiqua" w:cs="Tahoma"/>
          <w:i/>
          <w:iCs/>
        </w:rPr>
        <w:t>Nat Commun</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6</w:t>
      </w:r>
      <w:r w:rsidRPr="00310581">
        <w:rPr>
          <w:rFonts w:ascii="Book Antiqua" w:hAnsi="Book Antiqua" w:cs="Tahoma"/>
        </w:rPr>
        <w:t>: 7466 [PMID: 26100857 DOI: 10.1038/ncomms8466]</w:t>
      </w:r>
    </w:p>
    <w:p w14:paraId="29B839BF"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27</w:t>
      </w:r>
      <w:r w:rsidRPr="00310581">
        <w:rPr>
          <w:rStyle w:val="apple-converted-space"/>
          <w:rFonts w:ascii="Book Antiqua" w:hAnsi="Book Antiqua" w:cs="Tahoma"/>
        </w:rPr>
        <w:t> </w:t>
      </w:r>
      <w:r w:rsidRPr="00310581">
        <w:rPr>
          <w:rFonts w:ascii="Book Antiqua" w:hAnsi="Book Antiqua" w:cs="Tahoma"/>
          <w:b/>
          <w:bCs/>
        </w:rPr>
        <w:t>Armstrong MJ,</w:t>
      </w:r>
      <w:r w:rsidRPr="00310581">
        <w:rPr>
          <w:rStyle w:val="apple-converted-space"/>
          <w:rFonts w:ascii="Book Antiqua" w:hAnsi="Book Antiqua" w:cs="Tahoma"/>
        </w:rPr>
        <w:t> </w:t>
      </w:r>
      <w:r w:rsidRPr="00310581">
        <w:rPr>
          <w:rFonts w:ascii="Book Antiqua" w:hAnsi="Book Antiqua" w:cs="Tahoma"/>
        </w:rPr>
        <w:t>Gaunt P, Aithal GP, Barton D, Hull D, Parker R, Hazlehurst JM, Guo K, Abouda G, Aldersley MA, Stocken D, Gough SC, Tomlinson JW, Brown RM, Hübscher SG, Newsome PN. Liraglutide safety and efficacy in patients with non-alcoholic steatohepatitis (LEAN): a multicentre, double-blind, randomised, placebo-controlled phase 2 study. The Lancet 2016; 387(10019): 679-690[DOI: 10.1016/s0140-6736(15)00803-x]</w:t>
      </w:r>
    </w:p>
    <w:p w14:paraId="1B8C0D2F"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28</w:t>
      </w:r>
      <w:r w:rsidRPr="00310581">
        <w:rPr>
          <w:rStyle w:val="apple-converted-space"/>
          <w:rFonts w:ascii="Book Antiqua" w:hAnsi="Book Antiqua" w:cs="Tahoma"/>
        </w:rPr>
        <w:t> </w:t>
      </w:r>
      <w:r w:rsidRPr="00310581">
        <w:rPr>
          <w:rFonts w:ascii="Book Antiqua" w:hAnsi="Book Antiqua" w:cs="Tahoma"/>
          <w:b/>
          <w:bCs/>
        </w:rPr>
        <w:t>Geng L</w:t>
      </w:r>
      <w:r w:rsidRPr="00310581">
        <w:rPr>
          <w:rFonts w:ascii="Book Antiqua" w:hAnsi="Book Antiqua" w:cs="Tahoma"/>
        </w:rPr>
        <w:t>, Chaudhuri A, Talmon G, Wisecarver JL, Are C, Brattain M, Wang J. MicroRNA-192 suppresses liver metastasis of colon cancer.</w:t>
      </w:r>
      <w:r w:rsidRPr="00310581">
        <w:rPr>
          <w:rStyle w:val="apple-converted-space"/>
          <w:rFonts w:ascii="Book Antiqua" w:hAnsi="Book Antiqua" w:cs="Tahoma"/>
        </w:rPr>
        <w:t> </w:t>
      </w:r>
      <w:r w:rsidRPr="00310581">
        <w:rPr>
          <w:rFonts w:ascii="Book Antiqua" w:hAnsi="Book Antiqua" w:cs="Tahoma"/>
          <w:i/>
          <w:iCs/>
        </w:rPr>
        <w:t>Oncogene</w:t>
      </w:r>
      <w:r w:rsidRPr="00310581">
        <w:rPr>
          <w:rStyle w:val="apple-converted-space"/>
          <w:rFonts w:ascii="Book Antiqua" w:hAnsi="Book Antiqua" w:cs="Tahoma"/>
        </w:rPr>
        <w:t> </w:t>
      </w:r>
      <w:r w:rsidRPr="00310581">
        <w:rPr>
          <w:rFonts w:ascii="Book Antiqua" w:hAnsi="Book Antiqua" w:cs="Tahoma"/>
        </w:rPr>
        <w:t>2014;</w:t>
      </w:r>
      <w:r w:rsidRPr="00310581">
        <w:rPr>
          <w:rStyle w:val="apple-converted-space"/>
          <w:rFonts w:ascii="Book Antiqua" w:hAnsi="Book Antiqua" w:cs="Tahoma"/>
        </w:rPr>
        <w:t> </w:t>
      </w:r>
      <w:r w:rsidRPr="00310581">
        <w:rPr>
          <w:rFonts w:ascii="Book Antiqua" w:hAnsi="Book Antiqua" w:cs="Tahoma"/>
          <w:b/>
          <w:bCs/>
        </w:rPr>
        <w:t>33</w:t>
      </w:r>
      <w:r w:rsidRPr="00310581">
        <w:rPr>
          <w:rFonts w:ascii="Book Antiqua" w:hAnsi="Book Antiqua" w:cs="Tahoma"/>
        </w:rPr>
        <w:t>: 5332-5340 [PMID: 24213572 DOI: 10.1038/onc.2013.478]</w:t>
      </w:r>
    </w:p>
    <w:p w14:paraId="66E291C6"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29</w:t>
      </w:r>
      <w:r w:rsidRPr="00310581">
        <w:rPr>
          <w:rStyle w:val="apple-converted-space"/>
          <w:rFonts w:ascii="Book Antiqua" w:hAnsi="Book Antiqua" w:cs="Tahoma"/>
        </w:rPr>
        <w:t> </w:t>
      </w:r>
      <w:r w:rsidRPr="00310581">
        <w:rPr>
          <w:rFonts w:ascii="Book Antiqua" w:hAnsi="Book Antiqua" w:cs="Tahoma"/>
          <w:b/>
          <w:bCs/>
        </w:rPr>
        <w:t>Lu H</w:t>
      </w:r>
      <w:r w:rsidRPr="00310581">
        <w:rPr>
          <w:rFonts w:ascii="Book Antiqua" w:hAnsi="Book Antiqua" w:cs="Tahoma"/>
        </w:rPr>
        <w:t>, Lei X, Liu J, Klaassen C. Regulation of hepatic microRNA expression by hepatocyte nuclear factor 4 alpha.</w:t>
      </w:r>
      <w:r w:rsidRPr="00310581">
        <w:rPr>
          <w:rStyle w:val="apple-converted-space"/>
          <w:rFonts w:ascii="Book Antiqua" w:hAnsi="Book Antiqua" w:cs="Tahoma"/>
        </w:rPr>
        <w:t> </w:t>
      </w:r>
      <w:r w:rsidRPr="00310581">
        <w:rPr>
          <w:rFonts w:ascii="Book Antiqua" w:hAnsi="Book Antiqua" w:cs="Tahoma"/>
          <w:i/>
          <w:iCs/>
        </w:rPr>
        <w:t>World J Hepatol</w:t>
      </w:r>
      <w:r w:rsidRPr="00310581">
        <w:rPr>
          <w:rStyle w:val="apple-converted-space"/>
          <w:rFonts w:ascii="Book Antiqua" w:hAnsi="Book Antiqua" w:cs="Tahoma"/>
        </w:rPr>
        <w:t> </w:t>
      </w:r>
      <w:r w:rsidRPr="00310581">
        <w:rPr>
          <w:rFonts w:ascii="Book Antiqua" w:hAnsi="Book Antiqua" w:cs="Tahoma"/>
        </w:rPr>
        <w:t>2017;</w:t>
      </w:r>
      <w:r w:rsidRPr="00310581">
        <w:rPr>
          <w:rStyle w:val="apple-converted-space"/>
          <w:rFonts w:ascii="Book Antiqua" w:hAnsi="Book Antiqua" w:cs="Tahoma"/>
        </w:rPr>
        <w:t> </w:t>
      </w:r>
      <w:r w:rsidRPr="00310581">
        <w:rPr>
          <w:rFonts w:ascii="Book Antiqua" w:hAnsi="Book Antiqua" w:cs="Tahoma"/>
          <w:b/>
          <w:bCs/>
        </w:rPr>
        <w:t>9</w:t>
      </w:r>
      <w:r w:rsidRPr="00310581">
        <w:rPr>
          <w:rFonts w:ascii="Book Antiqua" w:hAnsi="Book Antiqua" w:cs="Tahoma"/>
        </w:rPr>
        <w:t>: 191-208 [PMID: 28217257 DOI: 10.4254/wjh.v9.i4.191]</w:t>
      </w:r>
    </w:p>
    <w:p w14:paraId="1CFF40A2"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30</w:t>
      </w:r>
      <w:r w:rsidRPr="00310581">
        <w:rPr>
          <w:rStyle w:val="apple-converted-space"/>
          <w:rFonts w:ascii="Book Antiqua" w:hAnsi="Book Antiqua" w:cs="Tahoma"/>
        </w:rPr>
        <w:t> </w:t>
      </w:r>
      <w:r w:rsidRPr="00310581">
        <w:rPr>
          <w:rFonts w:ascii="Book Antiqua" w:hAnsi="Book Antiqua" w:cs="Tahoma"/>
          <w:b/>
          <w:bCs/>
        </w:rPr>
        <w:t>Jenkins RH</w:t>
      </w:r>
      <w:r w:rsidRPr="00310581">
        <w:rPr>
          <w:rFonts w:ascii="Book Antiqua" w:hAnsi="Book Antiqua" w:cs="Tahoma"/>
        </w:rPr>
        <w:t xml:space="preserve">, Martin J, Phillips AO, Bowen T, Fraser DJ. Transforming growth factor β1 represses proximal tubular cell microRNA-192 expression </w:t>
      </w:r>
      <w:r w:rsidRPr="00310581">
        <w:rPr>
          <w:rFonts w:ascii="Book Antiqua" w:hAnsi="Book Antiqua" w:cs="Tahoma"/>
        </w:rPr>
        <w:lastRenderedPageBreak/>
        <w:t>through decreased hepatocyte nuclear factor DNA binding.</w:t>
      </w:r>
      <w:r w:rsidRPr="00310581">
        <w:rPr>
          <w:rStyle w:val="apple-converted-space"/>
          <w:rFonts w:ascii="Book Antiqua" w:hAnsi="Book Antiqua" w:cs="Tahoma"/>
        </w:rPr>
        <w:t> </w:t>
      </w:r>
      <w:r w:rsidRPr="00310581">
        <w:rPr>
          <w:rFonts w:ascii="Book Antiqua" w:hAnsi="Book Antiqua" w:cs="Tahoma"/>
          <w:i/>
          <w:iCs/>
        </w:rPr>
        <w:t>Biochem J</w:t>
      </w:r>
      <w:r w:rsidRPr="00310581">
        <w:rPr>
          <w:rStyle w:val="apple-converted-space"/>
          <w:rFonts w:ascii="Book Antiqua" w:hAnsi="Book Antiqua" w:cs="Tahoma"/>
        </w:rPr>
        <w:t> </w:t>
      </w:r>
      <w:r w:rsidRPr="00310581">
        <w:rPr>
          <w:rFonts w:ascii="Book Antiqua" w:hAnsi="Book Antiqua" w:cs="Tahoma"/>
        </w:rPr>
        <w:t>2012;</w:t>
      </w:r>
      <w:r w:rsidRPr="00310581">
        <w:rPr>
          <w:rStyle w:val="apple-converted-space"/>
          <w:rFonts w:ascii="Book Antiqua" w:hAnsi="Book Antiqua" w:cs="Tahoma"/>
        </w:rPr>
        <w:t> </w:t>
      </w:r>
      <w:r w:rsidRPr="00310581">
        <w:rPr>
          <w:rFonts w:ascii="Book Antiqua" w:hAnsi="Book Antiqua" w:cs="Tahoma"/>
          <w:b/>
          <w:bCs/>
        </w:rPr>
        <w:t>443</w:t>
      </w:r>
      <w:r w:rsidRPr="00310581">
        <w:rPr>
          <w:rFonts w:ascii="Book Antiqua" w:hAnsi="Book Antiqua" w:cs="Tahoma"/>
        </w:rPr>
        <w:t>: 407-416 [PMID: 22264233 DOI: 10.1042/BJ20111861]</w:t>
      </w:r>
    </w:p>
    <w:p w14:paraId="075F4951"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31</w:t>
      </w:r>
      <w:r w:rsidRPr="00310581">
        <w:rPr>
          <w:rStyle w:val="apple-converted-space"/>
          <w:rFonts w:ascii="Book Antiqua" w:hAnsi="Book Antiqua" w:cs="Tahoma"/>
        </w:rPr>
        <w:t> </w:t>
      </w:r>
      <w:r w:rsidRPr="00310581">
        <w:rPr>
          <w:rFonts w:ascii="Book Antiqua" w:hAnsi="Book Antiqua" w:cs="Tahoma"/>
          <w:b/>
          <w:bCs/>
        </w:rPr>
        <w:t>Gil-Zamorano J</w:t>
      </w:r>
      <w:r w:rsidRPr="00310581">
        <w:rPr>
          <w:rFonts w:ascii="Book Antiqua" w:hAnsi="Book Antiqua" w:cs="Tahoma"/>
        </w:rPr>
        <w:t>, Martin R, Daimiel L, Richardson K, Giordano E, Nicod N, García-Carrasco B, Soares SM, Iglesias-Gutiérrez E, Lasunción MA, Sala-Vila A, Ros E, Ordovás JM, Visioli F, Dávalos A. Docosahexaenoic acid modulates the enterocyte Caco-2 cell expression of microRNAs involved in lipid metabolism.</w:t>
      </w:r>
      <w:r w:rsidRPr="00310581">
        <w:rPr>
          <w:rStyle w:val="apple-converted-space"/>
          <w:rFonts w:ascii="Book Antiqua" w:hAnsi="Book Antiqua" w:cs="Tahoma"/>
        </w:rPr>
        <w:t> </w:t>
      </w:r>
      <w:r w:rsidRPr="00310581">
        <w:rPr>
          <w:rFonts w:ascii="Book Antiqua" w:hAnsi="Book Antiqua" w:cs="Tahoma"/>
          <w:i/>
          <w:iCs/>
        </w:rPr>
        <w:t>J Nutr</w:t>
      </w:r>
      <w:r w:rsidRPr="00310581">
        <w:rPr>
          <w:rStyle w:val="apple-converted-space"/>
          <w:rFonts w:ascii="Book Antiqua" w:hAnsi="Book Antiqua" w:cs="Tahoma"/>
        </w:rPr>
        <w:t> </w:t>
      </w:r>
      <w:r w:rsidRPr="00310581">
        <w:rPr>
          <w:rFonts w:ascii="Book Antiqua" w:hAnsi="Book Antiqua" w:cs="Tahoma"/>
        </w:rPr>
        <w:t>2014;</w:t>
      </w:r>
      <w:r w:rsidRPr="00310581">
        <w:rPr>
          <w:rStyle w:val="apple-converted-space"/>
          <w:rFonts w:ascii="Book Antiqua" w:hAnsi="Book Antiqua" w:cs="Tahoma"/>
        </w:rPr>
        <w:t> </w:t>
      </w:r>
      <w:r w:rsidRPr="00310581">
        <w:rPr>
          <w:rFonts w:ascii="Book Antiqua" w:hAnsi="Book Antiqua" w:cs="Tahoma"/>
          <w:b/>
          <w:bCs/>
        </w:rPr>
        <w:t>144</w:t>
      </w:r>
      <w:r w:rsidRPr="00310581">
        <w:rPr>
          <w:rFonts w:ascii="Book Antiqua" w:hAnsi="Book Antiqua" w:cs="Tahoma"/>
        </w:rPr>
        <w:t>: 575-585 [PMID: 24623846 DOI: 10.3945/jn.113.189050]</w:t>
      </w:r>
    </w:p>
    <w:p w14:paraId="6D8C6052"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32</w:t>
      </w:r>
      <w:r w:rsidRPr="00310581">
        <w:rPr>
          <w:rStyle w:val="apple-converted-space"/>
          <w:rFonts w:ascii="Book Antiqua" w:hAnsi="Book Antiqua" w:cs="Tahoma"/>
        </w:rPr>
        <w:t> </w:t>
      </w:r>
      <w:r w:rsidRPr="00310581">
        <w:rPr>
          <w:rFonts w:ascii="Book Antiqua" w:hAnsi="Book Antiqua" w:cs="Tahoma"/>
          <w:b/>
          <w:bCs/>
        </w:rPr>
        <w:t>Lin Y</w:t>
      </w:r>
      <w:r w:rsidRPr="00310581">
        <w:rPr>
          <w:rFonts w:ascii="Book Antiqua" w:hAnsi="Book Antiqua" w:cs="Tahoma"/>
        </w:rPr>
        <w:t>, Ding D, Huang Q, Liu Q, Lu H, Lu Y, Chi Y, Sun X, Ye G, Zhu H, Wei J, Dong S. Downregulation of miR-192 causes hepatic steatosis and lipid accumulation by inducing SREBF1: Novel mechanism for bisphenol A-triggered non-alcoholic fatty liver disease.</w:t>
      </w:r>
      <w:r w:rsidRPr="00310581">
        <w:rPr>
          <w:rStyle w:val="apple-converted-space"/>
          <w:rFonts w:ascii="Book Antiqua" w:hAnsi="Book Antiqua" w:cs="Tahoma"/>
        </w:rPr>
        <w:t> </w:t>
      </w:r>
      <w:r w:rsidRPr="00310581">
        <w:rPr>
          <w:rFonts w:ascii="Book Antiqua" w:hAnsi="Book Antiqua" w:cs="Tahoma"/>
          <w:i/>
          <w:iCs/>
        </w:rPr>
        <w:t>Biochim Biophys Acta</w:t>
      </w:r>
      <w:r w:rsidRPr="00310581">
        <w:rPr>
          <w:rStyle w:val="apple-converted-space"/>
          <w:rFonts w:ascii="Book Antiqua" w:hAnsi="Book Antiqua" w:cs="Tahoma"/>
        </w:rPr>
        <w:t> </w:t>
      </w:r>
      <w:r w:rsidRPr="00310581">
        <w:rPr>
          <w:rFonts w:ascii="Book Antiqua" w:hAnsi="Book Antiqua" w:cs="Tahoma"/>
        </w:rPr>
        <w:t>2017;</w:t>
      </w:r>
      <w:r w:rsidRPr="00310581">
        <w:rPr>
          <w:rStyle w:val="apple-converted-space"/>
          <w:rFonts w:ascii="Book Antiqua" w:hAnsi="Book Antiqua" w:cs="Tahoma"/>
        </w:rPr>
        <w:t> </w:t>
      </w:r>
      <w:r w:rsidRPr="00310581">
        <w:rPr>
          <w:rFonts w:ascii="Book Antiqua" w:hAnsi="Book Antiqua" w:cs="Tahoma"/>
          <w:b/>
          <w:bCs/>
        </w:rPr>
        <w:t>1862</w:t>
      </w:r>
      <w:r w:rsidRPr="00310581">
        <w:rPr>
          <w:rFonts w:ascii="Book Antiqua" w:hAnsi="Book Antiqua" w:cs="Tahoma"/>
        </w:rPr>
        <w:t>: 869-882 [PMID: 28483554 DOI: 10.1016/j.bbalip.2017.05.001]</w:t>
      </w:r>
    </w:p>
    <w:p w14:paraId="3D5816F6"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33</w:t>
      </w:r>
      <w:r w:rsidRPr="00310581">
        <w:rPr>
          <w:rStyle w:val="apple-converted-space"/>
          <w:rFonts w:ascii="Book Antiqua" w:hAnsi="Book Antiqua" w:cs="Tahoma"/>
        </w:rPr>
        <w:t> </w:t>
      </w:r>
      <w:r w:rsidRPr="00310581">
        <w:rPr>
          <w:rFonts w:ascii="Book Antiqua" w:hAnsi="Book Antiqua" w:cs="Tahoma"/>
          <w:b/>
          <w:bCs/>
        </w:rPr>
        <w:t>Marchesini G</w:t>
      </w:r>
      <w:r w:rsidRPr="00310581">
        <w:rPr>
          <w:rFonts w:ascii="Book Antiqua" w:hAnsi="Book Antiqua" w:cs="Tahoma"/>
        </w:rPr>
        <w:t>, Petta S, Dalle Grave R. Diet, weight loss, and liver health in nonalcoholic fatty liver disease: Pathophysiology, evidence, and practice.</w:t>
      </w:r>
      <w:r w:rsidRPr="00310581">
        <w:rPr>
          <w:rStyle w:val="apple-converted-space"/>
          <w:rFonts w:ascii="Book Antiqua" w:hAnsi="Book Antiqua" w:cs="Tahoma"/>
        </w:rPr>
        <w:t> </w:t>
      </w:r>
      <w:r w:rsidRPr="00310581">
        <w:rPr>
          <w:rFonts w:ascii="Book Antiqua" w:hAnsi="Book Antiqua" w:cs="Tahoma"/>
          <w:i/>
          <w:iCs/>
        </w:rPr>
        <w:t>Hepatology</w:t>
      </w:r>
      <w:r w:rsidRPr="00310581">
        <w:rPr>
          <w:rStyle w:val="apple-converted-space"/>
          <w:rFonts w:ascii="Book Antiqua" w:hAnsi="Book Antiqua" w:cs="Tahoma"/>
        </w:rPr>
        <w:t> </w:t>
      </w:r>
      <w:r w:rsidRPr="00310581">
        <w:rPr>
          <w:rFonts w:ascii="Book Antiqua" w:hAnsi="Book Antiqua" w:cs="Tahoma"/>
        </w:rPr>
        <w:t>2016;</w:t>
      </w:r>
      <w:r w:rsidRPr="00310581">
        <w:rPr>
          <w:rStyle w:val="apple-converted-space"/>
          <w:rFonts w:ascii="Book Antiqua" w:hAnsi="Book Antiqua" w:cs="Tahoma"/>
        </w:rPr>
        <w:t> </w:t>
      </w:r>
      <w:r w:rsidRPr="00310581">
        <w:rPr>
          <w:rFonts w:ascii="Book Antiqua" w:hAnsi="Book Antiqua" w:cs="Tahoma"/>
          <w:b/>
          <w:bCs/>
        </w:rPr>
        <w:t>63</w:t>
      </w:r>
      <w:r w:rsidRPr="00310581">
        <w:rPr>
          <w:rFonts w:ascii="Book Antiqua" w:hAnsi="Book Antiqua" w:cs="Tahoma"/>
        </w:rPr>
        <w:t>: 2032-2043 [PMID: 26663351 DOI: 10.1002/hep.28392]</w:t>
      </w:r>
    </w:p>
    <w:p w14:paraId="7775A7DE"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34</w:t>
      </w:r>
      <w:r w:rsidRPr="00310581">
        <w:rPr>
          <w:rStyle w:val="apple-converted-space"/>
          <w:rFonts w:ascii="Book Antiqua" w:hAnsi="Book Antiqua" w:cs="Tahoma"/>
        </w:rPr>
        <w:t> </w:t>
      </w:r>
      <w:r w:rsidRPr="00310581">
        <w:rPr>
          <w:rFonts w:ascii="Book Antiqua" w:hAnsi="Book Antiqua" w:cs="Tahoma"/>
          <w:b/>
          <w:bCs/>
        </w:rPr>
        <w:t>Rotman Y</w:t>
      </w:r>
      <w:r w:rsidRPr="00310581">
        <w:rPr>
          <w:rFonts w:ascii="Book Antiqua" w:hAnsi="Book Antiqua" w:cs="Tahoma"/>
        </w:rPr>
        <w:t>, Sanyal AJ. Current and upcoming pharmacotherapy for non-alcoholic fatty liver disease.</w:t>
      </w:r>
      <w:r w:rsidRPr="00310581">
        <w:rPr>
          <w:rStyle w:val="apple-converted-space"/>
          <w:rFonts w:ascii="Book Antiqua" w:hAnsi="Book Antiqua" w:cs="Tahoma"/>
        </w:rPr>
        <w:t> </w:t>
      </w:r>
      <w:r w:rsidRPr="00310581">
        <w:rPr>
          <w:rFonts w:ascii="Book Antiqua" w:hAnsi="Book Antiqua" w:cs="Tahoma"/>
          <w:i/>
          <w:iCs/>
        </w:rPr>
        <w:t>Gut</w:t>
      </w:r>
      <w:r w:rsidRPr="00310581">
        <w:rPr>
          <w:rStyle w:val="apple-converted-space"/>
          <w:rFonts w:ascii="Book Antiqua" w:hAnsi="Book Antiqua" w:cs="Tahoma"/>
        </w:rPr>
        <w:t> </w:t>
      </w:r>
      <w:r w:rsidRPr="00310581">
        <w:rPr>
          <w:rFonts w:ascii="Book Antiqua" w:hAnsi="Book Antiqua" w:cs="Tahoma"/>
        </w:rPr>
        <w:t>2017;</w:t>
      </w:r>
      <w:r w:rsidRPr="00310581">
        <w:rPr>
          <w:rStyle w:val="apple-converted-space"/>
          <w:rFonts w:ascii="Book Antiqua" w:hAnsi="Book Antiqua" w:cs="Tahoma"/>
        </w:rPr>
        <w:t> </w:t>
      </w:r>
      <w:r w:rsidRPr="00310581">
        <w:rPr>
          <w:rFonts w:ascii="Book Antiqua" w:hAnsi="Book Antiqua" w:cs="Tahoma"/>
          <w:b/>
          <w:bCs/>
        </w:rPr>
        <w:t>66</w:t>
      </w:r>
      <w:r w:rsidRPr="00310581">
        <w:rPr>
          <w:rFonts w:ascii="Book Antiqua" w:hAnsi="Book Antiqua" w:cs="Tahoma"/>
        </w:rPr>
        <w:t>: 180-190 [PMID: 27646933 DOI: 10.1136/gutjnl-2016-312431]</w:t>
      </w:r>
    </w:p>
    <w:p w14:paraId="77B5DAF1"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35</w:t>
      </w:r>
      <w:r w:rsidRPr="00310581">
        <w:rPr>
          <w:rStyle w:val="apple-converted-space"/>
          <w:rFonts w:ascii="Book Antiqua" w:hAnsi="Book Antiqua" w:cs="Tahoma"/>
        </w:rPr>
        <w:t> </w:t>
      </w:r>
      <w:r w:rsidRPr="00310581">
        <w:rPr>
          <w:rFonts w:ascii="Book Antiqua" w:hAnsi="Book Antiqua" w:cs="Tahoma"/>
          <w:b/>
          <w:bCs/>
        </w:rPr>
        <w:t>Bechmann LP</w:t>
      </w:r>
      <w:r w:rsidRPr="00310581">
        <w:rPr>
          <w:rFonts w:ascii="Book Antiqua" w:hAnsi="Book Antiqua" w:cs="Tahoma"/>
        </w:rPr>
        <w:t>, Hannivoort RA, Gerken G, Hotamisligil GS, Trauner M, Canbay A. The interaction of hepatic lipid and glucose metabolism in liver diseases.</w:t>
      </w:r>
      <w:r w:rsidRPr="00310581">
        <w:rPr>
          <w:rStyle w:val="apple-converted-space"/>
          <w:rFonts w:ascii="Book Antiqua" w:hAnsi="Book Antiqua" w:cs="Tahoma"/>
        </w:rPr>
        <w:t> </w:t>
      </w:r>
      <w:r w:rsidRPr="00310581">
        <w:rPr>
          <w:rFonts w:ascii="Book Antiqua" w:hAnsi="Book Antiqua" w:cs="Tahoma"/>
          <w:i/>
          <w:iCs/>
        </w:rPr>
        <w:t>J Hepatol</w:t>
      </w:r>
      <w:r w:rsidRPr="00310581">
        <w:rPr>
          <w:rStyle w:val="apple-converted-space"/>
          <w:rFonts w:ascii="Book Antiqua" w:hAnsi="Book Antiqua" w:cs="Tahoma"/>
        </w:rPr>
        <w:t> </w:t>
      </w:r>
      <w:r w:rsidRPr="00310581">
        <w:rPr>
          <w:rFonts w:ascii="Book Antiqua" w:hAnsi="Book Antiqua" w:cs="Tahoma"/>
        </w:rPr>
        <w:t>2012;</w:t>
      </w:r>
      <w:r w:rsidRPr="00310581">
        <w:rPr>
          <w:rStyle w:val="apple-converted-space"/>
          <w:rFonts w:ascii="Book Antiqua" w:hAnsi="Book Antiqua" w:cs="Tahoma"/>
        </w:rPr>
        <w:t> </w:t>
      </w:r>
      <w:r w:rsidRPr="00310581">
        <w:rPr>
          <w:rFonts w:ascii="Book Antiqua" w:hAnsi="Book Antiqua" w:cs="Tahoma"/>
          <w:b/>
          <w:bCs/>
        </w:rPr>
        <w:t>56</w:t>
      </w:r>
      <w:r w:rsidRPr="00310581">
        <w:rPr>
          <w:rFonts w:ascii="Book Antiqua" w:hAnsi="Book Antiqua" w:cs="Tahoma"/>
        </w:rPr>
        <w:t>: 952-964 [PMID: 22173168 DOI: 10.1016/j.jhep.2011.08.025]</w:t>
      </w:r>
    </w:p>
    <w:p w14:paraId="169D53F4"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36</w:t>
      </w:r>
      <w:r w:rsidRPr="00310581">
        <w:rPr>
          <w:rStyle w:val="apple-converted-space"/>
          <w:rFonts w:ascii="Book Antiqua" w:hAnsi="Book Antiqua" w:cs="Tahoma"/>
        </w:rPr>
        <w:t> </w:t>
      </w:r>
      <w:r w:rsidRPr="00310581">
        <w:rPr>
          <w:rFonts w:ascii="Book Antiqua" w:hAnsi="Book Antiqua" w:cs="Tahoma"/>
          <w:b/>
          <w:bCs/>
        </w:rPr>
        <w:t>Liu L</w:t>
      </w:r>
      <w:r w:rsidRPr="00310581">
        <w:rPr>
          <w:rFonts w:ascii="Book Antiqua" w:hAnsi="Book Antiqua" w:cs="Tahoma"/>
        </w:rPr>
        <w:t>, Wang S, Yao L, Li JX, Ma P, Jiang LR, Ke DZ, Pan YQ, Wang JW. Long-term fructose consumption prolongs hepatic stearoyl-CoA desaturase 1 activity independent of upstream regulation in rats.</w:t>
      </w:r>
      <w:r w:rsidRPr="00310581">
        <w:rPr>
          <w:rStyle w:val="apple-converted-space"/>
          <w:rFonts w:ascii="Book Antiqua" w:hAnsi="Book Antiqua" w:cs="Tahoma"/>
        </w:rPr>
        <w:t> </w:t>
      </w:r>
      <w:r w:rsidRPr="00310581">
        <w:rPr>
          <w:rFonts w:ascii="Book Antiqua" w:hAnsi="Book Antiqua" w:cs="Tahoma"/>
          <w:i/>
          <w:iCs/>
        </w:rPr>
        <w:t>Biochem Biophys Res Commun</w:t>
      </w:r>
      <w:r w:rsidRPr="00310581">
        <w:rPr>
          <w:rStyle w:val="apple-converted-space"/>
          <w:rFonts w:ascii="Book Antiqua" w:hAnsi="Book Antiqua" w:cs="Tahoma"/>
        </w:rPr>
        <w:t> </w:t>
      </w:r>
      <w:r w:rsidRPr="00310581">
        <w:rPr>
          <w:rFonts w:ascii="Book Antiqua" w:hAnsi="Book Antiqua" w:cs="Tahoma"/>
        </w:rPr>
        <w:t xml:space="preserve">2016; </w:t>
      </w:r>
      <w:r w:rsidRPr="00310581">
        <w:rPr>
          <w:rFonts w:ascii="Book Antiqua" w:hAnsi="Book Antiqua" w:cs="Tahoma"/>
          <w:b/>
          <w:bCs/>
        </w:rPr>
        <w:t>479</w:t>
      </w:r>
      <w:r w:rsidRPr="00310581">
        <w:rPr>
          <w:rFonts w:ascii="Book Antiqua" w:hAnsi="Book Antiqua" w:cs="Tahoma"/>
        </w:rPr>
        <w:t>: 643-648 [PMID: 27697525 DOI: 10.1016/j.bbrc.2016.09.160]</w:t>
      </w:r>
    </w:p>
    <w:p w14:paraId="2CAA699F"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37</w:t>
      </w:r>
      <w:r w:rsidRPr="00310581">
        <w:rPr>
          <w:rStyle w:val="apple-converted-space"/>
          <w:rFonts w:ascii="Book Antiqua" w:hAnsi="Book Antiqua" w:cs="Tahoma"/>
        </w:rPr>
        <w:t> </w:t>
      </w:r>
      <w:r w:rsidRPr="00310581">
        <w:rPr>
          <w:rFonts w:ascii="Book Antiqua" w:hAnsi="Book Antiqua" w:cs="Tahoma"/>
          <w:b/>
          <w:bCs/>
        </w:rPr>
        <w:t>Paton CM</w:t>
      </w:r>
      <w:r w:rsidRPr="00310581">
        <w:rPr>
          <w:rFonts w:ascii="Book Antiqua" w:hAnsi="Book Antiqua" w:cs="Tahoma"/>
        </w:rPr>
        <w:t>, Ntambi JM. Biochemical and physiological function of stearoyl-CoA desaturase.</w:t>
      </w:r>
      <w:r w:rsidRPr="00310581">
        <w:rPr>
          <w:rStyle w:val="apple-converted-space"/>
          <w:rFonts w:ascii="Book Antiqua" w:hAnsi="Book Antiqua" w:cs="Tahoma"/>
        </w:rPr>
        <w:t> </w:t>
      </w:r>
      <w:r w:rsidRPr="00310581">
        <w:rPr>
          <w:rFonts w:ascii="Book Antiqua" w:hAnsi="Book Antiqua" w:cs="Tahoma"/>
          <w:i/>
          <w:iCs/>
        </w:rPr>
        <w:t>Am J Physiol Endocrinol Metab</w:t>
      </w:r>
      <w:r w:rsidRPr="00310581">
        <w:rPr>
          <w:rStyle w:val="apple-converted-space"/>
          <w:rFonts w:ascii="Book Antiqua" w:hAnsi="Book Antiqua" w:cs="Tahoma"/>
        </w:rPr>
        <w:t> </w:t>
      </w:r>
      <w:r w:rsidRPr="00310581">
        <w:rPr>
          <w:rFonts w:ascii="Book Antiqua" w:hAnsi="Book Antiqua" w:cs="Tahoma"/>
        </w:rPr>
        <w:t>2009;</w:t>
      </w:r>
      <w:r w:rsidRPr="00310581">
        <w:rPr>
          <w:rStyle w:val="apple-converted-space"/>
          <w:rFonts w:ascii="Book Antiqua" w:hAnsi="Book Antiqua" w:cs="Tahoma"/>
        </w:rPr>
        <w:t> </w:t>
      </w:r>
      <w:r w:rsidRPr="00310581">
        <w:rPr>
          <w:rFonts w:ascii="Book Antiqua" w:hAnsi="Book Antiqua" w:cs="Tahoma"/>
          <w:b/>
          <w:bCs/>
        </w:rPr>
        <w:t>297</w:t>
      </w:r>
      <w:r w:rsidRPr="00310581">
        <w:rPr>
          <w:rFonts w:ascii="Book Antiqua" w:hAnsi="Book Antiqua" w:cs="Tahoma"/>
        </w:rPr>
        <w:t>: E28-E37 [PMID: 19066317 DOI: 10.1152/ajpendo.90897.2008]</w:t>
      </w:r>
    </w:p>
    <w:p w14:paraId="20A2B229"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lastRenderedPageBreak/>
        <w:t>38</w:t>
      </w:r>
      <w:r w:rsidRPr="00310581">
        <w:rPr>
          <w:rStyle w:val="apple-converted-space"/>
          <w:rFonts w:ascii="Book Antiqua" w:hAnsi="Book Antiqua" w:cs="Tahoma"/>
        </w:rPr>
        <w:t> </w:t>
      </w:r>
      <w:r w:rsidRPr="00310581">
        <w:rPr>
          <w:rFonts w:ascii="Book Antiqua" w:hAnsi="Book Antiqua" w:cs="Tahoma"/>
          <w:b/>
          <w:bCs/>
        </w:rPr>
        <w:t>Flowers MT</w:t>
      </w:r>
      <w:r w:rsidRPr="00310581">
        <w:rPr>
          <w:rFonts w:ascii="Book Antiqua" w:hAnsi="Book Antiqua" w:cs="Tahoma"/>
        </w:rPr>
        <w:t>, Ntambi JM. Role of stearoyl-coenzyme A desaturase in regulating lipid metabolism.</w:t>
      </w:r>
      <w:r w:rsidRPr="00310581">
        <w:rPr>
          <w:rStyle w:val="apple-converted-space"/>
          <w:rFonts w:ascii="Book Antiqua" w:hAnsi="Book Antiqua" w:cs="Tahoma"/>
        </w:rPr>
        <w:t> </w:t>
      </w:r>
      <w:r w:rsidRPr="00310581">
        <w:rPr>
          <w:rFonts w:ascii="Book Antiqua" w:hAnsi="Book Antiqua" w:cs="Tahoma"/>
          <w:i/>
          <w:iCs/>
        </w:rPr>
        <w:t>Curr Opin Lipidol</w:t>
      </w:r>
      <w:r w:rsidRPr="00310581">
        <w:rPr>
          <w:rStyle w:val="apple-converted-space"/>
          <w:rFonts w:ascii="Book Antiqua" w:hAnsi="Book Antiqua" w:cs="Tahoma"/>
        </w:rPr>
        <w:t> </w:t>
      </w:r>
      <w:r w:rsidRPr="00310581">
        <w:rPr>
          <w:rFonts w:ascii="Book Antiqua" w:hAnsi="Book Antiqua" w:cs="Tahoma"/>
        </w:rPr>
        <w:t>2008;</w:t>
      </w:r>
      <w:r w:rsidRPr="00310581">
        <w:rPr>
          <w:rStyle w:val="apple-converted-space"/>
          <w:rFonts w:ascii="Book Antiqua" w:hAnsi="Book Antiqua" w:cs="Tahoma"/>
        </w:rPr>
        <w:t> </w:t>
      </w:r>
      <w:r w:rsidRPr="00310581">
        <w:rPr>
          <w:rFonts w:ascii="Book Antiqua" w:hAnsi="Book Antiqua" w:cs="Tahoma"/>
          <w:b/>
          <w:bCs/>
        </w:rPr>
        <w:t>19</w:t>
      </w:r>
      <w:r w:rsidRPr="00310581">
        <w:rPr>
          <w:rFonts w:ascii="Book Antiqua" w:hAnsi="Book Antiqua" w:cs="Tahoma"/>
        </w:rPr>
        <w:t>: 248-256 [PMID: 18460915 DOI: 10.1097/MOL.0b013e3282f9b54d]</w:t>
      </w:r>
    </w:p>
    <w:p w14:paraId="1C99879E"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39</w:t>
      </w:r>
      <w:r w:rsidRPr="00310581">
        <w:rPr>
          <w:rStyle w:val="apple-converted-space"/>
          <w:rFonts w:ascii="Book Antiqua" w:hAnsi="Book Antiqua" w:cs="Tahoma"/>
        </w:rPr>
        <w:t> </w:t>
      </w:r>
      <w:r w:rsidRPr="00310581">
        <w:rPr>
          <w:rFonts w:ascii="Book Antiqua" w:hAnsi="Book Antiqua" w:cs="Tahoma"/>
          <w:b/>
          <w:bCs/>
        </w:rPr>
        <w:t>Hyun CK</w:t>
      </w:r>
      <w:r w:rsidRPr="00310581">
        <w:rPr>
          <w:rFonts w:ascii="Book Antiqua" w:hAnsi="Book Antiqua" w:cs="Tahoma"/>
        </w:rPr>
        <w:t>, Kim ED, Flowers MT, Liu X, Kim E, Strable M, Ntambi JM. Adipose-specific deletion of stearoyl-CoA desaturase 1 up-regulates the glucose transporter GLUT1 in adipose tissue.</w:t>
      </w:r>
      <w:r w:rsidRPr="00310581">
        <w:rPr>
          <w:rStyle w:val="apple-converted-space"/>
          <w:rFonts w:ascii="Book Antiqua" w:hAnsi="Book Antiqua" w:cs="Tahoma"/>
        </w:rPr>
        <w:t> </w:t>
      </w:r>
      <w:r w:rsidRPr="00310581">
        <w:rPr>
          <w:rFonts w:ascii="Book Antiqua" w:hAnsi="Book Antiqua" w:cs="Tahoma"/>
          <w:i/>
          <w:iCs/>
        </w:rPr>
        <w:t>Biochem Biophys Res Commun</w:t>
      </w:r>
      <w:r w:rsidRPr="00310581">
        <w:rPr>
          <w:rStyle w:val="apple-converted-space"/>
          <w:rFonts w:ascii="Book Antiqua" w:hAnsi="Book Antiqua" w:cs="Tahoma"/>
        </w:rPr>
        <w:t> </w:t>
      </w:r>
      <w:r w:rsidRPr="00310581">
        <w:rPr>
          <w:rFonts w:ascii="Book Antiqua" w:hAnsi="Book Antiqua" w:cs="Tahoma"/>
        </w:rPr>
        <w:t>2010;</w:t>
      </w:r>
      <w:r w:rsidRPr="00310581">
        <w:rPr>
          <w:rStyle w:val="apple-converted-space"/>
          <w:rFonts w:ascii="Book Antiqua" w:hAnsi="Book Antiqua" w:cs="Tahoma"/>
        </w:rPr>
        <w:t> </w:t>
      </w:r>
      <w:r w:rsidRPr="00310581">
        <w:rPr>
          <w:rFonts w:ascii="Book Antiqua" w:hAnsi="Book Antiqua" w:cs="Tahoma"/>
          <w:b/>
          <w:bCs/>
        </w:rPr>
        <w:t>399</w:t>
      </w:r>
      <w:r w:rsidRPr="00310581">
        <w:rPr>
          <w:rFonts w:ascii="Book Antiqua" w:hAnsi="Book Antiqua" w:cs="Tahoma"/>
        </w:rPr>
        <w:t>: 480-486 [PMID: 20655875 DOI: 10.1016/j.bbrc.2010.07.072]</w:t>
      </w:r>
    </w:p>
    <w:p w14:paraId="48F47F21"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40</w:t>
      </w:r>
      <w:r w:rsidRPr="00310581">
        <w:rPr>
          <w:rStyle w:val="apple-converted-space"/>
          <w:rFonts w:ascii="Book Antiqua" w:hAnsi="Book Antiqua" w:cs="Tahoma"/>
        </w:rPr>
        <w:t> </w:t>
      </w:r>
      <w:r w:rsidRPr="00310581">
        <w:rPr>
          <w:rFonts w:ascii="Book Antiqua" w:hAnsi="Book Antiqua" w:cs="Tahoma"/>
          <w:b/>
          <w:bCs/>
        </w:rPr>
        <w:t>Miyazaki M</w:t>
      </w:r>
      <w:r w:rsidRPr="00310581">
        <w:rPr>
          <w:rFonts w:ascii="Book Antiqua" w:hAnsi="Book Antiqua" w:cs="Tahoma"/>
        </w:rPr>
        <w:t>, Sampath H, Liu X, Flowers MT, Chu K, Dobrzyn A, Ntambi JM. Stearoyl-CoA desaturase-1 deficiency attenuates obesity and insulin resistance in leptin-resistant obese mice.</w:t>
      </w:r>
      <w:r w:rsidRPr="00310581">
        <w:rPr>
          <w:rStyle w:val="apple-converted-space"/>
          <w:rFonts w:ascii="Book Antiqua" w:hAnsi="Book Antiqua" w:cs="Tahoma"/>
        </w:rPr>
        <w:t> </w:t>
      </w:r>
      <w:r w:rsidRPr="00310581">
        <w:rPr>
          <w:rFonts w:ascii="Book Antiqua" w:hAnsi="Book Antiqua" w:cs="Tahoma"/>
          <w:i/>
          <w:iCs/>
        </w:rPr>
        <w:t>Biochem Biophys Res Commun</w:t>
      </w:r>
      <w:r w:rsidRPr="00310581">
        <w:rPr>
          <w:rStyle w:val="apple-converted-space"/>
          <w:rFonts w:ascii="Book Antiqua" w:hAnsi="Book Antiqua" w:cs="Tahoma"/>
        </w:rPr>
        <w:t> </w:t>
      </w:r>
      <w:r w:rsidRPr="00310581">
        <w:rPr>
          <w:rFonts w:ascii="Book Antiqua" w:hAnsi="Book Antiqua" w:cs="Tahoma"/>
        </w:rPr>
        <w:t>2009;</w:t>
      </w:r>
      <w:r w:rsidRPr="00310581">
        <w:rPr>
          <w:rStyle w:val="apple-converted-space"/>
          <w:rFonts w:ascii="Book Antiqua" w:hAnsi="Book Antiqua" w:cs="Tahoma"/>
        </w:rPr>
        <w:t> </w:t>
      </w:r>
      <w:r w:rsidRPr="00310581">
        <w:rPr>
          <w:rFonts w:ascii="Book Antiqua" w:hAnsi="Book Antiqua" w:cs="Tahoma"/>
          <w:b/>
          <w:bCs/>
        </w:rPr>
        <w:t>380</w:t>
      </w:r>
      <w:r w:rsidRPr="00310581">
        <w:rPr>
          <w:rFonts w:ascii="Book Antiqua" w:hAnsi="Book Antiqua" w:cs="Tahoma"/>
        </w:rPr>
        <w:t>: 818-822 [PMID: 19338759 DOI: 10.1016/j.bbrc.2009.01.183]</w:t>
      </w:r>
    </w:p>
    <w:p w14:paraId="66BE00CF"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41</w:t>
      </w:r>
      <w:r w:rsidRPr="00310581">
        <w:rPr>
          <w:rStyle w:val="apple-converted-space"/>
          <w:rFonts w:ascii="Book Antiqua" w:hAnsi="Book Antiqua" w:cs="Tahoma"/>
        </w:rPr>
        <w:t> </w:t>
      </w:r>
      <w:r w:rsidRPr="00310581">
        <w:rPr>
          <w:rFonts w:ascii="Book Antiqua" w:hAnsi="Book Antiqua" w:cs="Tahoma"/>
          <w:b/>
          <w:bCs/>
        </w:rPr>
        <w:t>Cheng X</w:t>
      </w:r>
      <w:r w:rsidRPr="00310581">
        <w:rPr>
          <w:rFonts w:ascii="Book Antiqua" w:hAnsi="Book Antiqua" w:cs="Tahoma"/>
        </w:rPr>
        <w:t>, Xi QY, Wei S, Wu D, Ye RS, Chen T, Qi QE, Jiang QY, Wang SB, Wang LN, Zhu XT, Zhang YL. Critical role of miR-125b in lipogenesis by targeting stearoyl-CoA desaturase-1 (SCD-1).</w:t>
      </w:r>
      <w:r w:rsidRPr="00310581">
        <w:rPr>
          <w:rStyle w:val="apple-converted-space"/>
          <w:rFonts w:ascii="Book Antiqua" w:hAnsi="Book Antiqua" w:cs="Tahoma"/>
        </w:rPr>
        <w:t> </w:t>
      </w:r>
      <w:r w:rsidRPr="00310581">
        <w:rPr>
          <w:rFonts w:ascii="Book Antiqua" w:hAnsi="Book Antiqua" w:cs="Tahoma"/>
          <w:i/>
          <w:iCs/>
        </w:rPr>
        <w:t>J Anim Sci</w:t>
      </w:r>
      <w:r w:rsidRPr="00310581">
        <w:rPr>
          <w:rStyle w:val="apple-converted-space"/>
          <w:rFonts w:ascii="Book Antiqua" w:hAnsi="Book Antiqua" w:cs="Tahoma"/>
        </w:rPr>
        <w:t> </w:t>
      </w:r>
      <w:r w:rsidRPr="00310581">
        <w:rPr>
          <w:rFonts w:ascii="Book Antiqua" w:hAnsi="Book Antiqua" w:cs="Tahoma"/>
        </w:rPr>
        <w:t>2016;</w:t>
      </w:r>
      <w:r w:rsidRPr="00310581">
        <w:rPr>
          <w:rStyle w:val="apple-converted-space"/>
          <w:rFonts w:ascii="Book Antiqua" w:hAnsi="Book Antiqua" w:cs="Tahoma"/>
        </w:rPr>
        <w:t> </w:t>
      </w:r>
      <w:r w:rsidRPr="00310581">
        <w:rPr>
          <w:rFonts w:ascii="Book Antiqua" w:hAnsi="Book Antiqua" w:cs="Tahoma"/>
          <w:b/>
          <w:bCs/>
        </w:rPr>
        <w:t>94</w:t>
      </w:r>
      <w:r w:rsidRPr="00310581">
        <w:rPr>
          <w:rFonts w:ascii="Book Antiqua" w:hAnsi="Book Antiqua" w:cs="Tahoma"/>
        </w:rPr>
        <w:t>: 65-76 [PMID: 26812313 DOI: 10.2527/jas.2015-9456]</w:t>
      </w:r>
    </w:p>
    <w:p w14:paraId="2231EDA7"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42</w:t>
      </w:r>
      <w:r w:rsidRPr="00310581">
        <w:rPr>
          <w:rStyle w:val="apple-converted-space"/>
          <w:rFonts w:ascii="Book Antiqua" w:hAnsi="Book Antiqua" w:cs="Tahoma"/>
        </w:rPr>
        <w:t> </w:t>
      </w:r>
      <w:r w:rsidRPr="00310581">
        <w:rPr>
          <w:rFonts w:ascii="Book Antiqua" w:hAnsi="Book Antiqua" w:cs="Tahoma"/>
          <w:b/>
          <w:bCs/>
        </w:rPr>
        <w:t>Qiang J</w:t>
      </w:r>
      <w:r w:rsidRPr="00310581">
        <w:rPr>
          <w:rFonts w:ascii="Book Antiqua" w:hAnsi="Book Antiqua" w:cs="Tahoma"/>
        </w:rPr>
        <w:t>, Tao YF, He J, Sun YL, Xu P. miR-29a modulates SCD expression and is regulated in response to a saturated fatty acid diet in juvenile genetically improved farmed tilapia (&lt;i&gt;Oreochromis niloticus&lt;/i&gt;).</w:t>
      </w:r>
      <w:r w:rsidRPr="00310581">
        <w:rPr>
          <w:rStyle w:val="apple-converted-space"/>
          <w:rFonts w:ascii="Book Antiqua" w:hAnsi="Book Antiqua" w:cs="Tahoma"/>
        </w:rPr>
        <w:t> </w:t>
      </w:r>
      <w:r w:rsidRPr="00310581">
        <w:rPr>
          <w:rFonts w:ascii="Book Antiqua" w:hAnsi="Book Antiqua" w:cs="Tahoma"/>
          <w:i/>
          <w:iCs/>
        </w:rPr>
        <w:t>J Exp Biol</w:t>
      </w:r>
      <w:r w:rsidRPr="00310581">
        <w:rPr>
          <w:rStyle w:val="apple-converted-space"/>
          <w:rFonts w:ascii="Book Antiqua" w:hAnsi="Book Antiqua" w:cs="Tahoma"/>
        </w:rPr>
        <w:t> </w:t>
      </w:r>
      <w:r w:rsidRPr="00310581">
        <w:rPr>
          <w:rFonts w:ascii="Book Antiqua" w:hAnsi="Book Antiqua" w:cs="Tahoma"/>
        </w:rPr>
        <w:t>2017;</w:t>
      </w:r>
      <w:r w:rsidRPr="00310581">
        <w:rPr>
          <w:rStyle w:val="apple-converted-space"/>
          <w:rFonts w:ascii="Book Antiqua" w:hAnsi="Book Antiqua" w:cs="Tahoma"/>
        </w:rPr>
        <w:t> </w:t>
      </w:r>
      <w:r w:rsidRPr="00310581">
        <w:rPr>
          <w:rFonts w:ascii="Book Antiqua" w:hAnsi="Book Antiqua" w:cs="Tahoma"/>
          <w:b/>
          <w:bCs/>
        </w:rPr>
        <w:t>220</w:t>
      </w:r>
      <w:r w:rsidRPr="00310581">
        <w:rPr>
          <w:rFonts w:ascii="Book Antiqua" w:hAnsi="Book Antiqua" w:cs="Tahoma"/>
        </w:rPr>
        <w:t>: 1481-1489 [PMID: 28167804 DOI: 10.1242/jeb.151506]</w:t>
      </w:r>
    </w:p>
    <w:p w14:paraId="7076DB15" w14:textId="77777777" w:rsidR="0070278B" w:rsidRPr="00310581" w:rsidRDefault="0070278B" w:rsidP="009315CE">
      <w:pPr>
        <w:pStyle w:val="NormalWeb"/>
        <w:shd w:val="clear" w:color="auto" w:fill="F9F9F9"/>
        <w:snapToGrid w:val="0"/>
        <w:spacing w:before="0" w:beforeAutospacing="0" w:after="0" w:afterAutospacing="0" w:line="360" w:lineRule="auto"/>
        <w:jc w:val="both"/>
        <w:rPr>
          <w:rFonts w:ascii="Book Antiqua" w:hAnsi="Book Antiqua" w:cs="Tahoma"/>
        </w:rPr>
      </w:pPr>
      <w:r w:rsidRPr="00310581">
        <w:rPr>
          <w:rFonts w:ascii="Book Antiqua" w:hAnsi="Book Antiqua" w:cs="Tahoma"/>
        </w:rPr>
        <w:t>43</w:t>
      </w:r>
      <w:r w:rsidRPr="00310581">
        <w:rPr>
          <w:rStyle w:val="apple-converted-space"/>
          <w:rFonts w:ascii="Book Antiqua" w:hAnsi="Book Antiqua" w:cs="Tahoma"/>
        </w:rPr>
        <w:t> </w:t>
      </w:r>
      <w:r w:rsidRPr="00310581">
        <w:rPr>
          <w:rFonts w:ascii="Book Antiqua" w:hAnsi="Book Antiqua" w:cs="Tahoma"/>
          <w:b/>
          <w:bCs/>
        </w:rPr>
        <w:t>Jonas S</w:t>
      </w:r>
      <w:r w:rsidRPr="00310581">
        <w:rPr>
          <w:rFonts w:ascii="Book Antiqua" w:hAnsi="Book Antiqua" w:cs="Tahoma"/>
        </w:rPr>
        <w:t>, Izaurralde E. Towards a molecular understanding of microRNA-mediated gene silencing.</w:t>
      </w:r>
      <w:r w:rsidRPr="00310581">
        <w:rPr>
          <w:rStyle w:val="apple-converted-space"/>
          <w:rFonts w:ascii="Book Antiqua" w:hAnsi="Book Antiqua" w:cs="Tahoma"/>
        </w:rPr>
        <w:t> </w:t>
      </w:r>
      <w:r w:rsidRPr="00310581">
        <w:rPr>
          <w:rFonts w:ascii="Book Antiqua" w:hAnsi="Book Antiqua" w:cs="Tahoma"/>
          <w:i/>
          <w:iCs/>
        </w:rPr>
        <w:t>Nat Rev Genet</w:t>
      </w:r>
      <w:r w:rsidRPr="00310581">
        <w:rPr>
          <w:rStyle w:val="apple-converted-space"/>
          <w:rFonts w:ascii="Book Antiqua" w:hAnsi="Book Antiqua" w:cs="Tahoma"/>
        </w:rPr>
        <w:t> </w:t>
      </w:r>
      <w:r w:rsidRPr="00310581">
        <w:rPr>
          <w:rFonts w:ascii="Book Antiqua" w:hAnsi="Book Antiqua" w:cs="Tahoma"/>
        </w:rPr>
        <w:t>2015;</w:t>
      </w:r>
      <w:r w:rsidRPr="00310581">
        <w:rPr>
          <w:rStyle w:val="apple-converted-space"/>
          <w:rFonts w:ascii="Book Antiqua" w:hAnsi="Book Antiqua" w:cs="Tahoma"/>
        </w:rPr>
        <w:t> </w:t>
      </w:r>
      <w:r w:rsidRPr="00310581">
        <w:rPr>
          <w:rFonts w:ascii="Book Antiqua" w:hAnsi="Book Antiqua" w:cs="Tahoma"/>
          <w:b/>
          <w:bCs/>
        </w:rPr>
        <w:t>16</w:t>
      </w:r>
      <w:r w:rsidRPr="00310581">
        <w:rPr>
          <w:rFonts w:ascii="Book Antiqua" w:hAnsi="Book Antiqua" w:cs="Tahoma"/>
        </w:rPr>
        <w:t>: 421-433 [PMID: 26077373 DOI: 10.1038/nrg3965]</w:t>
      </w:r>
    </w:p>
    <w:p w14:paraId="1ABFB668" w14:textId="77777777" w:rsidR="0070278B" w:rsidRPr="00310581" w:rsidRDefault="0070278B" w:rsidP="009315CE">
      <w:pPr>
        <w:snapToGrid w:val="0"/>
        <w:spacing w:line="360" w:lineRule="auto"/>
        <w:rPr>
          <w:rFonts w:ascii="Book Antiqua" w:hAnsi="Book Antiqua"/>
        </w:rPr>
      </w:pPr>
    </w:p>
    <w:p w14:paraId="6A13F563" w14:textId="7D07A081" w:rsidR="0070278B" w:rsidRPr="00310581" w:rsidRDefault="0070278B" w:rsidP="009315CE">
      <w:pPr>
        <w:pStyle w:val="ListParagraph"/>
        <w:snapToGrid w:val="0"/>
        <w:spacing w:line="360" w:lineRule="auto"/>
        <w:ind w:firstLineChars="0" w:firstLine="0"/>
        <w:rPr>
          <w:rFonts w:ascii="Book Antiqua" w:eastAsia="SimSun" w:hAnsi="Book Antiqua"/>
          <w:b/>
          <w:bCs/>
          <w:color w:val="000000"/>
          <w:szCs w:val="24"/>
          <w:lang w:eastAsia="zh-CN"/>
        </w:rPr>
      </w:pPr>
      <w:r w:rsidRPr="00310581">
        <w:rPr>
          <w:rStyle w:val="Strong"/>
          <w:rFonts w:ascii="Book Antiqua" w:hAnsi="Book Antiqua" w:cs="Arial"/>
          <w:bCs w:val="0"/>
          <w:noProof/>
          <w:color w:val="000000"/>
          <w:szCs w:val="24"/>
        </w:rPr>
        <w:t>P-Reviewer</w:t>
      </w:r>
      <w:r w:rsidRPr="00310581">
        <w:rPr>
          <w:rStyle w:val="Strong"/>
          <w:rFonts w:ascii="Book Antiqua" w:eastAsia="SimSun" w:hAnsi="Book Antiqua" w:cs="Arial"/>
          <w:bCs w:val="0"/>
          <w:noProof/>
          <w:color w:val="000000"/>
          <w:szCs w:val="24"/>
          <w:lang w:eastAsia="zh-CN"/>
        </w:rPr>
        <w:t>:</w:t>
      </w:r>
      <w:r w:rsidRPr="00310581">
        <w:rPr>
          <w:rFonts w:ascii="Book Antiqua" w:hAnsi="Book Antiqua"/>
          <w:bCs/>
          <w:color w:val="000000"/>
          <w:szCs w:val="24"/>
        </w:rPr>
        <w:t xml:space="preserve"> </w:t>
      </w:r>
      <w:r w:rsidR="00AB3497" w:rsidRPr="00310581">
        <w:rPr>
          <w:rFonts w:ascii="Book Antiqua" w:hAnsi="Book Antiqua"/>
          <w:bCs/>
          <w:color w:val="000000"/>
          <w:szCs w:val="24"/>
        </w:rPr>
        <w:t>Gallego-Duran</w:t>
      </w:r>
      <w:r w:rsidR="00AB3497" w:rsidRPr="00310581">
        <w:rPr>
          <w:rFonts w:ascii="Book Antiqua" w:eastAsiaTheme="minorEastAsia" w:hAnsi="Book Antiqua"/>
          <w:bCs/>
          <w:color w:val="000000"/>
          <w:szCs w:val="24"/>
          <w:lang w:eastAsia="zh-CN"/>
        </w:rPr>
        <w:t xml:space="preserve"> R, Pirola CJ </w:t>
      </w:r>
      <w:r w:rsidRPr="00310581">
        <w:rPr>
          <w:rFonts w:ascii="Book Antiqua" w:hAnsi="Book Antiqua"/>
          <w:b/>
          <w:bCs/>
          <w:color w:val="000000"/>
          <w:szCs w:val="24"/>
        </w:rPr>
        <w:t>S-Editor</w:t>
      </w:r>
      <w:r w:rsidRPr="00310581">
        <w:rPr>
          <w:rFonts w:ascii="Book Antiqua" w:eastAsia="SimSun" w:hAnsi="Book Antiqua"/>
          <w:b/>
          <w:bCs/>
          <w:color w:val="000000"/>
          <w:szCs w:val="24"/>
          <w:lang w:eastAsia="zh-CN"/>
        </w:rPr>
        <w:t>:</w:t>
      </w:r>
      <w:r w:rsidRPr="00310581">
        <w:rPr>
          <w:rFonts w:ascii="Book Antiqua" w:hAnsi="Book Antiqua"/>
          <w:bCs/>
          <w:color w:val="000000"/>
          <w:szCs w:val="24"/>
        </w:rPr>
        <w:t xml:space="preserve"> </w:t>
      </w:r>
      <w:r w:rsidRPr="00310581">
        <w:rPr>
          <w:rFonts w:ascii="Book Antiqua" w:eastAsia="SimSun" w:hAnsi="Book Antiqua"/>
          <w:bCs/>
          <w:color w:val="000000"/>
          <w:szCs w:val="24"/>
          <w:lang w:eastAsia="zh-CN"/>
        </w:rPr>
        <w:t>Qi Y</w:t>
      </w:r>
      <w:r w:rsidR="00DC409F">
        <w:rPr>
          <w:rFonts w:ascii="Book Antiqua" w:eastAsiaTheme="minorEastAsia" w:hAnsi="Book Antiqua" w:hint="eastAsia"/>
          <w:b/>
          <w:bCs/>
          <w:color w:val="000000"/>
          <w:szCs w:val="24"/>
          <w:lang w:eastAsia="zh-CN"/>
        </w:rPr>
        <w:t xml:space="preserve"> </w:t>
      </w:r>
      <w:r w:rsidRPr="00310581">
        <w:rPr>
          <w:rFonts w:ascii="Book Antiqua" w:hAnsi="Book Antiqua"/>
          <w:b/>
          <w:bCs/>
          <w:color w:val="000000"/>
          <w:szCs w:val="24"/>
        </w:rPr>
        <w:t>L-Editor</w:t>
      </w:r>
      <w:r w:rsidRPr="00310581">
        <w:rPr>
          <w:rFonts w:ascii="Book Antiqua" w:eastAsia="SimSun" w:hAnsi="Book Antiqua"/>
          <w:b/>
          <w:bCs/>
          <w:color w:val="000000"/>
          <w:szCs w:val="24"/>
          <w:lang w:eastAsia="zh-CN"/>
        </w:rPr>
        <w:t>:</w:t>
      </w:r>
      <w:r w:rsidRPr="00310581">
        <w:rPr>
          <w:rFonts w:ascii="Book Antiqua" w:hAnsi="Book Antiqua"/>
          <w:b/>
          <w:bCs/>
          <w:color w:val="000000"/>
          <w:szCs w:val="24"/>
        </w:rPr>
        <w:t xml:space="preserve">   E-Editor</w:t>
      </w:r>
      <w:r w:rsidRPr="00310581">
        <w:rPr>
          <w:rFonts w:ascii="Book Antiqua" w:eastAsia="SimSun" w:hAnsi="Book Antiqua"/>
          <w:b/>
          <w:bCs/>
          <w:color w:val="000000"/>
          <w:szCs w:val="24"/>
          <w:lang w:eastAsia="zh-CN"/>
        </w:rPr>
        <w:t>:</w:t>
      </w:r>
    </w:p>
    <w:p w14:paraId="1AB9CDE1" w14:textId="77777777" w:rsidR="0070278B" w:rsidRPr="00310581" w:rsidRDefault="0070278B" w:rsidP="009315CE">
      <w:pPr>
        <w:shd w:val="clear" w:color="auto" w:fill="FFFFFF"/>
        <w:snapToGrid w:val="0"/>
        <w:spacing w:line="360" w:lineRule="auto"/>
        <w:rPr>
          <w:rFonts w:ascii="Book Antiqua" w:hAnsi="Book Antiqua" w:cs="Helvetica"/>
          <w:b/>
        </w:rPr>
      </w:pPr>
      <w:r w:rsidRPr="00310581">
        <w:rPr>
          <w:rFonts w:ascii="Book Antiqua" w:hAnsi="Book Antiqua" w:cs="Helvetica"/>
          <w:b/>
        </w:rPr>
        <w:t xml:space="preserve">Specialty type: </w:t>
      </w:r>
      <w:r w:rsidRPr="00310581">
        <w:rPr>
          <w:rFonts w:ascii="Book Antiqua" w:hAnsi="Book Antiqua" w:cs="Helvetica"/>
        </w:rPr>
        <w:t>Gastroenterology and hepatology</w:t>
      </w:r>
    </w:p>
    <w:p w14:paraId="651BEE54" w14:textId="10297865" w:rsidR="0070278B" w:rsidRPr="00310581" w:rsidRDefault="0070278B" w:rsidP="009315CE">
      <w:pPr>
        <w:shd w:val="clear" w:color="auto" w:fill="FFFFFF"/>
        <w:snapToGrid w:val="0"/>
        <w:spacing w:line="360" w:lineRule="auto"/>
        <w:rPr>
          <w:rFonts w:ascii="Book Antiqua" w:hAnsi="Book Antiqua" w:cs="Helvetica"/>
          <w:b/>
        </w:rPr>
      </w:pPr>
      <w:r w:rsidRPr="00310581">
        <w:rPr>
          <w:rFonts w:ascii="Book Antiqua" w:hAnsi="Book Antiqua" w:cs="Helvetica"/>
          <w:b/>
        </w:rPr>
        <w:t xml:space="preserve">Country of origin: </w:t>
      </w:r>
      <w:r w:rsidR="00AB3497" w:rsidRPr="00310581">
        <w:rPr>
          <w:rFonts w:ascii="Book Antiqua" w:hAnsi="Book Antiqua"/>
          <w:color w:val="000000"/>
        </w:rPr>
        <w:t>China</w:t>
      </w:r>
    </w:p>
    <w:p w14:paraId="7B92F231" w14:textId="77777777" w:rsidR="0070278B" w:rsidRPr="00310581" w:rsidRDefault="0070278B" w:rsidP="009315CE">
      <w:pPr>
        <w:shd w:val="clear" w:color="auto" w:fill="FFFFFF"/>
        <w:snapToGrid w:val="0"/>
        <w:spacing w:line="360" w:lineRule="auto"/>
        <w:rPr>
          <w:rFonts w:ascii="Book Antiqua" w:hAnsi="Book Antiqua" w:cs="Helvetica"/>
          <w:b/>
        </w:rPr>
      </w:pPr>
      <w:r w:rsidRPr="00310581">
        <w:rPr>
          <w:rFonts w:ascii="Book Antiqua" w:hAnsi="Book Antiqua" w:cs="Helvetica"/>
          <w:b/>
        </w:rPr>
        <w:t>Peer-review report classification</w:t>
      </w:r>
    </w:p>
    <w:p w14:paraId="4F622E4C" w14:textId="77777777" w:rsidR="0070278B" w:rsidRPr="00310581" w:rsidRDefault="0070278B" w:rsidP="009315CE">
      <w:pPr>
        <w:shd w:val="clear" w:color="auto" w:fill="FFFFFF"/>
        <w:snapToGrid w:val="0"/>
        <w:spacing w:line="360" w:lineRule="auto"/>
        <w:rPr>
          <w:rFonts w:ascii="Book Antiqua" w:hAnsi="Book Antiqua" w:cs="Helvetica"/>
        </w:rPr>
      </w:pPr>
      <w:r w:rsidRPr="00310581">
        <w:rPr>
          <w:rFonts w:ascii="Book Antiqua" w:hAnsi="Book Antiqua" w:cs="Helvetica"/>
        </w:rPr>
        <w:t>Grade A (Excellent): 0</w:t>
      </w:r>
    </w:p>
    <w:p w14:paraId="0496F40D" w14:textId="72CF21AD" w:rsidR="0070278B" w:rsidRPr="00310581" w:rsidRDefault="0070278B" w:rsidP="009315CE">
      <w:pPr>
        <w:shd w:val="clear" w:color="auto" w:fill="FFFFFF"/>
        <w:snapToGrid w:val="0"/>
        <w:spacing w:line="360" w:lineRule="auto"/>
        <w:rPr>
          <w:rFonts w:ascii="Book Antiqua" w:hAnsi="Book Antiqua" w:cs="Helvetica"/>
        </w:rPr>
      </w:pPr>
      <w:r w:rsidRPr="00310581">
        <w:rPr>
          <w:rFonts w:ascii="Book Antiqua" w:hAnsi="Book Antiqua" w:cs="Helvetica"/>
        </w:rPr>
        <w:t xml:space="preserve">Grade B (Very good): </w:t>
      </w:r>
      <w:r w:rsidR="00AB3497" w:rsidRPr="00310581">
        <w:rPr>
          <w:rFonts w:ascii="Book Antiqua" w:hAnsi="Book Antiqua" w:cs="Helvetica"/>
        </w:rPr>
        <w:t>B, B</w:t>
      </w:r>
    </w:p>
    <w:p w14:paraId="2E1D536A" w14:textId="77777777" w:rsidR="0070278B" w:rsidRPr="00310581" w:rsidRDefault="0070278B" w:rsidP="009315CE">
      <w:pPr>
        <w:shd w:val="clear" w:color="auto" w:fill="FFFFFF"/>
        <w:snapToGrid w:val="0"/>
        <w:spacing w:line="360" w:lineRule="auto"/>
        <w:rPr>
          <w:rFonts w:ascii="Book Antiqua" w:hAnsi="Book Antiqua" w:cs="Helvetica"/>
        </w:rPr>
      </w:pPr>
      <w:r w:rsidRPr="00310581">
        <w:rPr>
          <w:rFonts w:ascii="Book Antiqua" w:hAnsi="Book Antiqua" w:cs="Helvetica"/>
        </w:rPr>
        <w:t>Grade C (Good): 0</w:t>
      </w:r>
    </w:p>
    <w:p w14:paraId="3615E84B" w14:textId="77777777" w:rsidR="0070278B" w:rsidRPr="00310581" w:rsidRDefault="0070278B" w:rsidP="009315CE">
      <w:pPr>
        <w:shd w:val="clear" w:color="auto" w:fill="FFFFFF"/>
        <w:snapToGrid w:val="0"/>
        <w:spacing w:line="360" w:lineRule="auto"/>
        <w:rPr>
          <w:rFonts w:ascii="Book Antiqua" w:hAnsi="Book Antiqua" w:cs="Helvetica"/>
        </w:rPr>
      </w:pPr>
      <w:r w:rsidRPr="00310581">
        <w:rPr>
          <w:rFonts w:ascii="Book Antiqua" w:hAnsi="Book Antiqua" w:cs="Helvetica"/>
        </w:rPr>
        <w:t>Grade D (Fair): 0</w:t>
      </w:r>
    </w:p>
    <w:p w14:paraId="017D5679" w14:textId="77777777" w:rsidR="0070278B" w:rsidRPr="00310581" w:rsidRDefault="0070278B" w:rsidP="009315CE">
      <w:pPr>
        <w:shd w:val="clear" w:color="auto" w:fill="FFFFFF"/>
        <w:snapToGrid w:val="0"/>
        <w:spacing w:line="360" w:lineRule="auto"/>
        <w:rPr>
          <w:rFonts w:ascii="Book Antiqua" w:hAnsi="Book Antiqua" w:cs="Helvetica"/>
        </w:rPr>
      </w:pPr>
      <w:r w:rsidRPr="00310581">
        <w:rPr>
          <w:rFonts w:ascii="Book Antiqua" w:hAnsi="Book Antiqua" w:cs="Helvetica"/>
        </w:rPr>
        <w:lastRenderedPageBreak/>
        <w:t>Grade E (Poor): 0</w:t>
      </w:r>
    </w:p>
    <w:p w14:paraId="2737BE8F" w14:textId="4FEE7BAE" w:rsidR="009315CE" w:rsidRDefault="009315CE">
      <w:pPr>
        <w:widowControl/>
        <w:jc w:val="left"/>
        <w:rPr>
          <w:rFonts w:ascii="Book Antiqua" w:hAnsi="Book Antiqua"/>
          <w:noProof/>
        </w:rPr>
      </w:pPr>
      <w:r>
        <w:rPr>
          <w:rFonts w:ascii="Book Antiqua" w:hAnsi="Book Antiqua"/>
          <w:noProof/>
        </w:rPr>
        <w:br w:type="page"/>
      </w:r>
    </w:p>
    <w:p w14:paraId="491B2125" w14:textId="3FC50D81" w:rsidR="001F5466" w:rsidRPr="00310581" w:rsidRDefault="001F5466" w:rsidP="009315CE">
      <w:pPr>
        <w:snapToGrid w:val="0"/>
        <w:spacing w:line="360" w:lineRule="auto"/>
        <w:rPr>
          <w:rFonts w:ascii="Book Antiqua" w:hAnsi="Book Antiqua"/>
          <w:color w:val="000000"/>
        </w:rPr>
      </w:pPr>
      <w:r w:rsidRPr="00310581">
        <w:rPr>
          <w:rFonts w:ascii="Book Antiqua" w:hAnsi="Book Antiqua"/>
          <w:noProof/>
          <w:color w:val="000000"/>
        </w:rPr>
        <w:lastRenderedPageBreak/>
        <w:drawing>
          <wp:inline distT="0" distB="0" distL="0" distR="0" wp14:anchorId="0E4EC82C" wp14:editId="72A08FED">
            <wp:extent cx="4989066" cy="73056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ut 1.tiff"/>
                    <pic:cNvPicPr/>
                  </pic:nvPicPr>
                  <pic:blipFill>
                    <a:blip r:embed="rId6">
                      <a:extLst>
                        <a:ext uri="{28A0092B-C50C-407E-A947-70E740481C1C}">
                          <a14:useLocalDpi xmlns:a14="http://schemas.microsoft.com/office/drawing/2010/main" val="0"/>
                        </a:ext>
                      </a:extLst>
                    </a:blip>
                    <a:stretch>
                      <a:fillRect/>
                    </a:stretch>
                  </pic:blipFill>
                  <pic:spPr>
                    <a:xfrm>
                      <a:off x="0" y="0"/>
                      <a:ext cx="4987232" cy="7302989"/>
                    </a:xfrm>
                    <a:prstGeom prst="rect">
                      <a:avLst/>
                    </a:prstGeom>
                  </pic:spPr>
                </pic:pic>
              </a:graphicData>
            </a:graphic>
          </wp:inline>
        </w:drawing>
      </w:r>
    </w:p>
    <w:p w14:paraId="752D7CFD" w14:textId="5EEFA688" w:rsidR="00310581" w:rsidRDefault="00310581" w:rsidP="009315CE">
      <w:pPr>
        <w:snapToGrid w:val="0"/>
        <w:spacing w:line="360" w:lineRule="auto"/>
        <w:rPr>
          <w:rFonts w:ascii="Book Antiqua" w:hAnsi="Book Antiqua"/>
        </w:rPr>
      </w:pPr>
      <w:r w:rsidRPr="00310581">
        <w:rPr>
          <w:rFonts w:ascii="Book Antiqua" w:hAnsi="Book Antiqua"/>
          <w:b/>
        </w:rPr>
        <w:t>Figure 1</w:t>
      </w:r>
      <w:r>
        <w:rPr>
          <w:rFonts w:ascii="Book Antiqua" w:hAnsi="Book Antiqua" w:hint="eastAsia"/>
          <w:b/>
        </w:rPr>
        <w:t xml:space="preserve"> </w:t>
      </w:r>
      <w:r w:rsidRPr="00310581">
        <w:rPr>
          <w:rFonts w:ascii="Book Antiqua" w:hAnsi="Book Antiqua"/>
          <w:b/>
        </w:rPr>
        <w:t>Hepatic miR-192-5p and SCD-1 levels in rat models.</w:t>
      </w:r>
      <w:r w:rsidRPr="00310581">
        <w:rPr>
          <w:rFonts w:ascii="Book Antiqua" w:hAnsi="Book Antiqua"/>
        </w:rPr>
        <w:t xml:space="preserve"> H&amp;E staining of livers (A), body weight (B), hepatic TG levels (C), hepatic miR-192-5p levels (D), and SCD-1 protein levels (E) in rats fed with an HFD and treated with liraglutide. The data are expressed as the means ± SEM (</w:t>
      </w:r>
      <w:r w:rsidRPr="007A5E9D">
        <w:rPr>
          <w:rFonts w:ascii="Book Antiqua" w:hAnsi="Book Antiqua"/>
          <w:i/>
        </w:rPr>
        <w:t>n</w:t>
      </w:r>
      <w:r w:rsidRPr="00310581">
        <w:rPr>
          <w:rFonts w:ascii="Book Antiqua" w:hAnsi="Book Antiqua"/>
        </w:rPr>
        <w:t xml:space="preserve"> = 10 rats/group), </w:t>
      </w:r>
      <w:r w:rsidRPr="00310581">
        <w:rPr>
          <w:rFonts w:ascii="Book Antiqua" w:hAnsi="Book Antiqua"/>
          <w:vertAlign w:val="superscript"/>
        </w:rPr>
        <w:t>a</w:t>
      </w:r>
      <w:r w:rsidRPr="007A5E9D">
        <w:rPr>
          <w:rFonts w:ascii="Book Antiqua" w:hAnsi="Book Antiqua"/>
          <w:i/>
        </w:rPr>
        <w:t>P</w:t>
      </w:r>
      <w:r w:rsidRPr="00310581">
        <w:rPr>
          <w:rFonts w:ascii="Book Antiqua" w:hAnsi="Book Antiqua"/>
        </w:rPr>
        <w:t xml:space="preserve"> &lt; 0.01.</w:t>
      </w:r>
    </w:p>
    <w:p w14:paraId="6AEFD861" w14:textId="05A3DF77" w:rsidR="001F5466" w:rsidRPr="00310581" w:rsidRDefault="001F5466" w:rsidP="009315CE">
      <w:pPr>
        <w:pStyle w:val="EndNoteBibliography"/>
        <w:snapToGrid w:val="0"/>
        <w:spacing w:line="360" w:lineRule="auto"/>
        <w:rPr>
          <w:rFonts w:ascii="Book Antiqua" w:hAnsi="Book Antiqua"/>
          <w:b/>
        </w:rPr>
      </w:pPr>
      <w:r w:rsidRPr="00310581">
        <w:rPr>
          <w:rFonts w:ascii="Book Antiqua" w:hAnsi="Book Antiqua"/>
          <w:b/>
          <w:noProof/>
        </w:rPr>
        <w:lastRenderedPageBreak/>
        <w:drawing>
          <wp:inline distT="0" distB="0" distL="0" distR="0" wp14:anchorId="6E7E930F" wp14:editId="08DCA8FA">
            <wp:extent cx="5270500" cy="5937885"/>
            <wp:effectExtent l="0" t="0" r="1270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yout 2.tiff"/>
                    <pic:cNvPicPr/>
                  </pic:nvPicPr>
                  <pic:blipFill>
                    <a:blip r:embed="rId7">
                      <a:extLst>
                        <a:ext uri="{28A0092B-C50C-407E-A947-70E740481C1C}">
                          <a14:useLocalDpi xmlns:a14="http://schemas.microsoft.com/office/drawing/2010/main" val="0"/>
                        </a:ext>
                      </a:extLst>
                    </a:blip>
                    <a:stretch>
                      <a:fillRect/>
                    </a:stretch>
                  </pic:blipFill>
                  <pic:spPr>
                    <a:xfrm>
                      <a:off x="0" y="0"/>
                      <a:ext cx="5270500" cy="5937885"/>
                    </a:xfrm>
                    <a:prstGeom prst="rect">
                      <a:avLst/>
                    </a:prstGeom>
                  </pic:spPr>
                </pic:pic>
              </a:graphicData>
            </a:graphic>
          </wp:inline>
        </w:drawing>
      </w:r>
    </w:p>
    <w:p w14:paraId="0E1FFBC5" w14:textId="5E81CD60" w:rsidR="00310581" w:rsidRPr="00310581" w:rsidRDefault="00310581" w:rsidP="009315CE">
      <w:pPr>
        <w:snapToGrid w:val="0"/>
        <w:spacing w:line="360" w:lineRule="auto"/>
        <w:rPr>
          <w:rFonts w:ascii="Book Antiqua" w:hAnsi="Book Antiqua"/>
          <w:color w:val="000000"/>
        </w:rPr>
      </w:pPr>
      <w:r w:rsidRPr="00310581">
        <w:rPr>
          <w:rFonts w:ascii="Book Antiqua" w:hAnsi="Book Antiqua"/>
          <w:b/>
        </w:rPr>
        <w:t>Figure 2</w:t>
      </w:r>
      <w:r>
        <w:rPr>
          <w:rFonts w:ascii="Book Antiqua" w:hAnsi="Book Antiqua" w:hint="eastAsia"/>
          <w:b/>
        </w:rPr>
        <w:t xml:space="preserve"> </w:t>
      </w:r>
      <w:r w:rsidRPr="00310581">
        <w:rPr>
          <w:rFonts w:ascii="Book Antiqua" w:hAnsi="Book Antiqua"/>
          <w:b/>
          <w:color w:val="000000"/>
        </w:rPr>
        <w:t xml:space="preserve">PA induced a decrease in miR-192-5p and an increase in SCD-1 in Huh7 cells. </w:t>
      </w:r>
      <w:r>
        <w:rPr>
          <w:rFonts w:ascii="Book Antiqua" w:hAnsi="Book Antiqua" w:hint="eastAsia"/>
          <w:color w:val="000000"/>
        </w:rPr>
        <w:t xml:space="preserve">A: </w:t>
      </w:r>
      <w:r w:rsidRPr="00310581">
        <w:rPr>
          <w:rFonts w:ascii="Book Antiqua" w:hAnsi="Book Antiqua"/>
          <w:color w:val="000000"/>
        </w:rPr>
        <w:t xml:space="preserve">The cytotoxic effects of PA on Huh7 cells by the CCK-8 test; </w:t>
      </w:r>
      <w:r>
        <w:rPr>
          <w:rFonts w:ascii="Book Antiqua" w:hAnsi="Book Antiqua" w:hint="eastAsia"/>
          <w:color w:val="000000"/>
        </w:rPr>
        <w:t xml:space="preserve">B: </w:t>
      </w:r>
      <w:r w:rsidR="007A5E9D" w:rsidRPr="00310581">
        <w:rPr>
          <w:rFonts w:ascii="Book Antiqua" w:hAnsi="Book Antiqua"/>
          <w:color w:val="000000"/>
        </w:rPr>
        <w:t xml:space="preserve">Cellular </w:t>
      </w:r>
      <w:r w:rsidRPr="00310581">
        <w:rPr>
          <w:rFonts w:ascii="Book Antiqua" w:hAnsi="Book Antiqua"/>
          <w:color w:val="000000"/>
        </w:rPr>
        <w:t>TG levels</w:t>
      </w:r>
      <w:r>
        <w:rPr>
          <w:rFonts w:ascii="Book Antiqua" w:hAnsi="Book Antiqua" w:hint="eastAsia"/>
          <w:color w:val="000000"/>
        </w:rPr>
        <w:t xml:space="preserve">; C: </w:t>
      </w:r>
      <w:r w:rsidRPr="00310581">
        <w:rPr>
          <w:rFonts w:ascii="Book Antiqua" w:hAnsi="Book Antiqua"/>
          <w:color w:val="000000"/>
        </w:rPr>
        <w:t>Oil red O staining</w:t>
      </w:r>
      <w:r>
        <w:rPr>
          <w:rFonts w:ascii="Book Antiqua" w:hAnsi="Book Antiqua" w:hint="eastAsia"/>
          <w:color w:val="000000"/>
        </w:rPr>
        <w:t xml:space="preserve">; D: </w:t>
      </w:r>
      <w:r w:rsidRPr="00310581">
        <w:rPr>
          <w:rFonts w:ascii="Book Antiqua" w:hAnsi="Book Antiqua"/>
          <w:color w:val="000000"/>
        </w:rPr>
        <w:t>miR-192-5p levels</w:t>
      </w:r>
      <w:r>
        <w:rPr>
          <w:rFonts w:ascii="Book Antiqua" w:hAnsi="Book Antiqua" w:hint="eastAsia"/>
          <w:color w:val="000000"/>
        </w:rPr>
        <w:t>;</w:t>
      </w:r>
      <w:r w:rsidRPr="00310581">
        <w:rPr>
          <w:rFonts w:ascii="Book Antiqua" w:hAnsi="Book Antiqua"/>
          <w:color w:val="000000"/>
        </w:rPr>
        <w:t xml:space="preserve"> and </w:t>
      </w:r>
      <w:r w:rsidR="007A5E9D">
        <w:rPr>
          <w:rFonts w:ascii="Book Antiqua" w:hAnsi="Book Antiqua" w:hint="eastAsia"/>
          <w:color w:val="000000"/>
        </w:rPr>
        <w:t xml:space="preserve">E: </w:t>
      </w:r>
      <w:r w:rsidR="007A5E9D">
        <w:rPr>
          <w:rFonts w:ascii="Book Antiqua" w:hAnsi="Book Antiqua"/>
          <w:color w:val="000000"/>
        </w:rPr>
        <w:t>SCD-1 protein levels</w:t>
      </w:r>
      <w:r w:rsidRPr="00310581">
        <w:rPr>
          <w:rFonts w:ascii="Book Antiqua" w:hAnsi="Book Antiqua"/>
          <w:color w:val="000000"/>
        </w:rPr>
        <w:t xml:space="preserve"> in Huh7 cells treated with PA. The data are expressed as the means ± SEM, </w:t>
      </w:r>
      <w:r w:rsidRPr="00310581">
        <w:rPr>
          <w:rFonts w:ascii="Book Antiqua" w:hAnsi="Book Antiqua"/>
          <w:vertAlign w:val="superscript"/>
        </w:rPr>
        <w:t>a</w:t>
      </w:r>
      <w:r w:rsidRPr="007A5E9D">
        <w:rPr>
          <w:rFonts w:ascii="Book Antiqua" w:hAnsi="Book Antiqua"/>
          <w:i/>
          <w:color w:val="000000"/>
        </w:rPr>
        <w:t xml:space="preserve">P </w:t>
      </w:r>
      <w:r w:rsidRPr="00310581">
        <w:rPr>
          <w:rFonts w:ascii="Book Antiqua" w:hAnsi="Book Antiqua"/>
          <w:color w:val="000000"/>
        </w:rPr>
        <w:t>&lt; 0.01.</w:t>
      </w:r>
    </w:p>
    <w:p w14:paraId="37C4E5D6" w14:textId="34B0BCE8" w:rsidR="001F5466" w:rsidRPr="00310581" w:rsidRDefault="001F5466" w:rsidP="009315CE">
      <w:pPr>
        <w:pStyle w:val="EndNoteBibliography"/>
        <w:snapToGrid w:val="0"/>
        <w:spacing w:line="360" w:lineRule="auto"/>
        <w:rPr>
          <w:rFonts w:ascii="Book Antiqua" w:hAnsi="Book Antiqua"/>
          <w:b/>
        </w:rPr>
      </w:pPr>
    </w:p>
    <w:p w14:paraId="17B20B20" w14:textId="77777777" w:rsidR="001F5466" w:rsidRDefault="001F5466" w:rsidP="009315CE">
      <w:pPr>
        <w:pStyle w:val="EndNoteBibliography"/>
        <w:snapToGrid w:val="0"/>
        <w:spacing w:line="360" w:lineRule="auto"/>
        <w:rPr>
          <w:rFonts w:ascii="Book Antiqua" w:hAnsi="Book Antiqua"/>
          <w:b/>
        </w:rPr>
      </w:pPr>
      <w:r w:rsidRPr="00310581">
        <w:rPr>
          <w:rFonts w:ascii="Book Antiqua" w:hAnsi="Book Antiqua"/>
          <w:b/>
          <w:noProof/>
        </w:rPr>
        <w:lastRenderedPageBreak/>
        <w:drawing>
          <wp:inline distT="0" distB="0" distL="0" distR="0" wp14:anchorId="144B427C" wp14:editId="26424359">
            <wp:extent cx="5270500" cy="280416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f"/>
                    <pic:cNvPicPr/>
                  </pic:nvPicPr>
                  <pic:blipFill>
                    <a:blip r:embed="rId8">
                      <a:extLst>
                        <a:ext uri="{28A0092B-C50C-407E-A947-70E740481C1C}">
                          <a14:useLocalDpi xmlns:a14="http://schemas.microsoft.com/office/drawing/2010/main" val="0"/>
                        </a:ext>
                      </a:extLst>
                    </a:blip>
                    <a:stretch>
                      <a:fillRect/>
                    </a:stretch>
                  </pic:blipFill>
                  <pic:spPr>
                    <a:xfrm>
                      <a:off x="0" y="0"/>
                      <a:ext cx="5270500" cy="2804160"/>
                    </a:xfrm>
                    <a:prstGeom prst="rect">
                      <a:avLst/>
                    </a:prstGeom>
                  </pic:spPr>
                </pic:pic>
              </a:graphicData>
            </a:graphic>
          </wp:inline>
        </w:drawing>
      </w:r>
    </w:p>
    <w:p w14:paraId="020AD3B8" w14:textId="77777777" w:rsidR="00C63820" w:rsidRPr="00310581" w:rsidRDefault="00C63820" w:rsidP="009315CE">
      <w:pPr>
        <w:pStyle w:val="EndNoteBibliography"/>
        <w:snapToGrid w:val="0"/>
        <w:spacing w:line="360" w:lineRule="auto"/>
        <w:rPr>
          <w:rFonts w:ascii="Book Antiqua" w:hAnsi="Book Antiqua"/>
          <w:b/>
        </w:rPr>
      </w:pPr>
    </w:p>
    <w:p w14:paraId="7D67E350" w14:textId="0EF6B6C8" w:rsidR="00C63820" w:rsidRDefault="00310581" w:rsidP="009315CE">
      <w:pPr>
        <w:snapToGrid w:val="0"/>
        <w:spacing w:line="360" w:lineRule="auto"/>
        <w:rPr>
          <w:rFonts w:ascii="Book Antiqua" w:hAnsi="Book Antiqua"/>
        </w:rPr>
      </w:pPr>
      <w:r w:rsidRPr="00310581">
        <w:rPr>
          <w:rFonts w:ascii="Book Antiqua" w:hAnsi="Book Antiqua"/>
          <w:b/>
        </w:rPr>
        <w:t>Figure 3</w:t>
      </w:r>
      <w:r>
        <w:rPr>
          <w:rFonts w:ascii="Book Antiqua" w:hAnsi="Book Antiqua" w:hint="eastAsia"/>
          <w:b/>
        </w:rPr>
        <w:t xml:space="preserve"> </w:t>
      </w:r>
      <w:r w:rsidRPr="00310581">
        <w:rPr>
          <w:rFonts w:ascii="Book Antiqua" w:hAnsi="Book Antiqua"/>
          <w:b/>
        </w:rPr>
        <w:t>SCD-1 was a direct target of miR-192-5p.</w:t>
      </w:r>
      <w:r w:rsidRPr="00310581">
        <w:rPr>
          <w:rFonts w:ascii="Book Antiqua" w:hAnsi="Book Antiqua"/>
        </w:rPr>
        <w:t xml:space="preserve"> </w:t>
      </w:r>
      <w:r>
        <w:rPr>
          <w:rFonts w:ascii="Book Antiqua" w:hAnsi="Book Antiqua" w:hint="eastAsia"/>
        </w:rPr>
        <w:t xml:space="preserve">A: </w:t>
      </w:r>
      <w:r w:rsidRPr="00310581">
        <w:rPr>
          <w:rFonts w:ascii="Book Antiqua" w:hAnsi="Book Antiqua"/>
        </w:rPr>
        <w:t>The binding sites of miR-192-5p with the 3’ UTR of SCD-1</w:t>
      </w:r>
      <w:r>
        <w:rPr>
          <w:rFonts w:ascii="Book Antiqua" w:hAnsi="Book Antiqua" w:hint="eastAsia"/>
        </w:rPr>
        <w:t>;</w:t>
      </w:r>
      <w:r w:rsidRPr="00310581">
        <w:rPr>
          <w:rFonts w:ascii="Book Antiqua" w:hAnsi="Book Antiqua"/>
        </w:rPr>
        <w:t xml:space="preserve"> </w:t>
      </w:r>
      <w:r>
        <w:rPr>
          <w:rFonts w:ascii="Book Antiqua" w:hAnsi="Book Antiqua" w:hint="eastAsia"/>
        </w:rPr>
        <w:t xml:space="preserve">B: </w:t>
      </w:r>
      <w:r w:rsidRPr="00310581">
        <w:rPr>
          <w:rFonts w:ascii="Book Antiqua" w:hAnsi="Book Antiqua"/>
        </w:rPr>
        <w:t xml:space="preserve">The dual luciferase activity in the wild type and mutant SCD-1 3’ UTRs in 293T cells treated with miR-192-5p mimics and inhibitors, respectively. The mRNA (C) and protein levels (D) of SCD-1 in Huh7 cells transfected with miR-192-5p mimics and inhibitors. The data are expressed as the means ± SEM, </w:t>
      </w:r>
      <w:r w:rsidRPr="00310581">
        <w:rPr>
          <w:rFonts w:ascii="Book Antiqua" w:hAnsi="Book Antiqua"/>
          <w:vertAlign w:val="superscript"/>
        </w:rPr>
        <w:t>a</w:t>
      </w:r>
      <w:r w:rsidRPr="00310581">
        <w:rPr>
          <w:rFonts w:ascii="Book Antiqua" w:hAnsi="Book Antiqua"/>
          <w:i/>
        </w:rPr>
        <w:t>P</w:t>
      </w:r>
      <w:r w:rsidRPr="00310581">
        <w:rPr>
          <w:rFonts w:ascii="Book Antiqua" w:hAnsi="Book Antiqua"/>
        </w:rPr>
        <w:t xml:space="preserve"> &lt; 0.01.</w:t>
      </w:r>
    </w:p>
    <w:p w14:paraId="29CEC051" w14:textId="77777777" w:rsidR="00C63820" w:rsidRDefault="00C63820" w:rsidP="009315CE">
      <w:pPr>
        <w:widowControl/>
        <w:snapToGrid w:val="0"/>
        <w:spacing w:line="360" w:lineRule="auto"/>
        <w:jc w:val="left"/>
        <w:rPr>
          <w:rFonts w:ascii="Book Antiqua" w:hAnsi="Book Antiqua"/>
        </w:rPr>
      </w:pPr>
      <w:r>
        <w:rPr>
          <w:rFonts w:ascii="Book Antiqua" w:hAnsi="Book Antiqua"/>
        </w:rPr>
        <w:br w:type="page"/>
      </w:r>
    </w:p>
    <w:p w14:paraId="7D563343" w14:textId="77777777" w:rsidR="001F5466" w:rsidRPr="00310581" w:rsidRDefault="001F5466" w:rsidP="009315CE">
      <w:pPr>
        <w:pStyle w:val="EndNoteBibliography"/>
        <w:snapToGrid w:val="0"/>
        <w:spacing w:line="360" w:lineRule="auto"/>
        <w:rPr>
          <w:rFonts w:ascii="Book Antiqua" w:hAnsi="Book Antiqua"/>
          <w:b/>
        </w:rPr>
      </w:pPr>
      <w:r w:rsidRPr="00310581">
        <w:rPr>
          <w:rFonts w:ascii="Book Antiqua" w:hAnsi="Book Antiqua"/>
          <w:b/>
          <w:noProof/>
        </w:rPr>
        <w:lastRenderedPageBreak/>
        <w:drawing>
          <wp:inline distT="0" distB="0" distL="0" distR="0" wp14:anchorId="571E7EEE" wp14:editId="47F842E2">
            <wp:extent cx="5270500" cy="4278630"/>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f"/>
                    <pic:cNvPicPr/>
                  </pic:nvPicPr>
                  <pic:blipFill>
                    <a:blip r:embed="rId9">
                      <a:extLst>
                        <a:ext uri="{28A0092B-C50C-407E-A947-70E740481C1C}">
                          <a14:useLocalDpi xmlns:a14="http://schemas.microsoft.com/office/drawing/2010/main" val="0"/>
                        </a:ext>
                      </a:extLst>
                    </a:blip>
                    <a:stretch>
                      <a:fillRect/>
                    </a:stretch>
                  </pic:blipFill>
                  <pic:spPr>
                    <a:xfrm>
                      <a:off x="0" y="0"/>
                      <a:ext cx="5270500" cy="4278630"/>
                    </a:xfrm>
                    <a:prstGeom prst="rect">
                      <a:avLst/>
                    </a:prstGeom>
                  </pic:spPr>
                </pic:pic>
              </a:graphicData>
            </a:graphic>
          </wp:inline>
        </w:drawing>
      </w:r>
    </w:p>
    <w:p w14:paraId="58A560CF" w14:textId="24583672" w:rsidR="00310581" w:rsidRPr="00310581" w:rsidRDefault="00310581" w:rsidP="009315CE">
      <w:pPr>
        <w:snapToGrid w:val="0"/>
        <w:spacing w:line="360" w:lineRule="auto"/>
        <w:rPr>
          <w:rFonts w:ascii="Book Antiqua" w:hAnsi="Book Antiqua"/>
          <w:color w:val="000000"/>
        </w:rPr>
      </w:pPr>
      <w:r w:rsidRPr="00310581">
        <w:rPr>
          <w:rFonts w:ascii="Book Antiqua" w:hAnsi="Book Antiqua"/>
          <w:b/>
          <w:color w:val="000000"/>
        </w:rPr>
        <w:t>Figure 4</w:t>
      </w:r>
      <w:r>
        <w:rPr>
          <w:rFonts w:ascii="Book Antiqua" w:hAnsi="Book Antiqua" w:hint="eastAsia"/>
          <w:b/>
          <w:color w:val="000000"/>
        </w:rPr>
        <w:t xml:space="preserve"> </w:t>
      </w:r>
      <w:r w:rsidRPr="00310581">
        <w:rPr>
          <w:rFonts w:ascii="Book Antiqua" w:hAnsi="Book Antiqua"/>
          <w:b/>
          <w:color w:val="000000"/>
        </w:rPr>
        <w:t xml:space="preserve">MiR-192-5p alleviated lipid accumulation in PA-treated Huh7 cells. </w:t>
      </w:r>
      <w:r w:rsidRPr="00310581">
        <w:rPr>
          <w:rFonts w:ascii="Book Antiqua" w:hAnsi="Book Antiqua"/>
          <w:color w:val="000000"/>
        </w:rPr>
        <w:t xml:space="preserve">Oil red O staining (A), cellular TG levels (B), and SCD-1 protein levels (C) in Huh7 cells transfected with miR-192-5p mimics and its negative control followed by exposure to PA. The data are expressed as the means ± SEM, </w:t>
      </w:r>
      <w:r w:rsidRPr="00310581">
        <w:rPr>
          <w:rFonts w:ascii="Book Antiqua" w:hAnsi="Book Antiqua"/>
          <w:vertAlign w:val="superscript"/>
        </w:rPr>
        <w:t>a</w:t>
      </w:r>
      <w:r w:rsidRPr="00310581">
        <w:rPr>
          <w:rFonts w:ascii="Book Antiqua" w:hAnsi="Book Antiqua"/>
          <w:i/>
          <w:color w:val="000000"/>
        </w:rPr>
        <w:t>P</w:t>
      </w:r>
      <w:r w:rsidRPr="00310581">
        <w:rPr>
          <w:rFonts w:ascii="Book Antiqua" w:hAnsi="Book Antiqua"/>
          <w:color w:val="000000"/>
        </w:rPr>
        <w:t xml:space="preserve"> &lt; 0.01.</w:t>
      </w:r>
    </w:p>
    <w:p w14:paraId="6EF9925D" w14:textId="77777777" w:rsidR="001F5466" w:rsidRPr="00310581" w:rsidRDefault="001F5466" w:rsidP="009315CE">
      <w:pPr>
        <w:widowControl/>
        <w:snapToGrid w:val="0"/>
        <w:spacing w:line="360" w:lineRule="auto"/>
        <w:jc w:val="left"/>
        <w:rPr>
          <w:rFonts w:ascii="Book Antiqua" w:hAnsi="Book Antiqua"/>
          <w:b/>
        </w:rPr>
      </w:pPr>
      <w:r w:rsidRPr="00310581">
        <w:rPr>
          <w:rFonts w:ascii="Book Antiqua" w:hAnsi="Book Antiqua"/>
          <w:b/>
        </w:rPr>
        <w:br w:type="page"/>
      </w:r>
    </w:p>
    <w:p w14:paraId="42FCBEA0" w14:textId="7BB4BCF6" w:rsidR="001F5466" w:rsidRPr="00310581" w:rsidRDefault="00310581" w:rsidP="009315CE">
      <w:pPr>
        <w:pStyle w:val="EndNoteBibliography"/>
        <w:snapToGrid w:val="0"/>
        <w:spacing w:line="360" w:lineRule="auto"/>
        <w:rPr>
          <w:rFonts w:ascii="Book Antiqua" w:hAnsi="Book Antiqua"/>
          <w:b/>
        </w:rPr>
      </w:pPr>
      <w:r>
        <w:rPr>
          <w:rFonts w:ascii="Book Antiqua" w:hAnsi="Book Antiqua" w:hint="eastAsia"/>
          <w:b/>
        </w:rPr>
        <w:lastRenderedPageBreak/>
        <w:t xml:space="preserve"> </w:t>
      </w:r>
      <w:r w:rsidR="001F5466" w:rsidRPr="00310581">
        <w:rPr>
          <w:rFonts w:ascii="Book Antiqua" w:hAnsi="Book Antiqua"/>
          <w:b/>
          <w:noProof/>
        </w:rPr>
        <w:drawing>
          <wp:inline distT="0" distB="0" distL="0" distR="0" wp14:anchorId="1A2AAA73" wp14:editId="71D9C927">
            <wp:extent cx="5270500" cy="407162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tiff"/>
                    <pic:cNvPicPr/>
                  </pic:nvPicPr>
                  <pic:blipFill>
                    <a:blip r:embed="rId10">
                      <a:extLst>
                        <a:ext uri="{28A0092B-C50C-407E-A947-70E740481C1C}">
                          <a14:useLocalDpi xmlns:a14="http://schemas.microsoft.com/office/drawing/2010/main" val="0"/>
                        </a:ext>
                      </a:extLst>
                    </a:blip>
                    <a:stretch>
                      <a:fillRect/>
                    </a:stretch>
                  </pic:blipFill>
                  <pic:spPr>
                    <a:xfrm>
                      <a:off x="0" y="0"/>
                      <a:ext cx="5270500" cy="4071620"/>
                    </a:xfrm>
                    <a:prstGeom prst="rect">
                      <a:avLst/>
                    </a:prstGeom>
                  </pic:spPr>
                </pic:pic>
              </a:graphicData>
            </a:graphic>
          </wp:inline>
        </w:drawing>
      </w:r>
    </w:p>
    <w:p w14:paraId="106320C1" w14:textId="709A87B5" w:rsidR="00310581" w:rsidRPr="00310581" w:rsidRDefault="00310581" w:rsidP="009315CE">
      <w:pPr>
        <w:snapToGrid w:val="0"/>
        <w:spacing w:line="360" w:lineRule="auto"/>
        <w:rPr>
          <w:rFonts w:ascii="Book Antiqua" w:hAnsi="Book Antiqua"/>
          <w:color w:val="000000"/>
          <w:kern w:val="0"/>
        </w:rPr>
      </w:pPr>
      <w:r w:rsidRPr="00310581">
        <w:rPr>
          <w:rFonts w:ascii="Book Antiqua" w:hAnsi="Book Antiqua"/>
          <w:b/>
          <w:color w:val="000000"/>
          <w:kern w:val="0"/>
        </w:rPr>
        <w:t>Figure 5</w:t>
      </w:r>
      <w:r>
        <w:rPr>
          <w:rFonts w:ascii="Book Antiqua" w:hAnsi="Book Antiqua" w:hint="eastAsia"/>
          <w:b/>
          <w:color w:val="000000"/>
          <w:kern w:val="0"/>
        </w:rPr>
        <w:t xml:space="preserve"> </w:t>
      </w:r>
      <w:r w:rsidRPr="00310581">
        <w:rPr>
          <w:rFonts w:ascii="Book Antiqua" w:hAnsi="Book Antiqua"/>
          <w:b/>
          <w:color w:val="000000"/>
          <w:kern w:val="0"/>
        </w:rPr>
        <w:t>SCD-1 knockdown alleviated the promoting effect of the miR-192-5p inhibitor on lipid accumulation.</w:t>
      </w:r>
      <w:r w:rsidRPr="00310581">
        <w:rPr>
          <w:rFonts w:ascii="Book Antiqua" w:hAnsi="Book Antiqua"/>
          <w:color w:val="000000"/>
          <w:kern w:val="0"/>
        </w:rPr>
        <w:t xml:space="preserve"> The protein level of SCD-1 (A), Oil red O staining (B), and cellular TG levels (C) in Huh7 cells transfected with miR-192-5p inhibitors and SCD-1 siRNAs followed by exposure to PA. The data are expressed as the means ± SEM, </w:t>
      </w:r>
      <w:r w:rsidRPr="00310581">
        <w:rPr>
          <w:rFonts w:ascii="Book Antiqua" w:hAnsi="Book Antiqua"/>
          <w:vertAlign w:val="superscript"/>
        </w:rPr>
        <w:t>a</w:t>
      </w:r>
      <w:r w:rsidRPr="00310581">
        <w:rPr>
          <w:rFonts w:ascii="Book Antiqua" w:hAnsi="Book Antiqua"/>
          <w:i/>
          <w:color w:val="000000"/>
          <w:kern w:val="0"/>
        </w:rPr>
        <w:t xml:space="preserve">P </w:t>
      </w:r>
      <w:r w:rsidRPr="00310581">
        <w:rPr>
          <w:rFonts w:ascii="Book Antiqua" w:hAnsi="Book Antiqua"/>
          <w:color w:val="000000"/>
          <w:kern w:val="0"/>
        </w:rPr>
        <w:t>&lt; 0.01.</w:t>
      </w:r>
    </w:p>
    <w:p w14:paraId="11E06616" w14:textId="1CC55799" w:rsidR="00310581" w:rsidRPr="00310581" w:rsidRDefault="00310581" w:rsidP="009315CE">
      <w:pPr>
        <w:pStyle w:val="EndNoteBibliography"/>
        <w:snapToGrid w:val="0"/>
        <w:spacing w:line="360" w:lineRule="auto"/>
        <w:rPr>
          <w:rFonts w:ascii="Book Antiqua" w:hAnsi="Book Antiqua"/>
          <w:b/>
        </w:rPr>
      </w:pPr>
      <w:r>
        <w:rPr>
          <w:rFonts w:ascii="Book Antiqua" w:hAnsi="Book Antiqua" w:hint="eastAsia"/>
          <w:b/>
        </w:rPr>
        <w:t xml:space="preserve"> </w:t>
      </w:r>
    </w:p>
    <w:p w14:paraId="7529D145" w14:textId="77777777" w:rsidR="001F5466" w:rsidRPr="00310581" w:rsidRDefault="001F5466" w:rsidP="009315CE">
      <w:pPr>
        <w:widowControl/>
        <w:snapToGrid w:val="0"/>
        <w:spacing w:line="360" w:lineRule="auto"/>
        <w:jc w:val="left"/>
        <w:rPr>
          <w:rFonts w:ascii="Book Antiqua" w:hAnsi="Book Antiqua"/>
          <w:b/>
        </w:rPr>
      </w:pPr>
      <w:r w:rsidRPr="00310581">
        <w:rPr>
          <w:rFonts w:ascii="Book Antiqua" w:hAnsi="Book Antiqua"/>
          <w:b/>
        </w:rPr>
        <w:br w:type="page"/>
      </w:r>
    </w:p>
    <w:tbl>
      <w:tblPr>
        <w:tblW w:w="8101" w:type="dxa"/>
        <w:tblInd w:w="93" w:type="dxa"/>
        <w:tblLook w:val="00A0" w:firstRow="1" w:lastRow="0" w:firstColumn="1" w:lastColumn="0" w:noHBand="0" w:noVBand="0"/>
      </w:tblPr>
      <w:tblGrid>
        <w:gridCol w:w="2746"/>
        <w:gridCol w:w="1785"/>
        <w:gridCol w:w="1785"/>
        <w:gridCol w:w="1785"/>
      </w:tblGrid>
      <w:tr w:rsidR="001F5466" w:rsidRPr="00310581" w14:paraId="33FD0FA4" w14:textId="77777777" w:rsidTr="00C95724">
        <w:trPr>
          <w:trHeight w:val="300"/>
        </w:trPr>
        <w:tc>
          <w:tcPr>
            <w:tcW w:w="8101" w:type="dxa"/>
            <w:gridSpan w:val="4"/>
            <w:tcBorders>
              <w:top w:val="nil"/>
              <w:left w:val="nil"/>
              <w:bottom w:val="single" w:sz="4" w:space="0" w:color="auto"/>
              <w:right w:val="nil"/>
            </w:tcBorders>
            <w:noWrap/>
            <w:vAlign w:val="center"/>
          </w:tcPr>
          <w:p w14:paraId="604E3967" w14:textId="77777777" w:rsidR="001F5466" w:rsidRPr="00310581" w:rsidRDefault="001F5466" w:rsidP="009315CE">
            <w:pPr>
              <w:widowControl/>
              <w:adjustRightInd w:val="0"/>
              <w:snapToGrid w:val="0"/>
              <w:spacing w:line="360" w:lineRule="auto"/>
              <w:rPr>
                <w:rFonts w:ascii="Book Antiqua" w:hAnsi="Book Antiqua"/>
                <w:b/>
                <w:bCs/>
                <w:kern w:val="0"/>
              </w:rPr>
            </w:pPr>
            <w:r w:rsidRPr="00310581">
              <w:rPr>
                <w:rFonts w:ascii="Book Antiqua" w:hAnsi="Book Antiqua"/>
                <w:b/>
                <w:bCs/>
                <w:kern w:val="0"/>
              </w:rPr>
              <w:lastRenderedPageBreak/>
              <w:t>Table 1 Biochemical parameters of animal models</w:t>
            </w:r>
          </w:p>
        </w:tc>
      </w:tr>
      <w:tr w:rsidR="001F5466" w:rsidRPr="00310581" w14:paraId="265071EF" w14:textId="77777777" w:rsidTr="00C95724">
        <w:trPr>
          <w:trHeight w:val="466"/>
        </w:trPr>
        <w:tc>
          <w:tcPr>
            <w:tcW w:w="2746" w:type="dxa"/>
            <w:tcBorders>
              <w:top w:val="nil"/>
              <w:left w:val="nil"/>
              <w:bottom w:val="nil"/>
              <w:right w:val="nil"/>
            </w:tcBorders>
            <w:noWrap/>
            <w:vAlign w:val="center"/>
          </w:tcPr>
          <w:p w14:paraId="0E4DDDA6" w14:textId="77777777" w:rsidR="001F5466" w:rsidRPr="00310581" w:rsidRDefault="001F5466" w:rsidP="009315CE">
            <w:pPr>
              <w:widowControl/>
              <w:adjustRightInd w:val="0"/>
              <w:snapToGrid w:val="0"/>
              <w:spacing w:line="360" w:lineRule="auto"/>
              <w:rPr>
                <w:rFonts w:ascii="Book Antiqua" w:hAnsi="Book Antiqua"/>
                <w:kern w:val="0"/>
              </w:rPr>
            </w:pPr>
            <w:r w:rsidRPr="00310581">
              <w:rPr>
                <w:rFonts w:ascii="Book Antiqua" w:hAnsi="Book Antiqua"/>
                <w:kern w:val="0"/>
              </w:rPr>
              <w:t xml:space="preserve">　</w:t>
            </w:r>
          </w:p>
        </w:tc>
        <w:tc>
          <w:tcPr>
            <w:tcW w:w="5355" w:type="dxa"/>
            <w:gridSpan w:val="3"/>
            <w:tcBorders>
              <w:top w:val="single" w:sz="4" w:space="0" w:color="auto"/>
              <w:left w:val="nil"/>
              <w:bottom w:val="nil"/>
              <w:right w:val="nil"/>
            </w:tcBorders>
            <w:noWrap/>
            <w:vAlign w:val="center"/>
          </w:tcPr>
          <w:p w14:paraId="5C3CDF54"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Group</w:t>
            </w:r>
          </w:p>
        </w:tc>
      </w:tr>
      <w:tr w:rsidR="001F5466" w:rsidRPr="00310581" w14:paraId="502367AD" w14:textId="77777777" w:rsidTr="00C95724">
        <w:trPr>
          <w:trHeight w:val="280"/>
        </w:trPr>
        <w:tc>
          <w:tcPr>
            <w:tcW w:w="2746" w:type="dxa"/>
            <w:tcBorders>
              <w:top w:val="nil"/>
              <w:left w:val="nil"/>
              <w:bottom w:val="single" w:sz="4" w:space="0" w:color="auto"/>
              <w:right w:val="nil"/>
            </w:tcBorders>
            <w:noWrap/>
            <w:vAlign w:val="center"/>
          </w:tcPr>
          <w:p w14:paraId="772F9E2F" w14:textId="77777777" w:rsidR="001F5466" w:rsidRPr="00310581" w:rsidRDefault="001F5466" w:rsidP="009315CE">
            <w:pPr>
              <w:widowControl/>
              <w:adjustRightInd w:val="0"/>
              <w:snapToGrid w:val="0"/>
              <w:spacing w:line="360" w:lineRule="auto"/>
              <w:jc w:val="left"/>
              <w:rPr>
                <w:rFonts w:ascii="Book Antiqua" w:hAnsi="Book Antiqua"/>
                <w:b/>
                <w:bCs/>
                <w:kern w:val="0"/>
              </w:rPr>
            </w:pPr>
            <w:r w:rsidRPr="00310581">
              <w:rPr>
                <w:rFonts w:ascii="Book Antiqua" w:hAnsi="Book Antiqua"/>
                <w:b/>
                <w:bCs/>
                <w:kern w:val="0"/>
              </w:rPr>
              <w:t>Parameters</w:t>
            </w:r>
          </w:p>
        </w:tc>
        <w:tc>
          <w:tcPr>
            <w:tcW w:w="1785" w:type="dxa"/>
            <w:tcBorders>
              <w:top w:val="nil"/>
              <w:left w:val="nil"/>
              <w:bottom w:val="single" w:sz="4" w:space="0" w:color="auto"/>
              <w:right w:val="nil"/>
            </w:tcBorders>
            <w:noWrap/>
            <w:vAlign w:val="center"/>
          </w:tcPr>
          <w:p w14:paraId="78D47266"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 xml:space="preserve">control </w:t>
            </w:r>
          </w:p>
          <w:p w14:paraId="0935A0AE"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w:t>
            </w:r>
            <w:r w:rsidRPr="00310581">
              <w:rPr>
                <w:rFonts w:ascii="Book Antiqua" w:hAnsi="Book Antiqua"/>
                <w:b/>
                <w:bCs/>
                <w:i/>
                <w:kern w:val="0"/>
              </w:rPr>
              <w:t xml:space="preserve">n = </w:t>
            </w:r>
            <w:r w:rsidRPr="00310581">
              <w:rPr>
                <w:rFonts w:ascii="Book Antiqua" w:hAnsi="Book Antiqua"/>
                <w:b/>
                <w:bCs/>
                <w:kern w:val="0"/>
              </w:rPr>
              <w:t>10)</w:t>
            </w:r>
          </w:p>
        </w:tc>
        <w:tc>
          <w:tcPr>
            <w:tcW w:w="1785" w:type="dxa"/>
            <w:tcBorders>
              <w:top w:val="nil"/>
              <w:left w:val="nil"/>
              <w:bottom w:val="single" w:sz="4" w:space="0" w:color="auto"/>
              <w:right w:val="nil"/>
            </w:tcBorders>
            <w:noWrap/>
            <w:vAlign w:val="center"/>
          </w:tcPr>
          <w:p w14:paraId="6961DCCB"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 xml:space="preserve">HFD </w:t>
            </w:r>
          </w:p>
          <w:p w14:paraId="6A6050AE"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w:t>
            </w:r>
            <w:r w:rsidRPr="00310581">
              <w:rPr>
                <w:rFonts w:ascii="Book Antiqua" w:hAnsi="Book Antiqua"/>
                <w:b/>
                <w:bCs/>
                <w:i/>
                <w:kern w:val="0"/>
              </w:rPr>
              <w:t xml:space="preserve">n = </w:t>
            </w:r>
            <w:r w:rsidRPr="00310581">
              <w:rPr>
                <w:rFonts w:ascii="Book Antiqua" w:hAnsi="Book Antiqua"/>
                <w:b/>
                <w:bCs/>
                <w:kern w:val="0"/>
              </w:rPr>
              <w:t>10)</w:t>
            </w:r>
          </w:p>
        </w:tc>
        <w:tc>
          <w:tcPr>
            <w:tcW w:w="1785" w:type="dxa"/>
            <w:tcBorders>
              <w:top w:val="nil"/>
              <w:left w:val="nil"/>
              <w:bottom w:val="single" w:sz="4" w:space="0" w:color="auto"/>
              <w:right w:val="nil"/>
            </w:tcBorders>
            <w:noWrap/>
            <w:vAlign w:val="center"/>
          </w:tcPr>
          <w:p w14:paraId="0C04037F"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 xml:space="preserve">Liraglutide </w:t>
            </w:r>
          </w:p>
          <w:p w14:paraId="1106E247" w14:textId="77777777" w:rsidR="001F5466" w:rsidRPr="00310581" w:rsidRDefault="001F5466" w:rsidP="009315CE">
            <w:pPr>
              <w:widowControl/>
              <w:adjustRightInd w:val="0"/>
              <w:snapToGrid w:val="0"/>
              <w:spacing w:line="360" w:lineRule="auto"/>
              <w:jc w:val="center"/>
              <w:rPr>
                <w:rFonts w:ascii="Book Antiqua" w:hAnsi="Book Antiqua"/>
                <w:b/>
                <w:bCs/>
                <w:kern w:val="0"/>
              </w:rPr>
            </w:pPr>
            <w:r w:rsidRPr="00310581">
              <w:rPr>
                <w:rFonts w:ascii="Book Antiqua" w:hAnsi="Book Antiqua"/>
                <w:b/>
                <w:bCs/>
                <w:kern w:val="0"/>
              </w:rPr>
              <w:t>(</w:t>
            </w:r>
            <w:r w:rsidRPr="00310581">
              <w:rPr>
                <w:rFonts w:ascii="Book Antiqua" w:hAnsi="Book Antiqua"/>
                <w:b/>
                <w:bCs/>
                <w:i/>
                <w:kern w:val="0"/>
              </w:rPr>
              <w:t xml:space="preserve">n = </w:t>
            </w:r>
            <w:r w:rsidRPr="00310581">
              <w:rPr>
                <w:rFonts w:ascii="Book Antiqua" w:hAnsi="Book Antiqua"/>
                <w:b/>
                <w:bCs/>
                <w:kern w:val="0"/>
              </w:rPr>
              <w:t>10)</w:t>
            </w:r>
          </w:p>
        </w:tc>
      </w:tr>
      <w:tr w:rsidR="001F5466" w:rsidRPr="00310581" w14:paraId="526573C0" w14:textId="77777777" w:rsidTr="00C95724">
        <w:trPr>
          <w:trHeight w:val="300"/>
        </w:trPr>
        <w:tc>
          <w:tcPr>
            <w:tcW w:w="2746" w:type="dxa"/>
            <w:tcBorders>
              <w:top w:val="nil"/>
              <w:left w:val="nil"/>
              <w:bottom w:val="nil"/>
              <w:right w:val="nil"/>
            </w:tcBorders>
            <w:noWrap/>
            <w:vAlign w:val="center"/>
          </w:tcPr>
          <w:p w14:paraId="794D464A" w14:textId="77777777" w:rsidR="001F5466" w:rsidRPr="00310581" w:rsidRDefault="001F5466" w:rsidP="009315CE">
            <w:pPr>
              <w:widowControl/>
              <w:adjustRightInd w:val="0"/>
              <w:snapToGrid w:val="0"/>
              <w:spacing w:line="360" w:lineRule="auto"/>
              <w:jc w:val="left"/>
              <w:rPr>
                <w:rFonts w:ascii="Book Antiqua" w:hAnsi="Book Antiqua"/>
                <w:kern w:val="0"/>
              </w:rPr>
            </w:pPr>
            <w:r w:rsidRPr="00310581">
              <w:rPr>
                <w:rFonts w:ascii="Book Antiqua" w:hAnsi="Book Antiqua"/>
                <w:kern w:val="0"/>
              </w:rPr>
              <w:t>ALT, in U/L</w:t>
            </w:r>
          </w:p>
        </w:tc>
        <w:tc>
          <w:tcPr>
            <w:tcW w:w="1785" w:type="dxa"/>
            <w:tcBorders>
              <w:top w:val="nil"/>
              <w:left w:val="nil"/>
              <w:bottom w:val="nil"/>
              <w:right w:val="nil"/>
            </w:tcBorders>
            <w:noWrap/>
            <w:vAlign w:val="center"/>
          </w:tcPr>
          <w:p w14:paraId="248E7B0C" w14:textId="77777777"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37.4 ± 1.9</w:t>
            </w:r>
          </w:p>
        </w:tc>
        <w:tc>
          <w:tcPr>
            <w:tcW w:w="1785" w:type="dxa"/>
            <w:tcBorders>
              <w:top w:val="nil"/>
              <w:left w:val="nil"/>
              <w:bottom w:val="nil"/>
              <w:right w:val="nil"/>
            </w:tcBorders>
            <w:noWrap/>
            <w:vAlign w:val="center"/>
          </w:tcPr>
          <w:p w14:paraId="09134013" w14:textId="3CA3B4E9"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114.3 ± 26.7</w:t>
            </w:r>
            <w:r w:rsidR="00C63820">
              <w:rPr>
                <w:rFonts w:ascii="Book Antiqua" w:hAnsi="Book Antiqua" w:hint="eastAsia"/>
                <w:kern w:val="0"/>
                <w:vertAlign w:val="superscript"/>
              </w:rPr>
              <w:t>a</w:t>
            </w:r>
          </w:p>
        </w:tc>
        <w:tc>
          <w:tcPr>
            <w:tcW w:w="1785" w:type="dxa"/>
            <w:tcBorders>
              <w:top w:val="nil"/>
              <w:left w:val="nil"/>
              <w:bottom w:val="nil"/>
              <w:right w:val="nil"/>
            </w:tcBorders>
            <w:noWrap/>
            <w:vAlign w:val="center"/>
          </w:tcPr>
          <w:p w14:paraId="428DBBAB" w14:textId="6721A0FE"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34.3 ± 3.1</w:t>
            </w:r>
            <w:r w:rsidR="00C63820">
              <w:rPr>
                <w:rFonts w:ascii="Book Antiqua" w:hAnsi="Book Antiqua" w:hint="eastAsia"/>
                <w:kern w:val="0"/>
                <w:vertAlign w:val="superscript"/>
              </w:rPr>
              <w:t>c</w:t>
            </w:r>
          </w:p>
        </w:tc>
      </w:tr>
      <w:tr w:rsidR="001F5466" w:rsidRPr="00310581" w14:paraId="250C6B47" w14:textId="77777777" w:rsidTr="00C95724">
        <w:trPr>
          <w:trHeight w:val="300"/>
        </w:trPr>
        <w:tc>
          <w:tcPr>
            <w:tcW w:w="2746" w:type="dxa"/>
            <w:tcBorders>
              <w:top w:val="nil"/>
              <w:left w:val="nil"/>
              <w:bottom w:val="nil"/>
              <w:right w:val="nil"/>
            </w:tcBorders>
            <w:noWrap/>
            <w:vAlign w:val="center"/>
          </w:tcPr>
          <w:p w14:paraId="1916646B" w14:textId="77777777" w:rsidR="001F5466" w:rsidRPr="00310581" w:rsidRDefault="001F5466" w:rsidP="009315CE">
            <w:pPr>
              <w:widowControl/>
              <w:adjustRightInd w:val="0"/>
              <w:snapToGrid w:val="0"/>
              <w:spacing w:line="360" w:lineRule="auto"/>
              <w:jc w:val="left"/>
              <w:rPr>
                <w:rFonts w:ascii="Book Antiqua" w:hAnsi="Book Antiqua"/>
                <w:kern w:val="0"/>
              </w:rPr>
            </w:pPr>
            <w:r w:rsidRPr="00310581">
              <w:rPr>
                <w:rFonts w:ascii="Book Antiqua" w:hAnsi="Book Antiqua"/>
                <w:kern w:val="0"/>
              </w:rPr>
              <w:t>AST, in U/L</w:t>
            </w:r>
          </w:p>
        </w:tc>
        <w:tc>
          <w:tcPr>
            <w:tcW w:w="1785" w:type="dxa"/>
            <w:tcBorders>
              <w:top w:val="nil"/>
              <w:left w:val="nil"/>
              <w:bottom w:val="nil"/>
              <w:right w:val="nil"/>
            </w:tcBorders>
            <w:noWrap/>
            <w:vAlign w:val="center"/>
          </w:tcPr>
          <w:p w14:paraId="0B172448" w14:textId="77777777"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92.1 ± 5.6</w:t>
            </w:r>
          </w:p>
        </w:tc>
        <w:tc>
          <w:tcPr>
            <w:tcW w:w="1785" w:type="dxa"/>
            <w:tcBorders>
              <w:top w:val="nil"/>
              <w:left w:val="nil"/>
              <w:bottom w:val="nil"/>
              <w:right w:val="nil"/>
            </w:tcBorders>
            <w:noWrap/>
            <w:vAlign w:val="center"/>
          </w:tcPr>
          <w:p w14:paraId="11D7959B" w14:textId="565CF5F6"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160.1 ± 16.8</w:t>
            </w:r>
            <w:r w:rsidR="00C63820">
              <w:rPr>
                <w:rFonts w:ascii="Book Antiqua" w:hAnsi="Book Antiqua" w:hint="eastAsia"/>
                <w:kern w:val="0"/>
                <w:vertAlign w:val="superscript"/>
              </w:rPr>
              <w:t>a</w:t>
            </w:r>
          </w:p>
        </w:tc>
        <w:tc>
          <w:tcPr>
            <w:tcW w:w="1785" w:type="dxa"/>
            <w:tcBorders>
              <w:top w:val="nil"/>
              <w:left w:val="nil"/>
              <w:bottom w:val="nil"/>
              <w:right w:val="nil"/>
            </w:tcBorders>
            <w:noWrap/>
            <w:vAlign w:val="center"/>
          </w:tcPr>
          <w:p w14:paraId="16931EAC" w14:textId="38DE202E"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90.2 ± 5.5</w:t>
            </w:r>
            <w:r w:rsidR="00C63820">
              <w:rPr>
                <w:rFonts w:ascii="Book Antiqua" w:hAnsi="Book Antiqua" w:hint="eastAsia"/>
                <w:kern w:val="0"/>
                <w:vertAlign w:val="superscript"/>
              </w:rPr>
              <w:t>c</w:t>
            </w:r>
          </w:p>
        </w:tc>
      </w:tr>
      <w:tr w:rsidR="001F5466" w:rsidRPr="00310581" w14:paraId="23CEF616" w14:textId="77777777" w:rsidTr="00C95724">
        <w:trPr>
          <w:trHeight w:val="300"/>
        </w:trPr>
        <w:tc>
          <w:tcPr>
            <w:tcW w:w="2746" w:type="dxa"/>
            <w:tcBorders>
              <w:top w:val="nil"/>
              <w:left w:val="nil"/>
              <w:bottom w:val="nil"/>
              <w:right w:val="nil"/>
            </w:tcBorders>
            <w:noWrap/>
            <w:vAlign w:val="center"/>
          </w:tcPr>
          <w:p w14:paraId="687C3E82" w14:textId="77777777" w:rsidR="001F5466" w:rsidRPr="00310581" w:rsidRDefault="001F5466" w:rsidP="009315CE">
            <w:pPr>
              <w:widowControl/>
              <w:adjustRightInd w:val="0"/>
              <w:snapToGrid w:val="0"/>
              <w:spacing w:line="360" w:lineRule="auto"/>
              <w:jc w:val="left"/>
              <w:rPr>
                <w:rFonts w:ascii="Book Antiqua" w:hAnsi="Book Antiqua"/>
                <w:kern w:val="0"/>
              </w:rPr>
            </w:pPr>
            <w:r w:rsidRPr="00310581">
              <w:rPr>
                <w:rFonts w:ascii="Book Antiqua" w:hAnsi="Book Antiqua"/>
                <w:kern w:val="0"/>
              </w:rPr>
              <w:t>HDL, in</w:t>
            </w:r>
            <w:r w:rsidRPr="00310581">
              <w:rPr>
                <w:rFonts w:ascii="Book Antiqua" w:eastAsia="Arial Unicode MS" w:hAnsi="Book Antiqua"/>
                <w:kern w:val="0"/>
              </w:rPr>
              <w:t xml:space="preserve"> </w:t>
            </w:r>
            <w:r w:rsidRPr="00310581">
              <w:rPr>
                <w:rFonts w:ascii="Book Antiqua" w:hAnsi="Book Antiqua"/>
                <w:kern w:val="0"/>
              </w:rPr>
              <w:t>mmol/L</w:t>
            </w:r>
          </w:p>
        </w:tc>
        <w:tc>
          <w:tcPr>
            <w:tcW w:w="1785" w:type="dxa"/>
            <w:tcBorders>
              <w:top w:val="nil"/>
              <w:left w:val="nil"/>
              <w:bottom w:val="nil"/>
              <w:right w:val="nil"/>
            </w:tcBorders>
            <w:noWrap/>
            <w:vAlign w:val="center"/>
          </w:tcPr>
          <w:p w14:paraId="0176F884" w14:textId="77777777"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0.33 ± 0.01</w:t>
            </w:r>
          </w:p>
        </w:tc>
        <w:tc>
          <w:tcPr>
            <w:tcW w:w="1785" w:type="dxa"/>
            <w:tcBorders>
              <w:top w:val="nil"/>
              <w:left w:val="nil"/>
              <w:bottom w:val="nil"/>
              <w:right w:val="nil"/>
            </w:tcBorders>
            <w:noWrap/>
            <w:vAlign w:val="center"/>
          </w:tcPr>
          <w:p w14:paraId="4C289A06" w14:textId="18315AAB"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0.25 ± 0.01</w:t>
            </w:r>
            <w:r w:rsidR="00C63820">
              <w:rPr>
                <w:rFonts w:ascii="Book Antiqua" w:hAnsi="Book Antiqua" w:hint="eastAsia"/>
                <w:kern w:val="0"/>
                <w:vertAlign w:val="superscript"/>
              </w:rPr>
              <w:t>a</w:t>
            </w:r>
          </w:p>
        </w:tc>
        <w:tc>
          <w:tcPr>
            <w:tcW w:w="1785" w:type="dxa"/>
            <w:tcBorders>
              <w:top w:val="nil"/>
              <w:left w:val="nil"/>
              <w:bottom w:val="nil"/>
              <w:right w:val="nil"/>
            </w:tcBorders>
            <w:noWrap/>
            <w:vAlign w:val="center"/>
          </w:tcPr>
          <w:p w14:paraId="4CA9A941" w14:textId="0981A4EC"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0.24 ± 0.01</w:t>
            </w:r>
            <w:r w:rsidR="00C63820">
              <w:rPr>
                <w:rFonts w:ascii="Book Antiqua" w:hAnsi="Book Antiqua" w:hint="eastAsia"/>
                <w:kern w:val="0"/>
                <w:vertAlign w:val="superscript"/>
              </w:rPr>
              <w:t>a</w:t>
            </w:r>
          </w:p>
        </w:tc>
      </w:tr>
      <w:tr w:rsidR="001F5466" w:rsidRPr="00310581" w14:paraId="0644A55A" w14:textId="77777777" w:rsidTr="00C95724">
        <w:trPr>
          <w:trHeight w:val="300"/>
        </w:trPr>
        <w:tc>
          <w:tcPr>
            <w:tcW w:w="2746" w:type="dxa"/>
            <w:tcBorders>
              <w:top w:val="nil"/>
              <w:left w:val="nil"/>
              <w:bottom w:val="single" w:sz="4" w:space="0" w:color="auto"/>
              <w:right w:val="nil"/>
            </w:tcBorders>
            <w:noWrap/>
            <w:vAlign w:val="center"/>
          </w:tcPr>
          <w:p w14:paraId="55C36ACE" w14:textId="77777777" w:rsidR="001F5466" w:rsidRPr="00310581" w:rsidRDefault="001F5466" w:rsidP="009315CE">
            <w:pPr>
              <w:widowControl/>
              <w:adjustRightInd w:val="0"/>
              <w:snapToGrid w:val="0"/>
              <w:spacing w:line="360" w:lineRule="auto"/>
              <w:jc w:val="left"/>
              <w:rPr>
                <w:rFonts w:ascii="Book Antiqua" w:hAnsi="Book Antiqua"/>
                <w:kern w:val="0"/>
              </w:rPr>
            </w:pPr>
            <w:r w:rsidRPr="00310581">
              <w:rPr>
                <w:rFonts w:ascii="Book Antiqua" w:hAnsi="Book Antiqua"/>
                <w:kern w:val="0"/>
              </w:rPr>
              <w:t>LDL, in</w:t>
            </w:r>
            <w:r w:rsidRPr="00310581">
              <w:rPr>
                <w:rFonts w:ascii="Book Antiqua" w:eastAsia="Arial Unicode MS" w:hAnsi="Book Antiqua"/>
                <w:kern w:val="0"/>
              </w:rPr>
              <w:t xml:space="preserve"> </w:t>
            </w:r>
            <w:r w:rsidRPr="00310581">
              <w:rPr>
                <w:rFonts w:ascii="Book Antiqua" w:hAnsi="Book Antiqua"/>
                <w:kern w:val="0"/>
              </w:rPr>
              <w:t>mmol/L</w:t>
            </w:r>
          </w:p>
        </w:tc>
        <w:tc>
          <w:tcPr>
            <w:tcW w:w="1785" w:type="dxa"/>
            <w:tcBorders>
              <w:top w:val="nil"/>
              <w:left w:val="nil"/>
              <w:bottom w:val="single" w:sz="4" w:space="0" w:color="auto"/>
              <w:right w:val="nil"/>
            </w:tcBorders>
            <w:noWrap/>
            <w:vAlign w:val="center"/>
          </w:tcPr>
          <w:p w14:paraId="44E53F3F" w14:textId="77777777"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0.14 ± 0.01</w:t>
            </w:r>
          </w:p>
        </w:tc>
        <w:tc>
          <w:tcPr>
            <w:tcW w:w="1785" w:type="dxa"/>
            <w:tcBorders>
              <w:top w:val="nil"/>
              <w:left w:val="nil"/>
              <w:bottom w:val="single" w:sz="4" w:space="0" w:color="auto"/>
              <w:right w:val="nil"/>
            </w:tcBorders>
            <w:noWrap/>
            <w:vAlign w:val="center"/>
          </w:tcPr>
          <w:p w14:paraId="29B828A2" w14:textId="4105DD0B"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0.42 ± 0.04</w:t>
            </w:r>
            <w:r w:rsidR="00C63820">
              <w:rPr>
                <w:rFonts w:ascii="Book Antiqua" w:hAnsi="Book Antiqua" w:hint="eastAsia"/>
                <w:kern w:val="0"/>
                <w:vertAlign w:val="superscript"/>
              </w:rPr>
              <w:t>a</w:t>
            </w:r>
          </w:p>
        </w:tc>
        <w:tc>
          <w:tcPr>
            <w:tcW w:w="1785" w:type="dxa"/>
            <w:tcBorders>
              <w:top w:val="nil"/>
              <w:left w:val="nil"/>
              <w:bottom w:val="single" w:sz="4" w:space="0" w:color="auto"/>
              <w:right w:val="nil"/>
            </w:tcBorders>
            <w:noWrap/>
            <w:vAlign w:val="center"/>
          </w:tcPr>
          <w:p w14:paraId="18FB930A" w14:textId="3D90EC27" w:rsidR="001F5466" w:rsidRPr="00310581" w:rsidRDefault="001F5466" w:rsidP="009315CE">
            <w:pPr>
              <w:widowControl/>
              <w:adjustRightInd w:val="0"/>
              <w:snapToGrid w:val="0"/>
              <w:spacing w:line="360" w:lineRule="auto"/>
              <w:jc w:val="center"/>
              <w:rPr>
                <w:rFonts w:ascii="Book Antiqua" w:hAnsi="Book Antiqua"/>
                <w:kern w:val="0"/>
              </w:rPr>
            </w:pPr>
            <w:r w:rsidRPr="00310581">
              <w:rPr>
                <w:rFonts w:ascii="Book Antiqua" w:hAnsi="Book Antiqua"/>
                <w:kern w:val="0"/>
              </w:rPr>
              <w:t>0.53 ± 0.07</w:t>
            </w:r>
            <w:r w:rsidR="00C63820">
              <w:rPr>
                <w:rFonts w:ascii="Book Antiqua" w:hAnsi="Book Antiqua" w:hint="eastAsia"/>
                <w:kern w:val="0"/>
                <w:vertAlign w:val="superscript"/>
              </w:rPr>
              <w:t>a</w:t>
            </w:r>
          </w:p>
        </w:tc>
      </w:tr>
      <w:tr w:rsidR="001F5466" w:rsidRPr="00310581" w14:paraId="0B9E4476" w14:textId="77777777" w:rsidTr="0070278B">
        <w:trPr>
          <w:trHeight w:val="70"/>
        </w:trPr>
        <w:tc>
          <w:tcPr>
            <w:tcW w:w="8101" w:type="dxa"/>
            <w:gridSpan w:val="4"/>
            <w:tcBorders>
              <w:top w:val="single" w:sz="4" w:space="0" w:color="auto"/>
              <w:left w:val="nil"/>
              <w:bottom w:val="nil"/>
              <w:right w:val="nil"/>
            </w:tcBorders>
            <w:vAlign w:val="center"/>
          </w:tcPr>
          <w:p w14:paraId="12882273" w14:textId="065AFE9B" w:rsidR="001F5466" w:rsidRPr="00310581" w:rsidRDefault="001F5466" w:rsidP="009315CE">
            <w:pPr>
              <w:widowControl/>
              <w:adjustRightInd w:val="0"/>
              <w:snapToGrid w:val="0"/>
              <w:spacing w:line="360" w:lineRule="auto"/>
              <w:rPr>
                <w:rFonts w:ascii="Book Antiqua" w:hAnsi="Book Antiqua"/>
                <w:kern w:val="0"/>
              </w:rPr>
            </w:pPr>
            <w:r w:rsidRPr="00310581">
              <w:rPr>
                <w:rFonts w:ascii="Book Antiqua" w:hAnsi="Book Antiqua"/>
                <w:kern w:val="0"/>
              </w:rPr>
              <w:t xml:space="preserve">Data are expressed as mean ± SEM. </w:t>
            </w:r>
            <w:r w:rsidR="00C63820">
              <w:rPr>
                <w:rFonts w:ascii="Book Antiqua" w:hAnsi="Book Antiqua" w:hint="eastAsia"/>
                <w:kern w:val="0"/>
                <w:vertAlign w:val="superscript"/>
              </w:rPr>
              <w:t>a</w:t>
            </w:r>
            <w:r w:rsidRPr="00310581">
              <w:rPr>
                <w:rFonts w:ascii="Book Antiqua" w:hAnsi="Book Antiqua"/>
                <w:i/>
                <w:kern w:val="0"/>
              </w:rPr>
              <w:t xml:space="preserve">P &lt; </w:t>
            </w:r>
            <w:r w:rsidRPr="00310581">
              <w:rPr>
                <w:rFonts w:ascii="Book Antiqua" w:hAnsi="Book Antiqua"/>
                <w:kern w:val="0"/>
              </w:rPr>
              <w:t xml:space="preserve">0.05 </w:t>
            </w:r>
            <w:r w:rsidRPr="00310581">
              <w:rPr>
                <w:rFonts w:ascii="Book Antiqua" w:hAnsi="Book Antiqua"/>
                <w:i/>
                <w:kern w:val="0"/>
              </w:rPr>
              <w:t>vs</w:t>
            </w:r>
            <w:r w:rsidRPr="00310581">
              <w:rPr>
                <w:rFonts w:ascii="Book Antiqua" w:hAnsi="Book Antiqua"/>
                <w:kern w:val="0"/>
              </w:rPr>
              <w:t xml:space="preserve"> the control group; </w:t>
            </w:r>
            <w:r w:rsidR="00C63820">
              <w:rPr>
                <w:rFonts w:ascii="Book Antiqua" w:hAnsi="Book Antiqua" w:hint="eastAsia"/>
                <w:kern w:val="0"/>
                <w:vertAlign w:val="superscript"/>
              </w:rPr>
              <w:t>c</w:t>
            </w:r>
            <w:r w:rsidRPr="00310581">
              <w:rPr>
                <w:rFonts w:ascii="Book Antiqua" w:hAnsi="Book Antiqua"/>
                <w:i/>
                <w:kern w:val="0"/>
              </w:rPr>
              <w:t xml:space="preserve">P &lt; </w:t>
            </w:r>
            <w:r w:rsidRPr="00310581">
              <w:rPr>
                <w:rFonts w:ascii="Book Antiqua" w:hAnsi="Book Antiqua"/>
                <w:kern w:val="0"/>
              </w:rPr>
              <w:t xml:space="preserve">0.05 </w:t>
            </w:r>
            <w:r w:rsidRPr="00310581">
              <w:rPr>
                <w:rFonts w:ascii="Book Antiqua" w:hAnsi="Book Antiqua"/>
                <w:i/>
                <w:kern w:val="0"/>
              </w:rPr>
              <w:t>vs</w:t>
            </w:r>
            <w:r w:rsidRPr="00310581">
              <w:rPr>
                <w:rFonts w:ascii="Book Antiqua" w:hAnsi="Book Antiqua"/>
                <w:kern w:val="0"/>
              </w:rPr>
              <w:t xml:space="preserve"> the HFD group. ALT:</w:t>
            </w:r>
            <w:r w:rsidRPr="00310581">
              <w:rPr>
                <w:rFonts w:ascii="Book Antiqua" w:hAnsi="Book Antiqua"/>
              </w:rPr>
              <w:t xml:space="preserve"> </w:t>
            </w:r>
            <w:r w:rsidRPr="00310581">
              <w:rPr>
                <w:rFonts w:ascii="Book Antiqua" w:hAnsi="Book Antiqua"/>
                <w:kern w:val="0"/>
              </w:rPr>
              <w:t xml:space="preserve">Alanine transaminase; </w:t>
            </w:r>
            <w:bookmarkStart w:id="131" w:name="OLE_LINK3617"/>
            <w:bookmarkStart w:id="132" w:name="OLE_LINK3618"/>
            <w:r w:rsidRPr="00310581">
              <w:rPr>
                <w:rFonts w:ascii="Book Antiqua" w:hAnsi="Book Antiqua"/>
                <w:kern w:val="0"/>
              </w:rPr>
              <w:t>AST:</w:t>
            </w:r>
            <w:bookmarkEnd w:id="131"/>
            <w:bookmarkEnd w:id="132"/>
            <w:r w:rsidRPr="00310581">
              <w:rPr>
                <w:rFonts w:ascii="Book Antiqua" w:hAnsi="Book Antiqua"/>
              </w:rPr>
              <w:t xml:space="preserve"> </w:t>
            </w:r>
            <w:r w:rsidRPr="00310581">
              <w:rPr>
                <w:rFonts w:ascii="Book Antiqua" w:hAnsi="Book Antiqua"/>
                <w:kern w:val="0"/>
              </w:rPr>
              <w:t>Aspartate transaminase;</w:t>
            </w:r>
            <w:r w:rsidR="0070278B" w:rsidRPr="00310581">
              <w:rPr>
                <w:rFonts w:ascii="Book Antiqua" w:hAnsi="Book Antiqua"/>
                <w:kern w:val="0"/>
              </w:rPr>
              <w:t xml:space="preserve"> </w:t>
            </w:r>
            <w:r w:rsidRPr="00310581">
              <w:rPr>
                <w:rFonts w:ascii="Book Antiqua" w:hAnsi="Book Antiqua"/>
                <w:kern w:val="0"/>
              </w:rPr>
              <w:t>HDL: High density lipoprotein; LDL: Low density lipoprotein.</w:t>
            </w:r>
          </w:p>
        </w:tc>
      </w:tr>
    </w:tbl>
    <w:p w14:paraId="51B51C90" w14:textId="77777777" w:rsidR="001F5466" w:rsidRPr="00310581" w:rsidRDefault="001F5466" w:rsidP="009315CE">
      <w:pPr>
        <w:pStyle w:val="EndNoteBibliography"/>
        <w:snapToGrid w:val="0"/>
        <w:spacing w:line="360" w:lineRule="auto"/>
        <w:rPr>
          <w:rFonts w:ascii="Book Antiqua" w:hAnsi="Book Antiqua"/>
          <w:b/>
        </w:rPr>
      </w:pPr>
    </w:p>
    <w:p w14:paraId="2C1594E8" w14:textId="274F2006" w:rsidR="00E05C6A" w:rsidRPr="00310581" w:rsidRDefault="00E05C6A" w:rsidP="009315CE">
      <w:pPr>
        <w:snapToGrid w:val="0"/>
        <w:spacing w:line="360" w:lineRule="auto"/>
        <w:rPr>
          <w:rFonts w:ascii="Book Antiqua" w:hAnsi="Book Antiqua"/>
        </w:rPr>
      </w:pPr>
    </w:p>
    <w:sectPr w:rsidR="00E05C6A" w:rsidRPr="00310581" w:rsidSect="00E05C6A">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A10F2" w14:textId="77777777" w:rsidR="00A31E62" w:rsidRDefault="00A31E62" w:rsidP="00C95724">
      <w:r>
        <w:separator/>
      </w:r>
    </w:p>
  </w:endnote>
  <w:endnote w:type="continuationSeparator" w:id="0">
    <w:p w14:paraId="076DFE46" w14:textId="77777777" w:rsidR="00A31E62" w:rsidRDefault="00A31E62" w:rsidP="00C9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iti SC Light">
    <w:altName w:val="Arial Unicode MS"/>
    <w:charset w:val="50"/>
    <w:family w:val="auto"/>
    <w:pitch w:val="variable"/>
    <w:sig w:usb0="00000000" w:usb1="080E004A" w:usb2="00000010" w:usb3="00000000" w:csb0="003E0000"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824B1" w14:textId="77777777" w:rsidR="00A31E62" w:rsidRDefault="00A31E62" w:rsidP="00C95724">
      <w:r>
        <w:separator/>
      </w:r>
    </w:p>
  </w:footnote>
  <w:footnote w:type="continuationSeparator" w:id="0">
    <w:p w14:paraId="259725EE" w14:textId="77777777" w:rsidR="00A31E62" w:rsidRDefault="00A31E62" w:rsidP="00C957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F5466"/>
    <w:rsid w:val="001B1CB3"/>
    <w:rsid w:val="001F5466"/>
    <w:rsid w:val="00310581"/>
    <w:rsid w:val="00430A7B"/>
    <w:rsid w:val="0063207E"/>
    <w:rsid w:val="006F0E66"/>
    <w:rsid w:val="006F1F26"/>
    <w:rsid w:val="0070278B"/>
    <w:rsid w:val="007A5E9D"/>
    <w:rsid w:val="0084426E"/>
    <w:rsid w:val="00876B17"/>
    <w:rsid w:val="008A78E9"/>
    <w:rsid w:val="009315CE"/>
    <w:rsid w:val="00940F65"/>
    <w:rsid w:val="00A31E62"/>
    <w:rsid w:val="00AB3497"/>
    <w:rsid w:val="00B238A7"/>
    <w:rsid w:val="00B55CC2"/>
    <w:rsid w:val="00C63820"/>
    <w:rsid w:val="00C75233"/>
    <w:rsid w:val="00C95724"/>
    <w:rsid w:val="00DC409F"/>
    <w:rsid w:val="00E012A6"/>
    <w:rsid w:val="00E05C6A"/>
    <w:rsid w:val="00E26EF6"/>
    <w:rsid w:val="00FA5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ED841D"/>
  <w15:docId w15:val="{BC72E110-0CEC-4301-9FD6-89DD7DEA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466"/>
    <w:pPr>
      <w:widowControl w:val="0"/>
      <w:jc w:val="both"/>
    </w:pPr>
    <w:rPr>
      <w:rFonts w:ascii="Cambria" w:eastAsia="SimSu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1F5466"/>
    <w:rPr>
      <w:rFonts w:ascii="SimSun"/>
    </w:rPr>
  </w:style>
  <w:style w:type="character" w:customStyle="1" w:styleId="DocumentMapChar">
    <w:name w:val="Document Map Char"/>
    <w:link w:val="DocumentMap"/>
    <w:uiPriority w:val="99"/>
    <w:semiHidden/>
    <w:rsid w:val="001F5466"/>
    <w:rPr>
      <w:rFonts w:ascii="SimSun" w:eastAsia="SimSun" w:hAnsi="Cambria" w:cs="Times New Roman"/>
    </w:rPr>
  </w:style>
  <w:style w:type="paragraph" w:customStyle="1" w:styleId="EndNoteBibliographyTitle">
    <w:name w:val="EndNote Bibliography Title"/>
    <w:basedOn w:val="Normal"/>
    <w:rsid w:val="001F5466"/>
    <w:pPr>
      <w:jc w:val="center"/>
    </w:pPr>
  </w:style>
  <w:style w:type="paragraph" w:customStyle="1" w:styleId="EndNoteBibliography">
    <w:name w:val="EndNote Bibliography"/>
    <w:basedOn w:val="Normal"/>
    <w:rsid w:val="001F5466"/>
  </w:style>
  <w:style w:type="paragraph" w:styleId="Header">
    <w:name w:val="header"/>
    <w:basedOn w:val="Normal"/>
    <w:link w:val="HeaderChar"/>
    <w:uiPriority w:val="99"/>
    <w:unhideWhenUsed/>
    <w:rsid w:val="001F54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1F5466"/>
    <w:rPr>
      <w:rFonts w:ascii="Cambria" w:eastAsia="SimSun" w:hAnsi="Cambria" w:cs="Times New Roman"/>
      <w:sz w:val="18"/>
      <w:szCs w:val="18"/>
    </w:rPr>
  </w:style>
  <w:style w:type="paragraph" w:styleId="Footer">
    <w:name w:val="footer"/>
    <w:basedOn w:val="Normal"/>
    <w:link w:val="FooterChar"/>
    <w:uiPriority w:val="99"/>
    <w:unhideWhenUsed/>
    <w:rsid w:val="001F5466"/>
    <w:pPr>
      <w:tabs>
        <w:tab w:val="center" w:pos="4153"/>
        <w:tab w:val="right" w:pos="8306"/>
      </w:tabs>
      <w:snapToGrid w:val="0"/>
      <w:jc w:val="left"/>
    </w:pPr>
    <w:rPr>
      <w:sz w:val="18"/>
      <w:szCs w:val="18"/>
    </w:rPr>
  </w:style>
  <w:style w:type="character" w:customStyle="1" w:styleId="FooterChar">
    <w:name w:val="Footer Char"/>
    <w:link w:val="Footer"/>
    <w:uiPriority w:val="99"/>
    <w:rsid w:val="001F5466"/>
    <w:rPr>
      <w:rFonts w:ascii="Cambria" w:eastAsia="SimSun" w:hAnsi="Cambria" w:cs="Times New Roman"/>
      <w:sz w:val="18"/>
      <w:szCs w:val="18"/>
    </w:rPr>
  </w:style>
  <w:style w:type="character" w:styleId="Hyperlink">
    <w:name w:val="Hyperlink"/>
    <w:uiPriority w:val="99"/>
    <w:unhideWhenUsed/>
    <w:rsid w:val="001F5466"/>
    <w:rPr>
      <w:color w:val="0000FF"/>
      <w:u w:val="single"/>
    </w:rPr>
  </w:style>
  <w:style w:type="paragraph" w:styleId="BalloonText">
    <w:name w:val="Balloon Text"/>
    <w:basedOn w:val="Normal"/>
    <w:link w:val="BalloonTextChar"/>
    <w:uiPriority w:val="99"/>
    <w:semiHidden/>
    <w:unhideWhenUsed/>
    <w:rsid w:val="001F5466"/>
    <w:pPr>
      <w:jc w:val="left"/>
    </w:pPr>
    <w:rPr>
      <w:rFonts w:ascii="Tahoma" w:eastAsia="Heiti SC Light" w:hAnsi="Tahoma" w:cs="Tahoma"/>
      <w:sz w:val="16"/>
      <w:szCs w:val="18"/>
    </w:rPr>
  </w:style>
  <w:style w:type="character" w:customStyle="1" w:styleId="BalloonTextChar">
    <w:name w:val="Balloon Text Char"/>
    <w:link w:val="BalloonText"/>
    <w:uiPriority w:val="99"/>
    <w:semiHidden/>
    <w:rsid w:val="001F5466"/>
    <w:rPr>
      <w:rFonts w:ascii="Tahoma" w:eastAsia="Heiti SC Light" w:hAnsi="Tahoma" w:cs="Tahoma"/>
      <w:sz w:val="16"/>
      <w:szCs w:val="18"/>
    </w:rPr>
  </w:style>
  <w:style w:type="paragraph" w:styleId="CommentText">
    <w:name w:val="annotation text"/>
    <w:basedOn w:val="Normal"/>
    <w:link w:val="CommentTextChar"/>
    <w:uiPriority w:val="99"/>
    <w:semiHidden/>
    <w:unhideWhenUsed/>
    <w:rsid w:val="001F5466"/>
    <w:pPr>
      <w:jc w:val="left"/>
    </w:pPr>
    <w:rPr>
      <w:rFonts w:ascii="Tahoma" w:hAnsi="Tahoma" w:cs="Tahoma"/>
      <w:sz w:val="16"/>
      <w:szCs w:val="20"/>
    </w:rPr>
  </w:style>
  <w:style w:type="character" w:customStyle="1" w:styleId="CommentTextChar">
    <w:name w:val="Comment Text Char"/>
    <w:link w:val="CommentText"/>
    <w:uiPriority w:val="99"/>
    <w:semiHidden/>
    <w:rsid w:val="001F5466"/>
    <w:rPr>
      <w:rFonts w:ascii="Tahoma" w:eastAsia="SimSun" w:hAnsi="Tahoma" w:cs="Tahoma"/>
      <w:sz w:val="16"/>
      <w:szCs w:val="20"/>
    </w:rPr>
  </w:style>
  <w:style w:type="paragraph" w:styleId="Revision">
    <w:name w:val="Revision"/>
    <w:hidden/>
    <w:uiPriority w:val="71"/>
    <w:rsid w:val="001F5466"/>
    <w:rPr>
      <w:rFonts w:ascii="Cambria" w:eastAsia="SimSun" w:hAnsi="Cambria" w:cs="Times New Roman"/>
    </w:rPr>
  </w:style>
  <w:style w:type="character" w:styleId="CommentReference">
    <w:name w:val="annotation reference"/>
    <w:uiPriority w:val="99"/>
    <w:semiHidden/>
    <w:unhideWhenUsed/>
    <w:rsid w:val="001F5466"/>
    <w:rPr>
      <w:sz w:val="16"/>
      <w:szCs w:val="16"/>
    </w:rPr>
  </w:style>
  <w:style w:type="paragraph" w:styleId="CommentSubject">
    <w:name w:val="annotation subject"/>
    <w:basedOn w:val="CommentText"/>
    <w:next w:val="CommentText"/>
    <w:link w:val="CommentSubjectChar"/>
    <w:uiPriority w:val="99"/>
    <w:semiHidden/>
    <w:unhideWhenUsed/>
    <w:rsid w:val="001F5466"/>
    <w:pPr>
      <w:jc w:val="both"/>
    </w:pPr>
    <w:rPr>
      <w:rFonts w:ascii="Cambria" w:hAnsi="Cambria" w:cs="Times New Roman"/>
      <w:b/>
      <w:bCs/>
      <w:sz w:val="20"/>
    </w:rPr>
  </w:style>
  <w:style w:type="character" w:customStyle="1" w:styleId="CommentSubjectChar">
    <w:name w:val="Comment Subject Char"/>
    <w:link w:val="CommentSubject"/>
    <w:uiPriority w:val="99"/>
    <w:semiHidden/>
    <w:rsid w:val="001F5466"/>
    <w:rPr>
      <w:rFonts w:ascii="Cambria" w:eastAsia="SimSun" w:hAnsi="Cambria" w:cs="Times New Roman"/>
      <w:b/>
      <w:bCs/>
      <w:sz w:val="20"/>
      <w:szCs w:val="20"/>
    </w:rPr>
  </w:style>
  <w:style w:type="paragraph" w:customStyle="1" w:styleId="p1">
    <w:name w:val="p1"/>
    <w:basedOn w:val="Normal"/>
    <w:rsid w:val="001F5466"/>
    <w:pPr>
      <w:widowControl/>
      <w:jc w:val="left"/>
    </w:pPr>
    <w:rPr>
      <w:rFonts w:ascii="Helvetica" w:hAnsi="Helvetica"/>
      <w:kern w:val="0"/>
      <w:sz w:val="17"/>
      <w:szCs w:val="17"/>
    </w:rPr>
  </w:style>
  <w:style w:type="paragraph" w:styleId="NormalWeb">
    <w:name w:val="Normal (Web)"/>
    <w:basedOn w:val="Normal"/>
    <w:uiPriority w:val="99"/>
    <w:semiHidden/>
    <w:unhideWhenUsed/>
    <w:rsid w:val="0070278B"/>
    <w:pPr>
      <w:widowControl/>
      <w:spacing w:before="100" w:beforeAutospacing="1" w:after="100" w:afterAutospacing="1"/>
      <w:jc w:val="left"/>
    </w:pPr>
    <w:rPr>
      <w:rFonts w:ascii="SimSun" w:hAnsi="SimSun" w:cs="SimSun"/>
      <w:kern w:val="0"/>
    </w:rPr>
  </w:style>
  <w:style w:type="character" w:customStyle="1" w:styleId="apple-converted-space">
    <w:name w:val="apple-converted-space"/>
    <w:basedOn w:val="DefaultParagraphFont"/>
    <w:rsid w:val="0070278B"/>
  </w:style>
  <w:style w:type="character" w:styleId="Strong">
    <w:name w:val="Strong"/>
    <w:uiPriority w:val="22"/>
    <w:qFormat/>
    <w:rsid w:val="0070278B"/>
    <w:rPr>
      <w:b/>
      <w:bCs/>
    </w:rPr>
  </w:style>
  <w:style w:type="paragraph" w:styleId="ListParagraph">
    <w:name w:val="List Paragraph"/>
    <w:basedOn w:val="Normal"/>
    <w:uiPriority w:val="34"/>
    <w:qFormat/>
    <w:rsid w:val="0070278B"/>
    <w:pPr>
      <w:widowControl/>
      <w:suppressAutoHyphens/>
      <w:ind w:firstLineChars="200" w:firstLine="420"/>
      <w:jc w:val="left"/>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7155</Words>
  <Characters>40789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Xiaolin Liu</dc:creator>
  <cp:keywords/>
  <dc:description/>
  <cp:lastModifiedBy>Na Ma</cp:lastModifiedBy>
  <cp:revision>2</cp:revision>
  <dcterms:created xsi:type="dcterms:W3CDTF">2017-10-26T17:56:00Z</dcterms:created>
  <dcterms:modified xsi:type="dcterms:W3CDTF">2017-10-26T17:56:00Z</dcterms:modified>
</cp:coreProperties>
</file>