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EE8DC9" w14:textId="2734AB38" w:rsidR="005C659B" w:rsidRPr="00C11F21" w:rsidRDefault="005C659B" w:rsidP="00F33187">
      <w:pPr>
        <w:autoSpaceDE w:val="0"/>
        <w:autoSpaceDN w:val="0"/>
        <w:adjustRightInd w:val="0"/>
        <w:snapToGrid w:val="0"/>
        <w:spacing w:after="0" w:line="360" w:lineRule="auto"/>
        <w:jc w:val="both"/>
        <w:rPr>
          <w:rFonts w:ascii="Book Antiqua" w:hAnsi="Book Antiqua" w:cstheme="minorHAnsi"/>
          <w:b/>
          <w:i/>
          <w:sz w:val="24"/>
          <w:szCs w:val="24"/>
          <w:lang w:val="en-US"/>
        </w:rPr>
      </w:pPr>
      <w:r w:rsidRPr="00C11F21">
        <w:rPr>
          <w:rFonts w:ascii="Book Antiqua" w:hAnsi="Book Antiqua" w:cstheme="minorHAnsi"/>
          <w:b/>
          <w:sz w:val="24"/>
          <w:szCs w:val="24"/>
          <w:lang w:val="en-US"/>
        </w:rPr>
        <w:t>Name of Journal:</w:t>
      </w:r>
      <w:r w:rsidRPr="00C11F21">
        <w:rPr>
          <w:rFonts w:ascii="Book Antiqua" w:hAnsi="Book Antiqua" w:cstheme="minorHAnsi"/>
          <w:b/>
          <w:i/>
          <w:sz w:val="24"/>
          <w:szCs w:val="24"/>
          <w:lang w:val="en-US"/>
        </w:rPr>
        <w:t xml:space="preserve"> World</w:t>
      </w:r>
      <w:r w:rsidR="00BF4408" w:rsidRPr="00C11F21">
        <w:rPr>
          <w:rFonts w:ascii="Book Antiqua" w:hAnsi="Book Antiqua" w:cstheme="minorHAnsi" w:hint="eastAsia"/>
          <w:b/>
          <w:i/>
          <w:sz w:val="24"/>
          <w:szCs w:val="24"/>
          <w:lang w:val="en-US" w:eastAsia="zh-CN"/>
        </w:rPr>
        <w:t xml:space="preserve"> </w:t>
      </w:r>
      <w:r w:rsidRPr="00C11F21">
        <w:rPr>
          <w:rFonts w:ascii="Book Antiqua" w:hAnsi="Book Antiqua" w:cstheme="minorHAnsi"/>
          <w:b/>
          <w:i/>
          <w:sz w:val="24"/>
          <w:szCs w:val="24"/>
          <w:lang w:val="en-US"/>
        </w:rPr>
        <w:t>Journal of Gastroenterology</w:t>
      </w:r>
    </w:p>
    <w:p w14:paraId="73C387FD" w14:textId="2AF8E3FC" w:rsidR="002140E2" w:rsidRPr="00C11F21" w:rsidRDefault="00BF4408" w:rsidP="00F33187">
      <w:pPr>
        <w:autoSpaceDE w:val="0"/>
        <w:autoSpaceDN w:val="0"/>
        <w:adjustRightInd w:val="0"/>
        <w:snapToGrid w:val="0"/>
        <w:spacing w:after="0" w:line="360" w:lineRule="auto"/>
        <w:jc w:val="both"/>
        <w:rPr>
          <w:rFonts w:ascii="Book Antiqua" w:hAnsi="Book Antiqua" w:cstheme="minorHAnsi"/>
          <w:b/>
          <w:sz w:val="24"/>
          <w:szCs w:val="24"/>
          <w:lang w:val="en-US"/>
        </w:rPr>
      </w:pPr>
      <w:r w:rsidRPr="00C11F21">
        <w:rPr>
          <w:rFonts w:ascii="Book Antiqua" w:hAnsi="Book Antiqua" w:cstheme="minorHAnsi"/>
          <w:b/>
          <w:sz w:val="24"/>
          <w:szCs w:val="24"/>
          <w:lang w:val="en-US"/>
        </w:rPr>
        <w:t>Manuscript N</w:t>
      </w:r>
      <w:r w:rsidRPr="00C11F21">
        <w:rPr>
          <w:rFonts w:ascii="Book Antiqua" w:hAnsi="Book Antiqua" w:cstheme="minorHAnsi"/>
          <w:b/>
          <w:caps/>
          <w:sz w:val="24"/>
          <w:szCs w:val="24"/>
          <w:lang w:val="en-US"/>
        </w:rPr>
        <w:t>o</w:t>
      </w:r>
      <w:r w:rsidR="002140E2" w:rsidRPr="00C11F21">
        <w:rPr>
          <w:rFonts w:ascii="Book Antiqua" w:hAnsi="Book Antiqua" w:cstheme="minorHAnsi"/>
          <w:b/>
          <w:sz w:val="24"/>
          <w:szCs w:val="24"/>
          <w:lang w:val="en-US"/>
        </w:rPr>
        <w:t>: 36089</w:t>
      </w:r>
    </w:p>
    <w:p w14:paraId="5E028B71" w14:textId="77777777" w:rsidR="00BF4408" w:rsidRPr="00C11F21" w:rsidRDefault="00BF4408" w:rsidP="00F33187">
      <w:pPr>
        <w:snapToGrid w:val="0"/>
        <w:spacing w:after="0" w:line="360" w:lineRule="auto"/>
        <w:jc w:val="both"/>
        <w:rPr>
          <w:rFonts w:ascii="Book Antiqua" w:eastAsia="SimSun" w:hAnsi="Book Antiqua" w:cs="SimSun"/>
          <w:b/>
          <w:sz w:val="24"/>
          <w:szCs w:val="24"/>
          <w:lang w:val="en-US" w:eastAsia="zh-CN"/>
        </w:rPr>
      </w:pPr>
      <w:bookmarkStart w:id="0" w:name="OLE_LINK995"/>
      <w:bookmarkStart w:id="1" w:name="OLE_LINK996"/>
      <w:r w:rsidRPr="00C11F21">
        <w:rPr>
          <w:rFonts w:ascii="Book Antiqua" w:eastAsia="SimSun" w:hAnsi="Book Antiqua" w:cs="SimSun"/>
          <w:b/>
          <w:sz w:val="24"/>
          <w:szCs w:val="24"/>
          <w:shd w:val="clear" w:color="auto" w:fill="FFFFFF"/>
          <w:lang w:val="en-US" w:eastAsia="zh-CN"/>
        </w:rPr>
        <w:t>Manuscript Type</w:t>
      </w:r>
      <w:r w:rsidRPr="00C11F21">
        <w:rPr>
          <w:rFonts w:ascii="Book Antiqua" w:eastAsia="SimSun" w:hAnsi="Book Antiqua" w:cs="SimSun"/>
          <w:b/>
          <w:sz w:val="24"/>
          <w:szCs w:val="24"/>
          <w:lang w:val="en-US" w:eastAsia="zh-CN"/>
        </w:rPr>
        <w:t>: ORIGINAL ARTICLE</w:t>
      </w:r>
    </w:p>
    <w:p w14:paraId="2A995B76" w14:textId="77777777" w:rsidR="00BF4408" w:rsidRPr="00C11F21" w:rsidRDefault="00BF4408" w:rsidP="00F33187">
      <w:pPr>
        <w:snapToGrid w:val="0"/>
        <w:spacing w:after="0" w:line="360" w:lineRule="auto"/>
        <w:jc w:val="both"/>
        <w:rPr>
          <w:rFonts w:ascii="Book Antiqua" w:eastAsia="SimSun" w:hAnsi="Book Antiqua" w:cs="SimSun"/>
          <w:b/>
          <w:i/>
          <w:sz w:val="24"/>
          <w:szCs w:val="24"/>
          <w:lang w:val="en-US" w:eastAsia="zh-CN"/>
        </w:rPr>
      </w:pPr>
    </w:p>
    <w:p w14:paraId="3E46B8B0" w14:textId="585688B8" w:rsidR="0004489F" w:rsidRPr="00C11F21" w:rsidRDefault="00BF4408" w:rsidP="00F33187">
      <w:pPr>
        <w:snapToGrid w:val="0"/>
        <w:spacing w:after="0" w:line="360" w:lineRule="auto"/>
        <w:jc w:val="both"/>
        <w:rPr>
          <w:rFonts w:ascii="Book Antiqua" w:eastAsia="SimSun" w:hAnsi="Book Antiqua" w:cs="SimSun"/>
          <w:b/>
          <w:i/>
          <w:sz w:val="24"/>
          <w:szCs w:val="24"/>
          <w:lang w:val="en-US" w:eastAsia="zh-CN"/>
        </w:rPr>
      </w:pPr>
      <w:r w:rsidRPr="00C11F21">
        <w:rPr>
          <w:rFonts w:ascii="Book Antiqua" w:eastAsia="SimSun" w:hAnsi="Book Antiqua" w:cs="SimSun"/>
          <w:b/>
          <w:i/>
          <w:sz w:val="24"/>
          <w:szCs w:val="24"/>
          <w:lang w:val="en-US" w:eastAsia="zh-CN"/>
        </w:rPr>
        <w:t>Basic Study</w:t>
      </w:r>
      <w:bookmarkEnd w:id="0"/>
      <w:bookmarkEnd w:id="1"/>
    </w:p>
    <w:p w14:paraId="2CAC6312" w14:textId="4EDC5F89" w:rsidR="0004489F" w:rsidRPr="00C11F21" w:rsidRDefault="00EE5C41" w:rsidP="00F33187">
      <w:pPr>
        <w:autoSpaceDE w:val="0"/>
        <w:autoSpaceDN w:val="0"/>
        <w:adjustRightInd w:val="0"/>
        <w:snapToGrid w:val="0"/>
        <w:spacing w:after="0" w:line="360" w:lineRule="auto"/>
        <w:jc w:val="both"/>
        <w:rPr>
          <w:rFonts w:ascii="Book Antiqua" w:hAnsi="Book Antiqua" w:cstheme="minorHAnsi"/>
          <w:b/>
          <w:sz w:val="24"/>
          <w:szCs w:val="24"/>
          <w:lang w:val="en-US"/>
        </w:rPr>
      </w:pPr>
      <w:r w:rsidRPr="00C11F21">
        <w:rPr>
          <w:rFonts w:ascii="Book Antiqua" w:hAnsi="Book Antiqua" w:cstheme="minorHAnsi"/>
          <w:b/>
          <w:sz w:val="24"/>
          <w:szCs w:val="24"/>
          <w:lang w:val="en-US"/>
        </w:rPr>
        <w:t>Analys</w:t>
      </w:r>
      <w:r w:rsidR="00B11846" w:rsidRPr="00C11F21">
        <w:rPr>
          <w:rFonts w:ascii="Book Antiqua" w:hAnsi="Book Antiqua" w:cstheme="minorHAnsi"/>
          <w:b/>
          <w:sz w:val="24"/>
          <w:szCs w:val="24"/>
          <w:lang w:val="en-US"/>
        </w:rPr>
        <w:t>i</w:t>
      </w:r>
      <w:r w:rsidRPr="00C11F21">
        <w:rPr>
          <w:rFonts w:ascii="Book Antiqua" w:hAnsi="Book Antiqua" w:cstheme="minorHAnsi"/>
          <w:b/>
          <w:sz w:val="24"/>
          <w:szCs w:val="24"/>
          <w:lang w:val="en-US"/>
        </w:rPr>
        <w:t xml:space="preserve">s of </w:t>
      </w:r>
      <w:r w:rsidR="00BF4408" w:rsidRPr="00C11F21">
        <w:rPr>
          <w:rFonts w:ascii="Book Antiqua" w:hAnsi="Book Antiqua" w:cstheme="minorHAnsi"/>
          <w:b/>
          <w:sz w:val="24"/>
          <w:szCs w:val="24"/>
          <w:lang w:val="en-US"/>
        </w:rPr>
        <w:t>hepatitis B</w:t>
      </w:r>
      <w:r w:rsidR="00C7646A">
        <w:rPr>
          <w:rFonts w:ascii="Book Antiqua" w:hAnsi="Book Antiqua" w:cstheme="minorHAnsi" w:hint="eastAsia"/>
          <w:b/>
          <w:sz w:val="24"/>
          <w:szCs w:val="24"/>
          <w:lang w:val="en-US" w:eastAsia="zh-CN"/>
        </w:rPr>
        <w:t xml:space="preserve"> </w:t>
      </w:r>
      <w:r w:rsidR="00BF4408" w:rsidRPr="00C11F21">
        <w:rPr>
          <w:rFonts w:ascii="Book Antiqua" w:hAnsi="Book Antiqua" w:cstheme="minorHAnsi"/>
          <w:b/>
          <w:sz w:val="24"/>
          <w:szCs w:val="24"/>
          <w:lang w:val="en-US"/>
        </w:rPr>
        <w:t>virus</w:t>
      </w:r>
      <w:r w:rsidR="00BF4408" w:rsidRPr="00C11F21">
        <w:rPr>
          <w:rFonts w:ascii="Book Antiqua" w:hAnsi="Book Antiqua" w:cstheme="minorHAnsi" w:hint="eastAsia"/>
          <w:b/>
          <w:sz w:val="24"/>
          <w:szCs w:val="24"/>
          <w:lang w:val="en-US" w:eastAsia="zh-CN"/>
        </w:rPr>
        <w:t xml:space="preserve"> </w:t>
      </w:r>
      <w:r w:rsidRPr="00C11F21">
        <w:rPr>
          <w:rFonts w:ascii="Book Antiqua" w:hAnsi="Book Antiqua" w:cstheme="minorHAnsi"/>
          <w:b/>
          <w:sz w:val="24"/>
          <w:szCs w:val="24"/>
          <w:lang w:val="en-US"/>
        </w:rPr>
        <w:t>preS1 variability and prevalence of the rs2296651 polym</w:t>
      </w:r>
      <w:r w:rsidR="000B5A96" w:rsidRPr="00C11F21">
        <w:rPr>
          <w:rFonts w:ascii="Book Antiqua" w:hAnsi="Book Antiqua" w:cstheme="minorHAnsi"/>
          <w:b/>
          <w:sz w:val="24"/>
          <w:szCs w:val="24"/>
          <w:lang w:val="en-US"/>
        </w:rPr>
        <w:t>orphism in a Spanish population</w:t>
      </w:r>
    </w:p>
    <w:p w14:paraId="6C61846D" w14:textId="77777777" w:rsidR="004052E9" w:rsidRPr="00C7646A" w:rsidRDefault="004052E9" w:rsidP="00F33187">
      <w:pPr>
        <w:autoSpaceDE w:val="0"/>
        <w:autoSpaceDN w:val="0"/>
        <w:adjustRightInd w:val="0"/>
        <w:snapToGrid w:val="0"/>
        <w:spacing w:after="0" w:line="360" w:lineRule="auto"/>
        <w:jc w:val="both"/>
        <w:rPr>
          <w:rFonts w:ascii="Book Antiqua" w:hAnsi="Book Antiqua" w:cstheme="minorHAnsi"/>
          <w:b/>
          <w:sz w:val="24"/>
          <w:szCs w:val="24"/>
          <w:lang w:val="en-US"/>
        </w:rPr>
      </w:pPr>
    </w:p>
    <w:p w14:paraId="74223019" w14:textId="31DA90DB" w:rsidR="005C659B" w:rsidRPr="00C11F21" w:rsidRDefault="00920405" w:rsidP="00F33187">
      <w:pPr>
        <w:autoSpaceDE w:val="0"/>
        <w:autoSpaceDN w:val="0"/>
        <w:adjustRightInd w:val="0"/>
        <w:snapToGrid w:val="0"/>
        <w:spacing w:after="0" w:line="360" w:lineRule="auto"/>
        <w:jc w:val="both"/>
        <w:rPr>
          <w:rFonts w:ascii="Book Antiqua" w:hAnsi="Book Antiqua" w:cstheme="minorHAnsi"/>
          <w:b/>
          <w:sz w:val="24"/>
          <w:szCs w:val="24"/>
          <w:lang w:val="en-US"/>
        </w:rPr>
      </w:pPr>
      <w:r w:rsidRPr="00C11F21">
        <w:rPr>
          <w:rFonts w:ascii="Book Antiqua" w:hAnsi="Book Antiqua" w:cstheme="minorHAnsi"/>
          <w:sz w:val="24"/>
          <w:szCs w:val="24"/>
          <w:lang w:val="en-US"/>
        </w:rPr>
        <w:t>Casillas R</w:t>
      </w:r>
      <w:r w:rsidR="00B26D74" w:rsidRPr="00C11F21">
        <w:rPr>
          <w:rFonts w:ascii="Book Antiqua" w:hAnsi="Book Antiqua" w:cstheme="minorHAnsi"/>
          <w:sz w:val="24"/>
          <w:szCs w:val="24"/>
          <w:lang w:val="en-US"/>
        </w:rPr>
        <w:t xml:space="preserve"> </w:t>
      </w:r>
      <w:r w:rsidR="00B26D74" w:rsidRPr="00C11F21">
        <w:rPr>
          <w:rFonts w:ascii="Book Antiqua" w:hAnsi="Book Antiqua" w:cstheme="minorHAnsi"/>
          <w:i/>
          <w:sz w:val="24"/>
          <w:szCs w:val="24"/>
          <w:lang w:val="en-US"/>
        </w:rPr>
        <w:t>et al.</w:t>
      </w:r>
      <w:r w:rsidR="00BF4408" w:rsidRPr="00C11F21">
        <w:rPr>
          <w:rFonts w:ascii="Book Antiqua" w:hAnsi="Book Antiqua" w:cstheme="minorHAnsi" w:hint="eastAsia"/>
          <w:sz w:val="24"/>
          <w:szCs w:val="24"/>
          <w:lang w:val="en-US" w:eastAsia="zh-CN"/>
        </w:rPr>
        <w:t xml:space="preserve"> </w:t>
      </w:r>
      <w:r w:rsidR="003B2EAB" w:rsidRPr="00C11F21">
        <w:rPr>
          <w:rFonts w:ascii="Book Antiqua" w:hAnsi="Book Antiqua" w:cstheme="minorHAnsi"/>
          <w:sz w:val="24"/>
          <w:szCs w:val="24"/>
          <w:lang w:val="en-US"/>
        </w:rPr>
        <w:t>preS1 variability</w:t>
      </w:r>
      <w:r w:rsidR="003B2EAB" w:rsidRPr="00C11F21">
        <w:rPr>
          <w:rFonts w:ascii="Book Antiqua" w:hAnsi="Book Antiqua" w:cstheme="minorHAnsi"/>
          <w:b/>
          <w:sz w:val="24"/>
          <w:szCs w:val="24"/>
          <w:lang w:val="en-US"/>
        </w:rPr>
        <w:t xml:space="preserve"> </w:t>
      </w:r>
      <w:r w:rsidR="005C659B" w:rsidRPr="00C11F21">
        <w:rPr>
          <w:rFonts w:ascii="Book Antiqua" w:hAnsi="Book Antiqua" w:cstheme="minorHAnsi"/>
          <w:sz w:val="24"/>
          <w:szCs w:val="24"/>
          <w:lang w:val="en-US"/>
        </w:rPr>
        <w:t xml:space="preserve">and </w:t>
      </w:r>
      <w:r w:rsidR="003B2EAB" w:rsidRPr="00C11F21">
        <w:rPr>
          <w:rFonts w:ascii="Book Antiqua" w:hAnsi="Book Antiqua" w:cstheme="minorHAnsi"/>
          <w:sz w:val="24"/>
          <w:szCs w:val="24"/>
          <w:lang w:val="en-US"/>
        </w:rPr>
        <w:t>rs2296651 polymorphism</w:t>
      </w:r>
    </w:p>
    <w:p w14:paraId="5E9C1B80" w14:textId="77777777" w:rsidR="005C659B" w:rsidRPr="00C11F21" w:rsidRDefault="005C659B" w:rsidP="00F33187">
      <w:pPr>
        <w:autoSpaceDE w:val="0"/>
        <w:autoSpaceDN w:val="0"/>
        <w:adjustRightInd w:val="0"/>
        <w:snapToGrid w:val="0"/>
        <w:spacing w:after="0" w:line="360" w:lineRule="auto"/>
        <w:jc w:val="both"/>
        <w:rPr>
          <w:rFonts w:ascii="Book Antiqua" w:hAnsi="Book Antiqua" w:cstheme="minorHAnsi"/>
          <w:b/>
          <w:sz w:val="24"/>
          <w:szCs w:val="24"/>
          <w:lang w:val="en-US"/>
        </w:rPr>
      </w:pPr>
    </w:p>
    <w:p w14:paraId="25D7F769" w14:textId="751257EF" w:rsidR="005C659B" w:rsidRPr="00C11F21" w:rsidRDefault="005C659B" w:rsidP="00F33187">
      <w:pPr>
        <w:autoSpaceDE w:val="0"/>
        <w:autoSpaceDN w:val="0"/>
        <w:adjustRightInd w:val="0"/>
        <w:snapToGrid w:val="0"/>
        <w:spacing w:after="0" w:line="360" w:lineRule="auto"/>
        <w:jc w:val="both"/>
        <w:rPr>
          <w:rFonts w:ascii="Book Antiqua" w:hAnsi="Book Antiqua" w:cstheme="minorHAnsi"/>
          <w:sz w:val="24"/>
          <w:szCs w:val="24"/>
          <w:lang w:val="es-ES" w:eastAsia="zh-CN"/>
        </w:rPr>
      </w:pPr>
      <w:r w:rsidRPr="00C11F21">
        <w:rPr>
          <w:rFonts w:ascii="Book Antiqua" w:hAnsi="Book Antiqua" w:cstheme="minorHAnsi"/>
          <w:sz w:val="24"/>
          <w:szCs w:val="24"/>
          <w:lang w:val="es-ES"/>
        </w:rPr>
        <w:t xml:space="preserve">Rosario Casillas, David Tabernero, Josep Gregori, Irene Belmonte, </w:t>
      </w:r>
      <w:r w:rsidR="00E60C7F" w:rsidRPr="00C11F21">
        <w:rPr>
          <w:rFonts w:ascii="Book Antiqua" w:hAnsi="Book Antiqua" w:cstheme="minorHAnsi"/>
          <w:sz w:val="24"/>
          <w:szCs w:val="24"/>
          <w:lang w:val="es-ES"/>
        </w:rPr>
        <w:t xml:space="preserve">Maria Francesca Cortese, </w:t>
      </w:r>
      <w:r w:rsidR="00FF1E4C" w:rsidRPr="00C11F21">
        <w:rPr>
          <w:rFonts w:ascii="Book Antiqua" w:hAnsi="Book Antiqua" w:cstheme="minorHAnsi"/>
          <w:sz w:val="24"/>
          <w:szCs w:val="24"/>
          <w:lang w:val="es-ES"/>
        </w:rPr>
        <w:t xml:space="preserve">Carolina González, </w:t>
      </w:r>
      <w:r w:rsidRPr="00C11F21">
        <w:rPr>
          <w:rFonts w:ascii="Book Antiqua" w:hAnsi="Book Antiqua" w:cstheme="minorHAnsi"/>
          <w:sz w:val="24"/>
          <w:szCs w:val="24"/>
          <w:lang w:val="es-ES"/>
        </w:rPr>
        <w:t>Mar Riveiro-Barciela, Rosa M</w:t>
      </w:r>
      <w:r w:rsidR="003A478C" w:rsidRPr="00C11F21">
        <w:rPr>
          <w:rFonts w:ascii="Book Antiqua" w:hAnsi="Book Antiqua" w:cstheme="minorHAnsi"/>
          <w:sz w:val="24"/>
          <w:szCs w:val="24"/>
          <w:lang w:val="es-ES"/>
        </w:rPr>
        <w:t>aria</w:t>
      </w:r>
      <w:r w:rsidRPr="00C11F21">
        <w:rPr>
          <w:rFonts w:ascii="Book Antiqua" w:hAnsi="Book Antiqua" w:cstheme="minorHAnsi"/>
          <w:sz w:val="24"/>
          <w:szCs w:val="24"/>
          <w:lang w:val="es-ES"/>
        </w:rPr>
        <w:t xml:space="preserve"> López, Josep Q</w:t>
      </w:r>
      <w:r w:rsidR="00BF4408" w:rsidRPr="00C11F21">
        <w:rPr>
          <w:rFonts w:ascii="Book Antiqua" w:hAnsi="Book Antiqua" w:cstheme="minorHAnsi"/>
          <w:sz w:val="24"/>
          <w:szCs w:val="24"/>
          <w:lang w:val="es-ES"/>
        </w:rPr>
        <w:t>uer, Rafael Esteban, Maria Buti</w:t>
      </w:r>
      <w:r w:rsidRPr="00C11F21">
        <w:rPr>
          <w:rFonts w:ascii="Book Antiqua" w:hAnsi="Book Antiqua" w:cstheme="minorHAnsi"/>
          <w:sz w:val="24"/>
          <w:szCs w:val="24"/>
          <w:lang w:val="es-ES"/>
        </w:rPr>
        <w:t xml:space="preserve">, Francisco </w:t>
      </w:r>
      <w:r w:rsidR="00BF4408" w:rsidRPr="00C11F21">
        <w:rPr>
          <w:rFonts w:ascii="Book Antiqua" w:hAnsi="Book Antiqua" w:cstheme="minorHAnsi"/>
          <w:sz w:val="24"/>
          <w:szCs w:val="24"/>
          <w:lang w:val="es-ES"/>
        </w:rPr>
        <w:t>Rodríguez-Frías</w:t>
      </w:r>
    </w:p>
    <w:p w14:paraId="47EB7F15" w14:textId="77777777" w:rsidR="005C659B" w:rsidRPr="00C11F21" w:rsidRDefault="005C659B" w:rsidP="00F33187">
      <w:pPr>
        <w:autoSpaceDE w:val="0"/>
        <w:autoSpaceDN w:val="0"/>
        <w:adjustRightInd w:val="0"/>
        <w:snapToGrid w:val="0"/>
        <w:spacing w:after="0" w:line="360" w:lineRule="auto"/>
        <w:jc w:val="both"/>
        <w:rPr>
          <w:rFonts w:ascii="Book Antiqua" w:hAnsi="Book Antiqua" w:cstheme="minorHAnsi"/>
          <w:b/>
          <w:sz w:val="24"/>
          <w:szCs w:val="24"/>
          <w:lang w:val="en-US" w:eastAsia="zh-CN"/>
        </w:rPr>
      </w:pPr>
    </w:p>
    <w:p w14:paraId="30772FA8" w14:textId="0497B120" w:rsidR="005C659B" w:rsidRPr="00C11F21" w:rsidRDefault="005C659B" w:rsidP="00F33187">
      <w:pPr>
        <w:autoSpaceDE w:val="0"/>
        <w:autoSpaceDN w:val="0"/>
        <w:adjustRightInd w:val="0"/>
        <w:snapToGrid w:val="0"/>
        <w:spacing w:after="0" w:line="360" w:lineRule="auto"/>
        <w:jc w:val="both"/>
        <w:rPr>
          <w:rFonts w:ascii="Book Antiqua" w:hAnsi="Book Antiqua"/>
          <w:sz w:val="24"/>
          <w:szCs w:val="24"/>
          <w:lang w:val="en-US"/>
        </w:rPr>
      </w:pPr>
      <w:r w:rsidRPr="00C11F21">
        <w:rPr>
          <w:rFonts w:ascii="Book Antiqua" w:hAnsi="Book Antiqua" w:cstheme="minorHAnsi"/>
          <w:b/>
          <w:sz w:val="24"/>
          <w:szCs w:val="24"/>
          <w:lang w:val="es-ES"/>
        </w:rPr>
        <w:t xml:space="preserve">Rosario Casillas, David Tabernero, Irene Belmonte, </w:t>
      </w:r>
      <w:r w:rsidR="00E60C7F" w:rsidRPr="00C11F21">
        <w:rPr>
          <w:rFonts w:ascii="Book Antiqua" w:hAnsi="Book Antiqua" w:cstheme="minorHAnsi"/>
          <w:b/>
          <w:sz w:val="24"/>
          <w:szCs w:val="24"/>
          <w:lang w:val="es-ES"/>
        </w:rPr>
        <w:t xml:space="preserve">Maria Francesca Cortese, </w:t>
      </w:r>
      <w:r w:rsidRPr="00C11F21">
        <w:rPr>
          <w:rFonts w:ascii="Book Antiqua" w:hAnsi="Book Antiqua" w:cstheme="minorHAnsi"/>
          <w:b/>
          <w:sz w:val="24"/>
          <w:szCs w:val="24"/>
          <w:lang w:val="es-ES"/>
        </w:rPr>
        <w:t>Carolina González, Rosa M</w:t>
      </w:r>
      <w:r w:rsidR="003A478C" w:rsidRPr="00C11F21">
        <w:rPr>
          <w:rFonts w:ascii="Book Antiqua" w:hAnsi="Book Antiqua" w:cstheme="minorHAnsi"/>
          <w:b/>
          <w:sz w:val="24"/>
          <w:szCs w:val="24"/>
          <w:lang w:val="es-ES"/>
        </w:rPr>
        <w:t>aria</w:t>
      </w:r>
      <w:r w:rsidRPr="00C11F21">
        <w:rPr>
          <w:rFonts w:ascii="Book Antiqua" w:hAnsi="Book Antiqua" w:cstheme="minorHAnsi"/>
          <w:b/>
          <w:sz w:val="24"/>
          <w:szCs w:val="24"/>
          <w:lang w:val="es-ES"/>
        </w:rPr>
        <w:t xml:space="preserve"> López,</w:t>
      </w:r>
      <w:r w:rsidR="00B11B5E">
        <w:rPr>
          <w:rFonts w:ascii="Book Antiqua" w:hAnsi="Book Antiqua" w:cstheme="minorHAnsi" w:hint="eastAsia"/>
          <w:b/>
          <w:sz w:val="24"/>
          <w:szCs w:val="24"/>
          <w:lang w:val="es-ES" w:eastAsia="zh-CN"/>
        </w:rPr>
        <w:t xml:space="preserve"> </w:t>
      </w:r>
      <w:r w:rsidRPr="00C11F21">
        <w:rPr>
          <w:rFonts w:ascii="Book Antiqua" w:hAnsi="Book Antiqua" w:cstheme="minorHAnsi"/>
          <w:b/>
          <w:sz w:val="24"/>
          <w:szCs w:val="24"/>
          <w:lang w:val="es-ES"/>
        </w:rPr>
        <w:t>Francisco Rodríguez-Frías</w:t>
      </w:r>
      <w:r w:rsidR="00BF4408" w:rsidRPr="00C11F21">
        <w:rPr>
          <w:rFonts w:ascii="Book Antiqua" w:hAnsi="Book Antiqua" w:cstheme="minorHAnsi" w:hint="eastAsia"/>
          <w:b/>
          <w:sz w:val="24"/>
          <w:szCs w:val="24"/>
          <w:lang w:val="es-ES" w:eastAsia="zh-CN"/>
        </w:rPr>
        <w:t xml:space="preserve">, </w:t>
      </w:r>
      <w:r w:rsidRPr="00C11F21">
        <w:rPr>
          <w:rFonts w:ascii="Book Antiqua" w:hAnsi="Book Antiqua"/>
          <w:sz w:val="24"/>
          <w:szCs w:val="24"/>
          <w:lang w:val="en-US"/>
        </w:rPr>
        <w:t>Liver Pathology Unit,</w:t>
      </w:r>
      <w:r w:rsidR="00F33187" w:rsidRPr="00C11F21">
        <w:rPr>
          <w:rFonts w:ascii="Book Antiqua" w:hAnsi="Book Antiqua" w:hint="eastAsia"/>
          <w:sz w:val="24"/>
          <w:szCs w:val="24"/>
          <w:lang w:val="en-US" w:eastAsia="zh-CN"/>
        </w:rPr>
        <w:t xml:space="preserve"> </w:t>
      </w:r>
      <w:r w:rsidRPr="00C11F21">
        <w:rPr>
          <w:rFonts w:ascii="Book Antiqua" w:hAnsi="Book Antiqua"/>
          <w:sz w:val="24"/>
          <w:szCs w:val="24"/>
          <w:lang w:val="en-US"/>
        </w:rPr>
        <w:t>Departments of Biochemistry and Microbiolog</w:t>
      </w:r>
      <w:r w:rsidR="000B4D8E" w:rsidRPr="00C11F21">
        <w:rPr>
          <w:rFonts w:ascii="Book Antiqua" w:hAnsi="Book Antiqua"/>
          <w:sz w:val="24"/>
          <w:szCs w:val="24"/>
          <w:lang w:val="en-US"/>
        </w:rPr>
        <w:t>y, Hospital Universitari Vall d’</w:t>
      </w:r>
      <w:r w:rsidRPr="00C11F21">
        <w:rPr>
          <w:rFonts w:ascii="Book Antiqua" w:hAnsi="Book Antiqua"/>
          <w:sz w:val="24"/>
          <w:szCs w:val="24"/>
          <w:lang w:val="en-US"/>
        </w:rPr>
        <w:t>Hebron, Universitat Autònoma de Barcelona,</w:t>
      </w:r>
      <w:r w:rsidR="00C7646A">
        <w:rPr>
          <w:rFonts w:ascii="Book Antiqua" w:hAnsi="Book Antiqua" w:hint="eastAsia"/>
          <w:sz w:val="24"/>
          <w:szCs w:val="24"/>
          <w:lang w:val="en-US" w:eastAsia="zh-CN"/>
        </w:rPr>
        <w:t xml:space="preserve"> </w:t>
      </w:r>
      <w:r w:rsidRPr="00C11F21">
        <w:rPr>
          <w:rFonts w:ascii="Book Antiqua" w:hAnsi="Book Antiqua"/>
          <w:sz w:val="24"/>
          <w:szCs w:val="24"/>
          <w:lang w:val="en-US"/>
        </w:rPr>
        <w:t>Barcelona</w:t>
      </w:r>
      <w:r w:rsidR="00BF4408" w:rsidRPr="00C11F21">
        <w:rPr>
          <w:rFonts w:ascii="Book Antiqua" w:hAnsi="Book Antiqua" w:hint="eastAsia"/>
          <w:sz w:val="24"/>
          <w:szCs w:val="24"/>
          <w:lang w:val="en-US" w:eastAsia="zh-CN"/>
        </w:rPr>
        <w:t xml:space="preserve"> </w:t>
      </w:r>
      <w:r w:rsidR="00BF4408" w:rsidRPr="00C11F21">
        <w:rPr>
          <w:rFonts w:ascii="Book Antiqua" w:hAnsi="Book Antiqua"/>
          <w:sz w:val="24"/>
          <w:szCs w:val="24"/>
          <w:lang w:val="en-US"/>
        </w:rPr>
        <w:t>08035</w:t>
      </w:r>
      <w:r w:rsidRPr="00C11F21">
        <w:rPr>
          <w:rFonts w:ascii="Book Antiqua" w:hAnsi="Book Antiqua"/>
          <w:sz w:val="24"/>
          <w:szCs w:val="24"/>
          <w:lang w:val="en-US"/>
        </w:rPr>
        <w:t>,</w:t>
      </w:r>
      <w:r w:rsidR="00BF4408" w:rsidRPr="00C11F21">
        <w:rPr>
          <w:rFonts w:ascii="Book Antiqua" w:hAnsi="Book Antiqua" w:hint="eastAsia"/>
          <w:sz w:val="24"/>
          <w:szCs w:val="24"/>
          <w:lang w:val="en-US" w:eastAsia="zh-CN"/>
        </w:rPr>
        <w:t xml:space="preserve"> </w:t>
      </w:r>
      <w:r w:rsidRPr="00C11F21">
        <w:rPr>
          <w:rFonts w:ascii="Book Antiqua" w:hAnsi="Book Antiqua"/>
          <w:sz w:val="24"/>
          <w:szCs w:val="24"/>
          <w:lang w:val="en-US"/>
        </w:rPr>
        <w:t>Spain</w:t>
      </w:r>
    </w:p>
    <w:p w14:paraId="676C1081" w14:textId="77777777" w:rsidR="005C659B" w:rsidRPr="00C11F21" w:rsidRDefault="005C659B" w:rsidP="00F33187">
      <w:pPr>
        <w:autoSpaceDE w:val="0"/>
        <w:autoSpaceDN w:val="0"/>
        <w:adjustRightInd w:val="0"/>
        <w:snapToGrid w:val="0"/>
        <w:spacing w:after="0" w:line="360" w:lineRule="auto"/>
        <w:jc w:val="both"/>
        <w:rPr>
          <w:rFonts w:ascii="Book Antiqua" w:hAnsi="Book Antiqua"/>
          <w:sz w:val="24"/>
          <w:szCs w:val="24"/>
          <w:lang w:val="en-US"/>
        </w:rPr>
      </w:pPr>
    </w:p>
    <w:p w14:paraId="37C201DA" w14:textId="2C7007AC" w:rsidR="00EE2457" w:rsidRPr="00C11F21" w:rsidRDefault="005C659B" w:rsidP="00F33187">
      <w:pPr>
        <w:autoSpaceDE w:val="0"/>
        <w:autoSpaceDN w:val="0"/>
        <w:adjustRightInd w:val="0"/>
        <w:snapToGrid w:val="0"/>
        <w:spacing w:after="0" w:line="360" w:lineRule="auto"/>
        <w:jc w:val="both"/>
        <w:rPr>
          <w:rFonts w:ascii="Book Antiqua" w:hAnsi="Book Antiqua" w:cstheme="minorHAnsi"/>
          <w:sz w:val="24"/>
          <w:szCs w:val="24"/>
          <w:lang w:val="es-ES"/>
        </w:rPr>
      </w:pPr>
      <w:r w:rsidRPr="00C11F21">
        <w:rPr>
          <w:rFonts w:ascii="Book Antiqua" w:hAnsi="Book Antiqua" w:cstheme="minorHAnsi"/>
          <w:b/>
          <w:sz w:val="24"/>
          <w:szCs w:val="24"/>
          <w:lang w:val="es-ES"/>
        </w:rPr>
        <w:t>Rosario Casillas, Josep Gregori</w:t>
      </w:r>
      <w:r w:rsidR="00E60C7F" w:rsidRPr="00C11F21">
        <w:rPr>
          <w:rFonts w:ascii="Book Antiqua" w:hAnsi="Book Antiqua" w:cstheme="minorHAnsi"/>
          <w:b/>
          <w:sz w:val="24"/>
          <w:szCs w:val="24"/>
          <w:lang w:val="es-ES"/>
        </w:rPr>
        <w:t>, Maria Francesca</w:t>
      </w:r>
      <w:r w:rsidRPr="00C11F21">
        <w:rPr>
          <w:rFonts w:ascii="Book Antiqua" w:hAnsi="Book Antiqua" w:cstheme="minorHAnsi"/>
          <w:b/>
          <w:sz w:val="24"/>
          <w:szCs w:val="24"/>
          <w:lang w:val="es-ES"/>
        </w:rPr>
        <w:t xml:space="preserve"> </w:t>
      </w:r>
      <w:r w:rsidR="00B42CE3" w:rsidRPr="00C11F21">
        <w:rPr>
          <w:rFonts w:ascii="Book Antiqua" w:hAnsi="Book Antiqua" w:cstheme="minorHAnsi"/>
          <w:b/>
          <w:sz w:val="24"/>
          <w:szCs w:val="24"/>
          <w:lang w:val="es-ES"/>
        </w:rPr>
        <w:t>Cortese</w:t>
      </w:r>
      <w:r w:rsidR="00B11B5E">
        <w:rPr>
          <w:rFonts w:ascii="Book Antiqua" w:hAnsi="Book Antiqua" w:cstheme="minorHAnsi" w:hint="eastAsia"/>
          <w:b/>
          <w:sz w:val="24"/>
          <w:szCs w:val="24"/>
          <w:lang w:val="es-ES" w:eastAsia="zh-CN"/>
        </w:rPr>
        <w:t xml:space="preserve">, </w:t>
      </w:r>
      <w:r w:rsidRPr="00C11F21">
        <w:rPr>
          <w:rFonts w:ascii="Book Antiqua" w:hAnsi="Book Antiqua" w:cstheme="minorHAnsi"/>
          <w:b/>
          <w:sz w:val="24"/>
          <w:szCs w:val="24"/>
          <w:lang w:val="es-ES"/>
        </w:rPr>
        <w:t>Josep Quer</w:t>
      </w:r>
      <w:r w:rsidR="00BF4408" w:rsidRPr="00C11F21">
        <w:rPr>
          <w:rFonts w:ascii="Book Antiqua" w:hAnsi="Book Antiqua" w:cstheme="minorHAnsi" w:hint="eastAsia"/>
          <w:b/>
          <w:sz w:val="24"/>
          <w:szCs w:val="24"/>
          <w:lang w:val="es-ES" w:eastAsia="zh-CN"/>
        </w:rPr>
        <w:t xml:space="preserve">, </w:t>
      </w:r>
      <w:r w:rsidR="00EE2457" w:rsidRPr="00C11F21">
        <w:rPr>
          <w:rFonts w:ascii="Book Antiqua" w:hAnsi="Book Antiqua" w:cstheme="minorHAnsi"/>
          <w:sz w:val="24"/>
          <w:szCs w:val="24"/>
          <w:lang w:val="es-ES"/>
        </w:rPr>
        <w:t>Liver Unit, Liver Disease Laboratory-Viral Hepatitis, Vall d’Hebron Institut Recerca-Hospital Universitari Vall d’Hebron, Universitat Autònoma de Barcelona, Barcelona</w:t>
      </w:r>
      <w:r w:rsidR="00BF4408" w:rsidRPr="00C11F21">
        <w:rPr>
          <w:rFonts w:ascii="Book Antiqua" w:hAnsi="Book Antiqua" w:cstheme="minorHAnsi" w:hint="eastAsia"/>
          <w:sz w:val="24"/>
          <w:szCs w:val="24"/>
          <w:lang w:val="es-ES" w:eastAsia="zh-CN"/>
        </w:rPr>
        <w:t xml:space="preserve"> </w:t>
      </w:r>
      <w:r w:rsidR="00BF4408" w:rsidRPr="00C11F21">
        <w:rPr>
          <w:rFonts w:ascii="Book Antiqua" w:hAnsi="Book Antiqua" w:cstheme="minorHAnsi"/>
          <w:sz w:val="24"/>
          <w:szCs w:val="24"/>
          <w:lang w:val="es-ES"/>
        </w:rPr>
        <w:t>08035</w:t>
      </w:r>
      <w:r w:rsidR="00EE2457" w:rsidRPr="00C11F21">
        <w:rPr>
          <w:rFonts w:ascii="Book Antiqua" w:hAnsi="Book Antiqua" w:cstheme="minorHAnsi"/>
          <w:sz w:val="24"/>
          <w:szCs w:val="24"/>
          <w:lang w:val="es-ES"/>
        </w:rPr>
        <w:t>, Spain</w:t>
      </w:r>
    </w:p>
    <w:p w14:paraId="28CDCBA2" w14:textId="77777777" w:rsidR="005C659B" w:rsidRPr="00C11F21" w:rsidRDefault="005C659B" w:rsidP="00F33187">
      <w:pPr>
        <w:autoSpaceDE w:val="0"/>
        <w:autoSpaceDN w:val="0"/>
        <w:adjustRightInd w:val="0"/>
        <w:snapToGrid w:val="0"/>
        <w:spacing w:after="0" w:line="360" w:lineRule="auto"/>
        <w:jc w:val="both"/>
        <w:rPr>
          <w:rFonts w:ascii="Book Antiqua" w:hAnsi="Book Antiqua" w:cstheme="minorHAnsi"/>
          <w:sz w:val="24"/>
          <w:szCs w:val="24"/>
          <w:lang w:val="es-ES"/>
        </w:rPr>
      </w:pPr>
    </w:p>
    <w:p w14:paraId="7A09CB9B" w14:textId="0A6BC5D1" w:rsidR="005C659B" w:rsidRPr="00C11F21" w:rsidRDefault="005C659B" w:rsidP="00F33187">
      <w:pPr>
        <w:autoSpaceDE w:val="0"/>
        <w:autoSpaceDN w:val="0"/>
        <w:adjustRightInd w:val="0"/>
        <w:snapToGrid w:val="0"/>
        <w:spacing w:after="0" w:line="360" w:lineRule="auto"/>
        <w:jc w:val="both"/>
        <w:rPr>
          <w:rFonts w:ascii="Book Antiqua" w:hAnsi="Book Antiqua"/>
          <w:sz w:val="24"/>
          <w:szCs w:val="24"/>
          <w:lang w:val="es-ES"/>
        </w:rPr>
      </w:pPr>
      <w:r w:rsidRPr="00C11F21">
        <w:rPr>
          <w:rFonts w:ascii="Book Antiqua" w:hAnsi="Book Antiqua" w:cstheme="minorHAnsi"/>
          <w:b/>
          <w:sz w:val="24"/>
          <w:szCs w:val="24"/>
          <w:lang w:val="es-ES"/>
        </w:rPr>
        <w:t>David Tabernero, Josep Gregori, Mar Riveiro-Barciela, Josep Quer, Rafael Esteban, Maria Buti</w:t>
      </w:r>
      <w:r w:rsidR="00B11B5E">
        <w:rPr>
          <w:rFonts w:ascii="Book Antiqua" w:hAnsi="Book Antiqua" w:cstheme="minorHAnsi" w:hint="eastAsia"/>
          <w:b/>
          <w:sz w:val="24"/>
          <w:szCs w:val="24"/>
          <w:lang w:val="es-ES" w:eastAsia="zh-CN"/>
        </w:rPr>
        <w:t xml:space="preserve">, </w:t>
      </w:r>
      <w:r w:rsidRPr="00C11F21">
        <w:rPr>
          <w:rFonts w:ascii="Book Antiqua" w:hAnsi="Book Antiqua" w:cstheme="minorHAnsi"/>
          <w:b/>
          <w:sz w:val="24"/>
          <w:szCs w:val="24"/>
          <w:lang w:val="es-ES"/>
        </w:rPr>
        <w:t>Francisco Rodríguez-Frías</w:t>
      </w:r>
      <w:r w:rsidR="00BF4408" w:rsidRPr="00C11F21">
        <w:rPr>
          <w:rFonts w:ascii="Book Antiqua" w:hAnsi="Book Antiqua" w:cstheme="minorHAnsi" w:hint="eastAsia"/>
          <w:b/>
          <w:sz w:val="24"/>
          <w:szCs w:val="24"/>
          <w:lang w:val="es-ES" w:eastAsia="zh-CN"/>
        </w:rPr>
        <w:t xml:space="preserve">, </w:t>
      </w:r>
      <w:r w:rsidRPr="00C11F21">
        <w:rPr>
          <w:rFonts w:ascii="Book Antiqua" w:hAnsi="Book Antiqua"/>
          <w:sz w:val="24"/>
          <w:szCs w:val="24"/>
          <w:lang w:val="es-ES"/>
        </w:rPr>
        <w:t>Centro de Investigación Biomédica en Red de Enfermedades Hepáticas y Digestivas (CIBERehd), Instituto de Salud Carlos III, Madrid</w:t>
      </w:r>
      <w:r w:rsidR="00BF4408" w:rsidRPr="00C11F21">
        <w:rPr>
          <w:rFonts w:ascii="Book Antiqua" w:hAnsi="Book Antiqua" w:hint="eastAsia"/>
          <w:sz w:val="24"/>
          <w:szCs w:val="24"/>
          <w:lang w:val="es-ES" w:eastAsia="zh-CN"/>
        </w:rPr>
        <w:t xml:space="preserve"> </w:t>
      </w:r>
      <w:r w:rsidR="00BF4408" w:rsidRPr="00C11F21">
        <w:rPr>
          <w:rFonts w:ascii="Book Antiqua" w:hAnsi="Book Antiqua"/>
          <w:sz w:val="24"/>
          <w:szCs w:val="24"/>
          <w:lang w:val="es-ES"/>
        </w:rPr>
        <w:t>28029</w:t>
      </w:r>
      <w:r w:rsidRPr="00C11F21">
        <w:rPr>
          <w:rFonts w:ascii="Book Antiqua" w:hAnsi="Book Antiqua"/>
          <w:sz w:val="24"/>
          <w:szCs w:val="24"/>
          <w:lang w:val="es-ES"/>
        </w:rPr>
        <w:t>,</w:t>
      </w:r>
      <w:r w:rsidR="00F33187" w:rsidRPr="00C11F21">
        <w:rPr>
          <w:rFonts w:ascii="Book Antiqua" w:hAnsi="Book Antiqua" w:hint="eastAsia"/>
          <w:sz w:val="24"/>
          <w:szCs w:val="24"/>
          <w:lang w:val="es-ES" w:eastAsia="zh-CN"/>
        </w:rPr>
        <w:t xml:space="preserve"> </w:t>
      </w:r>
      <w:r w:rsidRPr="00C11F21">
        <w:rPr>
          <w:rFonts w:ascii="Book Antiqua" w:hAnsi="Book Antiqua"/>
          <w:sz w:val="24"/>
          <w:szCs w:val="24"/>
          <w:lang w:val="es-ES"/>
        </w:rPr>
        <w:t>Spain</w:t>
      </w:r>
    </w:p>
    <w:p w14:paraId="64D4FDA1" w14:textId="77777777" w:rsidR="005C659B" w:rsidRPr="00C11F21" w:rsidRDefault="005C659B" w:rsidP="00F33187">
      <w:pPr>
        <w:autoSpaceDE w:val="0"/>
        <w:autoSpaceDN w:val="0"/>
        <w:adjustRightInd w:val="0"/>
        <w:snapToGrid w:val="0"/>
        <w:spacing w:after="0" w:line="360" w:lineRule="auto"/>
        <w:jc w:val="both"/>
        <w:rPr>
          <w:rFonts w:ascii="Book Antiqua" w:hAnsi="Book Antiqua"/>
          <w:sz w:val="24"/>
          <w:szCs w:val="24"/>
          <w:lang w:val="es-ES"/>
        </w:rPr>
      </w:pPr>
    </w:p>
    <w:p w14:paraId="5A13014C" w14:textId="68FCB490" w:rsidR="00F74140" w:rsidRPr="00C11F21" w:rsidRDefault="00F74140" w:rsidP="00F33187">
      <w:pPr>
        <w:snapToGrid w:val="0"/>
        <w:spacing w:after="0" w:line="360" w:lineRule="auto"/>
        <w:jc w:val="both"/>
        <w:rPr>
          <w:rFonts w:ascii="Book Antiqua" w:hAnsi="Book Antiqua"/>
          <w:sz w:val="24"/>
          <w:szCs w:val="24"/>
          <w:lang w:val="es-ES"/>
        </w:rPr>
      </w:pPr>
      <w:r w:rsidRPr="00C11F21">
        <w:rPr>
          <w:rFonts w:ascii="Book Antiqua" w:hAnsi="Book Antiqua"/>
          <w:b/>
          <w:sz w:val="24"/>
          <w:szCs w:val="24"/>
          <w:lang w:val="es-ES"/>
        </w:rPr>
        <w:t>Josep Gregori</w:t>
      </w:r>
      <w:r w:rsidR="00BF4408" w:rsidRPr="00C11F21">
        <w:rPr>
          <w:rFonts w:ascii="Book Antiqua" w:hAnsi="Book Antiqua" w:hint="eastAsia"/>
          <w:b/>
          <w:sz w:val="24"/>
          <w:szCs w:val="24"/>
          <w:lang w:val="es-ES" w:eastAsia="zh-CN"/>
        </w:rPr>
        <w:t xml:space="preserve">, </w:t>
      </w:r>
      <w:r w:rsidRPr="00C11F21">
        <w:rPr>
          <w:rFonts w:ascii="Book Antiqua" w:hAnsi="Book Antiqua"/>
          <w:sz w:val="24"/>
          <w:szCs w:val="24"/>
          <w:lang w:val="es-ES"/>
        </w:rPr>
        <w:t>Roche Diagnostics SL,  Sant Cugat del Vallès</w:t>
      </w:r>
      <w:r w:rsidR="00BF4408" w:rsidRPr="00C11F21">
        <w:rPr>
          <w:rFonts w:ascii="Book Antiqua" w:hAnsi="Book Antiqua" w:hint="eastAsia"/>
          <w:sz w:val="24"/>
          <w:szCs w:val="24"/>
          <w:lang w:val="es-ES" w:eastAsia="zh-CN"/>
        </w:rPr>
        <w:t xml:space="preserve"> </w:t>
      </w:r>
      <w:r w:rsidR="00BF4408" w:rsidRPr="00C11F21">
        <w:rPr>
          <w:rFonts w:ascii="Book Antiqua" w:hAnsi="Book Antiqua"/>
          <w:sz w:val="24"/>
          <w:szCs w:val="24"/>
          <w:lang w:val="es-ES"/>
        </w:rPr>
        <w:t>08174</w:t>
      </w:r>
      <w:r w:rsidRPr="00C11F21">
        <w:rPr>
          <w:rFonts w:ascii="Book Antiqua" w:hAnsi="Book Antiqua"/>
          <w:sz w:val="24"/>
          <w:szCs w:val="24"/>
          <w:lang w:val="es-ES"/>
        </w:rPr>
        <w:t>, Spain</w:t>
      </w:r>
    </w:p>
    <w:p w14:paraId="2625AB76" w14:textId="77777777" w:rsidR="00F74140" w:rsidRPr="00C11F21" w:rsidRDefault="00F74140" w:rsidP="00F33187">
      <w:pPr>
        <w:autoSpaceDE w:val="0"/>
        <w:autoSpaceDN w:val="0"/>
        <w:adjustRightInd w:val="0"/>
        <w:snapToGrid w:val="0"/>
        <w:spacing w:after="0" w:line="360" w:lineRule="auto"/>
        <w:jc w:val="both"/>
        <w:rPr>
          <w:rFonts w:ascii="Book Antiqua" w:hAnsi="Book Antiqua"/>
          <w:sz w:val="24"/>
          <w:szCs w:val="24"/>
          <w:lang w:val="es-ES"/>
        </w:rPr>
      </w:pPr>
    </w:p>
    <w:p w14:paraId="0E2F8218" w14:textId="62173729" w:rsidR="005C659B" w:rsidRPr="00C11F21" w:rsidRDefault="005C659B" w:rsidP="00F33187">
      <w:pPr>
        <w:snapToGrid w:val="0"/>
        <w:spacing w:after="0" w:line="360" w:lineRule="auto"/>
        <w:jc w:val="both"/>
        <w:rPr>
          <w:rFonts w:ascii="Book Antiqua" w:hAnsi="Book Antiqua"/>
          <w:sz w:val="24"/>
          <w:szCs w:val="24"/>
          <w:lang w:val="es-ES"/>
        </w:rPr>
      </w:pPr>
      <w:r w:rsidRPr="00C11F21">
        <w:rPr>
          <w:rFonts w:ascii="Book Antiqua" w:hAnsi="Book Antiqua"/>
          <w:b/>
          <w:sz w:val="24"/>
          <w:szCs w:val="24"/>
          <w:lang w:val="es-ES"/>
        </w:rPr>
        <w:t>Mar Riveiro-Barciela, Rafael Esteban</w:t>
      </w:r>
      <w:r w:rsidR="00B11B5E">
        <w:rPr>
          <w:rFonts w:ascii="Book Antiqua" w:hAnsi="Book Antiqua" w:hint="eastAsia"/>
          <w:b/>
          <w:sz w:val="24"/>
          <w:szCs w:val="24"/>
          <w:lang w:val="es-ES" w:eastAsia="zh-CN"/>
        </w:rPr>
        <w:t xml:space="preserve">, </w:t>
      </w:r>
      <w:r w:rsidRPr="00C11F21">
        <w:rPr>
          <w:rFonts w:ascii="Book Antiqua" w:hAnsi="Book Antiqua"/>
          <w:b/>
          <w:sz w:val="24"/>
          <w:szCs w:val="24"/>
          <w:lang w:val="es-ES"/>
        </w:rPr>
        <w:t>Maria Buti</w:t>
      </w:r>
      <w:r w:rsidR="00BF4408" w:rsidRPr="00C11F21">
        <w:rPr>
          <w:rFonts w:ascii="Book Antiqua" w:hAnsi="Book Antiqua" w:hint="eastAsia"/>
          <w:b/>
          <w:sz w:val="24"/>
          <w:szCs w:val="24"/>
          <w:lang w:val="es-ES" w:eastAsia="zh-CN"/>
        </w:rPr>
        <w:t xml:space="preserve">, </w:t>
      </w:r>
      <w:r w:rsidRPr="00C11F21">
        <w:rPr>
          <w:rFonts w:ascii="Book Antiqua" w:hAnsi="Book Antiqua"/>
          <w:sz w:val="24"/>
          <w:szCs w:val="24"/>
          <w:lang w:val="es-ES"/>
        </w:rPr>
        <w:t xml:space="preserve">Liver Unit, </w:t>
      </w:r>
      <w:r w:rsidR="00944E59" w:rsidRPr="00C11F21">
        <w:rPr>
          <w:rFonts w:ascii="Book Antiqua" w:hAnsi="Book Antiqua"/>
          <w:sz w:val="24"/>
          <w:szCs w:val="24"/>
          <w:lang w:val="es-ES"/>
        </w:rPr>
        <w:t xml:space="preserve">Department of Internal Medicine, </w:t>
      </w:r>
      <w:r w:rsidRPr="00C11F21">
        <w:rPr>
          <w:rFonts w:ascii="Book Antiqua" w:hAnsi="Book Antiqua"/>
          <w:sz w:val="24"/>
          <w:szCs w:val="24"/>
          <w:lang w:val="es-ES"/>
        </w:rPr>
        <w:t>Hospital Universitari Vall d'Hebron, Univers</w:t>
      </w:r>
      <w:r w:rsidR="00EE2457" w:rsidRPr="00C11F21">
        <w:rPr>
          <w:rFonts w:ascii="Book Antiqua" w:hAnsi="Book Antiqua"/>
          <w:sz w:val="24"/>
          <w:szCs w:val="24"/>
          <w:lang w:val="es-ES"/>
        </w:rPr>
        <w:t>itat Autònoma de Barcelona</w:t>
      </w:r>
      <w:r w:rsidRPr="00C11F21">
        <w:rPr>
          <w:rFonts w:ascii="Book Antiqua" w:hAnsi="Book Antiqua"/>
          <w:sz w:val="24"/>
          <w:szCs w:val="24"/>
          <w:lang w:val="es-ES"/>
        </w:rPr>
        <w:t>, Barcelona</w:t>
      </w:r>
      <w:r w:rsidR="00BF4408" w:rsidRPr="00C11F21">
        <w:rPr>
          <w:rFonts w:ascii="Book Antiqua" w:hAnsi="Book Antiqua" w:hint="eastAsia"/>
          <w:sz w:val="24"/>
          <w:szCs w:val="24"/>
          <w:lang w:val="es-ES" w:eastAsia="zh-CN"/>
        </w:rPr>
        <w:t xml:space="preserve"> </w:t>
      </w:r>
      <w:r w:rsidR="00BF4408" w:rsidRPr="00C11F21">
        <w:rPr>
          <w:rFonts w:ascii="Book Antiqua" w:hAnsi="Book Antiqua"/>
          <w:sz w:val="24"/>
          <w:szCs w:val="24"/>
          <w:lang w:val="es-ES"/>
        </w:rPr>
        <w:t>08035</w:t>
      </w:r>
      <w:r w:rsidRPr="00C11F21">
        <w:rPr>
          <w:rFonts w:ascii="Book Antiqua" w:hAnsi="Book Antiqua"/>
          <w:sz w:val="24"/>
          <w:szCs w:val="24"/>
          <w:lang w:val="es-ES"/>
        </w:rPr>
        <w:t>, Spain</w:t>
      </w:r>
    </w:p>
    <w:p w14:paraId="4F9E9D59" w14:textId="77777777" w:rsidR="005C659B" w:rsidRPr="00C11F21" w:rsidRDefault="005C659B" w:rsidP="00F33187">
      <w:pPr>
        <w:autoSpaceDE w:val="0"/>
        <w:autoSpaceDN w:val="0"/>
        <w:adjustRightInd w:val="0"/>
        <w:snapToGrid w:val="0"/>
        <w:spacing w:after="0" w:line="360" w:lineRule="auto"/>
        <w:jc w:val="both"/>
        <w:rPr>
          <w:rFonts w:ascii="Book Antiqua" w:hAnsi="Book Antiqua" w:cstheme="minorHAnsi"/>
          <w:sz w:val="24"/>
          <w:szCs w:val="24"/>
          <w:lang w:val="es-ES"/>
        </w:rPr>
      </w:pPr>
    </w:p>
    <w:p w14:paraId="694B20FF" w14:textId="4246CC4E" w:rsidR="00A66DBE" w:rsidRPr="00C11F21" w:rsidRDefault="00A66DBE" w:rsidP="00F33187">
      <w:pPr>
        <w:autoSpaceDE w:val="0"/>
        <w:autoSpaceDN w:val="0"/>
        <w:adjustRightInd w:val="0"/>
        <w:snapToGrid w:val="0"/>
        <w:spacing w:after="0" w:line="360" w:lineRule="auto"/>
        <w:jc w:val="both"/>
        <w:rPr>
          <w:rFonts w:ascii="Book Antiqua" w:hAnsi="Book Antiqua" w:cstheme="minorHAnsi"/>
          <w:b/>
          <w:sz w:val="24"/>
          <w:szCs w:val="24"/>
          <w:lang w:val="es-ES"/>
        </w:rPr>
      </w:pPr>
      <w:r w:rsidRPr="00C11F21">
        <w:rPr>
          <w:rFonts w:ascii="Book Antiqua" w:hAnsi="Book Antiqua" w:cstheme="minorHAnsi"/>
          <w:b/>
          <w:sz w:val="24"/>
          <w:szCs w:val="24"/>
          <w:lang w:val="es-ES"/>
        </w:rPr>
        <w:t xml:space="preserve">ORCID </w:t>
      </w:r>
      <w:r w:rsidR="00BF4408" w:rsidRPr="00C11F21">
        <w:rPr>
          <w:rFonts w:ascii="Book Antiqua" w:hAnsi="Book Antiqua" w:cstheme="minorHAnsi"/>
          <w:b/>
          <w:sz w:val="24"/>
          <w:szCs w:val="24"/>
          <w:lang w:val="es-ES"/>
        </w:rPr>
        <w:t>number</w:t>
      </w:r>
      <w:r w:rsidRPr="00C11F21">
        <w:rPr>
          <w:rFonts w:ascii="Book Antiqua" w:hAnsi="Book Antiqua" w:cstheme="minorHAnsi"/>
          <w:b/>
          <w:sz w:val="24"/>
          <w:szCs w:val="24"/>
          <w:lang w:val="es-ES"/>
        </w:rPr>
        <w:t>:</w:t>
      </w:r>
      <w:r w:rsidR="00BF4408" w:rsidRPr="00C11F21">
        <w:rPr>
          <w:rFonts w:ascii="Book Antiqua" w:hAnsi="Book Antiqua" w:cstheme="minorHAnsi" w:hint="eastAsia"/>
          <w:b/>
          <w:sz w:val="24"/>
          <w:szCs w:val="24"/>
          <w:lang w:val="es-ES" w:eastAsia="zh-CN"/>
        </w:rPr>
        <w:t xml:space="preserve"> </w:t>
      </w:r>
      <w:r w:rsidRPr="00C11F21">
        <w:rPr>
          <w:rFonts w:ascii="Book Antiqua" w:hAnsi="Book Antiqua" w:cstheme="minorHAnsi"/>
          <w:sz w:val="24"/>
          <w:szCs w:val="24"/>
          <w:lang w:val="es-ES"/>
        </w:rPr>
        <w:t>Rosario Casillas</w:t>
      </w:r>
      <w:r w:rsidR="00BF4408" w:rsidRPr="00C11F21">
        <w:rPr>
          <w:rFonts w:ascii="Book Antiqua" w:hAnsi="Book Antiqua" w:cstheme="minorHAnsi" w:hint="eastAsia"/>
          <w:sz w:val="24"/>
          <w:szCs w:val="24"/>
          <w:lang w:val="es-ES" w:eastAsia="zh-CN"/>
        </w:rPr>
        <w:t xml:space="preserve"> (</w:t>
      </w:r>
      <w:r w:rsidRPr="00C11F21">
        <w:rPr>
          <w:rFonts w:ascii="Book Antiqua" w:hAnsi="Book Antiqua" w:cstheme="minorHAnsi"/>
          <w:sz w:val="24"/>
          <w:szCs w:val="24"/>
          <w:lang w:val="es-ES"/>
        </w:rPr>
        <w:t>0000-0002-6758-6734</w:t>
      </w:r>
      <w:r w:rsidR="00BF4408" w:rsidRPr="00C11F21">
        <w:rPr>
          <w:rFonts w:ascii="Book Antiqua" w:hAnsi="Book Antiqua" w:cstheme="minorHAnsi" w:hint="eastAsia"/>
          <w:sz w:val="24"/>
          <w:szCs w:val="24"/>
          <w:lang w:val="es-ES" w:eastAsia="zh-CN"/>
        </w:rPr>
        <w:t xml:space="preserve">); </w:t>
      </w:r>
      <w:r w:rsidRPr="00C11F21">
        <w:rPr>
          <w:rFonts w:ascii="Book Antiqua" w:hAnsi="Book Antiqua" w:cstheme="minorHAnsi"/>
          <w:sz w:val="24"/>
          <w:szCs w:val="24"/>
          <w:lang w:val="es-ES"/>
        </w:rPr>
        <w:t>David Tabernero</w:t>
      </w:r>
      <w:r w:rsidR="00BF4408" w:rsidRPr="00C11F21">
        <w:rPr>
          <w:rFonts w:ascii="Book Antiqua" w:hAnsi="Book Antiqua" w:cstheme="minorHAnsi" w:hint="eastAsia"/>
          <w:sz w:val="24"/>
          <w:szCs w:val="24"/>
          <w:lang w:val="es-ES" w:eastAsia="zh-CN"/>
        </w:rPr>
        <w:t xml:space="preserve"> (</w:t>
      </w:r>
      <w:r w:rsidR="00BF4408" w:rsidRPr="00C11F21">
        <w:rPr>
          <w:rFonts w:ascii="Book Antiqua" w:hAnsi="Book Antiqua" w:cstheme="minorHAnsi"/>
          <w:sz w:val="24"/>
          <w:szCs w:val="24"/>
          <w:lang w:val="es-ES"/>
        </w:rPr>
        <w:t>0000-0002-1146-4084</w:t>
      </w:r>
      <w:r w:rsidR="00BF4408" w:rsidRPr="00C11F21">
        <w:rPr>
          <w:rFonts w:ascii="Book Antiqua" w:hAnsi="Book Antiqua" w:cstheme="minorHAnsi" w:hint="eastAsia"/>
          <w:sz w:val="24"/>
          <w:szCs w:val="24"/>
          <w:lang w:val="es-ES" w:eastAsia="zh-CN"/>
        </w:rPr>
        <w:t xml:space="preserve">); </w:t>
      </w:r>
      <w:r w:rsidRPr="00C11F21">
        <w:rPr>
          <w:rFonts w:ascii="Book Antiqua" w:hAnsi="Book Antiqua" w:cstheme="minorHAnsi"/>
          <w:sz w:val="24"/>
          <w:szCs w:val="24"/>
          <w:lang w:val="es-ES"/>
        </w:rPr>
        <w:t>Josep Gregori</w:t>
      </w:r>
      <w:r w:rsidR="00BF4408" w:rsidRPr="00C11F21">
        <w:rPr>
          <w:rFonts w:ascii="Book Antiqua" w:hAnsi="Book Antiqua" w:cstheme="minorHAnsi" w:hint="eastAsia"/>
          <w:sz w:val="24"/>
          <w:szCs w:val="24"/>
          <w:lang w:val="es-ES" w:eastAsia="zh-CN"/>
        </w:rPr>
        <w:t xml:space="preserve"> (</w:t>
      </w:r>
      <w:r w:rsidR="00BF4408" w:rsidRPr="00C11F21">
        <w:rPr>
          <w:rFonts w:ascii="Book Antiqua" w:hAnsi="Book Antiqua" w:cstheme="minorHAnsi"/>
          <w:sz w:val="24"/>
          <w:szCs w:val="24"/>
          <w:lang w:val="es-ES"/>
        </w:rPr>
        <w:t>0000-0002-4253-8015</w:t>
      </w:r>
      <w:r w:rsidR="00BF4408" w:rsidRPr="00C11F21">
        <w:rPr>
          <w:rFonts w:ascii="Book Antiqua" w:hAnsi="Book Antiqua" w:cstheme="minorHAnsi" w:hint="eastAsia"/>
          <w:sz w:val="24"/>
          <w:szCs w:val="24"/>
          <w:lang w:val="es-ES" w:eastAsia="zh-CN"/>
        </w:rPr>
        <w:t xml:space="preserve">); </w:t>
      </w:r>
      <w:r w:rsidRPr="00C11F21">
        <w:rPr>
          <w:rFonts w:ascii="Book Antiqua" w:hAnsi="Book Antiqua" w:cstheme="minorHAnsi"/>
          <w:sz w:val="24"/>
          <w:szCs w:val="24"/>
          <w:lang w:val="es-ES"/>
        </w:rPr>
        <w:t>Irene Belmonte</w:t>
      </w:r>
      <w:r w:rsidR="00BF4408" w:rsidRPr="00C11F21">
        <w:rPr>
          <w:rFonts w:ascii="Book Antiqua" w:hAnsi="Book Antiqua" w:cstheme="minorHAnsi" w:hint="eastAsia"/>
          <w:sz w:val="24"/>
          <w:szCs w:val="24"/>
          <w:lang w:val="es-ES" w:eastAsia="zh-CN"/>
        </w:rPr>
        <w:t xml:space="preserve"> (</w:t>
      </w:r>
      <w:r w:rsidRPr="00C11F21">
        <w:rPr>
          <w:rFonts w:ascii="Book Antiqua" w:hAnsi="Book Antiqua" w:cstheme="minorHAnsi"/>
          <w:sz w:val="24"/>
          <w:szCs w:val="24"/>
          <w:lang w:val="es-ES"/>
        </w:rPr>
        <w:t>0000-0002-8675-8343</w:t>
      </w:r>
      <w:r w:rsidR="00BF4408" w:rsidRPr="00C11F21">
        <w:rPr>
          <w:rFonts w:ascii="Book Antiqua" w:hAnsi="Book Antiqua" w:cstheme="minorHAnsi" w:hint="eastAsia"/>
          <w:sz w:val="24"/>
          <w:szCs w:val="24"/>
          <w:lang w:val="es-ES" w:eastAsia="zh-CN"/>
        </w:rPr>
        <w:t xml:space="preserve">); </w:t>
      </w:r>
      <w:r w:rsidRPr="00C11F21">
        <w:rPr>
          <w:rFonts w:ascii="Book Antiqua" w:hAnsi="Book Antiqua" w:cstheme="minorHAnsi"/>
          <w:sz w:val="24"/>
          <w:szCs w:val="24"/>
          <w:lang w:val="es-ES"/>
        </w:rPr>
        <w:t>Maria Francesca Cortese</w:t>
      </w:r>
      <w:r w:rsidR="00BF4408" w:rsidRPr="00C11F21">
        <w:rPr>
          <w:rFonts w:ascii="Book Antiqua" w:hAnsi="Book Antiqua" w:cstheme="minorHAnsi" w:hint="eastAsia"/>
          <w:sz w:val="24"/>
          <w:szCs w:val="24"/>
          <w:lang w:val="es-ES" w:eastAsia="zh-CN"/>
        </w:rPr>
        <w:t xml:space="preserve"> (</w:t>
      </w:r>
      <w:r w:rsidRPr="00C11F21">
        <w:rPr>
          <w:rFonts w:ascii="Book Antiqua" w:hAnsi="Book Antiqua" w:cstheme="minorHAnsi"/>
          <w:sz w:val="24"/>
          <w:szCs w:val="24"/>
          <w:lang w:val="es-ES"/>
        </w:rPr>
        <w:t>0000-0002-4318-532X</w:t>
      </w:r>
      <w:r w:rsidR="00BF4408" w:rsidRPr="00C11F21">
        <w:rPr>
          <w:rFonts w:ascii="Book Antiqua" w:hAnsi="Book Antiqua" w:cstheme="minorHAnsi" w:hint="eastAsia"/>
          <w:sz w:val="24"/>
          <w:szCs w:val="24"/>
          <w:lang w:val="es-ES" w:eastAsia="zh-CN"/>
        </w:rPr>
        <w:t xml:space="preserve">); </w:t>
      </w:r>
      <w:r w:rsidRPr="00C11F21">
        <w:rPr>
          <w:rFonts w:ascii="Book Antiqua" w:hAnsi="Book Antiqua" w:cstheme="minorHAnsi"/>
          <w:sz w:val="24"/>
          <w:szCs w:val="24"/>
          <w:lang w:val="es-ES"/>
        </w:rPr>
        <w:t>Carolina González</w:t>
      </w:r>
      <w:r w:rsidR="00BF4408" w:rsidRPr="00C11F21">
        <w:rPr>
          <w:rFonts w:ascii="Book Antiqua" w:hAnsi="Book Antiqua" w:cstheme="minorHAnsi" w:hint="eastAsia"/>
          <w:sz w:val="24"/>
          <w:szCs w:val="24"/>
          <w:lang w:val="es-ES" w:eastAsia="zh-CN"/>
        </w:rPr>
        <w:t xml:space="preserve"> (</w:t>
      </w:r>
      <w:r w:rsidRPr="00C11F21">
        <w:rPr>
          <w:rFonts w:ascii="Book Antiqua" w:hAnsi="Book Antiqua" w:cstheme="minorHAnsi"/>
          <w:sz w:val="24"/>
          <w:szCs w:val="24"/>
          <w:lang w:val="es-ES"/>
        </w:rPr>
        <w:t>0000-0002-0169-5874</w:t>
      </w:r>
      <w:r w:rsidR="00BF4408" w:rsidRPr="00C11F21">
        <w:rPr>
          <w:rFonts w:ascii="Book Antiqua" w:hAnsi="Book Antiqua" w:cstheme="minorHAnsi" w:hint="eastAsia"/>
          <w:sz w:val="24"/>
          <w:szCs w:val="24"/>
          <w:lang w:val="es-ES" w:eastAsia="zh-CN"/>
        </w:rPr>
        <w:t xml:space="preserve">); </w:t>
      </w:r>
      <w:r w:rsidRPr="00C11F21">
        <w:rPr>
          <w:rFonts w:ascii="Book Antiqua" w:hAnsi="Book Antiqua" w:cstheme="minorHAnsi"/>
          <w:sz w:val="24"/>
          <w:szCs w:val="24"/>
          <w:lang w:val="es-ES"/>
        </w:rPr>
        <w:t>Mar Riveiro-Barciela</w:t>
      </w:r>
      <w:r w:rsidR="00BF4408" w:rsidRPr="00C11F21">
        <w:rPr>
          <w:rFonts w:ascii="Book Antiqua" w:hAnsi="Book Antiqua" w:cstheme="minorHAnsi" w:hint="eastAsia"/>
          <w:sz w:val="24"/>
          <w:szCs w:val="24"/>
          <w:lang w:val="es-ES" w:eastAsia="zh-CN"/>
        </w:rPr>
        <w:t xml:space="preserve"> (</w:t>
      </w:r>
      <w:r w:rsidRPr="00C11F21">
        <w:rPr>
          <w:rFonts w:ascii="Book Antiqua" w:hAnsi="Book Antiqua" w:cstheme="minorHAnsi"/>
          <w:sz w:val="24"/>
          <w:szCs w:val="24"/>
          <w:lang w:val="es-ES"/>
        </w:rPr>
        <w:t>0000-0001-9309-2052</w:t>
      </w:r>
      <w:r w:rsidR="00BF4408" w:rsidRPr="00C11F21">
        <w:rPr>
          <w:rFonts w:ascii="Book Antiqua" w:hAnsi="Book Antiqua" w:cstheme="minorHAnsi" w:hint="eastAsia"/>
          <w:sz w:val="24"/>
          <w:szCs w:val="24"/>
          <w:lang w:val="es-ES" w:eastAsia="zh-CN"/>
        </w:rPr>
        <w:t xml:space="preserve">); </w:t>
      </w:r>
      <w:r w:rsidRPr="00C11F21">
        <w:rPr>
          <w:rFonts w:ascii="Book Antiqua" w:hAnsi="Book Antiqua" w:cstheme="minorHAnsi"/>
          <w:sz w:val="24"/>
          <w:szCs w:val="24"/>
          <w:lang w:val="es-ES"/>
        </w:rPr>
        <w:t>Rosa Maria López</w:t>
      </w:r>
      <w:r w:rsidR="00BF4408" w:rsidRPr="00C11F21">
        <w:rPr>
          <w:rFonts w:ascii="Book Antiqua" w:hAnsi="Book Antiqua" w:cstheme="minorHAnsi" w:hint="eastAsia"/>
          <w:sz w:val="24"/>
          <w:szCs w:val="24"/>
          <w:lang w:val="es-ES" w:eastAsia="zh-CN"/>
        </w:rPr>
        <w:t xml:space="preserve"> (</w:t>
      </w:r>
      <w:r w:rsidRPr="00C11F21">
        <w:rPr>
          <w:rFonts w:ascii="Book Antiqua" w:hAnsi="Book Antiqua" w:cstheme="minorHAnsi"/>
          <w:sz w:val="24"/>
          <w:szCs w:val="24"/>
          <w:lang w:val="es-ES"/>
        </w:rPr>
        <w:t>0000-0001-6207-7669</w:t>
      </w:r>
      <w:r w:rsidR="00BF4408" w:rsidRPr="00C11F21">
        <w:rPr>
          <w:rFonts w:ascii="Book Antiqua" w:hAnsi="Book Antiqua" w:cstheme="minorHAnsi" w:hint="eastAsia"/>
          <w:sz w:val="24"/>
          <w:szCs w:val="24"/>
          <w:lang w:val="es-ES" w:eastAsia="zh-CN"/>
        </w:rPr>
        <w:t xml:space="preserve">); </w:t>
      </w:r>
      <w:r w:rsidRPr="00C11F21">
        <w:rPr>
          <w:rFonts w:ascii="Book Antiqua" w:hAnsi="Book Antiqua" w:cstheme="minorHAnsi"/>
          <w:sz w:val="24"/>
          <w:szCs w:val="24"/>
          <w:lang w:val="es-ES"/>
        </w:rPr>
        <w:t>Josep Quer</w:t>
      </w:r>
      <w:r w:rsidR="00BF4408" w:rsidRPr="00C11F21">
        <w:rPr>
          <w:rFonts w:ascii="Book Antiqua" w:hAnsi="Book Antiqua" w:cstheme="minorHAnsi" w:hint="eastAsia"/>
          <w:sz w:val="24"/>
          <w:szCs w:val="24"/>
          <w:lang w:val="es-ES" w:eastAsia="zh-CN"/>
        </w:rPr>
        <w:t xml:space="preserve"> (</w:t>
      </w:r>
      <w:r w:rsidRPr="00C11F21">
        <w:rPr>
          <w:rFonts w:ascii="Book Antiqua" w:hAnsi="Book Antiqua" w:cstheme="minorHAnsi"/>
          <w:sz w:val="24"/>
          <w:szCs w:val="24"/>
          <w:lang w:val="es-ES"/>
        </w:rPr>
        <w:t>0000-0003-0014-084X</w:t>
      </w:r>
      <w:r w:rsidR="00BF4408" w:rsidRPr="00C11F21">
        <w:rPr>
          <w:rFonts w:ascii="Book Antiqua" w:hAnsi="Book Antiqua" w:cstheme="minorHAnsi" w:hint="eastAsia"/>
          <w:sz w:val="24"/>
          <w:szCs w:val="24"/>
          <w:lang w:val="es-ES" w:eastAsia="zh-CN"/>
        </w:rPr>
        <w:t xml:space="preserve">); </w:t>
      </w:r>
      <w:r w:rsidRPr="00C11F21">
        <w:rPr>
          <w:rFonts w:ascii="Book Antiqua" w:hAnsi="Book Antiqua" w:cstheme="minorHAnsi"/>
          <w:sz w:val="24"/>
          <w:szCs w:val="24"/>
          <w:lang w:val="es-ES"/>
        </w:rPr>
        <w:t>Rafael Esteban</w:t>
      </w:r>
      <w:r w:rsidR="00BF4408" w:rsidRPr="00C11F21">
        <w:rPr>
          <w:rFonts w:ascii="Book Antiqua" w:hAnsi="Book Antiqua" w:cstheme="minorHAnsi" w:hint="eastAsia"/>
          <w:sz w:val="24"/>
          <w:szCs w:val="24"/>
          <w:lang w:val="es-ES" w:eastAsia="zh-CN"/>
        </w:rPr>
        <w:t xml:space="preserve"> (</w:t>
      </w:r>
      <w:r w:rsidRPr="00C11F21">
        <w:rPr>
          <w:rFonts w:ascii="Book Antiqua" w:hAnsi="Book Antiqua" w:cstheme="minorHAnsi"/>
          <w:sz w:val="24"/>
          <w:szCs w:val="24"/>
          <w:lang w:val="es-ES"/>
        </w:rPr>
        <w:t>0000-0001-5280-392X</w:t>
      </w:r>
      <w:r w:rsidR="00BF4408" w:rsidRPr="00C11F21">
        <w:rPr>
          <w:rFonts w:ascii="Book Antiqua" w:hAnsi="Book Antiqua" w:cstheme="minorHAnsi" w:hint="eastAsia"/>
          <w:sz w:val="24"/>
          <w:szCs w:val="24"/>
          <w:lang w:val="es-ES" w:eastAsia="zh-CN"/>
        </w:rPr>
        <w:t xml:space="preserve">); </w:t>
      </w:r>
      <w:r w:rsidRPr="00C11F21">
        <w:rPr>
          <w:rFonts w:ascii="Book Antiqua" w:hAnsi="Book Antiqua" w:cstheme="minorHAnsi"/>
          <w:sz w:val="24"/>
          <w:szCs w:val="24"/>
          <w:lang w:val="es-ES"/>
        </w:rPr>
        <w:t>Maria Buti</w:t>
      </w:r>
      <w:r w:rsidR="00BF4408" w:rsidRPr="00C11F21">
        <w:rPr>
          <w:rFonts w:ascii="Book Antiqua" w:hAnsi="Book Antiqua" w:cstheme="minorHAnsi" w:hint="eastAsia"/>
          <w:sz w:val="24"/>
          <w:szCs w:val="24"/>
          <w:lang w:val="es-ES" w:eastAsia="zh-CN"/>
        </w:rPr>
        <w:t xml:space="preserve"> (</w:t>
      </w:r>
      <w:r w:rsidRPr="00C11F21">
        <w:rPr>
          <w:rFonts w:ascii="Book Antiqua" w:hAnsi="Book Antiqua" w:cstheme="minorHAnsi"/>
          <w:sz w:val="24"/>
          <w:szCs w:val="24"/>
          <w:lang w:val="es-ES"/>
        </w:rPr>
        <w:t>0000-0002-0732-3078</w:t>
      </w:r>
      <w:r w:rsidR="00BF4408" w:rsidRPr="00C11F21">
        <w:rPr>
          <w:rFonts w:ascii="Book Antiqua" w:hAnsi="Book Antiqua" w:cstheme="minorHAnsi" w:hint="eastAsia"/>
          <w:sz w:val="24"/>
          <w:szCs w:val="24"/>
          <w:lang w:val="es-ES" w:eastAsia="zh-CN"/>
        </w:rPr>
        <w:t xml:space="preserve">); </w:t>
      </w:r>
      <w:r w:rsidRPr="00C11F21">
        <w:rPr>
          <w:rFonts w:ascii="Book Antiqua" w:hAnsi="Book Antiqua" w:cstheme="minorHAnsi"/>
          <w:sz w:val="24"/>
          <w:szCs w:val="24"/>
          <w:lang w:val="es-ES"/>
        </w:rPr>
        <w:t>Francisco Rodríguez-Frías</w:t>
      </w:r>
      <w:r w:rsidR="00BF4408" w:rsidRPr="00C11F21">
        <w:rPr>
          <w:rFonts w:ascii="Book Antiqua" w:hAnsi="Book Antiqua" w:cstheme="minorHAnsi" w:hint="eastAsia"/>
          <w:sz w:val="24"/>
          <w:szCs w:val="24"/>
          <w:lang w:val="es-ES" w:eastAsia="zh-CN"/>
        </w:rPr>
        <w:t xml:space="preserve"> (</w:t>
      </w:r>
      <w:r w:rsidRPr="00C11F21">
        <w:rPr>
          <w:rFonts w:ascii="Book Antiqua" w:hAnsi="Book Antiqua" w:cstheme="minorHAnsi"/>
          <w:sz w:val="24"/>
          <w:szCs w:val="24"/>
          <w:lang w:val="es-ES"/>
        </w:rPr>
        <w:t>0000-0001-9058-4641</w:t>
      </w:r>
      <w:r w:rsidR="00BF4408" w:rsidRPr="00C11F21">
        <w:rPr>
          <w:rFonts w:ascii="Book Antiqua" w:hAnsi="Book Antiqua" w:cstheme="minorHAnsi" w:hint="eastAsia"/>
          <w:sz w:val="24"/>
          <w:szCs w:val="24"/>
          <w:lang w:val="es-ES" w:eastAsia="zh-CN"/>
        </w:rPr>
        <w:t>).</w:t>
      </w:r>
    </w:p>
    <w:p w14:paraId="226373B6" w14:textId="77777777" w:rsidR="00A66DBE" w:rsidRPr="00C11F21" w:rsidRDefault="00A66DBE" w:rsidP="00F33187">
      <w:pPr>
        <w:autoSpaceDE w:val="0"/>
        <w:autoSpaceDN w:val="0"/>
        <w:adjustRightInd w:val="0"/>
        <w:snapToGrid w:val="0"/>
        <w:spacing w:after="0" w:line="360" w:lineRule="auto"/>
        <w:jc w:val="both"/>
        <w:rPr>
          <w:rFonts w:ascii="Book Antiqua" w:hAnsi="Book Antiqua" w:cstheme="minorHAnsi"/>
          <w:sz w:val="24"/>
          <w:szCs w:val="24"/>
          <w:lang w:val="es-ES"/>
        </w:rPr>
      </w:pPr>
    </w:p>
    <w:p w14:paraId="130735E1" w14:textId="77777777" w:rsidR="005C659B" w:rsidRPr="00C11F21" w:rsidRDefault="005C659B" w:rsidP="00F33187">
      <w:pPr>
        <w:snapToGrid w:val="0"/>
        <w:spacing w:after="0" w:line="360" w:lineRule="auto"/>
        <w:jc w:val="both"/>
        <w:rPr>
          <w:rFonts w:ascii="Book Antiqua" w:hAnsi="Book Antiqua"/>
          <w:sz w:val="24"/>
          <w:szCs w:val="24"/>
          <w:lang w:val="en-US"/>
        </w:rPr>
      </w:pPr>
      <w:r w:rsidRPr="00C11F21">
        <w:rPr>
          <w:rFonts w:ascii="Book Antiqua" w:hAnsi="Book Antiqua"/>
          <w:b/>
          <w:sz w:val="24"/>
          <w:szCs w:val="24"/>
          <w:lang w:val="en-US"/>
        </w:rPr>
        <w:t>Author contributions:</w:t>
      </w:r>
      <w:r w:rsidRPr="00C11F21">
        <w:rPr>
          <w:rFonts w:ascii="Book Antiqua" w:hAnsi="Book Antiqua"/>
          <w:sz w:val="24"/>
          <w:szCs w:val="24"/>
          <w:lang w:val="en-US"/>
        </w:rPr>
        <w:t xml:space="preserve"> Buti M and Rodríguez-Frías F </w:t>
      </w:r>
      <w:r w:rsidR="00B953E3" w:rsidRPr="00C11F21">
        <w:rPr>
          <w:rFonts w:ascii="Book Antiqua" w:hAnsi="Book Antiqua"/>
          <w:sz w:val="24"/>
          <w:szCs w:val="24"/>
          <w:lang w:val="en-US"/>
        </w:rPr>
        <w:t xml:space="preserve">equally </w:t>
      </w:r>
      <w:r w:rsidRPr="00C11F21">
        <w:rPr>
          <w:rFonts w:ascii="Book Antiqua" w:hAnsi="Book Antiqua"/>
          <w:sz w:val="24"/>
          <w:szCs w:val="24"/>
          <w:lang w:val="en-US"/>
        </w:rPr>
        <w:t>contributed to designing the research. Tabernero D and López RM coordinated the research. Casillas R and Belmonte I designed the experiments. Casillas R and González C performed the experiments. Casillas R, Tabernero D, Gregori J, Riveiro-Barciela M</w:t>
      </w:r>
      <w:r w:rsidR="004461AD" w:rsidRPr="00C11F21">
        <w:rPr>
          <w:rFonts w:ascii="Book Antiqua" w:hAnsi="Book Antiqua"/>
          <w:sz w:val="24"/>
          <w:szCs w:val="24"/>
          <w:lang w:val="en-US"/>
        </w:rPr>
        <w:t>,</w:t>
      </w:r>
      <w:r w:rsidRPr="00C11F21">
        <w:rPr>
          <w:rFonts w:ascii="Book Antiqua" w:hAnsi="Book Antiqua"/>
          <w:sz w:val="24"/>
          <w:szCs w:val="24"/>
          <w:lang w:val="en-US"/>
        </w:rPr>
        <w:t xml:space="preserve"> </w:t>
      </w:r>
      <w:r w:rsidR="00F94D84" w:rsidRPr="00C11F21">
        <w:rPr>
          <w:rFonts w:ascii="Book Antiqua" w:hAnsi="Book Antiqua"/>
          <w:sz w:val="24"/>
          <w:szCs w:val="24"/>
          <w:lang w:val="en-US"/>
        </w:rPr>
        <w:t xml:space="preserve">and </w:t>
      </w:r>
      <w:r w:rsidRPr="00C11F21">
        <w:rPr>
          <w:rFonts w:ascii="Book Antiqua" w:hAnsi="Book Antiqua"/>
          <w:sz w:val="24"/>
          <w:szCs w:val="24"/>
          <w:lang w:val="en-US"/>
        </w:rPr>
        <w:t xml:space="preserve">Quer J analyzed data acquired during the experiments and interpreted the results. Casillas R, Tabernero D and Belmonte I drafted the manuscript. </w:t>
      </w:r>
      <w:r w:rsidR="006C240B" w:rsidRPr="00C11F21">
        <w:rPr>
          <w:rFonts w:ascii="Book Antiqua" w:hAnsi="Book Antiqua"/>
          <w:sz w:val="24"/>
          <w:szCs w:val="24"/>
          <w:lang w:val="en-US"/>
        </w:rPr>
        <w:t xml:space="preserve">Cortese MF, </w:t>
      </w:r>
      <w:r w:rsidRPr="00C11F21">
        <w:rPr>
          <w:rFonts w:ascii="Book Antiqua" w:hAnsi="Book Antiqua"/>
          <w:sz w:val="24"/>
          <w:szCs w:val="24"/>
          <w:lang w:val="en-US"/>
        </w:rPr>
        <w:t xml:space="preserve">Buti M, Esteban R and Rodríguez-Frías F critically reviewed the manuscript. </w:t>
      </w:r>
    </w:p>
    <w:p w14:paraId="16AAA459" w14:textId="77777777" w:rsidR="005C659B" w:rsidRPr="00C11F21" w:rsidRDefault="005C659B" w:rsidP="00F33187">
      <w:pPr>
        <w:snapToGrid w:val="0"/>
        <w:spacing w:after="0" w:line="360" w:lineRule="auto"/>
        <w:jc w:val="both"/>
        <w:rPr>
          <w:rFonts w:ascii="Book Antiqua" w:hAnsi="Book Antiqua"/>
          <w:b/>
          <w:sz w:val="24"/>
          <w:szCs w:val="24"/>
          <w:lang w:val="en-US"/>
        </w:rPr>
      </w:pPr>
    </w:p>
    <w:p w14:paraId="2B6FB93C" w14:textId="2DD47F24" w:rsidR="005C659B" w:rsidRPr="00C11F21" w:rsidRDefault="005C659B" w:rsidP="00F33187">
      <w:pPr>
        <w:snapToGrid w:val="0"/>
        <w:spacing w:after="0" w:line="360" w:lineRule="auto"/>
        <w:jc w:val="both"/>
        <w:rPr>
          <w:rFonts w:ascii="Book Antiqua" w:hAnsi="Book Antiqua"/>
          <w:sz w:val="24"/>
          <w:szCs w:val="24"/>
          <w:lang w:val="en-US"/>
        </w:rPr>
      </w:pPr>
      <w:r w:rsidRPr="00C11F21">
        <w:rPr>
          <w:rFonts w:ascii="Book Antiqua" w:hAnsi="Book Antiqua" w:cs="Book Antiqua"/>
          <w:b/>
          <w:sz w:val="24"/>
          <w:szCs w:val="24"/>
          <w:lang w:val="en-US"/>
        </w:rPr>
        <w:t>Supported by</w:t>
      </w:r>
      <w:r w:rsidR="00B11B5E">
        <w:rPr>
          <w:rFonts w:ascii="Book Antiqua" w:hAnsi="Book Antiqua" w:cs="Book Antiqua" w:hint="eastAsia"/>
          <w:sz w:val="24"/>
          <w:szCs w:val="24"/>
          <w:lang w:val="en-US" w:eastAsia="zh-CN"/>
        </w:rPr>
        <w:t xml:space="preserve"> </w:t>
      </w:r>
      <w:r w:rsidRPr="00C11F21">
        <w:rPr>
          <w:rFonts w:ascii="Book Antiqua" w:hAnsi="Book Antiqua" w:cs="Book Antiqua"/>
          <w:sz w:val="24"/>
          <w:szCs w:val="24"/>
          <w:lang w:val="en-US"/>
        </w:rPr>
        <w:t>Instituto de Salud Carlos III</w:t>
      </w:r>
      <w:r w:rsidR="00B11B5E">
        <w:rPr>
          <w:rFonts w:ascii="Book Antiqua" w:hAnsi="Book Antiqua" w:cs="Book Antiqua" w:hint="eastAsia"/>
          <w:sz w:val="24"/>
          <w:szCs w:val="24"/>
          <w:lang w:val="en-US" w:eastAsia="zh-CN"/>
        </w:rPr>
        <w:t xml:space="preserve">, No. </w:t>
      </w:r>
      <w:r w:rsidR="00B11B5E">
        <w:rPr>
          <w:rFonts w:ascii="Book Antiqua" w:hAnsi="Book Antiqua" w:cs="Book Antiqua"/>
          <w:sz w:val="24"/>
          <w:szCs w:val="24"/>
          <w:lang w:val="en-US"/>
        </w:rPr>
        <w:t>PI14/01416 and</w:t>
      </w:r>
      <w:r w:rsidR="00B11B5E">
        <w:rPr>
          <w:rFonts w:ascii="Book Antiqua" w:hAnsi="Book Antiqua" w:cs="Book Antiqua" w:hint="eastAsia"/>
          <w:sz w:val="24"/>
          <w:szCs w:val="24"/>
          <w:lang w:val="en-US" w:eastAsia="zh-CN"/>
        </w:rPr>
        <w:t xml:space="preserve"> No. </w:t>
      </w:r>
      <w:r w:rsidR="00B11B5E">
        <w:rPr>
          <w:rFonts w:ascii="Book Antiqua" w:hAnsi="Book Antiqua" w:cs="Book Antiqua"/>
          <w:sz w:val="24"/>
          <w:szCs w:val="24"/>
          <w:lang w:val="en-US"/>
        </w:rPr>
        <w:t>PI15/00856</w:t>
      </w:r>
      <w:r w:rsidRPr="00C11F21">
        <w:rPr>
          <w:rFonts w:ascii="Book Antiqua" w:hAnsi="Book Antiqua" w:cs="Book Antiqua"/>
          <w:sz w:val="24"/>
          <w:szCs w:val="24"/>
          <w:lang w:val="en-US"/>
        </w:rPr>
        <w:t xml:space="preserve">, cofinanced by the European Regional Development Fund (ERDF); and the Gilead </w:t>
      </w:r>
      <w:r w:rsidRPr="00660112">
        <w:rPr>
          <w:rFonts w:ascii="Book Antiqua" w:hAnsi="Book Antiqua" w:cs="Book Antiqua"/>
          <w:caps/>
          <w:sz w:val="24"/>
          <w:szCs w:val="24"/>
          <w:lang w:val="en-US"/>
        </w:rPr>
        <w:t>f</w:t>
      </w:r>
      <w:r w:rsidRPr="00C11F21">
        <w:rPr>
          <w:rFonts w:ascii="Book Antiqua" w:hAnsi="Book Antiqua" w:cs="Book Antiqua"/>
          <w:sz w:val="24"/>
          <w:szCs w:val="24"/>
          <w:lang w:val="en-US"/>
        </w:rPr>
        <w:t xml:space="preserve">ellowship </w:t>
      </w:r>
      <w:r w:rsidRPr="00B11B5E">
        <w:rPr>
          <w:rFonts w:ascii="Book Antiqua" w:hAnsi="Book Antiqua" w:cs="Book Antiqua"/>
          <w:caps/>
          <w:sz w:val="24"/>
          <w:szCs w:val="24"/>
          <w:lang w:val="en-US"/>
        </w:rPr>
        <w:t>p</w:t>
      </w:r>
      <w:r w:rsidRPr="00C11F21">
        <w:rPr>
          <w:rFonts w:ascii="Book Antiqua" w:hAnsi="Book Antiqua" w:cs="Book Antiqua"/>
          <w:sz w:val="24"/>
          <w:szCs w:val="24"/>
          <w:lang w:val="en-US"/>
        </w:rPr>
        <w:t>rogram</w:t>
      </w:r>
      <w:r w:rsidR="00B11B5E">
        <w:rPr>
          <w:rFonts w:ascii="Book Antiqua" w:hAnsi="Book Antiqua" w:cs="Book Antiqua" w:hint="eastAsia"/>
          <w:sz w:val="24"/>
          <w:szCs w:val="24"/>
          <w:lang w:val="en-US" w:eastAsia="zh-CN"/>
        </w:rPr>
        <w:t>,</w:t>
      </w:r>
      <w:r w:rsidRPr="00C11F21">
        <w:rPr>
          <w:rFonts w:ascii="Book Antiqua" w:hAnsi="Book Antiqua" w:cs="Book Antiqua"/>
          <w:sz w:val="24"/>
          <w:szCs w:val="24"/>
          <w:lang w:val="en-US"/>
        </w:rPr>
        <w:t xml:space="preserve"> </w:t>
      </w:r>
      <w:r w:rsidR="00B11B5E">
        <w:rPr>
          <w:rFonts w:ascii="Book Antiqua" w:hAnsi="Book Antiqua" w:cs="Book Antiqua" w:hint="eastAsia"/>
          <w:sz w:val="24"/>
          <w:szCs w:val="24"/>
          <w:lang w:val="en-US" w:eastAsia="zh-CN"/>
        </w:rPr>
        <w:t xml:space="preserve">No. </w:t>
      </w:r>
      <w:r w:rsidR="00B11B5E">
        <w:rPr>
          <w:rFonts w:ascii="Book Antiqua" w:hAnsi="Book Antiqua" w:cs="Book Antiqua"/>
          <w:sz w:val="24"/>
          <w:szCs w:val="24"/>
          <w:lang w:val="en-US"/>
        </w:rPr>
        <w:t>GLD14-00296</w:t>
      </w:r>
      <w:r w:rsidRPr="00C11F21">
        <w:rPr>
          <w:rFonts w:ascii="Book Antiqua" w:hAnsi="Book Antiqua" w:cs="Book Antiqua"/>
          <w:sz w:val="24"/>
          <w:szCs w:val="24"/>
          <w:lang w:val="en-US"/>
        </w:rPr>
        <w:t>.</w:t>
      </w:r>
    </w:p>
    <w:p w14:paraId="7821F089" w14:textId="77777777" w:rsidR="005C659B" w:rsidRPr="00C11F21" w:rsidRDefault="005C659B" w:rsidP="00F33187">
      <w:pPr>
        <w:snapToGrid w:val="0"/>
        <w:spacing w:after="0" w:line="360" w:lineRule="auto"/>
        <w:jc w:val="both"/>
        <w:rPr>
          <w:rFonts w:ascii="Book Antiqua" w:hAnsi="Book Antiqua"/>
          <w:b/>
          <w:sz w:val="24"/>
          <w:szCs w:val="24"/>
          <w:lang w:val="en-US"/>
        </w:rPr>
      </w:pPr>
    </w:p>
    <w:p w14:paraId="4915AB62" w14:textId="77777777" w:rsidR="005C659B" w:rsidRPr="00C11F21" w:rsidRDefault="005C659B" w:rsidP="00F33187">
      <w:pPr>
        <w:snapToGrid w:val="0"/>
        <w:spacing w:after="0" w:line="360" w:lineRule="auto"/>
        <w:jc w:val="both"/>
        <w:rPr>
          <w:rFonts w:ascii="Book Antiqua" w:hAnsi="Book Antiqua"/>
          <w:sz w:val="24"/>
          <w:szCs w:val="24"/>
          <w:lang w:val="en-US"/>
        </w:rPr>
      </w:pPr>
      <w:r w:rsidRPr="00C11F21">
        <w:rPr>
          <w:rFonts w:ascii="Book Antiqua" w:hAnsi="Book Antiqua"/>
          <w:b/>
          <w:sz w:val="24"/>
          <w:szCs w:val="24"/>
          <w:lang w:val="en-US"/>
        </w:rPr>
        <w:t>Institutional review board statement:</w:t>
      </w:r>
      <w:r w:rsidRPr="00C11F21">
        <w:rPr>
          <w:rFonts w:ascii="Book Antiqua" w:hAnsi="Book Antiqua"/>
          <w:sz w:val="24"/>
          <w:szCs w:val="24"/>
          <w:lang w:val="en-US"/>
        </w:rPr>
        <w:t xml:space="preserve"> The study was reviewed and approved by the Clinical Research Ethics Committee (CEIC) of Hospital Universitari Vall d’Hebron.</w:t>
      </w:r>
    </w:p>
    <w:p w14:paraId="5F5CB2EE" w14:textId="77777777" w:rsidR="005C659B" w:rsidRPr="00C11F21" w:rsidRDefault="005C659B" w:rsidP="00F33187">
      <w:pPr>
        <w:snapToGrid w:val="0"/>
        <w:spacing w:after="0" w:line="360" w:lineRule="auto"/>
        <w:jc w:val="both"/>
        <w:rPr>
          <w:rFonts w:ascii="Book Antiqua" w:hAnsi="Book Antiqua"/>
          <w:b/>
          <w:sz w:val="24"/>
          <w:szCs w:val="24"/>
          <w:lang w:val="en-US"/>
        </w:rPr>
      </w:pPr>
    </w:p>
    <w:p w14:paraId="0249369F" w14:textId="600A20DD" w:rsidR="005C659B" w:rsidRPr="00C11F21" w:rsidRDefault="005C659B" w:rsidP="00F33187">
      <w:pPr>
        <w:snapToGrid w:val="0"/>
        <w:spacing w:after="0" w:line="360" w:lineRule="auto"/>
        <w:jc w:val="both"/>
        <w:rPr>
          <w:rFonts w:ascii="Book Antiqua" w:hAnsi="Book Antiqua"/>
          <w:sz w:val="24"/>
          <w:szCs w:val="24"/>
          <w:lang w:val="en-US"/>
        </w:rPr>
      </w:pPr>
      <w:r w:rsidRPr="00C11F21">
        <w:rPr>
          <w:rFonts w:ascii="Book Antiqua" w:hAnsi="Book Antiqua"/>
          <w:b/>
          <w:sz w:val="24"/>
          <w:szCs w:val="24"/>
          <w:lang w:val="en-US"/>
        </w:rPr>
        <w:lastRenderedPageBreak/>
        <w:t>Conflict-of-interest statement:</w:t>
      </w:r>
      <w:r w:rsidR="00F33187" w:rsidRPr="00C11F21">
        <w:rPr>
          <w:rFonts w:ascii="Book Antiqua" w:hAnsi="Book Antiqua" w:hint="eastAsia"/>
          <w:sz w:val="24"/>
          <w:szCs w:val="24"/>
          <w:lang w:val="en-US" w:eastAsia="zh-CN"/>
        </w:rPr>
        <w:t xml:space="preserve"> </w:t>
      </w:r>
      <w:r w:rsidRPr="00C11F21">
        <w:rPr>
          <w:rFonts w:ascii="Book Antiqua" w:hAnsi="Book Antiqua"/>
          <w:sz w:val="24"/>
          <w:szCs w:val="24"/>
          <w:lang w:val="en-US"/>
        </w:rPr>
        <w:t>Josep Gregori</w:t>
      </w:r>
      <w:r w:rsidR="00B11B5E">
        <w:rPr>
          <w:rFonts w:ascii="Book Antiqua" w:hAnsi="Book Antiqua" w:hint="eastAsia"/>
          <w:sz w:val="24"/>
          <w:szCs w:val="24"/>
          <w:lang w:val="en-US" w:eastAsia="zh-CN"/>
        </w:rPr>
        <w:t xml:space="preserve"> </w:t>
      </w:r>
      <w:r w:rsidRPr="00C11F21">
        <w:rPr>
          <w:rFonts w:ascii="Book Antiqua" w:hAnsi="Book Antiqua"/>
          <w:sz w:val="24"/>
          <w:szCs w:val="24"/>
          <w:lang w:val="en-US"/>
        </w:rPr>
        <w:t>is an employee of Roche Diagnostics</w:t>
      </w:r>
      <w:r w:rsidR="00115015" w:rsidRPr="00C11F21">
        <w:rPr>
          <w:rFonts w:ascii="Book Antiqua" w:hAnsi="Book Antiqua"/>
          <w:sz w:val="24"/>
          <w:szCs w:val="24"/>
          <w:lang w:val="en-US"/>
        </w:rPr>
        <w:t>,</w:t>
      </w:r>
      <w:r w:rsidRPr="00C11F21">
        <w:rPr>
          <w:rFonts w:ascii="Book Antiqua" w:hAnsi="Book Antiqua"/>
          <w:sz w:val="24"/>
          <w:szCs w:val="24"/>
          <w:lang w:val="en-US"/>
        </w:rPr>
        <w:t xml:space="preserve"> SL.</w:t>
      </w:r>
    </w:p>
    <w:p w14:paraId="4DC1234A" w14:textId="77777777" w:rsidR="005C659B" w:rsidRPr="00C11F21" w:rsidRDefault="005C659B" w:rsidP="00F33187">
      <w:pPr>
        <w:snapToGrid w:val="0"/>
        <w:spacing w:after="0" w:line="360" w:lineRule="auto"/>
        <w:jc w:val="both"/>
        <w:rPr>
          <w:rFonts w:ascii="Book Antiqua" w:hAnsi="Book Antiqua"/>
          <w:b/>
          <w:sz w:val="24"/>
          <w:szCs w:val="24"/>
          <w:lang w:val="en-US"/>
        </w:rPr>
      </w:pPr>
    </w:p>
    <w:p w14:paraId="0573AA33" w14:textId="5486580E" w:rsidR="005C659B" w:rsidRPr="00C11F21" w:rsidRDefault="005C659B" w:rsidP="00F33187">
      <w:pPr>
        <w:snapToGrid w:val="0"/>
        <w:spacing w:after="0" w:line="360" w:lineRule="auto"/>
        <w:jc w:val="both"/>
        <w:rPr>
          <w:rFonts w:ascii="Book Antiqua" w:hAnsi="Book Antiqua"/>
          <w:sz w:val="24"/>
          <w:szCs w:val="24"/>
          <w:lang w:val="en-US"/>
        </w:rPr>
      </w:pPr>
      <w:r w:rsidRPr="00C11F21">
        <w:rPr>
          <w:rFonts w:ascii="Book Antiqua" w:hAnsi="Book Antiqua"/>
          <w:b/>
          <w:sz w:val="24"/>
          <w:szCs w:val="24"/>
          <w:lang w:val="en-US"/>
        </w:rPr>
        <w:t>Data sharing statement</w:t>
      </w:r>
      <w:r w:rsidR="00F33187" w:rsidRPr="00C11F21">
        <w:rPr>
          <w:rFonts w:ascii="Book Antiqua" w:hAnsi="Book Antiqua" w:hint="eastAsia"/>
          <w:b/>
          <w:sz w:val="24"/>
          <w:szCs w:val="24"/>
          <w:lang w:val="en-US" w:eastAsia="zh-CN"/>
        </w:rPr>
        <w:t>:</w:t>
      </w:r>
      <w:r w:rsidR="00F33187" w:rsidRPr="00C11F21">
        <w:rPr>
          <w:rFonts w:ascii="Book Antiqua" w:hAnsi="Book Antiqua" w:hint="eastAsia"/>
          <w:sz w:val="24"/>
          <w:szCs w:val="24"/>
          <w:lang w:val="en-US" w:eastAsia="zh-CN"/>
        </w:rPr>
        <w:t xml:space="preserve"> </w:t>
      </w:r>
      <w:r w:rsidRPr="00C11F21">
        <w:rPr>
          <w:rFonts w:ascii="Book Antiqua" w:hAnsi="Book Antiqua"/>
          <w:sz w:val="24"/>
          <w:szCs w:val="24"/>
          <w:lang w:val="en-US"/>
        </w:rPr>
        <w:t>No additional data are available.</w:t>
      </w:r>
    </w:p>
    <w:p w14:paraId="4155289D" w14:textId="77777777" w:rsidR="006639B5" w:rsidRPr="00C11F21" w:rsidRDefault="006639B5" w:rsidP="00F33187">
      <w:pPr>
        <w:snapToGrid w:val="0"/>
        <w:spacing w:after="0" w:line="360" w:lineRule="auto"/>
        <w:jc w:val="both"/>
        <w:rPr>
          <w:rFonts w:ascii="Book Antiqua" w:hAnsi="Book Antiqua"/>
          <w:b/>
          <w:sz w:val="24"/>
          <w:szCs w:val="24"/>
          <w:lang w:val="en-US" w:eastAsia="zh-CN"/>
        </w:rPr>
      </w:pPr>
    </w:p>
    <w:p w14:paraId="46CDFF53" w14:textId="77777777" w:rsidR="00F33187" w:rsidRPr="00C11F21" w:rsidRDefault="00F33187" w:rsidP="00F33187">
      <w:pPr>
        <w:pStyle w:val="1"/>
        <w:snapToGrid w:val="0"/>
        <w:spacing w:line="360" w:lineRule="auto"/>
        <w:jc w:val="both"/>
        <w:rPr>
          <w:rFonts w:ascii="Book Antiqua" w:hAnsi="Book Antiqua" w:cs="Times New Roman"/>
          <w:bCs/>
          <w:color w:val="auto"/>
          <w:sz w:val="24"/>
          <w:szCs w:val="24"/>
          <w:highlight w:val="white"/>
          <w:lang w:val="en-US"/>
        </w:rPr>
      </w:pPr>
      <w:bookmarkStart w:id="2" w:name="OLE_LINK734"/>
      <w:bookmarkStart w:id="3" w:name="OLE_LINK441"/>
      <w:bookmarkStart w:id="4" w:name="OLE_LINK442"/>
      <w:bookmarkStart w:id="5" w:name="OLE_LINK1032"/>
      <w:bookmarkStart w:id="6" w:name="OLE_LINK1232"/>
      <w:bookmarkStart w:id="7" w:name="OLE_LINK559"/>
      <w:bookmarkStart w:id="8" w:name="OLE_LINK878"/>
      <w:bookmarkStart w:id="9" w:name="OLE_LINK879"/>
      <w:bookmarkStart w:id="10" w:name="OLE_LINK1100"/>
      <w:bookmarkStart w:id="11" w:name="OLE_LINK1101"/>
      <w:r w:rsidRPr="00C11F21">
        <w:rPr>
          <w:rFonts w:ascii="Book Antiqua" w:hAnsi="Book Antiqua" w:cs="Times New Roman"/>
          <w:b/>
          <w:bCs/>
          <w:color w:val="auto"/>
          <w:sz w:val="24"/>
          <w:szCs w:val="24"/>
          <w:highlight w:val="white"/>
          <w:lang w:val="en-US"/>
        </w:rPr>
        <w:t>Open-Access:</w:t>
      </w:r>
      <w:r w:rsidRPr="00C11F21">
        <w:rPr>
          <w:rFonts w:ascii="Book Antiqua" w:hAnsi="Book Antiqua" w:cs="Times New Roman"/>
          <w:bCs/>
          <w:color w:val="auto"/>
          <w:sz w:val="24"/>
          <w:szCs w:val="24"/>
          <w:highlight w:val="white"/>
          <w:lang w:val="en-US"/>
        </w:rPr>
        <w:t xml:space="preserve"> </w:t>
      </w:r>
      <w:bookmarkStart w:id="12" w:name="OLE_LINK479"/>
      <w:bookmarkStart w:id="13" w:name="OLE_LINK496"/>
      <w:bookmarkStart w:id="14" w:name="OLE_LINK506"/>
      <w:bookmarkStart w:id="15" w:name="OLE_LINK507"/>
      <w:r w:rsidRPr="00C11F21">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C11F21">
        <w:rPr>
          <w:rFonts w:ascii="Book Antiqua" w:hAnsi="Book Antiqua" w:cs="Times New Roman" w:hint="eastAsia"/>
          <w:bCs/>
          <w:color w:val="auto"/>
          <w:sz w:val="24"/>
          <w:szCs w:val="24"/>
          <w:highlight w:val="white"/>
          <w:lang w:val="en-US" w:eastAsia="zh-CN"/>
        </w:rPr>
        <w:t xml:space="preserve"> </w:t>
      </w:r>
      <w:r w:rsidRPr="00C11F21">
        <w:rPr>
          <w:rFonts w:ascii="Book Antiqua" w:hAnsi="Book Antiqua" w:cs="Times New Roman"/>
          <w:bCs/>
          <w:color w:val="auto"/>
          <w:sz w:val="24"/>
          <w:szCs w:val="24"/>
          <w:highlight w:val="white"/>
          <w:lang w:val="en-US"/>
        </w:rPr>
        <w:t>in</w:t>
      </w:r>
      <w:r w:rsidRPr="00C11F21">
        <w:rPr>
          <w:rFonts w:ascii="Book Antiqua" w:hAnsi="Book Antiqua" w:cs="Times New Roman" w:hint="eastAsia"/>
          <w:bCs/>
          <w:color w:val="auto"/>
          <w:sz w:val="24"/>
          <w:szCs w:val="24"/>
          <w:highlight w:val="white"/>
          <w:lang w:val="en-US" w:eastAsia="zh-CN"/>
        </w:rPr>
        <w:t xml:space="preserve"> </w:t>
      </w:r>
      <w:r w:rsidRPr="00C11F21">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405EA1">
          <w:rPr>
            <w:rStyle w:val="Hyperlink"/>
            <w:rFonts w:ascii="Book Antiqua" w:hAnsi="Book Antiqua" w:cs="Times New Roman"/>
            <w:bCs/>
            <w:color w:val="auto"/>
            <w:sz w:val="24"/>
            <w:szCs w:val="24"/>
            <w:highlight w:val="white"/>
            <w:u w:val="none"/>
            <w:lang w:val="en-US"/>
          </w:rPr>
          <w:t>http://creativecommons.org/licenses/by-nc/4.0/</w:t>
        </w:r>
      </w:hyperlink>
      <w:bookmarkEnd w:id="2"/>
      <w:bookmarkEnd w:id="12"/>
      <w:bookmarkEnd w:id="13"/>
      <w:bookmarkEnd w:id="14"/>
      <w:bookmarkEnd w:id="15"/>
    </w:p>
    <w:bookmarkEnd w:id="3"/>
    <w:bookmarkEnd w:id="4"/>
    <w:bookmarkEnd w:id="5"/>
    <w:bookmarkEnd w:id="6"/>
    <w:bookmarkEnd w:id="7"/>
    <w:p w14:paraId="67C8FDFF" w14:textId="77777777" w:rsidR="00F33187" w:rsidRPr="00C11F21" w:rsidRDefault="00F33187" w:rsidP="00F33187">
      <w:pPr>
        <w:pStyle w:val="1"/>
        <w:snapToGrid w:val="0"/>
        <w:spacing w:line="360" w:lineRule="auto"/>
        <w:jc w:val="both"/>
        <w:rPr>
          <w:rFonts w:ascii="Book Antiqua" w:hAnsi="Book Antiqua" w:cs="Times New Roman"/>
          <w:b/>
          <w:bCs/>
          <w:color w:val="auto"/>
          <w:sz w:val="24"/>
          <w:szCs w:val="24"/>
          <w:highlight w:val="white"/>
          <w:lang w:val="en-US" w:eastAsia="zh-CN"/>
        </w:rPr>
      </w:pPr>
    </w:p>
    <w:p w14:paraId="24C52097" w14:textId="77777777" w:rsidR="00F33187" w:rsidRPr="00C11F21" w:rsidRDefault="00F33187" w:rsidP="00F33187">
      <w:pPr>
        <w:pStyle w:val="1"/>
        <w:snapToGrid w:val="0"/>
        <w:spacing w:line="360" w:lineRule="auto"/>
        <w:jc w:val="both"/>
        <w:rPr>
          <w:rFonts w:ascii="Book Antiqua" w:hAnsi="Book Antiqua" w:cs="Times New Roman"/>
          <w:b/>
          <w:bCs/>
          <w:color w:val="auto"/>
          <w:sz w:val="24"/>
          <w:szCs w:val="24"/>
          <w:highlight w:val="white"/>
          <w:lang w:val="en-US" w:eastAsia="zh-CN"/>
        </w:rPr>
      </w:pPr>
      <w:r w:rsidRPr="00C11F21">
        <w:rPr>
          <w:rFonts w:ascii="Book Antiqua" w:hAnsi="Book Antiqua" w:cs="Times New Roman"/>
          <w:b/>
          <w:bCs/>
          <w:color w:val="auto"/>
          <w:sz w:val="24"/>
          <w:szCs w:val="24"/>
          <w:highlight w:val="white"/>
          <w:lang w:val="en-US"/>
        </w:rPr>
        <w:t>Manuscript source:</w:t>
      </w:r>
      <w:r w:rsidRPr="00C11F21">
        <w:rPr>
          <w:rFonts w:ascii="Book Antiqua" w:hAnsi="Book Antiqua" w:cs="Times New Roman" w:hint="eastAsia"/>
          <w:b/>
          <w:bCs/>
          <w:color w:val="auto"/>
          <w:sz w:val="24"/>
          <w:szCs w:val="24"/>
          <w:highlight w:val="white"/>
          <w:lang w:val="en-US" w:eastAsia="zh-CN"/>
        </w:rPr>
        <w:t xml:space="preserve"> </w:t>
      </w:r>
      <w:r w:rsidRPr="00C11F21">
        <w:rPr>
          <w:rFonts w:ascii="Book Antiqua" w:hAnsi="Book Antiqua" w:cs="Times New Roman"/>
          <w:bCs/>
          <w:color w:val="auto"/>
          <w:sz w:val="24"/>
          <w:szCs w:val="24"/>
          <w:highlight w:val="white"/>
          <w:lang w:val="en-US"/>
        </w:rPr>
        <w:t>Invited manuscript</w:t>
      </w:r>
    </w:p>
    <w:bookmarkEnd w:id="8"/>
    <w:bookmarkEnd w:id="9"/>
    <w:bookmarkEnd w:id="10"/>
    <w:bookmarkEnd w:id="11"/>
    <w:p w14:paraId="63F608BD" w14:textId="77777777" w:rsidR="00F33187" w:rsidRPr="00C11F21" w:rsidRDefault="00F33187" w:rsidP="00F33187">
      <w:pPr>
        <w:snapToGrid w:val="0"/>
        <w:spacing w:after="0" w:line="360" w:lineRule="auto"/>
        <w:jc w:val="both"/>
        <w:rPr>
          <w:rFonts w:ascii="Book Antiqua" w:hAnsi="Book Antiqua"/>
          <w:b/>
          <w:sz w:val="24"/>
          <w:szCs w:val="24"/>
          <w:lang w:val="en-US" w:eastAsia="zh-CN"/>
        </w:rPr>
      </w:pPr>
    </w:p>
    <w:p w14:paraId="7B03F0D0" w14:textId="08D650FC" w:rsidR="005C659B" w:rsidRPr="00C11F21" w:rsidRDefault="005C659B" w:rsidP="00F33187">
      <w:pPr>
        <w:snapToGrid w:val="0"/>
        <w:spacing w:after="0" w:line="360" w:lineRule="auto"/>
        <w:jc w:val="both"/>
        <w:rPr>
          <w:rFonts w:ascii="Book Antiqua" w:hAnsi="Book Antiqua"/>
          <w:sz w:val="24"/>
          <w:szCs w:val="24"/>
          <w:lang w:val="en-US"/>
        </w:rPr>
      </w:pPr>
      <w:r w:rsidRPr="00C11F21">
        <w:rPr>
          <w:rFonts w:ascii="Book Antiqua" w:hAnsi="Book Antiqua"/>
          <w:b/>
          <w:sz w:val="24"/>
          <w:szCs w:val="24"/>
          <w:lang w:val="en-US"/>
        </w:rPr>
        <w:t>Correspondence to:</w:t>
      </w:r>
      <w:r w:rsidR="00F33187" w:rsidRPr="00C11F21">
        <w:rPr>
          <w:rFonts w:ascii="Book Antiqua" w:hAnsi="Book Antiqua" w:hint="eastAsia"/>
          <w:sz w:val="24"/>
          <w:szCs w:val="24"/>
          <w:lang w:val="en-US" w:eastAsia="zh-CN"/>
        </w:rPr>
        <w:t xml:space="preserve"> </w:t>
      </w:r>
      <w:r w:rsidRPr="00C11F21">
        <w:rPr>
          <w:rFonts w:ascii="Book Antiqua" w:hAnsi="Book Antiqua"/>
          <w:b/>
          <w:sz w:val="24"/>
          <w:szCs w:val="24"/>
          <w:lang w:val="en-US"/>
        </w:rPr>
        <w:t>David Tabernero, PhD,</w:t>
      </w:r>
      <w:r w:rsidRPr="00C11F21">
        <w:rPr>
          <w:rFonts w:ascii="Book Antiqua" w:hAnsi="Book Antiqua"/>
          <w:sz w:val="24"/>
          <w:szCs w:val="24"/>
          <w:lang w:val="en-US"/>
        </w:rPr>
        <w:t xml:space="preserve"> </w:t>
      </w:r>
      <w:r w:rsidR="000428B8" w:rsidRPr="000428B8">
        <w:rPr>
          <w:rFonts w:ascii="Book Antiqua" w:hAnsi="Book Antiqua"/>
          <w:b/>
          <w:sz w:val="24"/>
          <w:szCs w:val="24"/>
          <w:lang w:val="en-US"/>
        </w:rPr>
        <w:t>Research Scientist</w:t>
      </w:r>
      <w:r w:rsidR="000428B8" w:rsidRPr="000428B8">
        <w:rPr>
          <w:rFonts w:ascii="Book Antiqua" w:hAnsi="Book Antiqua" w:hint="eastAsia"/>
          <w:b/>
          <w:sz w:val="24"/>
          <w:szCs w:val="24"/>
          <w:lang w:val="en-US" w:eastAsia="zh-CN"/>
        </w:rPr>
        <w:t>,</w:t>
      </w:r>
      <w:r w:rsidR="000428B8">
        <w:rPr>
          <w:rFonts w:ascii="Book Antiqua" w:hAnsi="Book Antiqua" w:hint="eastAsia"/>
          <w:sz w:val="24"/>
          <w:szCs w:val="24"/>
          <w:lang w:val="en-US" w:eastAsia="zh-CN"/>
        </w:rPr>
        <w:t xml:space="preserve"> </w:t>
      </w:r>
      <w:r w:rsidR="000B4D8E" w:rsidRPr="00C11F21">
        <w:rPr>
          <w:rFonts w:ascii="Book Antiqua" w:hAnsi="Book Antiqua"/>
          <w:sz w:val="24"/>
          <w:szCs w:val="24"/>
          <w:lang w:val="en-US"/>
        </w:rPr>
        <w:t>Liver Pathology Unit, Departments of Biochemistry and Microbiology, Hospital Universitari Vall d’Hebron (HUVH),</w:t>
      </w:r>
      <w:r w:rsidRPr="00C11F21">
        <w:rPr>
          <w:rFonts w:ascii="Book Antiqua" w:hAnsi="Book Antiqua"/>
          <w:sz w:val="24"/>
          <w:szCs w:val="24"/>
          <w:lang w:val="en-US"/>
        </w:rPr>
        <w:t xml:space="preserve"> Passeig Vall d’Hebron 119-129,</w:t>
      </w:r>
      <w:r w:rsidR="00EB0EA2" w:rsidRPr="00C11F21">
        <w:rPr>
          <w:rFonts w:ascii="Book Antiqua" w:hAnsi="Book Antiqua"/>
          <w:sz w:val="24"/>
          <w:szCs w:val="24"/>
          <w:lang w:val="en-US"/>
        </w:rPr>
        <w:t xml:space="preserve"> clinical laboratories,</w:t>
      </w:r>
      <w:r w:rsidRPr="00C11F21">
        <w:rPr>
          <w:rFonts w:ascii="Book Antiqua" w:hAnsi="Book Antiqua"/>
          <w:sz w:val="24"/>
          <w:szCs w:val="24"/>
          <w:lang w:val="en-US"/>
        </w:rPr>
        <w:t xml:space="preserve"> Barcelona</w:t>
      </w:r>
      <w:r w:rsidR="001D26A2">
        <w:rPr>
          <w:rFonts w:ascii="Book Antiqua" w:hAnsi="Book Antiqua" w:hint="eastAsia"/>
          <w:sz w:val="24"/>
          <w:szCs w:val="24"/>
          <w:lang w:val="en-US" w:eastAsia="zh-CN"/>
        </w:rPr>
        <w:t xml:space="preserve"> </w:t>
      </w:r>
      <w:r w:rsidR="00F33187" w:rsidRPr="00C11F21">
        <w:rPr>
          <w:rFonts w:ascii="Book Antiqua" w:hAnsi="Book Antiqua"/>
          <w:sz w:val="24"/>
          <w:szCs w:val="24"/>
          <w:lang w:val="en-US"/>
        </w:rPr>
        <w:t>08035</w:t>
      </w:r>
      <w:r w:rsidRPr="00C11F21">
        <w:rPr>
          <w:rFonts w:ascii="Book Antiqua" w:hAnsi="Book Antiqua"/>
          <w:sz w:val="24"/>
          <w:szCs w:val="24"/>
          <w:lang w:val="en-US"/>
        </w:rPr>
        <w:t>,</w:t>
      </w:r>
      <w:r w:rsidR="001D26A2">
        <w:rPr>
          <w:rFonts w:ascii="Book Antiqua" w:hAnsi="Book Antiqua" w:hint="eastAsia"/>
          <w:sz w:val="24"/>
          <w:szCs w:val="24"/>
          <w:lang w:val="en-US" w:eastAsia="zh-CN"/>
        </w:rPr>
        <w:t xml:space="preserve"> </w:t>
      </w:r>
      <w:r w:rsidRPr="00C11F21">
        <w:rPr>
          <w:rFonts w:ascii="Book Antiqua" w:hAnsi="Book Antiqua"/>
          <w:sz w:val="24"/>
          <w:szCs w:val="24"/>
          <w:lang w:val="en-US"/>
        </w:rPr>
        <w:t>Spain</w:t>
      </w:r>
      <w:r w:rsidR="00B953E3" w:rsidRPr="00C11F21">
        <w:rPr>
          <w:rFonts w:ascii="Book Antiqua" w:hAnsi="Book Antiqua"/>
          <w:sz w:val="24"/>
          <w:szCs w:val="24"/>
          <w:lang w:val="en-US"/>
        </w:rPr>
        <w:t>.</w:t>
      </w:r>
      <w:r w:rsidR="00F33187" w:rsidRPr="00C11F21">
        <w:rPr>
          <w:rFonts w:ascii="Book Antiqua" w:hAnsi="Book Antiqua" w:hint="eastAsia"/>
          <w:sz w:val="24"/>
          <w:szCs w:val="24"/>
          <w:lang w:val="en-US" w:eastAsia="zh-CN"/>
        </w:rPr>
        <w:t xml:space="preserve"> </w:t>
      </w:r>
      <w:r w:rsidRPr="00C11F21">
        <w:rPr>
          <w:rFonts w:ascii="Book Antiqua" w:hAnsi="Book Antiqua"/>
          <w:sz w:val="24"/>
          <w:szCs w:val="24"/>
          <w:lang w:val="en-US"/>
        </w:rPr>
        <w:t>david.tabernero@ciberehd.org</w:t>
      </w:r>
    </w:p>
    <w:p w14:paraId="613A5D56" w14:textId="1607419C" w:rsidR="005C659B" w:rsidRPr="00C11F21" w:rsidRDefault="005C659B" w:rsidP="00F33187">
      <w:pPr>
        <w:snapToGrid w:val="0"/>
        <w:spacing w:after="0" w:line="360" w:lineRule="auto"/>
        <w:rPr>
          <w:rFonts w:ascii="Book Antiqua" w:hAnsi="Book Antiqua"/>
          <w:sz w:val="24"/>
          <w:szCs w:val="24"/>
          <w:lang w:val="en-US" w:eastAsia="zh-CN"/>
        </w:rPr>
      </w:pPr>
      <w:r w:rsidRPr="00C11F21">
        <w:rPr>
          <w:rFonts w:ascii="Book Antiqua" w:hAnsi="Book Antiqua"/>
          <w:b/>
          <w:sz w:val="24"/>
          <w:szCs w:val="24"/>
          <w:lang w:val="en-US"/>
        </w:rPr>
        <w:t>Telephone:</w:t>
      </w:r>
      <w:r w:rsidR="00BF4408" w:rsidRPr="00C11F21">
        <w:rPr>
          <w:rFonts w:ascii="Book Antiqua" w:hAnsi="Book Antiqua"/>
          <w:sz w:val="24"/>
          <w:szCs w:val="24"/>
          <w:lang w:val="en-US"/>
        </w:rPr>
        <w:t xml:space="preserve"> +34-932-746</w:t>
      </w:r>
      <w:r w:rsidRPr="00C11F21">
        <w:rPr>
          <w:rFonts w:ascii="Book Antiqua" w:hAnsi="Book Antiqua"/>
          <w:sz w:val="24"/>
          <w:szCs w:val="24"/>
          <w:lang w:val="en-US"/>
        </w:rPr>
        <w:t>897</w:t>
      </w:r>
    </w:p>
    <w:p w14:paraId="6A98607E" w14:textId="77777777" w:rsidR="00F33187" w:rsidRPr="00C11F21" w:rsidRDefault="00F33187" w:rsidP="00F33187">
      <w:pPr>
        <w:snapToGrid w:val="0"/>
        <w:spacing w:after="0" w:line="360" w:lineRule="auto"/>
        <w:rPr>
          <w:rFonts w:ascii="Book Antiqua" w:hAnsi="Book Antiqua"/>
          <w:sz w:val="24"/>
          <w:szCs w:val="24"/>
          <w:lang w:val="en-US" w:eastAsia="zh-CN"/>
        </w:rPr>
      </w:pPr>
    </w:p>
    <w:p w14:paraId="2DB5311D" w14:textId="5D33F58C" w:rsidR="00F33187" w:rsidRPr="00C11F21" w:rsidRDefault="00F33187" w:rsidP="00F33187">
      <w:pPr>
        <w:snapToGrid w:val="0"/>
        <w:spacing w:after="0" w:line="360" w:lineRule="auto"/>
        <w:jc w:val="both"/>
        <w:rPr>
          <w:rFonts w:ascii="Book Antiqua" w:eastAsia="SimSun" w:hAnsi="Book Antiqua" w:cs="SimSun"/>
          <w:b/>
          <w:sz w:val="24"/>
          <w:szCs w:val="24"/>
          <w:lang w:val="en-US" w:eastAsia="zh-CN"/>
        </w:rPr>
      </w:pPr>
      <w:r w:rsidRPr="00C11F21">
        <w:rPr>
          <w:rFonts w:ascii="Book Antiqua" w:eastAsia="SimSun" w:hAnsi="Book Antiqua" w:cs="SimSun"/>
          <w:b/>
          <w:sz w:val="24"/>
          <w:szCs w:val="24"/>
          <w:lang w:val="en-US" w:eastAsia="zh-CN"/>
        </w:rPr>
        <w:t>Received:</w:t>
      </w:r>
      <w:r w:rsidR="00E26652" w:rsidRPr="00C11F21">
        <w:rPr>
          <w:rFonts w:ascii="Book Antiqua" w:eastAsia="SimSun" w:hAnsi="Book Antiqua" w:cs="SimSun" w:hint="eastAsia"/>
          <w:b/>
          <w:sz w:val="24"/>
          <w:szCs w:val="24"/>
          <w:lang w:val="en-US" w:eastAsia="zh-CN"/>
        </w:rPr>
        <w:t xml:space="preserve"> </w:t>
      </w:r>
      <w:r w:rsidR="00E26652" w:rsidRPr="00C11F21">
        <w:rPr>
          <w:rFonts w:ascii="Book Antiqua" w:eastAsia="SimSun" w:hAnsi="Book Antiqua" w:cs="SimSun" w:hint="eastAsia"/>
          <w:sz w:val="24"/>
          <w:szCs w:val="24"/>
          <w:lang w:val="en-US" w:eastAsia="zh-CN"/>
        </w:rPr>
        <w:t>August 29, 2017</w:t>
      </w:r>
    </w:p>
    <w:p w14:paraId="1B29E347" w14:textId="5430BC2F" w:rsidR="00F33187" w:rsidRPr="00C11F21" w:rsidRDefault="00F33187" w:rsidP="00F33187">
      <w:pPr>
        <w:snapToGrid w:val="0"/>
        <w:spacing w:after="0" w:line="360" w:lineRule="auto"/>
        <w:jc w:val="both"/>
        <w:rPr>
          <w:rFonts w:ascii="Book Antiqua" w:eastAsia="SimSun" w:hAnsi="Book Antiqua" w:cs="SimSun"/>
          <w:b/>
          <w:sz w:val="24"/>
          <w:szCs w:val="24"/>
          <w:lang w:val="en-US" w:eastAsia="zh-CN"/>
        </w:rPr>
      </w:pPr>
      <w:r w:rsidRPr="00C11F21">
        <w:rPr>
          <w:rFonts w:ascii="Book Antiqua" w:eastAsia="SimSun" w:hAnsi="Book Antiqua" w:cs="SimSun"/>
          <w:b/>
          <w:sz w:val="24"/>
          <w:szCs w:val="24"/>
          <w:lang w:val="en-US" w:eastAsia="zh-CN"/>
        </w:rPr>
        <w:t>Peer-review started:</w:t>
      </w:r>
      <w:r w:rsidR="00E26652" w:rsidRPr="00C11F21">
        <w:rPr>
          <w:rFonts w:ascii="Book Antiqua" w:eastAsia="SimSun" w:hAnsi="Book Antiqua" w:cs="SimSun" w:hint="eastAsia"/>
          <w:b/>
          <w:sz w:val="24"/>
          <w:szCs w:val="24"/>
          <w:lang w:val="en-US" w:eastAsia="zh-CN"/>
        </w:rPr>
        <w:t xml:space="preserve"> </w:t>
      </w:r>
      <w:r w:rsidR="00E26652" w:rsidRPr="00C11F21">
        <w:rPr>
          <w:rFonts w:ascii="Book Antiqua" w:eastAsia="SimSun" w:hAnsi="Book Antiqua" w:cs="SimSun" w:hint="eastAsia"/>
          <w:sz w:val="24"/>
          <w:szCs w:val="24"/>
          <w:lang w:val="en-US" w:eastAsia="zh-CN"/>
        </w:rPr>
        <w:t>September 28, 2017</w:t>
      </w:r>
    </w:p>
    <w:p w14:paraId="3100E80C" w14:textId="4139D12F" w:rsidR="00F33187" w:rsidRPr="00C11F21" w:rsidRDefault="00F33187" w:rsidP="00F33187">
      <w:pPr>
        <w:snapToGrid w:val="0"/>
        <w:spacing w:after="0" w:line="360" w:lineRule="auto"/>
        <w:jc w:val="both"/>
        <w:rPr>
          <w:rFonts w:ascii="Book Antiqua" w:eastAsia="SimSun" w:hAnsi="Book Antiqua" w:cs="SimSun"/>
          <w:b/>
          <w:sz w:val="24"/>
          <w:szCs w:val="24"/>
          <w:lang w:val="en-US" w:eastAsia="zh-CN"/>
        </w:rPr>
      </w:pPr>
      <w:r w:rsidRPr="00C11F21">
        <w:rPr>
          <w:rFonts w:ascii="Book Antiqua" w:eastAsia="SimSun" w:hAnsi="Book Antiqua" w:cs="SimSun"/>
          <w:b/>
          <w:sz w:val="24"/>
          <w:szCs w:val="24"/>
          <w:lang w:val="en-US" w:eastAsia="zh-CN"/>
        </w:rPr>
        <w:t>First decision:</w:t>
      </w:r>
      <w:r w:rsidR="00E26652" w:rsidRPr="00C11F21">
        <w:rPr>
          <w:rFonts w:ascii="Book Antiqua" w:eastAsia="SimSun" w:hAnsi="Book Antiqua" w:cs="SimSun" w:hint="eastAsia"/>
          <w:b/>
          <w:sz w:val="24"/>
          <w:szCs w:val="24"/>
          <w:lang w:val="en-US" w:eastAsia="zh-CN"/>
        </w:rPr>
        <w:t xml:space="preserve"> </w:t>
      </w:r>
      <w:r w:rsidR="00E26652" w:rsidRPr="00C11F21">
        <w:rPr>
          <w:rFonts w:ascii="Book Antiqua" w:eastAsia="SimSun" w:hAnsi="Book Antiqua" w:cs="SimSun" w:hint="eastAsia"/>
          <w:sz w:val="24"/>
          <w:szCs w:val="24"/>
          <w:lang w:val="en-US" w:eastAsia="zh-CN"/>
        </w:rPr>
        <w:t>October 18, 2017</w:t>
      </w:r>
    </w:p>
    <w:p w14:paraId="0AD2D241" w14:textId="3AEB048F" w:rsidR="00F33187" w:rsidRPr="00C11F21" w:rsidRDefault="00F33187" w:rsidP="00F33187">
      <w:pPr>
        <w:snapToGrid w:val="0"/>
        <w:spacing w:after="0" w:line="360" w:lineRule="auto"/>
        <w:jc w:val="both"/>
        <w:rPr>
          <w:rFonts w:ascii="Book Antiqua" w:eastAsia="SimSun" w:hAnsi="Book Antiqua" w:cs="SimSun"/>
          <w:b/>
          <w:sz w:val="24"/>
          <w:szCs w:val="24"/>
          <w:lang w:val="en-US" w:eastAsia="zh-CN"/>
        </w:rPr>
      </w:pPr>
      <w:r w:rsidRPr="00C11F21">
        <w:rPr>
          <w:rFonts w:ascii="Book Antiqua" w:eastAsia="SimSun" w:hAnsi="Book Antiqua" w:cs="SimSun"/>
          <w:b/>
          <w:sz w:val="24"/>
          <w:szCs w:val="24"/>
          <w:lang w:val="en-US" w:eastAsia="zh-CN"/>
        </w:rPr>
        <w:t>Revised:</w:t>
      </w:r>
      <w:r w:rsidR="00E26652" w:rsidRPr="00C11F21">
        <w:rPr>
          <w:rFonts w:ascii="Book Antiqua" w:eastAsia="SimSun" w:hAnsi="Book Antiqua" w:cs="SimSun" w:hint="eastAsia"/>
          <w:b/>
          <w:sz w:val="24"/>
          <w:szCs w:val="24"/>
          <w:lang w:val="en-US" w:eastAsia="zh-CN"/>
        </w:rPr>
        <w:t xml:space="preserve"> </w:t>
      </w:r>
      <w:r w:rsidR="00E26652" w:rsidRPr="00C11F21">
        <w:rPr>
          <w:rFonts w:ascii="Book Antiqua" w:eastAsia="SimSun" w:hAnsi="Book Antiqua" w:cs="SimSun" w:hint="eastAsia"/>
          <w:sz w:val="24"/>
          <w:szCs w:val="24"/>
          <w:lang w:val="en-US" w:eastAsia="zh-CN"/>
        </w:rPr>
        <w:t>December 25, 2017</w:t>
      </w:r>
    </w:p>
    <w:p w14:paraId="54D8BC70" w14:textId="33E3C2C3" w:rsidR="00F33187" w:rsidRPr="00C11F21" w:rsidRDefault="00F33187" w:rsidP="00F33187">
      <w:pPr>
        <w:snapToGrid w:val="0"/>
        <w:spacing w:after="0" w:line="360" w:lineRule="auto"/>
        <w:jc w:val="both"/>
        <w:rPr>
          <w:rFonts w:ascii="Book Antiqua" w:eastAsia="SimSun" w:hAnsi="Book Antiqua" w:cs="SimSun"/>
          <w:b/>
          <w:sz w:val="24"/>
          <w:szCs w:val="24"/>
          <w:lang w:val="en-US" w:eastAsia="zh-CN"/>
        </w:rPr>
      </w:pPr>
      <w:r w:rsidRPr="00C11F21">
        <w:rPr>
          <w:rFonts w:ascii="Book Antiqua" w:eastAsia="SimSun" w:hAnsi="Book Antiqua" w:cs="SimSun"/>
          <w:b/>
          <w:sz w:val="24"/>
          <w:szCs w:val="24"/>
          <w:lang w:val="en-US" w:eastAsia="zh-CN"/>
        </w:rPr>
        <w:t>Accepted:</w:t>
      </w:r>
      <w:r w:rsidR="004218B7" w:rsidRPr="004218B7">
        <w:t xml:space="preserve"> </w:t>
      </w:r>
      <w:r w:rsidR="004218B7" w:rsidRPr="004218B7">
        <w:rPr>
          <w:rFonts w:ascii="Book Antiqua" w:eastAsia="SimSun" w:hAnsi="Book Antiqua" w:cs="SimSun"/>
          <w:sz w:val="24"/>
          <w:szCs w:val="24"/>
          <w:lang w:val="en-US" w:eastAsia="zh-CN"/>
        </w:rPr>
        <w:t>January 18, 2018</w:t>
      </w:r>
    </w:p>
    <w:p w14:paraId="19C1F0B4" w14:textId="77777777" w:rsidR="00F33187" w:rsidRPr="00C11F21" w:rsidRDefault="00F33187" w:rsidP="00F33187">
      <w:pPr>
        <w:snapToGrid w:val="0"/>
        <w:spacing w:after="0" w:line="360" w:lineRule="auto"/>
        <w:jc w:val="both"/>
        <w:rPr>
          <w:rFonts w:ascii="Book Antiqua" w:eastAsia="SimSun" w:hAnsi="Book Antiqua" w:cs="SimSun"/>
          <w:b/>
          <w:sz w:val="24"/>
          <w:szCs w:val="24"/>
          <w:lang w:val="en-US" w:eastAsia="zh-CN"/>
        </w:rPr>
      </w:pPr>
      <w:r w:rsidRPr="00C11F21">
        <w:rPr>
          <w:rFonts w:ascii="Book Antiqua" w:eastAsia="SimSun" w:hAnsi="Book Antiqua" w:cs="SimSun"/>
          <w:b/>
          <w:sz w:val="24"/>
          <w:szCs w:val="24"/>
          <w:lang w:val="en-US" w:eastAsia="zh-CN"/>
        </w:rPr>
        <w:t>Article in press:</w:t>
      </w:r>
    </w:p>
    <w:p w14:paraId="403BDEF7" w14:textId="77777777" w:rsidR="00F33187" w:rsidRPr="00C11F21" w:rsidRDefault="00F33187" w:rsidP="00F33187">
      <w:pPr>
        <w:snapToGrid w:val="0"/>
        <w:spacing w:after="0" w:line="360" w:lineRule="auto"/>
        <w:jc w:val="both"/>
        <w:rPr>
          <w:rFonts w:ascii="Book Antiqua" w:eastAsia="SimSun" w:hAnsi="Book Antiqua" w:cs="Arial"/>
          <w:b/>
          <w:sz w:val="24"/>
          <w:szCs w:val="24"/>
          <w:lang w:val="pl-PL" w:eastAsia="zh-CN"/>
        </w:rPr>
      </w:pPr>
      <w:r w:rsidRPr="00C11F21">
        <w:rPr>
          <w:rFonts w:ascii="Book Antiqua" w:eastAsia="SimSun" w:hAnsi="Book Antiqua" w:cs="Arial"/>
          <w:b/>
          <w:sz w:val="24"/>
          <w:szCs w:val="24"/>
          <w:lang w:val="pl-PL" w:eastAsia="pl-PL"/>
        </w:rPr>
        <w:t>Published online</w:t>
      </w:r>
      <w:r w:rsidRPr="00C11F21">
        <w:rPr>
          <w:rFonts w:ascii="Book Antiqua" w:eastAsia="SimSun" w:hAnsi="Book Antiqua" w:cs="Arial" w:hint="eastAsia"/>
          <w:b/>
          <w:sz w:val="24"/>
          <w:szCs w:val="24"/>
          <w:lang w:val="pl-PL" w:eastAsia="pl-PL"/>
        </w:rPr>
        <w:t>:</w:t>
      </w:r>
    </w:p>
    <w:p w14:paraId="6598924E" w14:textId="77777777" w:rsidR="00F33187" w:rsidRPr="00C11F21" w:rsidRDefault="00F33187" w:rsidP="00F33187">
      <w:pPr>
        <w:snapToGrid w:val="0"/>
        <w:spacing w:after="0" w:line="360" w:lineRule="auto"/>
        <w:rPr>
          <w:rFonts w:ascii="Book Antiqua" w:hAnsi="Book Antiqua"/>
          <w:sz w:val="24"/>
          <w:szCs w:val="24"/>
          <w:lang w:val="en-US" w:eastAsia="zh-CN"/>
        </w:rPr>
      </w:pPr>
    </w:p>
    <w:p w14:paraId="171B9D29" w14:textId="1366ADF9" w:rsidR="00A66DBE" w:rsidRPr="00C11F21" w:rsidRDefault="00A66DBE" w:rsidP="00F33187">
      <w:pPr>
        <w:snapToGrid w:val="0"/>
        <w:spacing w:after="0" w:line="360" w:lineRule="auto"/>
        <w:rPr>
          <w:rFonts w:ascii="Book Antiqua" w:hAnsi="Book Antiqua"/>
          <w:b/>
          <w:sz w:val="24"/>
          <w:szCs w:val="24"/>
          <w:lang w:val="en-US"/>
        </w:rPr>
      </w:pPr>
      <w:r w:rsidRPr="00C11F21">
        <w:rPr>
          <w:rFonts w:ascii="Book Antiqua" w:hAnsi="Book Antiqua"/>
          <w:b/>
          <w:sz w:val="24"/>
          <w:szCs w:val="24"/>
          <w:lang w:val="en-US"/>
        </w:rPr>
        <w:br w:type="page"/>
      </w:r>
    </w:p>
    <w:p w14:paraId="1968FD79" w14:textId="77777777" w:rsidR="002F362C" w:rsidRPr="00C11F21" w:rsidRDefault="002F362C" w:rsidP="00F33187">
      <w:pPr>
        <w:snapToGrid w:val="0"/>
        <w:spacing w:after="0" w:line="360" w:lineRule="auto"/>
        <w:jc w:val="both"/>
        <w:rPr>
          <w:rFonts w:ascii="Book Antiqua" w:hAnsi="Book Antiqua"/>
          <w:b/>
          <w:sz w:val="24"/>
          <w:szCs w:val="24"/>
          <w:lang w:val="en-US"/>
        </w:rPr>
      </w:pPr>
      <w:r w:rsidRPr="00C11F21">
        <w:rPr>
          <w:rFonts w:ascii="Book Antiqua" w:hAnsi="Book Antiqua"/>
          <w:b/>
          <w:sz w:val="24"/>
          <w:szCs w:val="24"/>
          <w:lang w:val="en-US"/>
        </w:rPr>
        <w:lastRenderedPageBreak/>
        <w:t>Abstract</w:t>
      </w:r>
    </w:p>
    <w:p w14:paraId="6BD0BAAF" w14:textId="32BAFE40" w:rsidR="002F362C" w:rsidRPr="00C11F21" w:rsidRDefault="00F33187" w:rsidP="00F33187">
      <w:pPr>
        <w:snapToGrid w:val="0"/>
        <w:spacing w:after="0" w:line="360" w:lineRule="auto"/>
        <w:jc w:val="both"/>
        <w:rPr>
          <w:rFonts w:ascii="Book Antiqua" w:hAnsi="Book Antiqua"/>
          <w:i/>
          <w:strike/>
          <w:sz w:val="24"/>
          <w:szCs w:val="24"/>
          <w:lang w:val="en-US" w:eastAsia="zh-CN"/>
        </w:rPr>
      </w:pPr>
      <w:r w:rsidRPr="00C11F21">
        <w:rPr>
          <w:rFonts w:ascii="Book Antiqua" w:hAnsi="Book Antiqua"/>
          <w:b/>
          <w:i/>
          <w:sz w:val="24"/>
          <w:szCs w:val="24"/>
          <w:lang w:val="en-US"/>
        </w:rPr>
        <w:t>AIM</w:t>
      </w:r>
    </w:p>
    <w:p w14:paraId="0A9D01A2" w14:textId="14915A64" w:rsidR="00CD5326" w:rsidRPr="00C11F21" w:rsidRDefault="002328D2" w:rsidP="00F33187">
      <w:pPr>
        <w:snapToGrid w:val="0"/>
        <w:spacing w:after="0" w:line="360" w:lineRule="auto"/>
        <w:jc w:val="both"/>
        <w:rPr>
          <w:rFonts w:ascii="Book Antiqua" w:hAnsi="Book Antiqua"/>
          <w:sz w:val="24"/>
          <w:szCs w:val="24"/>
          <w:lang w:val="en-US"/>
        </w:rPr>
      </w:pPr>
      <w:r w:rsidRPr="00C11F21">
        <w:rPr>
          <w:rFonts w:ascii="Book Antiqua" w:hAnsi="Book Antiqua"/>
          <w:caps/>
          <w:sz w:val="24"/>
          <w:szCs w:val="24"/>
          <w:lang w:val="en-US"/>
        </w:rPr>
        <w:t>t</w:t>
      </w:r>
      <w:r w:rsidRPr="00C11F21">
        <w:rPr>
          <w:rFonts w:ascii="Book Antiqua" w:hAnsi="Book Antiqua"/>
          <w:sz w:val="24"/>
          <w:szCs w:val="24"/>
          <w:lang w:val="en-US"/>
        </w:rPr>
        <w:t>o determine the variability</w:t>
      </w:r>
      <w:r w:rsidR="00507612" w:rsidRPr="00C11F21">
        <w:rPr>
          <w:rFonts w:ascii="Book Antiqua" w:hAnsi="Book Antiqua"/>
          <w:sz w:val="24"/>
          <w:szCs w:val="24"/>
          <w:lang w:val="en-US"/>
        </w:rPr>
        <w:t>/conservation</w:t>
      </w:r>
      <w:r w:rsidRPr="00C11F21">
        <w:rPr>
          <w:rFonts w:ascii="Book Antiqua" w:hAnsi="Book Antiqua"/>
          <w:sz w:val="24"/>
          <w:szCs w:val="24"/>
          <w:lang w:val="en-US"/>
        </w:rPr>
        <w:t xml:space="preserve"> of this domain </w:t>
      </w:r>
      <w:r w:rsidR="00F929E6" w:rsidRPr="00C11F21">
        <w:rPr>
          <w:rFonts w:ascii="Book Antiqua" w:hAnsi="Book Antiqua"/>
          <w:sz w:val="24"/>
          <w:szCs w:val="24"/>
          <w:lang w:val="en-US"/>
        </w:rPr>
        <w:t>(hereafter</w:t>
      </w:r>
      <w:r w:rsidR="005C1265" w:rsidRPr="00C11F21">
        <w:rPr>
          <w:rFonts w:ascii="Book Antiqua" w:hAnsi="Book Antiqua"/>
          <w:sz w:val="24"/>
          <w:szCs w:val="24"/>
          <w:lang w:val="en-US"/>
        </w:rPr>
        <w:t>,</w:t>
      </w:r>
      <w:r w:rsidR="00F929E6" w:rsidRPr="00C11F21">
        <w:rPr>
          <w:rFonts w:ascii="Book Antiqua" w:hAnsi="Book Antiqua"/>
          <w:sz w:val="24"/>
          <w:szCs w:val="24"/>
          <w:lang w:val="en-US"/>
        </w:rPr>
        <w:t xml:space="preserve"> NTCP-interacting domain)</w:t>
      </w:r>
      <w:r w:rsidR="00F33187" w:rsidRPr="00C11F21">
        <w:rPr>
          <w:rFonts w:ascii="Book Antiqua" w:hAnsi="Book Antiqua" w:hint="eastAsia"/>
          <w:sz w:val="24"/>
          <w:szCs w:val="24"/>
          <w:lang w:val="en-US" w:eastAsia="zh-CN"/>
        </w:rPr>
        <w:t xml:space="preserve"> </w:t>
      </w:r>
      <w:r w:rsidRPr="00C11F21">
        <w:rPr>
          <w:rFonts w:ascii="Book Antiqua" w:hAnsi="Book Antiqua"/>
          <w:sz w:val="24"/>
          <w:szCs w:val="24"/>
          <w:lang w:val="en-US"/>
        </w:rPr>
        <w:t xml:space="preserve">and the </w:t>
      </w:r>
      <w:r w:rsidR="00CD5326" w:rsidRPr="00C11F21">
        <w:rPr>
          <w:rFonts w:ascii="Book Antiqua" w:hAnsi="Book Antiqua"/>
          <w:sz w:val="24"/>
          <w:szCs w:val="24"/>
          <w:lang w:val="en-US"/>
        </w:rPr>
        <w:t>prevalence of the rs2296651 polymorphism (S267F</w:t>
      </w:r>
      <w:r w:rsidR="00A7798D" w:rsidRPr="00C11F21">
        <w:rPr>
          <w:rFonts w:ascii="Book Antiqua" w:hAnsi="Book Antiqua"/>
          <w:sz w:val="24"/>
          <w:szCs w:val="24"/>
          <w:lang w:val="en-US"/>
        </w:rPr>
        <w:t>,</w:t>
      </w:r>
      <w:r w:rsidR="00CD5326" w:rsidRPr="00C11F21">
        <w:rPr>
          <w:rFonts w:ascii="Book Antiqua" w:hAnsi="Book Antiqua"/>
          <w:sz w:val="24"/>
          <w:szCs w:val="24"/>
          <w:lang w:val="en-US"/>
        </w:rPr>
        <w:t xml:space="preserve"> NTCP variant)</w:t>
      </w:r>
      <w:r w:rsidRPr="00C11F21">
        <w:rPr>
          <w:rFonts w:ascii="Book Antiqua" w:hAnsi="Book Antiqua"/>
          <w:sz w:val="24"/>
          <w:szCs w:val="24"/>
          <w:lang w:val="en-US"/>
        </w:rPr>
        <w:t xml:space="preserve"> </w:t>
      </w:r>
      <w:r w:rsidR="00CD5326" w:rsidRPr="00C11F21">
        <w:rPr>
          <w:rFonts w:ascii="Book Antiqua" w:hAnsi="Book Antiqua"/>
          <w:sz w:val="24"/>
          <w:szCs w:val="24"/>
          <w:lang w:val="en-US"/>
        </w:rPr>
        <w:t>in a Spanish population.</w:t>
      </w:r>
      <w:r w:rsidR="00507612" w:rsidRPr="00C11F21">
        <w:rPr>
          <w:rFonts w:ascii="Book Antiqua" w:hAnsi="Book Antiqua"/>
          <w:sz w:val="24"/>
          <w:szCs w:val="24"/>
          <w:lang w:val="en-US"/>
        </w:rPr>
        <w:t xml:space="preserve"> </w:t>
      </w:r>
    </w:p>
    <w:p w14:paraId="73EEB471" w14:textId="77777777" w:rsidR="00FF1D06" w:rsidRPr="00C11F21" w:rsidRDefault="00FF1D06" w:rsidP="00F33187">
      <w:pPr>
        <w:snapToGrid w:val="0"/>
        <w:spacing w:after="0" w:line="360" w:lineRule="auto"/>
        <w:jc w:val="both"/>
        <w:rPr>
          <w:rFonts w:ascii="Book Antiqua" w:hAnsi="Book Antiqua"/>
          <w:b/>
          <w:sz w:val="24"/>
          <w:szCs w:val="24"/>
          <w:lang w:val="en-US"/>
        </w:rPr>
      </w:pPr>
    </w:p>
    <w:p w14:paraId="2A503E52" w14:textId="77777777" w:rsidR="00F33187" w:rsidRPr="00C11F21" w:rsidRDefault="002F362C" w:rsidP="00F33187">
      <w:pPr>
        <w:snapToGrid w:val="0"/>
        <w:spacing w:after="0" w:line="360" w:lineRule="auto"/>
        <w:jc w:val="both"/>
        <w:rPr>
          <w:rFonts w:ascii="Book Antiqua" w:hAnsi="Book Antiqua"/>
          <w:b/>
          <w:i/>
          <w:sz w:val="24"/>
          <w:szCs w:val="24"/>
          <w:lang w:val="en-US" w:eastAsia="zh-CN"/>
        </w:rPr>
      </w:pPr>
      <w:r w:rsidRPr="00C11F21">
        <w:rPr>
          <w:rFonts w:ascii="Book Antiqua" w:hAnsi="Book Antiqua"/>
          <w:b/>
          <w:i/>
          <w:sz w:val="24"/>
          <w:szCs w:val="24"/>
          <w:lang w:val="en-US"/>
        </w:rPr>
        <w:t>METHODS</w:t>
      </w:r>
    </w:p>
    <w:p w14:paraId="278D495D" w14:textId="1D5B9B02" w:rsidR="002F362C" w:rsidRPr="00C11F21" w:rsidRDefault="001D6F3C" w:rsidP="00F33187">
      <w:pPr>
        <w:snapToGrid w:val="0"/>
        <w:spacing w:after="0" w:line="360" w:lineRule="auto"/>
        <w:jc w:val="both"/>
        <w:rPr>
          <w:rFonts w:ascii="Book Antiqua" w:hAnsi="Book Antiqua"/>
          <w:sz w:val="24"/>
          <w:szCs w:val="24"/>
          <w:lang w:val="en-US"/>
        </w:rPr>
      </w:pPr>
      <w:r w:rsidRPr="00C11F21">
        <w:rPr>
          <w:rFonts w:ascii="Book Antiqua" w:hAnsi="Book Antiqua"/>
          <w:sz w:val="24"/>
          <w:szCs w:val="24"/>
          <w:lang w:val="en-US"/>
        </w:rPr>
        <w:t>S</w:t>
      </w:r>
      <w:r w:rsidR="00A7798D" w:rsidRPr="00C11F21">
        <w:rPr>
          <w:rFonts w:ascii="Book Antiqua" w:hAnsi="Book Antiqua"/>
          <w:sz w:val="24"/>
          <w:szCs w:val="24"/>
          <w:lang w:val="en-US"/>
        </w:rPr>
        <w:t xml:space="preserve">erum samples from </w:t>
      </w:r>
      <w:r w:rsidR="002F362C" w:rsidRPr="00C11F21">
        <w:rPr>
          <w:rFonts w:ascii="Book Antiqua" w:hAnsi="Book Antiqua"/>
          <w:sz w:val="24"/>
          <w:szCs w:val="24"/>
          <w:lang w:val="en-US"/>
        </w:rPr>
        <w:t xml:space="preserve">246 </w:t>
      </w:r>
      <w:r w:rsidR="00A7798D" w:rsidRPr="00C11F21">
        <w:rPr>
          <w:rFonts w:ascii="Book Antiqua" w:hAnsi="Book Antiqua"/>
          <w:sz w:val="24"/>
          <w:szCs w:val="24"/>
          <w:lang w:val="en-US"/>
        </w:rPr>
        <w:t>individuals</w:t>
      </w:r>
      <w:r w:rsidR="002F362C" w:rsidRPr="00C11F21">
        <w:rPr>
          <w:rFonts w:ascii="Book Antiqua" w:hAnsi="Book Antiqua"/>
          <w:sz w:val="24"/>
          <w:szCs w:val="24"/>
          <w:lang w:val="en-US"/>
        </w:rPr>
        <w:t xml:space="preserve"> were included and divided into 3 groups: patients with chronic hepatitis B infection (CHB) (</w:t>
      </w:r>
      <w:r w:rsidR="002F362C" w:rsidRPr="00C11F21">
        <w:rPr>
          <w:rFonts w:ascii="Book Antiqua" w:hAnsi="Book Antiqua"/>
          <w:i/>
          <w:sz w:val="24"/>
          <w:szCs w:val="24"/>
          <w:lang w:val="en-US"/>
        </w:rPr>
        <w:t>n</w:t>
      </w:r>
      <w:r w:rsidR="00F33187" w:rsidRPr="00C11F21">
        <w:rPr>
          <w:rFonts w:ascii="Book Antiqua" w:hAnsi="Book Antiqua" w:hint="eastAsia"/>
          <w:sz w:val="24"/>
          <w:szCs w:val="24"/>
          <w:lang w:val="en-US" w:eastAsia="zh-CN"/>
        </w:rPr>
        <w:t xml:space="preserve"> </w:t>
      </w:r>
      <w:r w:rsidR="002F362C" w:rsidRPr="00C11F21">
        <w:rPr>
          <w:rFonts w:ascii="Book Antiqua" w:hAnsi="Book Antiqua"/>
          <w:sz w:val="24"/>
          <w:szCs w:val="24"/>
          <w:lang w:val="en-US"/>
        </w:rPr>
        <w:t>=</w:t>
      </w:r>
      <w:r w:rsidR="00F33187" w:rsidRPr="00C11F21">
        <w:rPr>
          <w:rFonts w:ascii="Book Antiqua" w:hAnsi="Book Antiqua" w:hint="eastAsia"/>
          <w:sz w:val="24"/>
          <w:szCs w:val="24"/>
          <w:lang w:val="en-US" w:eastAsia="zh-CN"/>
        </w:rPr>
        <w:t xml:space="preserve"> </w:t>
      </w:r>
      <w:r w:rsidR="002F362C" w:rsidRPr="00C11F21">
        <w:rPr>
          <w:rFonts w:ascii="Book Antiqua" w:hAnsi="Book Antiqua"/>
          <w:sz w:val="24"/>
          <w:szCs w:val="24"/>
          <w:lang w:val="en-US"/>
        </w:rPr>
        <w:t>41, 73% Caucasians), patients with resolved HBV infection (</w:t>
      </w:r>
      <w:r w:rsidR="002F362C" w:rsidRPr="00C11F21">
        <w:rPr>
          <w:rFonts w:ascii="Book Antiqua" w:hAnsi="Book Antiqua"/>
          <w:i/>
          <w:sz w:val="24"/>
          <w:szCs w:val="24"/>
          <w:lang w:val="en-US"/>
        </w:rPr>
        <w:t>n</w:t>
      </w:r>
      <w:r w:rsidR="00F33187" w:rsidRPr="00C11F21">
        <w:rPr>
          <w:rFonts w:ascii="Book Antiqua" w:hAnsi="Book Antiqua" w:hint="eastAsia"/>
          <w:sz w:val="24"/>
          <w:szCs w:val="24"/>
          <w:lang w:val="en-US" w:eastAsia="zh-CN"/>
        </w:rPr>
        <w:t xml:space="preserve"> </w:t>
      </w:r>
      <w:r w:rsidR="002F362C" w:rsidRPr="00C11F21">
        <w:rPr>
          <w:rFonts w:ascii="Book Antiqua" w:hAnsi="Book Antiqua"/>
          <w:sz w:val="24"/>
          <w:szCs w:val="24"/>
          <w:lang w:val="en-US"/>
        </w:rPr>
        <w:t>=</w:t>
      </w:r>
      <w:r w:rsidR="00F33187" w:rsidRPr="00C11F21">
        <w:rPr>
          <w:rFonts w:ascii="Book Antiqua" w:hAnsi="Book Antiqua" w:hint="eastAsia"/>
          <w:sz w:val="24"/>
          <w:szCs w:val="24"/>
          <w:lang w:val="en-US" w:eastAsia="zh-CN"/>
        </w:rPr>
        <w:t xml:space="preserve"> </w:t>
      </w:r>
      <w:r w:rsidR="002F362C" w:rsidRPr="00C11F21">
        <w:rPr>
          <w:rFonts w:ascii="Book Antiqua" w:hAnsi="Book Antiqua"/>
          <w:sz w:val="24"/>
          <w:szCs w:val="24"/>
          <w:lang w:val="en-US"/>
        </w:rPr>
        <w:t>100, 100% Caucasians) and an HBV</w:t>
      </w:r>
      <w:r w:rsidR="00A7798D" w:rsidRPr="00C11F21">
        <w:rPr>
          <w:rFonts w:ascii="Book Antiqua" w:hAnsi="Book Antiqua"/>
          <w:sz w:val="24"/>
          <w:szCs w:val="24"/>
          <w:lang w:val="en-US"/>
        </w:rPr>
        <w:t>-</w:t>
      </w:r>
      <w:r w:rsidR="002F362C" w:rsidRPr="00C11F21">
        <w:rPr>
          <w:rFonts w:ascii="Book Antiqua" w:hAnsi="Book Antiqua"/>
          <w:sz w:val="24"/>
          <w:szCs w:val="24"/>
          <w:lang w:val="en-US"/>
        </w:rPr>
        <w:t>uninfected control group (</w:t>
      </w:r>
      <w:r w:rsidR="002F362C" w:rsidRPr="00C11F21">
        <w:rPr>
          <w:rFonts w:ascii="Book Antiqua" w:hAnsi="Book Antiqua"/>
          <w:i/>
          <w:sz w:val="24"/>
          <w:szCs w:val="24"/>
          <w:lang w:val="en-US"/>
        </w:rPr>
        <w:t>n</w:t>
      </w:r>
      <w:r w:rsidR="00F33187" w:rsidRPr="00C11F21">
        <w:rPr>
          <w:rFonts w:ascii="Book Antiqua" w:hAnsi="Book Antiqua" w:hint="eastAsia"/>
          <w:sz w:val="24"/>
          <w:szCs w:val="24"/>
          <w:lang w:val="en-US" w:eastAsia="zh-CN"/>
        </w:rPr>
        <w:t xml:space="preserve"> </w:t>
      </w:r>
      <w:r w:rsidR="002F362C" w:rsidRPr="00C11F21">
        <w:rPr>
          <w:rFonts w:ascii="Book Antiqua" w:hAnsi="Book Antiqua"/>
          <w:sz w:val="24"/>
          <w:szCs w:val="24"/>
          <w:lang w:val="en-US"/>
        </w:rPr>
        <w:t>=</w:t>
      </w:r>
      <w:r w:rsidR="00F33187" w:rsidRPr="00C11F21">
        <w:rPr>
          <w:rFonts w:ascii="Book Antiqua" w:hAnsi="Book Antiqua" w:hint="eastAsia"/>
          <w:sz w:val="24"/>
          <w:szCs w:val="24"/>
          <w:lang w:val="en-US" w:eastAsia="zh-CN"/>
        </w:rPr>
        <w:t xml:space="preserve"> </w:t>
      </w:r>
      <w:r w:rsidR="002F362C" w:rsidRPr="00C11F21">
        <w:rPr>
          <w:rFonts w:ascii="Book Antiqua" w:hAnsi="Book Antiqua"/>
          <w:sz w:val="24"/>
          <w:szCs w:val="24"/>
          <w:lang w:val="en-US"/>
        </w:rPr>
        <w:t>105, 100% Caucasians).</w:t>
      </w:r>
      <w:r w:rsidR="00F33187" w:rsidRPr="00C11F21">
        <w:rPr>
          <w:rFonts w:ascii="Book Antiqua" w:hAnsi="Book Antiqua" w:hint="eastAsia"/>
          <w:sz w:val="24"/>
          <w:szCs w:val="24"/>
          <w:lang w:val="en-US" w:eastAsia="zh-CN"/>
        </w:rPr>
        <w:t xml:space="preserve"> </w:t>
      </w:r>
      <w:r w:rsidR="00423B9F" w:rsidRPr="00C11F21">
        <w:rPr>
          <w:rFonts w:ascii="Book Antiqua" w:hAnsi="Book Antiqua"/>
          <w:sz w:val="24"/>
          <w:szCs w:val="24"/>
          <w:lang w:val="en-US"/>
        </w:rPr>
        <w:t>Variability/conservation of the</w:t>
      </w:r>
      <w:r w:rsidR="00A3713C" w:rsidRPr="00C11F21">
        <w:rPr>
          <w:rFonts w:ascii="Book Antiqua" w:hAnsi="Book Antiqua"/>
          <w:sz w:val="24"/>
          <w:szCs w:val="24"/>
          <w:lang w:val="en-US"/>
        </w:rPr>
        <w:t xml:space="preserve"> amino acid</w:t>
      </w:r>
      <w:r w:rsidR="00D175EA" w:rsidRPr="00C11F21">
        <w:rPr>
          <w:rFonts w:ascii="Book Antiqua" w:hAnsi="Book Antiqua"/>
          <w:sz w:val="24"/>
          <w:szCs w:val="24"/>
          <w:lang w:val="en-US"/>
        </w:rPr>
        <w:t xml:space="preserve"> (aa)</w:t>
      </w:r>
      <w:r w:rsidR="00A3713C" w:rsidRPr="00C11F21">
        <w:rPr>
          <w:rFonts w:ascii="Book Antiqua" w:hAnsi="Book Antiqua"/>
          <w:sz w:val="24"/>
          <w:szCs w:val="24"/>
          <w:lang w:val="en-US"/>
        </w:rPr>
        <w:t xml:space="preserve"> sequences</w:t>
      </w:r>
      <w:r w:rsidR="00423B9F" w:rsidRPr="00C11F21">
        <w:rPr>
          <w:rFonts w:ascii="Book Antiqua" w:hAnsi="Book Antiqua"/>
          <w:sz w:val="24"/>
          <w:szCs w:val="24"/>
          <w:lang w:val="en-US"/>
        </w:rPr>
        <w:t xml:space="preserve"> </w:t>
      </w:r>
      <w:r w:rsidR="00F929E6" w:rsidRPr="00C11F21">
        <w:rPr>
          <w:rFonts w:ascii="Book Antiqua" w:hAnsi="Book Antiqua"/>
          <w:sz w:val="24"/>
          <w:szCs w:val="24"/>
          <w:lang w:val="en-US"/>
        </w:rPr>
        <w:t xml:space="preserve">of the </w:t>
      </w:r>
      <w:r w:rsidR="00423B9F" w:rsidRPr="00C11F21">
        <w:rPr>
          <w:rFonts w:ascii="Book Antiqua" w:hAnsi="Book Antiqua"/>
          <w:sz w:val="24"/>
          <w:szCs w:val="24"/>
          <w:lang w:val="en-US"/>
        </w:rPr>
        <w:t>NTCP-interacting domain</w:t>
      </w:r>
      <w:r w:rsidR="00BC2ADC" w:rsidRPr="00C11F21">
        <w:rPr>
          <w:rFonts w:ascii="Book Antiqua" w:hAnsi="Book Antiqua"/>
          <w:sz w:val="24"/>
          <w:szCs w:val="24"/>
          <w:lang w:val="en-US"/>
        </w:rPr>
        <w:t>,</w:t>
      </w:r>
      <w:r w:rsidR="00423B9F" w:rsidRPr="00C11F21">
        <w:rPr>
          <w:rFonts w:ascii="Book Antiqua" w:hAnsi="Book Antiqua"/>
          <w:sz w:val="24"/>
          <w:szCs w:val="24"/>
          <w:lang w:val="en-US"/>
        </w:rPr>
        <w:t xml:space="preserve"> </w:t>
      </w:r>
      <w:r w:rsidR="00A7798D" w:rsidRPr="00C11F21">
        <w:rPr>
          <w:rFonts w:ascii="Book Antiqua" w:hAnsi="Book Antiqua"/>
          <w:sz w:val="24"/>
          <w:szCs w:val="24"/>
          <w:lang w:val="en-US"/>
        </w:rPr>
        <w:t>(</w:t>
      </w:r>
      <w:r w:rsidR="00423B9F" w:rsidRPr="00C11F21">
        <w:rPr>
          <w:rFonts w:ascii="Book Antiqua" w:hAnsi="Book Antiqua"/>
          <w:sz w:val="24"/>
          <w:szCs w:val="24"/>
          <w:lang w:val="en-US"/>
        </w:rPr>
        <w:t>aa 2-48 in viral genotype D) and a</w:t>
      </w:r>
      <w:r w:rsidR="00A7798D" w:rsidRPr="00C11F21">
        <w:rPr>
          <w:rFonts w:ascii="Book Antiqua" w:hAnsi="Book Antiqua"/>
          <w:sz w:val="24"/>
          <w:szCs w:val="24"/>
          <w:lang w:val="en-US"/>
        </w:rPr>
        <w:t xml:space="preserve"> highly</w:t>
      </w:r>
      <w:r w:rsidR="00423B9F" w:rsidRPr="00C11F21">
        <w:rPr>
          <w:rFonts w:ascii="Book Antiqua" w:hAnsi="Book Antiqua"/>
          <w:sz w:val="24"/>
          <w:szCs w:val="24"/>
          <w:lang w:val="en-US"/>
        </w:rPr>
        <w:t xml:space="preserve"> conserved preS1 domain associated with virion morphogenesis (aa 92-103 in viral genotype D) </w:t>
      </w:r>
      <w:r w:rsidR="00C95DCB" w:rsidRPr="00C11F21">
        <w:rPr>
          <w:rFonts w:ascii="Book Antiqua" w:hAnsi="Book Antiqua"/>
          <w:sz w:val="24"/>
          <w:szCs w:val="24"/>
          <w:lang w:val="en-US"/>
        </w:rPr>
        <w:t xml:space="preserve">were analyzed by next-generation sequencing and compared </w:t>
      </w:r>
      <w:r w:rsidR="00423B9F" w:rsidRPr="00C11F21">
        <w:rPr>
          <w:rFonts w:ascii="Book Antiqua" w:hAnsi="Book Antiqua"/>
          <w:sz w:val="24"/>
          <w:szCs w:val="24"/>
          <w:lang w:val="en-US"/>
        </w:rPr>
        <w:t>in 18 CHB patients with viremia &gt;</w:t>
      </w:r>
      <w:r w:rsidR="00F33187" w:rsidRPr="00C11F21">
        <w:rPr>
          <w:rFonts w:ascii="Book Antiqua" w:hAnsi="Book Antiqua" w:hint="eastAsia"/>
          <w:sz w:val="24"/>
          <w:szCs w:val="24"/>
          <w:lang w:val="en-US" w:eastAsia="zh-CN"/>
        </w:rPr>
        <w:t xml:space="preserve"> </w:t>
      </w:r>
      <w:r w:rsidR="00423B9F" w:rsidRPr="00C11F21">
        <w:rPr>
          <w:rFonts w:ascii="Book Antiqua" w:hAnsi="Book Antiqua"/>
          <w:sz w:val="24"/>
          <w:szCs w:val="24"/>
          <w:lang w:val="en-US"/>
        </w:rPr>
        <w:t>4 log</w:t>
      </w:r>
      <w:r w:rsidR="00F33187" w:rsidRPr="00C11F21">
        <w:rPr>
          <w:rFonts w:ascii="Book Antiqua" w:hAnsi="Book Antiqua" w:hint="eastAsia"/>
          <w:sz w:val="24"/>
          <w:szCs w:val="24"/>
          <w:lang w:val="en-US" w:eastAsia="zh-CN"/>
        </w:rPr>
        <w:t xml:space="preserve"> </w:t>
      </w:r>
      <w:r w:rsidR="00423B9F" w:rsidRPr="00C11F21">
        <w:rPr>
          <w:rFonts w:ascii="Book Antiqua" w:hAnsi="Book Antiqua"/>
          <w:sz w:val="24"/>
          <w:szCs w:val="24"/>
          <w:lang w:val="en-US"/>
        </w:rPr>
        <w:t xml:space="preserve">IU/mL. </w:t>
      </w:r>
      <w:r w:rsidR="002F362C" w:rsidRPr="00C11F21">
        <w:rPr>
          <w:rFonts w:ascii="Book Antiqua" w:hAnsi="Book Antiqua"/>
          <w:sz w:val="24"/>
          <w:szCs w:val="24"/>
          <w:lang w:val="en-US"/>
        </w:rPr>
        <w:t xml:space="preserve">The rs2296651 </w:t>
      </w:r>
      <w:r w:rsidR="00523995" w:rsidRPr="00C11F21">
        <w:rPr>
          <w:rFonts w:ascii="Book Antiqua" w:hAnsi="Book Antiqua"/>
          <w:sz w:val="24"/>
          <w:szCs w:val="24"/>
          <w:lang w:val="en-US"/>
        </w:rPr>
        <w:t>polymorphism</w:t>
      </w:r>
      <w:r w:rsidR="002F362C" w:rsidRPr="00C11F21">
        <w:rPr>
          <w:rFonts w:ascii="Book Antiqua" w:hAnsi="Book Antiqua"/>
          <w:sz w:val="24"/>
          <w:szCs w:val="24"/>
          <w:lang w:val="en-US"/>
        </w:rPr>
        <w:t xml:space="preserve"> was determined </w:t>
      </w:r>
      <w:r w:rsidR="00A7798D" w:rsidRPr="00C11F21">
        <w:rPr>
          <w:rFonts w:ascii="Book Antiqua" w:hAnsi="Book Antiqua"/>
          <w:sz w:val="24"/>
          <w:szCs w:val="24"/>
          <w:lang w:val="en-US"/>
        </w:rPr>
        <w:t xml:space="preserve">in all individuals in all 3 groups </w:t>
      </w:r>
      <w:r w:rsidR="002F362C" w:rsidRPr="00C11F21">
        <w:rPr>
          <w:rFonts w:ascii="Book Antiqua" w:hAnsi="Book Antiqua"/>
          <w:sz w:val="24"/>
          <w:szCs w:val="24"/>
          <w:lang w:val="en-US"/>
        </w:rPr>
        <w:t>using an in-house real-time PCR melting curve analysis.</w:t>
      </w:r>
    </w:p>
    <w:p w14:paraId="7244476E" w14:textId="77777777" w:rsidR="002F362C" w:rsidRPr="00C11F21" w:rsidRDefault="002F362C" w:rsidP="00F33187">
      <w:pPr>
        <w:snapToGrid w:val="0"/>
        <w:spacing w:after="0" w:line="360" w:lineRule="auto"/>
        <w:jc w:val="both"/>
        <w:rPr>
          <w:rFonts w:ascii="Book Antiqua" w:hAnsi="Book Antiqua"/>
          <w:sz w:val="24"/>
          <w:szCs w:val="24"/>
          <w:lang w:val="en-US"/>
        </w:rPr>
      </w:pPr>
    </w:p>
    <w:p w14:paraId="32E6B002" w14:textId="77777777" w:rsidR="00F33187" w:rsidRPr="00C11F21" w:rsidRDefault="002F362C" w:rsidP="00F33187">
      <w:pPr>
        <w:snapToGrid w:val="0"/>
        <w:spacing w:after="0" w:line="360" w:lineRule="auto"/>
        <w:jc w:val="both"/>
        <w:rPr>
          <w:rFonts w:ascii="Book Antiqua" w:hAnsi="Book Antiqua"/>
          <w:b/>
          <w:i/>
          <w:sz w:val="24"/>
          <w:szCs w:val="24"/>
          <w:lang w:val="en-US" w:eastAsia="zh-CN"/>
        </w:rPr>
      </w:pPr>
      <w:r w:rsidRPr="00C11F21">
        <w:rPr>
          <w:rFonts w:ascii="Book Antiqua" w:hAnsi="Book Antiqua"/>
          <w:b/>
          <w:i/>
          <w:sz w:val="24"/>
          <w:szCs w:val="24"/>
          <w:lang w:val="en-US"/>
        </w:rPr>
        <w:t>RESULTS</w:t>
      </w:r>
    </w:p>
    <w:p w14:paraId="40752E36" w14:textId="2DA7F866" w:rsidR="002F362C" w:rsidRPr="00C11F21" w:rsidRDefault="00770548" w:rsidP="00F33187">
      <w:pPr>
        <w:snapToGrid w:val="0"/>
        <w:spacing w:after="0" w:line="360" w:lineRule="auto"/>
        <w:jc w:val="both"/>
        <w:rPr>
          <w:rFonts w:ascii="Book Antiqua" w:hAnsi="Book Antiqua"/>
          <w:sz w:val="24"/>
          <w:szCs w:val="24"/>
          <w:lang w:val="en-US"/>
        </w:rPr>
      </w:pPr>
      <w:r w:rsidRPr="00C11F21">
        <w:rPr>
          <w:rFonts w:ascii="Book Antiqua" w:hAnsi="Book Antiqua"/>
          <w:sz w:val="24"/>
          <w:szCs w:val="24"/>
          <w:lang w:val="en-US"/>
        </w:rPr>
        <w:t>The</w:t>
      </w:r>
      <w:r w:rsidR="00F33187" w:rsidRPr="00C11F21">
        <w:rPr>
          <w:rFonts w:ascii="Book Antiqua" w:hAnsi="Book Antiqua" w:hint="eastAsia"/>
          <w:sz w:val="24"/>
          <w:szCs w:val="24"/>
          <w:lang w:val="en-US" w:eastAsia="zh-CN"/>
        </w:rPr>
        <w:t xml:space="preserve"> </w:t>
      </w:r>
      <w:r w:rsidR="00F33187" w:rsidRPr="00C11F21">
        <w:rPr>
          <w:rFonts w:ascii="Book Antiqua" w:hAnsi="Book Antiqua"/>
          <w:sz w:val="24"/>
          <w:szCs w:val="24"/>
          <w:lang w:val="en-US"/>
        </w:rPr>
        <w:t xml:space="preserve">hepatitis B virus </w:t>
      </w:r>
      <w:r w:rsidR="00F33187" w:rsidRPr="00C11F21">
        <w:rPr>
          <w:rFonts w:ascii="Book Antiqua" w:hAnsi="Book Antiqua" w:hint="eastAsia"/>
          <w:sz w:val="24"/>
          <w:szCs w:val="24"/>
          <w:lang w:val="en-US" w:eastAsia="zh-CN"/>
        </w:rPr>
        <w:t>(</w:t>
      </w:r>
      <w:r w:rsidRPr="00C11F21">
        <w:rPr>
          <w:rFonts w:ascii="Book Antiqua" w:hAnsi="Book Antiqua"/>
          <w:sz w:val="24"/>
          <w:szCs w:val="24"/>
          <w:lang w:val="en-US"/>
        </w:rPr>
        <w:t>HBV</w:t>
      </w:r>
      <w:r w:rsidR="00F33187" w:rsidRPr="00C11F21">
        <w:rPr>
          <w:rFonts w:ascii="Book Antiqua" w:hAnsi="Book Antiqua" w:hint="eastAsia"/>
          <w:sz w:val="24"/>
          <w:szCs w:val="24"/>
          <w:lang w:val="en-US" w:eastAsia="zh-CN"/>
        </w:rPr>
        <w:t xml:space="preserve">) </w:t>
      </w:r>
      <w:r w:rsidRPr="00C11F21">
        <w:rPr>
          <w:rFonts w:ascii="Book Antiqua" w:hAnsi="Book Antiqua"/>
          <w:sz w:val="24"/>
          <w:szCs w:val="24"/>
          <w:lang w:val="en-US"/>
        </w:rPr>
        <w:t>preS1 NTCP-interacting domain showed a high degree of conservation</w:t>
      </w:r>
      <w:r w:rsidRPr="00C11F21">
        <w:rPr>
          <w:rFonts w:ascii="Book Antiqua" w:hAnsi="Book Antiqua"/>
          <w:sz w:val="24"/>
          <w:szCs w:val="24"/>
          <w:shd w:val="clear" w:color="auto" w:fill="FFFFFF"/>
          <w:lang w:val="en-US"/>
        </w:rPr>
        <w:t xml:space="preserve"> among the examined viral genomes</w:t>
      </w:r>
      <w:r w:rsidRPr="00C11F21">
        <w:rPr>
          <w:rFonts w:ascii="Book Antiqua" w:hAnsi="Book Antiqua"/>
          <w:sz w:val="24"/>
          <w:szCs w:val="24"/>
          <w:lang w:val="en-US"/>
        </w:rPr>
        <w:t xml:space="preserve"> </w:t>
      </w:r>
      <w:r w:rsidR="00F53553" w:rsidRPr="00C11F21">
        <w:rPr>
          <w:rFonts w:ascii="Book Antiqua" w:hAnsi="Book Antiqua"/>
          <w:sz w:val="24"/>
          <w:szCs w:val="24"/>
          <w:lang w:val="en-US"/>
        </w:rPr>
        <w:t>especially between aa 9 and 21 (</w:t>
      </w:r>
      <w:r w:rsidR="0016339C" w:rsidRPr="00C11F21">
        <w:rPr>
          <w:rFonts w:ascii="Book Antiqua" w:hAnsi="Book Antiqua"/>
          <w:sz w:val="24"/>
          <w:szCs w:val="24"/>
          <w:lang w:val="en-US"/>
        </w:rPr>
        <w:t>in</w:t>
      </w:r>
      <w:r w:rsidR="00F83CBA" w:rsidRPr="00C11F21">
        <w:rPr>
          <w:rFonts w:ascii="Book Antiqua" w:hAnsi="Book Antiqua" w:cstheme="minorHAnsi"/>
          <w:sz w:val="24"/>
          <w:szCs w:val="24"/>
          <w:lang w:val="en-US"/>
        </w:rPr>
        <w:t xml:space="preserve"> the</w:t>
      </w:r>
      <w:r w:rsidR="008637BB" w:rsidRPr="00C11F21">
        <w:rPr>
          <w:rFonts w:ascii="Book Antiqua" w:hAnsi="Book Antiqua" w:cstheme="minorHAnsi"/>
          <w:sz w:val="24"/>
          <w:szCs w:val="24"/>
          <w:lang w:val="en-US"/>
        </w:rPr>
        <w:t xml:space="preserve"> </w:t>
      </w:r>
      <w:r w:rsidR="00AC5A91" w:rsidRPr="00C11F21">
        <w:rPr>
          <w:rFonts w:ascii="Book Antiqua" w:hAnsi="Book Antiqua" w:cstheme="minorHAnsi"/>
          <w:sz w:val="24"/>
          <w:szCs w:val="24"/>
          <w:lang w:val="en-US"/>
        </w:rPr>
        <w:t xml:space="preserve">genotype D consensus sequence). </w:t>
      </w:r>
      <w:r w:rsidR="003C48E7" w:rsidRPr="00C11F21">
        <w:rPr>
          <w:rFonts w:ascii="Book Antiqua" w:hAnsi="Book Antiqua"/>
          <w:sz w:val="24"/>
          <w:szCs w:val="24"/>
          <w:lang w:val="en-US"/>
        </w:rPr>
        <w:t xml:space="preserve">As compared with the virion morphogenesis domain, the </w:t>
      </w:r>
      <w:r w:rsidR="00DC4529" w:rsidRPr="00C11F21">
        <w:rPr>
          <w:rFonts w:ascii="Book Antiqua" w:hAnsi="Book Antiqua"/>
          <w:sz w:val="24"/>
          <w:szCs w:val="24"/>
          <w:lang w:val="en-US"/>
        </w:rPr>
        <w:t>NTCP</w:t>
      </w:r>
      <w:r w:rsidR="00CC3CC1" w:rsidRPr="00C11F21">
        <w:rPr>
          <w:rFonts w:ascii="Book Antiqua" w:hAnsi="Book Antiqua"/>
          <w:sz w:val="24"/>
          <w:szCs w:val="24"/>
          <w:lang w:val="en-US"/>
        </w:rPr>
        <w:t>-</w:t>
      </w:r>
      <w:r w:rsidR="003C48E7" w:rsidRPr="00C11F21">
        <w:rPr>
          <w:rFonts w:ascii="Book Antiqua" w:hAnsi="Book Antiqua"/>
          <w:sz w:val="24"/>
          <w:szCs w:val="24"/>
          <w:lang w:val="en-US"/>
        </w:rPr>
        <w:t xml:space="preserve">interacting domain had a smaller proportion of </w:t>
      </w:r>
      <w:r w:rsidR="008637BB" w:rsidRPr="00C11F21">
        <w:rPr>
          <w:rFonts w:ascii="Book Antiqua" w:hAnsi="Book Antiqua"/>
          <w:sz w:val="24"/>
          <w:szCs w:val="24"/>
          <w:lang w:val="en-US"/>
        </w:rPr>
        <w:t xml:space="preserve">HBV </w:t>
      </w:r>
      <w:r w:rsidR="003C48E7" w:rsidRPr="00C11F21">
        <w:rPr>
          <w:rFonts w:ascii="Book Antiqua" w:hAnsi="Book Antiqua"/>
          <w:sz w:val="24"/>
          <w:szCs w:val="24"/>
          <w:lang w:val="en-US"/>
        </w:rPr>
        <w:t>genotype-unrelated changes comprising &gt;</w:t>
      </w:r>
      <w:r w:rsidR="00F33187" w:rsidRPr="00C11F21">
        <w:rPr>
          <w:rFonts w:ascii="Book Antiqua" w:hAnsi="Book Antiqua" w:hint="eastAsia"/>
          <w:sz w:val="24"/>
          <w:szCs w:val="24"/>
          <w:lang w:val="en-US" w:eastAsia="zh-CN"/>
        </w:rPr>
        <w:t xml:space="preserve"> </w:t>
      </w:r>
      <w:r w:rsidR="003C48E7" w:rsidRPr="00C11F21">
        <w:rPr>
          <w:rFonts w:ascii="Book Antiqua" w:hAnsi="Book Antiqua"/>
          <w:sz w:val="24"/>
          <w:szCs w:val="24"/>
          <w:lang w:val="en-US"/>
        </w:rPr>
        <w:t xml:space="preserve">1% of the quasispecies (25.5% </w:t>
      </w:r>
      <w:r w:rsidR="003C48E7" w:rsidRPr="00C11F21">
        <w:rPr>
          <w:rFonts w:ascii="Book Antiqua" w:hAnsi="Book Antiqua"/>
          <w:i/>
          <w:sz w:val="24"/>
          <w:szCs w:val="24"/>
          <w:lang w:val="en-US"/>
        </w:rPr>
        <w:t>vs</w:t>
      </w:r>
      <w:r w:rsidR="00F33187" w:rsidRPr="00C11F21">
        <w:rPr>
          <w:rFonts w:ascii="Book Antiqua" w:hAnsi="Book Antiqua" w:hint="eastAsia"/>
          <w:i/>
          <w:sz w:val="24"/>
          <w:szCs w:val="24"/>
          <w:lang w:val="en-US" w:eastAsia="zh-CN"/>
        </w:rPr>
        <w:t xml:space="preserve"> </w:t>
      </w:r>
      <w:r w:rsidR="003C48E7" w:rsidRPr="00C11F21">
        <w:rPr>
          <w:rFonts w:ascii="Book Antiqua" w:hAnsi="Book Antiqua"/>
          <w:sz w:val="24"/>
          <w:szCs w:val="24"/>
          <w:lang w:val="en-US"/>
        </w:rPr>
        <w:t xml:space="preserve">31.8%), but </w:t>
      </w:r>
      <w:r w:rsidR="00593573" w:rsidRPr="00C11F21">
        <w:rPr>
          <w:rFonts w:ascii="Book Antiqua" w:hAnsi="Book Antiqua"/>
          <w:sz w:val="24"/>
          <w:szCs w:val="24"/>
          <w:lang w:val="en-US"/>
        </w:rPr>
        <w:t xml:space="preserve">a larger </w:t>
      </w:r>
      <w:r w:rsidR="003C48E7" w:rsidRPr="00C11F21">
        <w:rPr>
          <w:rFonts w:ascii="Book Antiqua" w:hAnsi="Book Antiqua"/>
          <w:sz w:val="24"/>
          <w:szCs w:val="24"/>
          <w:lang w:val="en-US"/>
        </w:rPr>
        <w:t>proportion of genotype-associated viral polymorphisms (34%</w:t>
      </w:r>
      <w:r w:rsidR="00F33187" w:rsidRPr="00C11F21">
        <w:rPr>
          <w:rFonts w:ascii="Book Antiqua" w:hAnsi="Book Antiqua" w:hint="eastAsia"/>
          <w:sz w:val="24"/>
          <w:szCs w:val="24"/>
          <w:lang w:val="en-US" w:eastAsia="zh-CN"/>
        </w:rPr>
        <w:t xml:space="preserve"> </w:t>
      </w:r>
      <w:r w:rsidR="003C48E7" w:rsidRPr="00C11F21">
        <w:rPr>
          <w:rFonts w:ascii="Book Antiqua" w:hAnsi="Book Antiqua"/>
          <w:i/>
          <w:sz w:val="24"/>
          <w:szCs w:val="24"/>
          <w:lang w:val="en-US"/>
        </w:rPr>
        <w:t>vs</w:t>
      </w:r>
      <w:r w:rsidR="00F33187" w:rsidRPr="00C11F21">
        <w:rPr>
          <w:rFonts w:ascii="Book Antiqua" w:hAnsi="Book Antiqua" w:hint="eastAsia"/>
          <w:sz w:val="24"/>
          <w:szCs w:val="24"/>
          <w:lang w:val="en-US" w:eastAsia="zh-CN"/>
        </w:rPr>
        <w:t xml:space="preserve"> </w:t>
      </w:r>
      <w:r w:rsidR="003C48E7" w:rsidRPr="00C11F21">
        <w:rPr>
          <w:rFonts w:ascii="Book Antiqua" w:hAnsi="Book Antiqua"/>
          <w:sz w:val="24"/>
          <w:szCs w:val="24"/>
          <w:lang w:val="en-US"/>
        </w:rPr>
        <w:t>27.3%)</w:t>
      </w:r>
      <w:r w:rsidR="00593573" w:rsidRPr="00C11F21">
        <w:rPr>
          <w:rFonts w:ascii="Book Antiqua" w:hAnsi="Book Antiqua"/>
          <w:sz w:val="24"/>
          <w:szCs w:val="24"/>
          <w:lang w:val="en-US"/>
        </w:rPr>
        <w:t>,</w:t>
      </w:r>
      <w:r w:rsidR="003C48E7" w:rsidRPr="00C11F21">
        <w:rPr>
          <w:rFonts w:ascii="Book Antiqua" w:hAnsi="Book Antiqua" w:cstheme="minorHAnsi"/>
          <w:sz w:val="24"/>
          <w:szCs w:val="24"/>
          <w:lang w:val="en-US"/>
        </w:rPr>
        <w:t xml:space="preserve"> a</w:t>
      </w:r>
      <w:r w:rsidR="003C48E7" w:rsidRPr="00C11F21">
        <w:rPr>
          <w:rFonts w:ascii="Book Antiqua" w:hAnsi="Book Antiqua"/>
          <w:sz w:val="24"/>
          <w:szCs w:val="24"/>
          <w:lang w:val="en-US"/>
        </w:rPr>
        <w:t xml:space="preserve">ccording to </w:t>
      </w:r>
      <w:r w:rsidR="003C48E7" w:rsidRPr="00C11F21">
        <w:rPr>
          <w:rFonts w:ascii="Book Antiqua" w:hAnsi="Book Antiqua" w:cstheme="minorHAnsi"/>
          <w:sz w:val="24"/>
          <w:szCs w:val="24"/>
          <w:lang w:val="en-US"/>
        </w:rPr>
        <w:t xml:space="preserve">consensus sequences from GenBank patterns of </w:t>
      </w:r>
      <w:r w:rsidR="008637BB" w:rsidRPr="00C11F21">
        <w:rPr>
          <w:rFonts w:ascii="Book Antiqua" w:hAnsi="Book Antiqua"/>
          <w:sz w:val="24"/>
          <w:szCs w:val="24"/>
          <w:lang w:val="en-US"/>
        </w:rPr>
        <w:t xml:space="preserve">HBV </w:t>
      </w:r>
      <w:r w:rsidR="003C48E7" w:rsidRPr="00C11F21">
        <w:rPr>
          <w:rFonts w:ascii="Book Antiqua" w:hAnsi="Book Antiqua" w:cstheme="minorHAnsi"/>
          <w:sz w:val="24"/>
          <w:szCs w:val="24"/>
          <w:lang w:val="en-US"/>
        </w:rPr>
        <w:t>genotypes A to H</w:t>
      </w:r>
      <w:r w:rsidR="003C48E7" w:rsidRPr="00C11F21">
        <w:rPr>
          <w:rFonts w:ascii="Book Antiqua" w:hAnsi="Book Antiqua"/>
          <w:sz w:val="24"/>
          <w:szCs w:val="24"/>
          <w:lang w:val="en-US"/>
        </w:rPr>
        <w:t>.</w:t>
      </w:r>
      <w:r w:rsidR="00F33187" w:rsidRPr="00C11F21">
        <w:rPr>
          <w:rFonts w:ascii="Book Antiqua" w:hAnsi="Book Antiqua" w:hint="eastAsia"/>
          <w:sz w:val="24"/>
          <w:szCs w:val="24"/>
          <w:lang w:val="en-US" w:eastAsia="zh-CN"/>
        </w:rPr>
        <w:t xml:space="preserve"> </w:t>
      </w:r>
      <w:r w:rsidR="002F362C" w:rsidRPr="00C11F21">
        <w:rPr>
          <w:rFonts w:ascii="Book Antiqua" w:hAnsi="Book Antiqua"/>
          <w:sz w:val="24"/>
          <w:szCs w:val="24"/>
          <w:lang w:val="en-US"/>
        </w:rPr>
        <w:t xml:space="preserve">Variation/conservation in both </w:t>
      </w:r>
      <w:r w:rsidR="00EA21FD" w:rsidRPr="00C11F21">
        <w:rPr>
          <w:rFonts w:ascii="Book Antiqua" w:hAnsi="Book Antiqua"/>
          <w:sz w:val="24"/>
          <w:szCs w:val="24"/>
          <w:lang w:val="en-US"/>
        </w:rPr>
        <w:t>domai</w:t>
      </w:r>
      <w:r w:rsidR="002F362C" w:rsidRPr="00C11F21">
        <w:rPr>
          <w:rFonts w:ascii="Book Antiqua" w:hAnsi="Book Antiqua"/>
          <w:sz w:val="24"/>
          <w:szCs w:val="24"/>
          <w:lang w:val="en-US"/>
        </w:rPr>
        <w:t xml:space="preserve">ns depended on </w:t>
      </w:r>
      <w:r w:rsidR="008637BB" w:rsidRPr="00C11F21">
        <w:rPr>
          <w:rFonts w:ascii="Book Antiqua" w:hAnsi="Book Antiqua"/>
          <w:sz w:val="24"/>
          <w:szCs w:val="24"/>
          <w:lang w:val="en-US"/>
        </w:rPr>
        <w:t xml:space="preserve">viral </w:t>
      </w:r>
      <w:r w:rsidR="002F362C" w:rsidRPr="00C11F21">
        <w:rPr>
          <w:rFonts w:ascii="Book Antiqua" w:hAnsi="Book Antiqua"/>
          <w:sz w:val="24"/>
          <w:szCs w:val="24"/>
          <w:lang w:val="en-US"/>
        </w:rPr>
        <w:t xml:space="preserve">genotype, with genotype C being the most highly conserved and genotype E the most variable (limited finding, only 2 genotype E included). Of note, </w:t>
      </w:r>
      <w:r w:rsidR="00DB65C4" w:rsidRPr="00C11F21">
        <w:rPr>
          <w:rFonts w:ascii="Book Antiqua" w:hAnsi="Book Antiqua"/>
          <w:sz w:val="24"/>
          <w:szCs w:val="24"/>
          <w:lang w:val="en-US"/>
        </w:rPr>
        <w:t>proline residues were highly conserved in both</w:t>
      </w:r>
      <w:r w:rsidR="00507612" w:rsidRPr="00C11F21">
        <w:rPr>
          <w:rFonts w:ascii="Book Antiqua" w:hAnsi="Book Antiqua"/>
          <w:sz w:val="24"/>
          <w:szCs w:val="24"/>
          <w:lang w:val="en-US"/>
        </w:rPr>
        <w:t xml:space="preserve"> </w:t>
      </w:r>
      <w:r w:rsidR="00F53553" w:rsidRPr="00C11F21">
        <w:rPr>
          <w:rFonts w:ascii="Book Antiqua" w:hAnsi="Book Antiqua"/>
          <w:sz w:val="24"/>
          <w:szCs w:val="24"/>
          <w:lang w:val="en-US"/>
        </w:rPr>
        <w:t>domains</w:t>
      </w:r>
      <w:r w:rsidR="00851213" w:rsidRPr="00C11F21">
        <w:rPr>
          <w:rFonts w:ascii="Book Antiqua" w:hAnsi="Book Antiqua"/>
          <w:sz w:val="24"/>
          <w:szCs w:val="24"/>
          <w:lang w:val="en-US"/>
        </w:rPr>
        <w:t>,</w:t>
      </w:r>
      <w:r w:rsidR="00DB65C4" w:rsidRPr="00C11F21">
        <w:rPr>
          <w:rFonts w:ascii="Book Antiqua" w:hAnsi="Book Antiqua"/>
          <w:sz w:val="24"/>
          <w:szCs w:val="24"/>
          <w:lang w:val="en-US"/>
        </w:rPr>
        <w:t xml:space="preserve"> and </w:t>
      </w:r>
      <w:r w:rsidR="002F362C" w:rsidRPr="00C11F21">
        <w:rPr>
          <w:rFonts w:ascii="Book Antiqua" w:hAnsi="Book Antiqua"/>
          <w:sz w:val="24"/>
          <w:szCs w:val="24"/>
          <w:lang w:val="en-US"/>
        </w:rPr>
        <w:t xml:space="preserve">serine residues showed changes only to threonine or tyrosine in the virion </w:t>
      </w:r>
      <w:r w:rsidR="002F362C" w:rsidRPr="00C11F21">
        <w:rPr>
          <w:rFonts w:ascii="Book Antiqua" w:hAnsi="Book Antiqua"/>
          <w:sz w:val="24"/>
          <w:szCs w:val="24"/>
          <w:lang w:val="en-US"/>
        </w:rPr>
        <w:lastRenderedPageBreak/>
        <w:t>morphogenesis domain.</w:t>
      </w:r>
      <w:r w:rsidR="00F33187" w:rsidRPr="00C11F21">
        <w:rPr>
          <w:rFonts w:ascii="Book Antiqua" w:hAnsi="Book Antiqua" w:hint="eastAsia"/>
          <w:sz w:val="24"/>
          <w:szCs w:val="24"/>
          <w:lang w:val="en-US" w:eastAsia="zh-CN"/>
        </w:rPr>
        <w:t xml:space="preserve"> </w:t>
      </w:r>
      <w:r w:rsidR="002F362C" w:rsidRPr="00C11F21">
        <w:rPr>
          <w:rFonts w:ascii="Book Antiqua" w:hAnsi="Book Antiqua"/>
          <w:sz w:val="24"/>
          <w:szCs w:val="24"/>
          <w:lang w:val="en-US"/>
        </w:rPr>
        <w:t xml:space="preserve">The rs2296651 </w:t>
      </w:r>
      <w:r w:rsidR="00507612" w:rsidRPr="00C11F21">
        <w:rPr>
          <w:rFonts w:ascii="Book Antiqua" w:hAnsi="Book Antiqua"/>
          <w:sz w:val="24"/>
          <w:szCs w:val="24"/>
          <w:lang w:val="en-US"/>
        </w:rPr>
        <w:t>polymorphism</w:t>
      </w:r>
      <w:r w:rsidR="002F362C" w:rsidRPr="00C11F21">
        <w:rPr>
          <w:rFonts w:ascii="Book Antiqua" w:hAnsi="Book Antiqua"/>
          <w:sz w:val="24"/>
          <w:szCs w:val="24"/>
          <w:lang w:val="en-US"/>
        </w:rPr>
        <w:t xml:space="preserve"> was </w:t>
      </w:r>
      <w:r w:rsidR="00851213" w:rsidRPr="00C11F21">
        <w:rPr>
          <w:rFonts w:ascii="Book Antiqua" w:hAnsi="Book Antiqua"/>
          <w:sz w:val="24"/>
          <w:szCs w:val="24"/>
          <w:lang w:val="en-US"/>
        </w:rPr>
        <w:t xml:space="preserve">not </w:t>
      </w:r>
      <w:r w:rsidR="002F362C" w:rsidRPr="00C11F21">
        <w:rPr>
          <w:rFonts w:ascii="Book Antiqua" w:hAnsi="Book Antiqua"/>
          <w:sz w:val="24"/>
          <w:szCs w:val="24"/>
          <w:lang w:val="en-US"/>
        </w:rPr>
        <w:t xml:space="preserve">detected in </w:t>
      </w:r>
      <w:r w:rsidR="00851213" w:rsidRPr="00C11F21">
        <w:rPr>
          <w:rFonts w:ascii="Book Antiqua" w:hAnsi="Book Antiqua"/>
          <w:sz w:val="24"/>
          <w:szCs w:val="24"/>
          <w:lang w:val="en-US"/>
        </w:rPr>
        <w:t>any</w:t>
      </w:r>
      <w:r w:rsidR="002F362C" w:rsidRPr="00C11F21">
        <w:rPr>
          <w:rFonts w:ascii="Book Antiqua" w:hAnsi="Book Antiqua"/>
          <w:sz w:val="24"/>
          <w:szCs w:val="24"/>
          <w:lang w:val="en-US"/>
        </w:rPr>
        <w:t xml:space="preserve"> participant</w:t>
      </w:r>
      <w:r w:rsidR="00851213" w:rsidRPr="00C11F21">
        <w:rPr>
          <w:rFonts w:ascii="Book Antiqua" w:hAnsi="Book Antiqua"/>
          <w:sz w:val="24"/>
          <w:szCs w:val="24"/>
          <w:lang w:val="en-US"/>
        </w:rPr>
        <w:t>.</w:t>
      </w:r>
    </w:p>
    <w:p w14:paraId="6A7AB325" w14:textId="77777777" w:rsidR="00F53553" w:rsidRPr="00C11F21" w:rsidRDefault="00F53553" w:rsidP="00F33187">
      <w:pPr>
        <w:snapToGrid w:val="0"/>
        <w:spacing w:after="0" w:line="360" w:lineRule="auto"/>
        <w:jc w:val="both"/>
        <w:rPr>
          <w:rFonts w:ascii="Book Antiqua" w:hAnsi="Book Antiqua"/>
          <w:sz w:val="24"/>
          <w:szCs w:val="24"/>
          <w:lang w:val="en-US"/>
        </w:rPr>
      </w:pPr>
    </w:p>
    <w:p w14:paraId="3636E38F" w14:textId="77777777" w:rsidR="00F33187" w:rsidRPr="00C11F21" w:rsidRDefault="002F362C" w:rsidP="00F33187">
      <w:pPr>
        <w:snapToGrid w:val="0"/>
        <w:spacing w:after="0" w:line="360" w:lineRule="auto"/>
        <w:jc w:val="both"/>
        <w:rPr>
          <w:rFonts w:ascii="Book Antiqua" w:hAnsi="Book Antiqua"/>
          <w:b/>
          <w:i/>
          <w:sz w:val="24"/>
          <w:szCs w:val="24"/>
          <w:lang w:val="en-US" w:eastAsia="zh-CN"/>
        </w:rPr>
      </w:pPr>
      <w:r w:rsidRPr="00C11F21">
        <w:rPr>
          <w:rFonts w:ascii="Book Antiqua" w:hAnsi="Book Antiqua"/>
          <w:b/>
          <w:i/>
          <w:sz w:val="24"/>
          <w:szCs w:val="24"/>
          <w:lang w:val="en-US"/>
        </w:rPr>
        <w:t>CONCLUSION</w:t>
      </w:r>
    </w:p>
    <w:p w14:paraId="00377101" w14:textId="72C4ACA7" w:rsidR="002F362C" w:rsidRPr="00C11F21" w:rsidRDefault="00DE5259" w:rsidP="00F33187">
      <w:pPr>
        <w:snapToGrid w:val="0"/>
        <w:spacing w:after="0" w:line="360" w:lineRule="auto"/>
        <w:jc w:val="both"/>
        <w:rPr>
          <w:rFonts w:ascii="Book Antiqua" w:hAnsi="Book Antiqua" w:cstheme="minorHAnsi"/>
          <w:sz w:val="24"/>
          <w:szCs w:val="24"/>
          <w:lang w:val="en-US"/>
        </w:rPr>
      </w:pPr>
      <w:r w:rsidRPr="00C11F21">
        <w:rPr>
          <w:rFonts w:ascii="Book Antiqua" w:hAnsi="Book Antiqua"/>
          <w:sz w:val="24"/>
          <w:szCs w:val="24"/>
          <w:lang w:val="en-US"/>
        </w:rPr>
        <w:t>I</w:t>
      </w:r>
      <w:r w:rsidRPr="00C11F21">
        <w:rPr>
          <w:rFonts w:ascii="Book Antiqua" w:hAnsi="Book Antiqua" w:cstheme="minorHAnsi"/>
          <w:sz w:val="24"/>
          <w:szCs w:val="24"/>
          <w:lang w:val="en-US"/>
        </w:rPr>
        <w:t>n our CHB population,</w:t>
      </w:r>
      <w:r w:rsidR="00A7798D" w:rsidRPr="00C11F21">
        <w:rPr>
          <w:rFonts w:ascii="Book Antiqua" w:hAnsi="Book Antiqua" w:cstheme="minorHAnsi"/>
          <w:sz w:val="24"/>
          <w:szCs w:val="24"/>
          <w:lang w:val="en-US"/>
        </w:rPr>
        <w:t xml:space="preserve"> </w:t>
      </w:r>
      <w:r w:rsidR="001616EA" w:rsidRPr="00C11F21">
        <w:rPr>
          <w:rFonts w:ascii="Book Antiqua" w:hAnsi="Book Antiqua" w:cstheme="minorHAnsi"/>
          <w:sz w:val="24"/>
          <w:szCs w:val="24"/>
          <w:lang w:val="en-US"/>
        </w:rPr>
        <w:t xml:space="preserve">the </w:t>
      </w:r>
      <w:r w:rsidR="00DC4529" w:rsidRPr="00C11F21">
        <w:rPr>
          <w:rFonts w:ascii="Book Antiqua" w:hAnsi="Book Antiqua"/>
          <w:sz w:val="24"/>
          <w:szCs w:val="24"/>
          <w:lang w:val="en-US"/>
        </w:rPr>
        <w:t>NTCP</w:t>
      </w:r>
      <w:r w:rsidR="00CC3CC1" w:rsidRPr="00C11F21">
        <w:rPr>
          <w:rFonts w:ascii="Book Antiqua" w:hAnsi="Book Antiqua"/>
          <w:sz w:val="24"/>
          <w:szCs w:val="24"/>
          <w:lang w:val="en-US"/>
        </w:rPr>
        <w:t>-</w:t>
      </w:r>
      <w:r w:rsidR="002F362C" w:rsidRPr="00C11F21">
        <w:rPr>
          <w:rFonts w:ascii="Book Antiqua" w:hAnsi="Book Antiqua"/>
          <w:sz w:val="24"/>
          <w:szCs w:val="24"/>
          <w:lang w:val="en-US"/>
        </w:rPr>
        <w:t xml:space="preserve">interacting domain </w:t>
      </w:r>
      <w:r w:rsidR="00A7798D" w:rsidRPr="00C11F21">
        <w:rPr>
          <w:rFonts w:ascii="Book Antiqua" w:hAnsi="Book Antiqua"/>
          <w:sz w:val="24"/>
          <w:szCs w:val="24"/>
          <w:lang w:val="en-US"/>
        </w:rPr>
        <w:t>was</w:t>
      </w:r>
      <w:r w:rsidR="002F362C" w:rsidRPr="00C11F21">
        <w:rPr>
          <w:rFonts w:ascii="Book Antiqua" w:hAnsi="Book Antiqua"/>
          <w:sz w:val="24"/>
          <w:szCs w:val="24"/>
          <w:lang w:val="en-US"/>
        </w:rPr>
        <w:t xml:space="preserve"> highly conserved</w:t>
      </w:r>
      <w:r w:rsidRPr="00C11F21">
        <w:rPr>
          <w:rFonts w:ascii="Book Antiqua" w:hAnsi="Book Antiqua"/>
          <w:sz w:val="24"/>
          <w:szCs w:val="24"/>
          <w:lang w:val="en-US"/>
        </w:rPr>
        <w:t>,</w:t>
      </w:r>
      <w:r w:rsidR="0073565B" w:rsidRPr="00C11F21">
        <w:rPr>
          <w:rFonts w:ascii="Book Antiqua" w:hAnsi="Book Antiqua"/>
          <w:sz w:val="24"/>
          <w:szCs w:val="24"/>
          <w:lang w:val="en-US"/>
        </w:rPr>
        <w:t xml:space="preserve"> particularly</w:t>
      </w:r>
      <w:r w:rsidRPr="00C11F21">
        <w:rPr>
          <w:rFonts w:ascii="Book Antiqua" w:hAnsi="Book Antiqua"/>
          <w:sz w:val="24"/>
          <w:szCs w:val="24"/>
          <w:lang w:val="en-US"/>
        </w:rPr>
        <w:t xml:space="preserve"> </w:t>
      </w:r>
      <w:r w:rsidR="00593573" w:rsidRPr="00C11F21">
        <w:rPr>
          <w:rFonts w:ascii="Book Antiqua" w:hAnsi="Book Antiqua"/>
          <w:sz w:val="24"/>
          <w:szCs w:val="24"/>
          <w:lang w:val="en-US"/>
        </w:rPr>
        <w:t xml:space="preserve">the </w:t>
      </w:r>
      <w:r w:rsidRPr="00C11F21">
        <w:rPr>
          <w:rFonts w:ascii="Book Antiqua" w:hAnsi="Book Antiqua" w:cstheme="minorHAnsi"/>
          <w:sz w:val="24"/>
          <w:szCs w:val="24"/>
          <w:lang w:val="en-US"/>
        </w:rPr>
        <w:t xml:space="preserve">proline residues and essential amino acids related with </w:t>
      </w:r>
      <w:r w:rsidR="00B67EB7" w:rsidRPr="00C11F21">
        <w:rPr>
          <w:rFonts w:ascii="Book Antiqua" w:hAnsi="Book Antiqua" w:cstheme="minorHAnsi"/>
          <w:sz w:val="24"/>
          <w:szCs w:val="24"/>
          <w:lang w:val="en-US"/>
        </w:rPr>
        <w:t xml:space="preserve">the </w:t>
      </w:r>
      <w:r w:rsidRPr="00C11F21">
        <w:rPr>
          <w:rFonts w:ascii="Book Antiqua" w:hAnsi="Book Antiqua" w:cstheme="minorHAnsi"/>
          <w:sz w:val="24"/>
          <w:szCs w:val="24"/>
          <w:lang w:val="en-US"/>
        </w:rPr>
        <w:t>NTCP interaction</w:t>
      </w:r>
      <w:r w:rsidRPr="00C11F21">
        <w:rPr>
          <w:rFonts w:ascii="Book Antiqua" w:hAnsi="Book Antiqua"/>
          <w:sz w:val="24"/>
          <w:szCs w:val="24"/>
          <w:lang w:val="en-US"/>
        </w:rPr>
        <w:t xml:space="preserve">, and </w:t>
      </w:r>
      <w:r w:rsidR="00A7798D" w:rsidRPr="00C11F21">
        <w:rPr>
          <w:rFonts w:ascii="Book Antiqua" w:hAnsi="Book Antiqua"/>
          <w:sz w:val="24"/>
          <w:szCs w:val="24"/>
          <w:lang w:val="en-US"/>
        </w:rPr>
        <w:t xml:space="preserve">the </w:t>
      </w:r>
      <w:r w:rsidRPr="00C11F21">
        <w:rPr>
          <w:rFonts w:ascii="Book Antiqua" w:hAnsi="Book Antiqua" w:cstheme="minorHAnsi"/>
          <w:sz w:val="24"/>
          <w:szCs w:val="24"/>
          <w:lang w:val="en-US"/>
        </w:rPr>
        <w:t xml:space="preserve">prevalence of rs2296651 </w:t>
      </w:r>
      <w:r w:rsidR="00A7798D" w:rsidRPr="00C11F21">
        <w:rPr>
          <w:rFonts w:ascii="Book Antiqua" w:hAnsi="Book Antiqua" w:cstheme="minorHAnsi"/>
          <w:sz w:val="24"/>
          <w:szCs w:val="24"/>
          <w:lang w:val="en-US"/>
        </w:rPr>
        <w:t>was</w:t>
      </w:r>
      <w:r w:rsidRPr="00C11F21">
        <w:rPr>
          <w:rFonts w:ascii="Book Antiqua" w:hAnsi="Book Antiqua" w:cstheme="minorHAnsi"/>
          <w:sz w:val="24"/>
          <w:szCs w:val="24"/>
          <w:lang w:val="en-US"/>
        </w:rPr>
        <w:t xml:space="preserve"> low</w:t>
      </w:r>
      <w:r w:rsidR="0073565B" w:rsidRPr="00C11F21">
        <w:rPr>
          <w:rFonts w:ascii="Book Antiqua" w:hAnsi="Book Antiqua" w:cstheme="minorHAnsi"/>
          <w:sz w:val="24"/>
          <w:szCs w:val="24"/>
          <w:lang w:val="en-US"/>
        </w:rPr>
        <w:t>/</w:t>
      </w:r>
      <w:r w:rsidRPr="00C11F21">
        <w:rPr>
          <w:rFonts w:ascii="Book Antiqua" w:hAnsi="Book Antiqua" w:cstheme="minorHAnsi"/>
          <w:sz w:val="24"/>
          <w:szCs w:val="24"/>
          <w:lang w:val="en-US"/>
        </w:rPr>
        <w:t>null</w:t>
      </w:r>
      <w:r w:rsidR="002F362C" w:rsidRPr="00C11F21">
        <w:rPr>
          <w:rFonts w:ascii="Book Antiqua" w:hAnsi="Book Antiqua"/>
          <w:sz w:val="24"/>
          <w:szCs w:val="24"/>
          <w:lang w:val="en-US"/>
        </w:rPr>
        <w:t>.</w:t>
      </w:r>
    </w:p>
    <w:p w14:paraId="69F6EFAE" w14:textId="77777777" w:rsidR="00DE5259" w:rsidRPr="00C11F21" w:rsidRDefault="00DE5259" w:rsidP="00F33187">
      <w:pPr>
        <w:snapToGrid w:val="0"/>
        <w:spacing w:after="0" w:line="360" w:lineRule="auto"/>
        <w:jc w:val="both"/>
        <w:rPr>
          <w:rFonts w:ascii="Book Antiqua" w:hAnsi="Book Antiqua" w:cstheme="minorHAnsi"/>
          <w:sz w:val="24"/>
          <w:szCs w:val="24"/>
          <w:lang w:val="en-US"/>
        </w:rPr>
      </w:pPr>
    </w:p>
    <w:p w14:paraId="4155C885" w14:textId="4CD65D18" w:rsidR="002F362C" w:rsidRPr="00C11F21" w:rsidRDefault="002F362C" w:rsidP="00F33187">
      <w:pPr>
        <w:snapToGrid w:val="0"/>
        <w:spacing w:after="0" w:line="360" w:lineRule="auto"/>
        <w:jc w:val="both"/>
        <w:rPr>
          <w:rFonts w:ascii="Book Antiqua" w:hAnsi="Book Antiqua"/>
          <w:b/>
          <w:sz w:val="24"/>
          <w:szCs w:val="24"/>
          <w:lang w:val="en-US"/>
        </w:rPr>
      </w:pPr>
      <w:r w:rsidRPr="00C11F21">
        <w:rPr>
          <w:rFonts w:ascii="Book Antiqua" w:hAnsi="Book Antiqua"/>
          <w:b/>
          <w:sz w:val="24"/>
          <w:szCs w:val="24"/>
          <w:lang w:val="en-US"/>
        </w:rPr>
        <w:t>Key</w:t>
      </w:r>
      <w:r w:rsidR="00F33187" w:rsidRPr="00C11F21">
        <w:rPr>
          <w:rFonts w:ascii="Book Antiqua" w:hAnsi="Book Antiqua" w:hint="eastAsia"/>
          <w:b/>
          <w:sz w:val="24"/>
          <w:szCs w:val="24"/>
          <w:lang w:val="en-US" w:eastAsia="zh-CN"/>
        </w:rPr>
        <w:t xml:space="preserve"> </w:t>
      </w:r>
      <w:r w:rsidRPr="00C11F21">
        <w:rPr>
          <w:rFonts w:ascii="Book Antiqua" w:hAnsi="Book Antiqua"/>
          <w:b/>
          <w:sz w:val="24"/>
          <w:szCs w:val="24"/>
          <w:lang w:val="en-US"/>
        </w:rPr>
        <w:t>words:</w:t>
      </w:r>
      <w:r w:rsidR="00F33187" w:rsidRPr="00C11F21">
        <w:rPr>
          <w:rFonts w:ascii="Book Antiqua" w:hAnsi="Book Antiqua" w:hint="eastAsia"/>
          <w:b/>
          <w:sz w:val="24"/>
          <w:szCs w:val="24"/>
          <w:lang w:val="en-US" w:eastAsia="zh-CN"/>
        </w:rPr>
        <w:t xml:space="preserve"> </w:t>
      </w:r>
      <w:r w:rsidRPr="00C11F21">
        <w:rPr>
          <w:rFonts w:ascii="Book Antiqua" w:hAnsi="Book Antiqua"/>
          <w:sz w:val="24"/>
          <w:szCs w:val="24"/>
          <w:lang w:val="en-US"/>
        </w:rPr>
        <w:t xml:space="preserve">Hepatitis B virus; </w:t>
      </w:r>
      <w:r w:rsidR="00F33187" w:rsidRPr="00C11F21">
        <w:rPr>
          <w:rFonts w:ascii="Book Antiqua" w:hAnsi="Book Antiqua"/>
          <w:sz w:val="24"/>
          <w:szCs w:val="24"/>
          <w:lang w:val="en-US"/>
        </w:rPr>
        <w:t>Hepatitis B virus</w:t>
      </w:r>
      <w:r w:rsidR="00F33187" w:rsidRPr="00C11F21">
        <w:rPr>
          <w:rFonts w:ascii="Book Antiqua" w:hAnsi="Book Antiqua" w:hint="eastAsia"/>
          <w:sz w:val="24"/>
          <w:szCs w:val="24"/>
          <w:lang w:val="en-US" w:eastAsia="zh-CN"/>
        </w:rPr>
        <w:t xml:space="preserve"> </w:t>
      </w:r>
      <w:r w:rsidR="0092535D" w:rsidRPr="00C11F21">
        <w:rPr>
          <w:rFonts w:ascii="Book Antiqua" w:hAnsi="Book Antiqua"/>
          <w:sz w:val="24"/>
          <w:szCs w:val="24"/>
          <w:lang w:val="en-US"/>
        </w:rPr>
        <w:t xml:space="preserve">preS1 region; </w:t>
      </w:r>
      <w:r w:rsidRPr="00C11F21">
        <w:rPr>
          <w:rFonts w:ascii="Book Antiqua" w:hAnsi="Book Antiqua"/>
          <w:caps/>
          <w:sz w:val="24"/>
          <w:szCs w:val="24"/>
          <w:lang w:val="en-US"/>
        </w:rPr>
        <w:t>s</w:t>
      </w:r>
      <w:r w:rsidRPr="00C11F21">
        <w:rPr>
          <w:rFonts w:ascii="Book Antiqua" w:hAnsi="Book Antiqua"/>
          <w:sz w:val="24"/>
          <w:szCs w:val="24"/>
          <w:lang w:val="en-US"/>
        </w:rPr>
        <w:t>odium-taurocholate co-t</w:t>
      </w:r>
      <w:r w:rsidR="00F33187" w:rsidRPr="00C11F21">
        <w:rPr>
          <w:rFonts w:ascii="Book Antiqua" w:hAnsi="Book Antiqua"/>
          <w:sz w:val="24"/>
          <w:szCs w:val="24"/>
          <w:lang w:val="en-US"/>
        </w:rPr>
        <w:t>ransporting polypeptide</w:t>
      </w:r>
      <w:r w:rsidR="0092535D" w:rsidRPr="00C11F21">
        <w:rPr>
          <w:rFonts w:ascii="Book Antiqua" w:hAnsi="Book Antiqua"/>
          <w:sz w:val="24"/>
          <w:szCs w:val="24"/>
          <w:lang w:val="en-US"/>
        </w:rPr>
        <w:t xml:space="preserve">; </w:t>
      </w:r>
      <w:r w:rsidR="00DC4529" w:rsidRPr="00C11F21">
        <w:rPr>
          <w:rFonts w:ascii="Book Antiqua" w:hAnsi="Book Antiqua"/>
          <w:sz w:val="24"/>
          <w:szCs w:val="24"/>
          <w:lang w:val="en-US"/>
        </w:rPr>
        <w:t>NTCP</w:t>
      </w:r>
      <w:r w:rsidR="00CC3CC1" w:rsidRPr="00C11F21">
        <w:rPr>
          <w:rFonts w:ascii="Book Antiqua" w:hAnsi="Book Antiqua"/>
          <w:sz w:val="24"/>
          <w:szCs w:val="24"/>
          <w:lang w:val="en-US"/>
        </w:rPr>
        <w:t>-</w:t>
      </w:r>
      <w:r w:rsidRPr="00C11F21">
        <w:rPr>
          <w:rFonts w:ascii="Book Antiqua" w:hAnsi="Book Antiqua"/>
          <w:sz w:val="24"/>
          <w:szCs w:val="24"/>
          <w:lang w:val="en-US"/>
        </w:rPr>
        <w:t xml:space="preserve">interacting domain; </w:t>
      </w:r>
      <w:r w:rsidR="00512A9E" w:rsidRPr="00C11F21">
        <w:rPr>
          <w:rFonts w:ascii="Book Antiqua" w:hAnsi="Book Antiqua"/>
          <w:caps/>
          <w:sz w:val="24"/>
          <w:szCs w:val="24"/>
          <w:lang w:val="en-US"/>
        </w:rPr>
        <w:t>v</w:t>
      </w:r>
      <w:r w:rsidR="00512A9E" w:rsidRPr="00C11F21">
        <w:rPr>
          <w:rFonts w:ascii="Book Antiqua" w:hAnsi="Book Antiqua"/>
          <w:sz w:val="24"/>
          <w:szCs w:val="24"/>
          <w:lang w:val="en-US"/>
        </w:rPr>
        <w:t xml:space="preserve">irion morphogenesis domain; </w:t>
      </w:r>
      <w:r w:rsidRPr="00C11F21">
        <w:rPr>
          <w:rFonts w:ascii="Book Antiqua" w:hAnsi="Book Antiqua"/>
          <w:sz w:val="24"/>
          <w:szCs w:val="24"/>
          <w:lang w:val="en-US"/>
        </w:rPr>
        <w:t xml:space="preserve">SNP rs2296651; </w:t>
      </w:r>
      <w:r w:rsidR="004B49AA" w:rsidRPr="00C11F21">
        <w:rPr>
          <w:rFonts w:ascii="Book Antiqua" w:hAnsi="Book Antiqua"/>
          <w:caps/>
          <w:sz w:val="24"/>
          <w:szCs w:val="24"/>
          <w:lang w:val="en-US"/>
        </w:rPr>
        <w:t>n</w:t>
      </w:r>
      <w:r w:rsidR="004B49AA" w:rsidRPr="00C11F21">
        <w:rPr>
          <w:rFonts w:ascii="Book Antiqua" w:hAnsi="Book Antiqua"/>
          <w:sz w:val="24"/>
          <w:szCs w:val="24"/>
          <w:lang w:val="en-US"/>
        </w:rPr>
        <w:t>ext-</w:t>
      </w:r>
      <w:r w:rsidRPr="00C11F21">
        <w:rPr>
          <w:rFonts w:ascii="Book Antiqua" w:hAnsi="Book Antiqua"/>
          <w:sz w:val="24"/>
          <w:szCs w:val="24"/>
          <w:lang w:val="en-US"/>
        </w:rPr>
        <w:t>generation sequencing</w:t>
      </w:r>
      <w:r w:rsidR="00BB2092" w:rsidRPr="00C11F21">
        <w:rPr>
          <w:rFonts w:ascii="Book Antiqua" w:hAnsi="Book Antiqua"/>
          <w:sz w:val="24"/>
          <w:szCs w:val="24"/>
          <w:lang w:val="en-US"/>
        </w:rPr>
        <w:t xml:space="preserve">; </w:t>
      </w:r>
      <w:r w:rsidR="00BB2092" w:rsidRPr="00C11F21">
        <w:rPr>
          <w:rFonts w:ascii="Book Antiqua" w:hAnsi="Book Antiqua"/>
          <w:caps/>
          <w:sz w:val="24"/>
          <w:szCs w:val="24"/>
          <w:lang w:val="en-US"/>
        </w:rPr>
        <w:t>r</w:t>
      </w:r>
      <w:r w:rsidR="00BB2092" w:rsidRPr="00C11F21">
        <w:rPr>
          <w:rFonts w:ascii="Book Antiqua" w:hAnsi="Book Antiqua"/>
          <w:sz w:val="24"/>
          <w:szCs w:val="24"/>
          <w:lang w:val="en-US"/>
        </w:rPr>
        <w:t>eal-time PCR melting curves</w:t>
      </w:r>
    </w:p>
    <w:p w14:paraId="12FA642C" w14:textId="77777777" w:rsidR="002F362C" w:rsidRPr="00C11F21" w:rsidRDefault="002F362C" w:rsidP="00F33187">
      <w:pPr>
        <w:snapToGrid w:val="0"/>
        <w:spacing w:after="0" w:line="360" w:lineRule="auto"/>
        <w:jc w:val="both"/>
        <w:rPr>
          <w:rFonts w:ascii="Book Antiqua" w:hAnsi="Book Antiqua"/>
          <w:b/>
          <w:sz w:val="24"/>
          <w:szCs w:val="24"/>
          <w:lang w:val="en-US" w:eastAsia="zh-CN"/>
        </w:rPr>
      </w:pPr>
      <w:r w:rsidRPr="00C11F21">
        <w:rPr>
          <w:rFonts w:ascii="Book Antiqua" w:hAnsi="Book Antiqua"/>
          <w:b/>
          <w:sz w:val="24"/>
          <w:szCs w:val="24"/>
          <w:lang w:val="en-US"/>
        </w:rPr>
        <w:t xml:space="preserve"> </w:t>
      </w:r>
    </w:p>
    <w:p w14:paraId="207F39AC" w14:textId="77777777" w:rsidR="0086098F" w:rsidRPr="00C11F21" w:rsidRDefault="0086098F" w:rsidP="0086098F">
      <w:pPr>
        <w:snapToGrid w:val="0"/>
        <w:spacing w:after="0" w:line="360" w:lineRule="auto"/>
        <w:jc w:val="both"/>
        <w:rPr>
          <w:rFonts w:ascii="Book Antiqua" w:hAnsi="Book Antiqua"/>
          <w:b/>
          <w:sz w:val="24"/>
          <w:szCs w:val="24"/>
          <w:lang w:val="en-US" w:eastAsia="zh-CN"/>
        </w:rPr>
      </w:pPr>
      <w:bookmarkStart w:id="16" w:name="OLE_LINK363"/>
      <w:bookmarkStart w:id="17" w:name="OLE_LINK364"/>
      <w:bookmarkStart w:id="18" w:name="OLE_LINK359"/>
      <w:bookmarkStart w:id="19" w:name="OLE_LINK1037"/>
      <w:bookmarkStart w:id="20" w:name="OLE_LINK1195"/>
      <w:bookmarkStart w:id="21" w:name="OLE_LINK1140"/>
      <w:bookmarkStart w:id="22" w:name="OLE_LINK1062"/>
      <w:bookmarkStart w:id="23" w:name="OLE_LINK500"/>
      <w:bookmarkStart w:id="24" w:name="OLE_LINK916"/>
      <w:bookmarkStart w:id="25" w:name="OLE_LINK956"/>
      <w:bookmarkStart w:id="26" w:name="OLE_LINK994"/>
      <w:r w:rsidRPr="00C11F21">
        <w:rPr>
          <w:rFonts w:ascii="Book Antiqua" w:hAnsi="Book Antiqua" w:hint="eastAsia"/>
          <w:b/>
          <w:sz w:val="24"/>
          <w:szCs w:val="24"/>
          <w:lang w:val="en-US" w:eastAsia="zh-CN"/>
        </w:rPr>
        <w:t>©</w:t>
      </w:r>
      <w:r w:rsidRPr="00C11F21">
        <w:rPr>
          <w:rFonts w:ascii="Book Antiqua" w:hAnsi="Book Antiqua"/>
          <w:b/>
          <w:sz w:val="24"/>
          <w:szCs w:val="24"/>
          <w:lang w:val="en-US" w:eastAsia="zh-CN"/>
        </w:rPr>
        <w:t xml:space="preserve"> The Author(s) 201</w:t>
      </w:r>
      <w:r w:rsidRPr="00C11F21">
        <w:rPr>
          <w:rFonts w:ascii="Book Antiqua" w:hAnsi="Book Antiqua" w:hint="eastAsia"/>
          <w:b/>
          <w:sz w:val="24"/>
          <w:szCs w:val="24"/>
          <w:lang w:val="en-US" w:eastAsia="zh-CN"/>
        </w:rPr>
        <w:t>8</w:t>
      </w:r>
      <w:r w:rsidRPr="00C11F21">
        <w:rPr>
          <w:rFonts w:ascii="Book Antiqua" w:hAnsi="Book Antiqua"/>
          <w:b/>
          <w:sz w:val="24"/>
          <w:szCs w:val="24"/>
          <w:lang w:val="en-US" w:eastAsia="zh-CN"/>
        </w:rPr>
        <w:t xml:space="preserve">. </w:t>
      </w:r>
      <w:r w:rsidRPr="00C11F21">
        <w:rPr>
          <w:rFonts w:ascii="Book Antiqua" w:hAnsi="Book Antiqua"/>
          <w:sz w:val="24"/>
          <w:szCs w:val="24"/>
          <w:lang w:val="en-US" w:eastAsia="zh-CN"/>
        </w:rPr>
        <w:t>Published by Baishideng Publishing Group Inc. All rights reserved.</w:t>
      </w:r>
    </w:p>
    <w:bookmarkEnd w:id="16"/>
    <w:bookmarkEnd w:id="17"/>
    <w:bookmarkEnd w:id="18"/>
    <w:bookmarkEnd w:id="19"/>
    <w:bookmarkEnd w:id="20"/>
    <w:bookmarkEnd w:id="21"/>
    <w:bookmarkEnd w:id="22"/>
    <w:bookmarkEnd w:id="23"/>
    <w:bookmarkEnd w:id="24"/>
    <w:bookmarkEnd w:id="25"/>
    <w:bookmarkEnd w:id="26"/>
    <w:p w14:paraId="56631893" w14:textId="77777777" w:rsidR="0086098F" w:rsidRPr="00C11F21" w:rsidRDefault="0086098F" w:rsidP="00F33187">
      <w:pPr>
        <w:snapToGrid w:val="0"/>
        <w:spacing w:after="0" w:line="360" w:lineRule="auto"/>
        <w:jc w:val="both"/>
        <w:rPr>
          <w:rFonts w:ascii="Book Antiqua" w:hAnsi="Book Antiqua"/>
          <w:b/>
          <w:sz w:val="24"/>
          <w:szCs w:val="24"/>
          <w:lang w:val="en-US" w:eastAsia="zh-CN"/>
        </w:rPr>
      </w:pPr>
    </w:p>
    <w:p w14:paraId="058BE428" w14:textId="6D0C6E8E" w:rsidR="00057B05" w:rsidRPr="00C11F21" w:rsidRDefault="002F362C" w:rsidP="00F33187">
      <w:pPr>
        <w:snapToGrid w:val="0"/>
        <w:spacing w:after="0" w:line="360" w:lineRule="auto"/>
        <w:jc w:val="both"/>
        <w:rPr>
          <w:rFonts w:ascii="Book Antiqua" w:hAnsi="Book Antiqua" w:cstheme="minorHAnsi"/>
          <w:sz w:val="24"/>
          <w:szCs w:val="24"/>
          <w:lang w:val="en-US"/>
        </w:rPr>
      </w:pPr>
      <w:r w:rsidRPr="00C11F21">
        <w:rPr>
          <w:rFonts w:ascii="Book Antiqua" w:hAnsi="Book Antiqua"/>
          <w:b/>
          <w:sz w:val="24"/>
          <w:szCs w:val="24"/>
          <w:lang w:val="en-US"/>
        </w:rPr>
        <w:t xml:space="preserve">Core tip: </w:t>
      </w:r>
      <w:r w:rsidR="00593573" w:rsidRPr="00C11F21">
        <w:rPr>
          <w:rFonts w:ascii="Book Antiqua" w:eastAsiaTheme="minorHAnsi" w:hAnsi="Book Antiqua"/>
          <w:sz w:val="24"/>
          <w:szCs w:val="24"/>
          <w:shd w:val="clear" w:color="auto" w:fill="FFFFFF"/>
          <w:lang w:eastAsia="en-US"/>
        </w:rPr>
        <w:t>S</w:t>
      </w:r>
      <w:r w:rsidR="00593573" w:rsidRPr="00C11F21">
        <w:rPr>
          <w:rFonts w:ascii="Book Antiqua" w:eastAsiaTheme="minorHAnsi" w:hAnsi="Book Antiqua"/>
          <w:sz w:val="24"/>
          <w:szCs w:val="24"/>
          <w:shd w:val="clear" w:color="auto" w:fill="FFFFFF"/>
          <w:lang w:val="en-US" w:eastAsia="en-US"/>
        </w:rPr>
        <w:t xml:space="preserve">imultaneous analysis of both viral and host features important for </w:t>
      </w:r>
      <w:r w:rsidR="00F33187" w:rsidRPr="00C11F21">
        <w:rPr>
          <w:rFonts w:ascii="Book Antiqua" w:hAnsi="Book Antiqua"/>
          <w:sz w:val="24"/>
          <w:szCs w:val="24"/>
          <w:lang w:val="en-US"/>
        </w:rPr>
        <w:t xml:space="preserve">hepatitis B virus </w:t>
      </w:r>
      <w:r w:rsidR="00F33187" w:rsidRPr="00C11F21">
        <w:rPr>
          <w:rFonts w:ascii="Book Antiqua" w:hAnsi="Book Antiqua" w:hint="eastAsia"/>
          <w:sz w:val="24"/>
          <w:szCs w:val="24"/>
          <w:lang w:val="en-US" w:eastAsia="zh-CN"/>
        </w:rPr>
        <w:t>(</w:t>
      </w:r>
      <w:r w:rsidR="00F33187" w:rsidRPr="00C11F21">
        <w:rPr>
          <w:rFonts w:ascii="Book Antiqua" w:hAnsi="Book Antiqua"/>
          <w:sz w:val="24"/>
          <w:szCs w:val="24"/>
          <w:lang w:val="en-US"/>
        </w:rPr>
        <w:t>HBV</w:t>
      </w:r>
      <w:r w:rsidR="00F33187" w:rsidRPr="00C11F21">
        <w:rPr>
          <w:rFonts w:ascii="Book Antiqua" w:hAnsi="Book Antiqua" w:hint="eastAsia"/>
          <w:sz w:val="24"/>
          <w:szCs w:val="24"/>
          <w:lang w:val="en-US" w:eastAsia="zh-CN"/>
        </w:rPr>
        <w:t>)</w:t>
      </w:r>
      <w:r w:rsidR="00F33187" w:rsidRPr="00C11F21">
        <w:rPr>
          <w:rFonts w:ascii="Book Antiqua" w:hAnsi="Book Antiqua" w:hint="eastAsia"/>
          <w:sz w:val="24"/>
          <w:szCs w:val="24"/>
          <w:shd w:val="clear" w:color="auto" w:fill="FFFFFF"/>
          <w:lang w:val="en-US" w:eastAsia="zh-CN"/>
        </w:rPr>
        <w:t xml:space="preserve"> </w:t>
      </w:r>
      <w:r w:rsidR="00593573" w:rsidRPr="00C11F21">
        <w:rPr>
          <w:rFonts w:ascii="Book Antiqua" w:eastAsiaTheme="minorHAnsi" w:hAnsi="Book Antiqua"/>
          <w:sz w:val="24"/>
          <w:szCs w:val="24"/>
          <w:shd w:val="clear" w:color="auto" w:fill="FFFFFF"/>
          <w:lang w:val="en-US" w:eastAsia="en-US"/>
        </w:rPr>
        <w:t>entry in</w:t>
      </w:r>
      <w:r w:rsidR="00B67EB7" w:rsidRPr="00C11F21">
        <w:rPr>
          <w:rFonts w:ascii="Book Antiqua" w:eastAsiaTheme="minorHAnsi" w:hAnsi="Book Antiqua"/>
          <w:sz w:val="24"/>
          <w:szCs w:val="24"/>
          <w:shd w:val="clear" w:color="auto" w:fill="FFFFFF"/>
          <w:lang w:val="en-US" w:eastAsia="en-US"/>
        </w:rPr>
        <w:t>to</w:t>
      </w:r>
      <w:r w:rsidR="00593573" w:rsidRPr="00C11F21">
        <w:rPr>
          <w:rFonts w:ascii="Book Antiqua" w:eastAsiaTheme="minorHAnsi" w:hAnsi="Book Antiqua"/>
          <w:sz w:val="24"/>
          <w:szCs w:val="24"/>
          <w:shd w:val="clear" w:color="auto" w:fill="FFFFFF"/>
          <w:lang w:val="en-US" w:eastAsia="en-US"/>
        </w:rPr>
        <w:t xml:space="preserve"> hepatocytes provided </w:t>
      </w:r>
      <w:r w:rsidR="00593573" w:rsidRPr="00C11F21">
        <w:rPr>
          <w:rFonts w:ascii="Book Antiqua" w:hAnsi="Book Antiqua" w:cstheme="minorHAnsi"/>
          <w:sz w:val="24"/>
          <w:szCs w:val="24"/>
          <w:lang w:val="en-US"/>
        </w:rPr>
        <w:t xml:space="preserve">locally relevant preliminary information in a population previously uncharacterized in this regard. </w:t>
      </w:r>
      <w:r w:rsidR="00B51681" w:rsidRPr="00C11F21">
        <w:rPr>
          <w:rFonts w:ascii="Book Antiqua" w:hAnsi="Book Antiqua" w:cstheme="minorHAnsi"/>
          <w:sz w:val="24"/>
          <w:szCs w:val="24"/>
          <w:lang w:val="en-US"/>
        </w:rPr>
        <w:t>In-house developed n</w:t>
      </w:r>
      <w:r w:rsidR="00593573" w:rsidRPr="00C11F21">
        <w:rPr>
          <w:rFonts w:ascii="Book Antiqua" w:hAnsi="Book Antiqua" w:cstheme="minorHAnsi"/>
          <w:sz w:val="24"/>
          <w:szCs w:val="24"/>
          <w:lang w:val="en-US"/>
        </w:rPr>
        <w:t xml:space="preserve">ext-generation sequencing was successfully used to investigate </w:t>
      </w:r>
      <w:r w:rsidR="00057B05" w:rsidRPr="00C11F21">
        <w:rPr>
          <w:rFonts w:ascii="Book Antiqua" w:hAnsi="Book Antiqua" w:cstheme="minorHAnsi"/>
          <w:sz w:val="24"/>
          <w:szCs w:val="24"/>
          <w:lang w:val="en-US"/>
        </w:rPr>
        <w:t xml:space="preserve">the </w:t>
      </w:r>
      <w:r w:rsidR="00593573" w:rsidRPr="00C11F21">
        <w:rPr>
          <w:rFonts w:ascii="Book Antiqua" w:hAnsi="Book Antiqua" w:cstheme="minorHAnsi"/>
          <w:sz w:val="24"/>
          <w:szCs w:val="24"/>
          <w:lang w:val="en-US"/>
        </w:rPr>
        <w:t xml:space="preserve">variability of </w:t>
      </w:r>
      <w:r w:rsidR="00981523" w:rsidRPr="00C11F21">
        <w:rPr>
          <w:rFonts w:ascii="Book Antiqua" w:hAnsi="Book Antiqua"/>
          <w:sz w:val="24"/>
          <w:szCs w:val="24"/>
          <w:lang w:val="en-US"/>
        </w:rPr>
        <w:t>the pre</w:t>
      </w:r>
      <w:r w:rsidR="00593573" w:rsidRPr="00C11F21">
        <w:rPr>
          <w:rFonts w:ascii="Book Antiqua" w:hAnsi="Book Antiqua"/>
          <w:sz w:val="24"/>
          <w:szCs w:val="24"/>
          <w:lang w:val="en-US"/>
        </w:rPr>
        <w:t>S1 domain of the HBV large envelope protein</w:t>
      </w:r>
      <w:r w:rsidR="00571F4E" w:rsidRPr="00C11F21">
        <w:rPr>
          <w:rFonts w:ascii="Book Antiqua" w:hAnsi="Book Antiqua"/>
          <w:sz w:val="24"/>
          <w:szCs w:val="24"/>
          <w:lang w:val="en-US"/>
        </w:rPr>
        <w:t>,</w:t>
      </w:r>
      <w:r w:rsidR="00593573" w:rsidRPr="00C11F21">
        <w:rPr>
          <w:rFonts w:ascii="Book Antiqua" w:hAnsi="Book Antiqua"/>
          <w:sz w:val="24"/>
          <w:szCs w:val="24"/>
          <w:lang w:val="en-US"/>
        </w:rPr>
        <w:t xml:space="preserve"> and </w:t>
      </w:r>
      <w:r w:rsidR="0043678F" w:rsidRPr="00C11F21">
        <w:rPr>
          <w:rFonts w:ascii="Book Antiqua" w:hAnsi="Book Antiqua" w:cstheme="minorHAnsi"/>
          <w:sz w:val="24"/>
          <w:szCs w:val="24"/>
          <w:lang w:val="en-US"/>
        </w:rPr>
        <w:t xml:space="preserve">real-time </w:t>
      </w:r>
      <w:r w:rsidR="00571F4E" w:rsidRPr="00C11F21">
        <w:rPr>
          <w:rFonts w:ascii="Book Antiqua" w:hAnsi="Book Antiqua"/>
          <w:sz w:val="24"/>
          <w:szCs w:val="24"/>
          <w:lang w:val="en-US"/>
        </w:rPr>
        <w:t>PCR melting curve analysis</w:t>
      </w:r>
      <w:r w:rsidR="00571F4E" w:rsidRPr="00C11F21">
        <w:rPr>
          <w:rFonts w:ascii="Book Antiqua" w:hAnsi="Book Antiqua" w:cstheme="minorHAnsi"/>
          <w:sz w:val="24"/>
          <w:szCs w:val="24"/>
          <w:lang w:val="en-US"/>
        </w:rPr>
        <w:t xml:space="preserve"> </w:t>
      </w:r>
      <w:r w:rsidR="0043678F" w:rsidRPr="00C11F21">
        <w:rPr>
          <w:rFonts w:ascii="Book Antiqua" w:hAnsi="Book Antiqua"/>
          <w:sz w:val="24"/>
          <w:szCs w:val="24"/>
          <w:lang w:val="en-US"/>
        </w:rPr>
        <w:t xml:space="preserve">to detect the </w:t>
      </w:r>
      <w:r w:rsidR="00057B05" w:rsidRPr="00C11F21">
        <w:rPr>
          <w:rFonts w:ascii="Book Antiqua" w:hAnsi="Book Antiqua"/>
          <w:sz w:val="24"/>
          <w:szCs w:val="24"/>
          <w:lang w:val="en-US"/>
        </w:rPr>
        <w:t xml:space="preserve">rs2296651 polymorphism (NTCP variant, S267F) in </w:t>
      </w:r>
      <w:r w:rsidR="002421A0" w:rsidRPr="00C11F21">
        <w:rPr>
          <w:rFonts w:ascii="Book Antiqua" w:hAnsi="Book Antiqua"/>
          <w:sz w:val="24"/>
          <w:szCs w:val="24"/>
          <w:lang w:val="en-US"/>
        </w:rPr>
        <w:t xml:space="preserve">the </w:t>
      </w:r>
      <w:r w:rsidR="007728CC" w:rsidRPr="00C11F21">
        <w:rPr>
          <w:rFonts w:ascii="Book Antiqua" w:hAnsi="Book Antiqua"/>
          <w:sz w:val="24"/>
          <w:szCs w:val="24"/>
          <w:lang w:val="en-US"/>
        </w:rPr>
        <w:t>HBV</w:t>
      </w:r>
      <w:r w:rsidR="00593573" w:rsidRPr="00C11F21">
        <w:rPr>
          <w:rFonts w:ascii="Book Antiqua" w:hAnsi="Book Antiqua"/>
          <w:sz w:val="24"/>
          <w:szCs w:val="24"/>
          <w:lang w:val="en-US"/>
        </w:rPr>
        <w:t xml:space="preserve"> cellular receptor, NTCP</w:t>
      </w:r>
      <w:r w:rsidR="00057B05" w:rsidRPr="00C11F21">
        <w:rPr>
          <w:rFonts w:ascii="Book Antiqua" w:hAnsi="Book Antiqua"/>
          <w:sz w:val="24"/>
          <w:szCs w:val="24"/>
          <w:lang w:val="en-US"/>
        </w:rPr>
        <w:t xml:space="preserve">. </w:t>
      </w:r>
      <w:r w:rsidR="002421A0" w:rsidRPr="00C11F21">
        <w:rPr>
          <w:rFonts w:ascii="Book Antiqua" w:hAnsi="Book Antiqua"/>
          <w:sz w:val="24"/>
          <w:szCs w:val="24"/>
          <w:lang w:val="en-US"/>
        </w:rPr>
        <w:t>R</w:t>
      </w:r>
      <w:r w:rsidR="00057B05" w:rsidRPr="00C11F21">
        <w:rPr>
          <w:rFonts w:ascii="Book Antiqua" w:hAnsi="Book Antiqua"/>
          <w:sz w:val="24"/>
          <w:szCs w:val="24"/>
          <w:lang w:val="en-US"/>
        </w:rPr>
        <w:t>esults in a limited sample indicate that the features</w:t>
      </w:r>
      <w:r w:rsidR="0043678F" w:rsidRPr="00C11F21">
        <w:rPr>
          <w:rFonts w:ascii="Book Antiqua" w:hAnsi="Book Antiqua"/>
          <w:sz w:val="24"/>
          <w:szCs w:val="24"/>
          <w:lang w:val="en-US"/>
        </w:rPr>
        <w:t xml:space="preserve"> analyzed</w:t>
      </w:r>
      <w:r w:rsidR="00057B05" w:rsidRPr="00C11F21">
        <w:rPr>
          <w:rFonts w:ascii="Book Antiqua" w:hAnsi="Book Antiqua"/>
          <w:sz w:val="24"/>
          <w:szCs w:val="24"/>
          <w:lang w:val="en-US"/>
        </w:rPr>
        <w:t xml:space="preserve"> would not decrease the effectiveness of new</w:t>
      </w:r>
      <w:r w:rsidR="00057B05" w:rsidRPr="00C11F21">
        <w:rPr>
          <w:rFonts w:ascii="Book Antiqua" w:hAnsi="Book Antiqua" w:cstheme="minorHAnsi"/>
          <w:sz w:val="24"/>
          <w:szCs w:val="24"/>
          <w:lang w:val="en-US"/>
        </w:rPr>
        <w:t xml:space="preserve"> therapies to block NTCP and avert HBV binding to hepatocytes in our </w:t>
      </w:r>
      <w:r w:rsidR="000F61D1" w:rsidRPr="00C11F21">
        <w:rPr>
          <w:rFonts w:ascii="Book Antiqua" w:hAnsi="Book Antiqua" w:cstheme="minorHAnsi"/>
          <w:sz w:val="24"/>
          <w:szCs w:val="24"/>
          <w:lang w:val="en-US"/>
        </w:rPr>
        <w:t xml:space="preserve">particular </w:t>
      </w:r>
      <w:r w:rsidR="00057B05" w:rsidRPr="00C11F21">
        <w:rPr>
          <w:rFonts w:ascii="Book Antiqua" w:hAnsi="Book Antiqua" w:cstheme="minorHAnsi"/>
          <w:sz w:val="24"/>
          <w:szCs w:val="24"/>
          <w:lang w:val="en-US"/>
        </w:rPr>
        <w:t xml:space="preserve">CHB population. </w:t>
      </w:r>
    </w:p>
    <w:p w14:paraId="2B19F5C7" w14:textId="77777777" w:rsidR="00512A9E" w:rsidRPr="00C11F21" w:rsidRDefault="00512A9E" w:rsidP="00F33187">
      <w:pPr>
        <w:snapToGrid w:val="0"/>
        <w:spacing w:after="0" w:line="360" w:lineRule="auto"/>
        <w:jc w:val="both"/>
        <w:rPr>
          <w:rFonts w:ascii="Book Antiqua" w:hAnsi="Book Antiqua"/>
          <w:b/>
          <w:sz w:val="24"/>
          <w:szCs w:val="24"/>
          <w:lang w:val="en-US"/>
        </w:rPr>
      </w:pPr>
    </w:p>
    <w:p w14:paraId="39386370" w14:textId="7B65DE71" w:rsidR="005C659B" w:rsidRPr="00C11F21" w:rsidRDefault="00F11A70" w:rsidP="00F33187">
      <w:pPr>
        <w:autoSpaceDE w:val="0"/>
        <w:autoSpaceDN w:val="0"/>
        <w:adjustRightInd w:val="0"/>
        <w:snapToGrid w:val="0"/>
        <w:spacing w:after="0" w:line="360" w:lineRule="auto"/>
        <w:jc w:val="both"/>
        <w:rPr>
          <w:rFonts w:ascii="Book Antiqua" w:hAnsi="Book Antiqua" w:cstheme="minorHAnsi"/>
          <w:sz w:val="24"/>
          <w:szCs w:val="24"/>
          <w:shd w:val="clear" w:color="auto" w:fill="FFFFFF"/>
          <w:lang w:val="es-ES" w:eastAsia="zh-CN"/>
        </w:rPr>
      </w:pPr>
      <w:r w:rsidRPr="00C11F21">
        <w:rPr>
          <w:rFonts w:ascii="Book Antiqua" w:hAnsi="Book Antiqua" w:cstheme="minorHAnsi"/>
          <w:sz w:val="24"/>
          <w:szCs w:val="24"/>
          <w:lang w:val="es-ES"/>
        </w:rPr>
        <w:t>Casillas R,</w:t>
      </w:r>
      <w:r w:rsidR="00F33187" w:rsidRPr="00C11F21">
        <w:rPr>
          <w:rFonts w:ascii="Book Antiqua" w:hAnsi="Book Antiqua" w:cstheme="minorHAnsi" w:hint="eastAsia"/>
          <w:sz w:val="24"/>
          <w:szCs w:val="24"/>
          <w:lang w:val="es-ES" w:eastAsia="zh-CN"/>
        </w:rPr>
        <w:t xml:space="preserve"> </w:t>
      </w:r>
      <w:r w:rsidRPr="00C11F21">
        <w:rPr>
          <w:rFonts w:ascii="Book Antiqua" w:hAnsi="Book Antiqua" w:cstheme="minorHAnsi"/>
          <w:sz w:val="24"/>
          <w:szCs w:val="24"/>
          <w:lang w:val="es-ES"/>
        </w:rPr>
        <w:t xml:space="preserve">Tabernero D, Gregori J, Belmonte I, </w:t>
      </w:r>
      <w:r w:rsidR="00FF1E4C" w:rsidRPr="00C11F21">
        <w:rPr>
          <w:rFonts w:ascii="Book Antiqua" w:hAnsi="Book Antiqua" w:cstheme="minorHAnsi"/>
          <w:sz w:val="24"/>
          <w:szCs w:val="24"/>
          <w:lang w:val="es-ES"/>
        </w:rPr>
        <w:t xml:space="preserve">Cortese MF, </w:t>
      </w:r>
      <w:r w:rsidRPr="00C11F21">
        <w:rPr>
          <w:rFonts w:ascii="Book Antiqua" w:hAnsi="Book Antiqua" w:cstheme="minorHAnsi"/>
          <w:sz w:val="24"/>
          <w:szCs w:val="24"/>
          <w:lang w:val="es-ES"/>
        </w:rPr>
        <w:t xml:space="preserve">González C, </w:t>
      </w:r>
      <w:r w:rsidR="00FF1E4C" w:rsidRPr="00C11F21">
        <w:rPr>
          <w:rFonts w:ascii="Book Antiqua" w:hAnsi="Book Antiqua" w:cstheme="minorHAnsi"/>
          <w:sz w:val="24"/>
          <w:szCs w:val="24"/>
          <w:lang w:val="es-ES"/>
        </w:rPr>
        <w:t xml:space="preserve">Riveiro-Barciela M, </w:t>
      </w:r>
      <w:r w:rsidRPr="00C11F21">
        <w:rPr>
          <w:rFonts w:ascii="Book Antiqua" w:hAnsi="Book Antiqua" w:cstheme="minorHAnsi"/>
          <w:sz w:val="24"/>
          <w:szCs w:val="24"/>
          <w:lang w:val="es-ES"/>
        </w:rPr>
        <w:t xml:space="preserve">López RM, Quer J, Esteban R, Buti M, Rodríguez-Frías F. </w:t>
      </w:r>
      <w:r w:rsidR="002822FD" w:rsidRPr="00C11F21">
        <w:rPr>
          <w:rFonts w:ascii="Book Antiqua" w:hAnsi="Book Antiqua" w:cstheme="minorHAnsi"/>
          <w:sz w:val="24"/>
          <w:szCs w:val="24"/>
          <w:lang w:val="en-US"/>
        </w:rPr>
        <w:t>Analys</w:t>
      </w:r>
      <w:r w:rsidR="00B11846" w:rsidRPr="00C11F21">
        <w:rPr>
          <w:rFonts w:ascii="Book Antiqua" w:hAnsi="Book Antiqua" w:cstheme="minorHAnsi"/>
          <w:sz w:val="24"/>
          <w:szCs w:val="24"/>
          <w:lang w:val="en-US"/>
        </w:rPr>
        <w:t>i</w:t>
      </w:r>
      <w:r w:rsidR="002822FD" w:rsidRPr="00C11F21">
        <w:rPr>
          <w:rFonts w:ascii="Book Antiqua" w:hAnsi="Book Antiqua" w:cstheme="minorHAnsi"/>
          <w:sz w:val="24"/>
          <w:szCs w:val="24"/>
          <w:lang w:val="en-US"/>
        </w:rPr>
        <w:t xml:space="preserve">s of </w:t>
      </w:r>
      <w:r w:rsidR="00F33187" w:rsidRPr="00C11F21">
        <w:rPr>
          <w:rFonts w:ascii="Book Antiqua" w:hAnsi="Book Antiqua" w:cstheme="minorHAnsi"/>
          <w:sz w:val="24"/>
          <w:szCs w:val="24"/>
          <w:lang w:val="en-US"/>
        </w:rPr>
        <w:t>hepatitis B</w:t>
      </w:r>
      <w:r w:rsidR="004F4E6E" w:rsidRPr="00C11F21">
        <w:rPr>
          <w:rFonts w:ascii="Book Antiqua" w:hAnsi="Book Antiqua" w:cstheme="minorHAnsi" w:hint="eastAsia"/>
          <w:sz w:val="24"/>
          <w:szCs w:val="24"/>
          <w:lang w:val="en-US" w:eastAsia="zh-CN"/>
        </w:rPr>
        <w:t xml:space="preserve"> </w:t>
      </w:r>
      <w:r w:rsidR="00F33187" w:rsidRPr="00C11F21">
        <w:rPr>
          <w:rFonts w:ascii="Book Antiqua" w:hAnsi="Book Antiqua" w:cstheme="minorHAnsi"/>
          <w:sz w:val="24"/>
          <w:szCs w:val="24"/>
          <w:lang w:val="en-US"/>
        </w:rPr>
        <w:t>virus</w:t>
      </w:r>
      <w:r w:rsidR="00F33187" w:rsidRPr="00C11F21">
        <w:rPr>
          <w:rFonts w:ascii="Book Antiqua" w:hAnsi="Book Antiqua" w:cstheme="minorHAnsi" w:hint="eastAsia"/>
          <w:sz w:val="24"/>
          <w:szCs w:val="24"/>
          <w:lang w:val="en-US" w:eastAsia="zh-CN"/>
        </w:rPr>
        <w:t xml:space="preserve"> </w:t>
      </w:r>
      <w:r w:rsidR="002822FD" w:rsidRPr="00C11F21">
        <w:rPr>
          <w:rFonts w:ascii="Book Antiqua" w:hAnsi="Book Antiqua" w:cstheme="minorHAnsi"/>
          <w:sz w:val="24"/>
          <w:szCs w:val="24"/>
          <w:lang w:val="en-US"/>
        </w:rPr>
        <w:t>preS1 variability and</w:t>
      </w:r>
      <w:r w:rsidR="004F4E6E" w:rsidRPr="00C11F21">
        <w:rPr>
          <w:rFonts w:ascii="Book Antiqua" w:hAnsi="Book Antiqua" w:cstheme="minorHAnsi" w:hint="eastAsia"/>
          <w:sz w:val="24"/>
          <w:szCs w:val="24"/>
          <w:lang w:val="en-US" w:eastAsia="zh-CN"/>
        </w:rPr>
        <w:t xml:space="preserve"> </w:t>
      </w:r>
      <w:r w:rsidR="002822FD" w:rsidRPr="00C11F21">
        <w:rPr>
          <w:rFonts w:ascii="Book Antiqua" w:hAnsi="Book Antiqua" w:cstheme="minorHAnsi"/>
          <w:sz w:val="24"/>
          <w:szCs w:val="24"/>
          <w:lang w:val="en-US"/>
        </w:rPr>
        <w:t>prevalence of the rs2296651 polymorphism in a Spanish population</w:t>
      </w:r>
      <w:r w:rsidR="00F33187" w:rsidRPr="00C11F21">
        <w:rPr>
          <w:rFonts w:ascii="Book Antiqua" w:hAnsi="Book Antiqua" w:cstheme="minorHAnsi" w:hint="eastAsia"/>
          <w:sz w:val="24"/>
          <w:szCs w:val="24"/>
          <w:lang w:val="en-US" w:eastAsia="zh-CN"/>
        </w:rPr>
        <w:t xml:space="preserve">. </w:t>
      </w:r>
      <w:bookmarkStart w:id="27" w:name="OLE_LINK1105"/>
      <w:bookmarkStart w:id="28" w:name="OLE_LINK1107"/>
      <w:r w:rsidR="00660112" w:rsidRPr="00660112">
        <w:rPr>
          <w:rFonts w:ascii="Book Antiqua" w:hAnsi="Book Antiqua" w:cstheme="minorHAnsi"/>
          <w:i/>
          <w:sz w:val="24"/>
          <w:szCs w:val="24"/>
          <w:lang w:val="en-US" w:eastAsia="zh-CN"/>
        </w:rPr>
        <w:t xml:space="preserve">World J Gastroenterol </w:t>
      </w:r>
      <w:r w:rsidR="00660112" w:rsidRPr="00660112">
        <w:rPr>
          <w:rFonts w:ascii="Book Antiqua" w:hAnsi="Book Antiqua" w:cstheme="minorHAnsi"/>
          <w:sz w:val="24"/>
          <w:szCs w:val="24"/>
          <w:lang w:val="en-US" w:eastAsia="zh-CN"/>
        </w:rPr>
        <w:t>201</w:t>
      </w:r>
      <w:r w:rsidR="00660112" w:rsidRPr="00660112">
        <w:rPr>
          <w:rFonts w:ascii="Book Antiqua" w:hAnsi="Book Antiqua" w:cstheme="minorHAnsi" w:hint="eastAsia"/>
          <w:sz w:val="24"/>
          <w:szCs w:val="24"/>
          <w:lang w:val="en-US" w:eastAsia="zh-CN"/>
        </w:rPr>
        <w:t>8</w:t>
      </w:r>
      <w:r w:rsidR="00660112" w:rsidRPr="00660112">
        <w:rPr>
          <w:rFonts w:ascii="Book Antiqua" w:hAnsi="Book Antiqua" w:cstheme="minorHAnsi"/>
          <w:sz w:val="24"/>
          <w:szCs w:val="24"/>
          <w:lang w:val="en-US" w:eastAsia="zh-CN"/>
        </w:rPr>
        <w:t>;</w:t>
      </w:r>
      <w:r w:rsidR="00660112">
        <w:rPr>
          <w:rFonts w:ascii="Book Antiqua" w:hAnsi="Book Antiqua" w:cstheme="minorHAnsi" w:hint="eastAsia"/>
          <w:sz w:val="24"/>
          <w:szCs w:val="24"/>
          <w:lang w:val="en-US" w:eastAsia="zh-CN"/>
        </w:rPr>
        <w:t xml:space="preserve"> </w:t>
      </w:r>
      <w:r w:rsidR="00660112" w:rsidRPr="00660112">
        <w:rPr>
          <w:rFonts w:ascii="Book Antiqua" w:hAnsi="Book Antiqua" w:cstheme="minorHAnsi"/>
          <w:sz w:val="24"/>
          <w:szCs w:val="24"/>
          <w:lang w:val="en-US" w:eastAsia="zh-CN"/>
        </w:rPr>
        <w:t>In press</w:t>
      </w:r>
      <w:bookmarkEnd w:id="27"/>
      <w:bookmarkEnd w:id="28"/>
      <w:r w:rsidR="00660112" w:rsidRPr="00660112">
        <w:rPr>
          <w:rFonts w:ascii="Book Antiqua" w:hAnsi="Book Antiqua" w:cstheme="minorHAnsi"/>
          <w:b/>
          <w:sz w:val="24"/>
          <w:szCs w:val="24"/>
          <w:lang w:val="en-US" w:eastAsia="zh-CN"/>
        </w:rPr>
        <w:t xml:space="preserve"> </w:t>
      </w:r>
      <w:r w:rsidR="005C659B" w:rsidRPr="00C11F21">
        <w:rPr>
          <w:rFonts w:ascii="Book Antiqua" w:hAnsi="Book Antiqua" w:cstheme="minorHAnsi"/>
          <w:b/>
          <w:sz w:val="24"/>
          <w:szCs w:val="24"/>
          <w:lang w:val="en-US"/>
        </w:rPr>
        <w:br w:type="page"/>
      </w:r>
    </w:p>
    <w:p w14:paraId="434BA511" w14:textId="77777777" w:rsidR="005C659B" w:rsidRPr="00C11F21" w:rsidRDefault="005C659B" w:rsidP="00F33187">
      <w:pPr>
        <w:autoSpaceDE w:val="0"/>
        <w:autoSpaceDN w:val="0"/>
        <w:adjustRightInd w:val="0"/>
        <w:snapToGrid w:val="0"/>
        <w:spacing w:after="0" w:line="360" w:lineRule="auto"/>
        <w:jc w:val="both"/>
        <w:rPr>
          <w:rFonts w:ascii="Book Antiqua" w:hAnsi="Book Antiqua" w:cstheme="minorHAnsi"/>
          <w:b/>
          <w:sz w:val="24"/>
          <w:szCs w:val="24"/>
          <w:lang w:val="en-US"/>
        </w:rPr>
      </w:pPr>
      <w:r w:rsidRPr="00C11F21">
        <w:rPr>
          <w:rFonts w:ascii="Book Antiqua" w:hAnsi="Book Antiqua" w:cstheme="minorHAnsi"/>
          <w:b/>
          <w:sz w:val="24"/>
          <w:szCs w:val="24"/>
          <w:lang w:val="en-US"/>
        </w:rPr>
        <w:lastRenderedPageBreak/>
        <w:t>INTRODUCTION</w:t>
      </w:r>
    </w:p>
    <w:p w14:paraId="48084DCC" w14:textId="40B88AC6" w:rsidR="00144419" w:rsidRPr="00C11F21" w:rsidRDefault="005C659B" w:rsidP="00F33187">
      <w:pPr>
        <w:autoSpaceDE w:val="0"/>
        <w:autoSpaceDN w:val="0"/>
        <w:adjustRightInd w:val="0"/>
        <w:snapToGrid w:val="0"/>
        <w:spacing w:after="0" w:line="360" w:lineRule="auto"/>
        <w:jc w:val="both"/>
        <w:rPr>
          <w:rFonts w:ascii="Book Antiqua" w:hAnsi="Book Antiqua" w:cstheme="minorHAnsi"/>
          <w:sz w:val="24"/>
          <w:szCs w:val="24"/>
          <w:lang w:val="en-US" w:eastAsia="zh-CN"/>
        </w:rPr>
      </w:pPr>
      <w:r w:rsidRPr="00C11F21">
        <w:rPr>
          <w:rFonts w:ascii="Book Antiqua" w:hAnsi="Book Antiqua" w:cstheme="minorHAnsi"/>
          <w:sz w:val="24"/>
          <w:szCs w:val="24"/>
          <w:lang w:val="en-US"/>
        </w:rPr>
        <w:t>Hepatitis B virus (HBV) infection remains a major health threat, with around 240 million chronically infected individuals worldwide</w:t>
      </w:r>
      <w:r w:rsidR="004F4E6E" w:rsidRPr="00C11F21">
        <w:rPr>
          <w:rFonts w:ascii="Book Antiqua" w:hAnsi="Book Antiqua" w:cstheme="minorHAnsi"/>
          <w:sz w:val="24"/>
          <w:szCs w:val="24"/>
          <w:lang w:val="en-US"/>
        </w:rPr>
        <w:fldChar w:fldCharType="begin" w:fldLock="1"/>
      </w:r>
      <w:r w:rsidR="004F4E6E" w:rsidRPr="00C11F21">
        <w:rPr>
          <w:rFonts w:ascii="Book Antiqua" w:hAnsi="Book Antiqua" w:cstheme="minorHAnsi"/>
          <w:sz w:val="24"/>
          <w:szCs w:val="24"/>
          <w:lang w:val="en-US"/>
        </w:rPr>
        <w:instrText>ADDIN CSL_CITATION { "citationItems" : [ { "id" : "ITEM-1", "itemData" : { "DOI" : "10.1016/S0140-6736(15)61412-X", "ISBN" : "0140-6736", "ISSN" : "1474547X", "PMID" : "26231459", "abstract" : "Summary Background The quantification of the burden of disease attributable to hepatitis B virus (HBV) infection and the adaptation of prevention and control measures requires knowledge on its prevalence in the general population. For most countries such data are not routinely available. We estimated the national, regional, and global prevalence of chronic HBV infection. Methods For this systematic review and pooled analysis, we searched for data on prevalence of chronic HBV infection published between Jan 1, 1965, and Oct 23, 2013, in the databases Medline, Embase, CAB Abstracts (Global health), Popline, and Web of Science. We included studies reporting the hepatitis B surface antigen (HBsAg) serological marker of chronic HBV infection in non-high-risk groups and extracted data into a customised database. For each country, we calculated HBsAg prevalence estimates and 95% CIs weighted by study size. We extrapolated prevalence estimates to population sizes in 2010 to obtain the number of individuals with chronic HBV infection. Findings Of the 17 029 records screened, 1800 report on the prevalence of HBsAg covering 161 countries were included. HBsAg seroprevalence was 3\u00b761% (95% CI 3\u00b761-3\u00b761) worldwide with highest endemicity in countries of the African region (total 8\u00b783%, 8\u00b782-8\u00b783) and Western Pacific region (total 5\u00b726%, 5\u00b726-5\u00b726). Within WHO regions, prevalence ranged from 0\u00b720% (0\u00b719-0\u00b721; Mexico) to 13\u00b755% (9\u00b700-19\u00b789; Haiti) in the Americas, to 0\u00b748% (0\u00b712-1\u00b790; the Seychelles) to 22\u00b738% (20\u00b710-24\u00b783; South Sudan) in the African region. We estimated that in 2010, globally, about 248 million individuals were HBsAg positive. Interpretation This first global assessment of country-level population prevalence of chronic HBV infection found a wide variation between countries and highlights the need for continued prevention and control strategies and the collection of reliable epidemiologic data using standardised methodology. Funding World Health Organization.", "author" : [ { "dropping-particle" : "", "family" : "Schweitzer", "given" : "Aparna", "non-dropping-particle" : "", "parse-names" : false, "suffix" : "" }, { "dropping-particle" : "", "family" : "Horn", "given" : "Johannes", "non-dropping-particle" : "", "parse-names" : false, "suffix" : "" }, { "dropping-particle" : "", "family" : "Mikolajczyk", "given" : "Rafael T.", "non-dropping-particle" : "", "parse-names" : false, "suffix" : "" }, { "dropping-particle" : "", "family" : "Krause", "given" : "G\u00e9rard", "non-dropping-particle" : "", "parse-names" : false, "suffix" : "" }, { "dropping-particle" : "", "family" : "Ott", "given" : "J\u00f6rdis J.", "non-dropping-particle" : "", "parse-names" : false, "suffix" : "" } ], "container-title" : "The Lancet", "id" : "ITEM-1", "issue" : "10003", "issued" : { "date-parts" : [ [ "2015" ] ] }, "page" : "1546-1555", "title" : "Estimations of worldwide prevalence of chronic hepatitis B virus infection: A systematic review of data published between 1965 and 2013", "type" : "article-journal", "volume" : "386" }, "uris" : [ "http://www.mendeley.com/documents/?uuid=a4277fe5-d738-4422-be26-6a8199759f88" ] } ], "mendeley" : { "formattedCitation" : "&lt;sup&gt;[1]&lt;/sup&gt;", "plainTextFormattedCitation" : "[1]", "previouslyFormattedCitation" : "&lt;sup&gt;[1]&lt;/sup&gt;" }, "properties" : {  }, "schema" : "https://github.com/citation-style-language/schema/raw/master/csl-citation.json" }</w:instrText>
      </w:r>
      <w:r w:rsidR="004F4E6E" w:rsidRPr="00C11F21">
        <w:rPr>
          <w:rFonts w:ascii="Book Antiqua" w:hAnsi="Book Antiqua" w:cstheme="minorHAnsi"/>
          <w:sz w:val="24"/>
          <w:szCs w:val="24"/>
          <w:lang w:val="en-US"/>
        </w:rPr>
        <w:fldChar w:fldCharType="separate"/>
      </w:r>
      <w:r w:rsidR="004F4E6E" w:rsidRPr="00C11F21">
        <w:rPr>
          <w:rFonts w:ascii="Book Antiqua" w:hAnsi="Book Antiqua" w:cstheme="minorHAnsi"/>
          <w:noProof/>
          <w:sz w:val="24"/>
          <w:szCs w:val="24"/>
          <w:vertAlign w:val="superscript"/>
          <w:lang w:val="en-US"/>
        </w:rPr>
        <w:t>[1]</w:t>
      </w:r>
      <w:r w:rsidR="004F4E6E" w:rsidRPr="00C11F21">
        <w:rPr>
          <w:rFonts w:ascii="Book Antiqua" w:hAnsi="Book Antiqua" w:cstheme="minorHAnsi"/>
          <w:sz w:val="24"/>
          <w:szCs w:val="24"/>
          <w:lang w:val="en-US"/>
        </w:rPr>
        <w:fldChar w:fldCharType="end"/>
      </w:r>
      <w:r w:rsidRPr="00C11F21">
        <w:rPr>
          <w:rFonts w:ascii="Book Antiqua" w:hAnsi="Book Antiqua" w:cstheme="minorHAnsi"/>
          <w:sz w:val="24"/>
          <w:szCs w:val="24"/>
          <w:lang w:val="en-US"/>
        </w:rPr>
        <w:t>.</w:t>
      </w:r>
      <w:r w:rsidR="004F4E6E" w:rsidRPr="00C11F21">
        <w:rPr>
          <w:rFonts w:ascii="Book Antiqua" w:hAnsi="Book Antiqua" w:cstheme="minorHAnsi" w:hint="eastAsia"/>
          <w:sz w:val="24"/>
          <w:szCs w:val="24"/>
          <w:lang w:val="en-US" w:eastAsia="zh-CN"/>
        </w:rPr>
        <w:t xml:space="preserve"> </w:t>
      </w:r>
      <w:r w:rsidRPr="00C11F21">
        <w:rPr>
          <w:rFonts w:ascii="Book Antiqua" w:hAnsi="Book Antiqua" w:cstheme="minorHAnsi"/>
          <w:sz w:val="24"/>
          <w:szCs w:val="24"/>
          <w:lang w:val="en-US"/>
        </w:rPr>
        <w:t>Persistently infected people are at high risk for the development of cirrhosis and hepatocellular carcinoma, and about 1 million people die each year due to HBV-associated liver disease</w:t>
      </w:r>
      <w:r w:rsidR="004F4E6E" w:rsidRPr="00C11F21">
        <w:rPr>
          <w:rFonts w:ascii="Book Antiqua" w:hAnsi="Book Antiqua" w:cstheme="minorHAnsi"/>
          <w:sz w:val="24"/>
          <w:szCs w:val="24"/>
          <w:lang w:val="en-US"/>
        </w:rPr>
        <w:fldChar w:fldCharType="begin" w:fldLock="1"/>
      </w:r>
      <w:r w:rsidR="004F4E6E" w:rsidRPr="00C11F21">
        <w:rPr>
          <w:rFonts w:ascii="Book Antiqua" w:hAnsi="Book Antiqua" w:cstheme="minorHAnsi"/>
          <w:sz w:val="24"/>
          <w:szCs w:val="24"/>
          <w:lang w:val="en-US"/>
        </w:rPr>
        <w:instrText>ADDIN CSL_CITATION { "citationItems" : [ { "id" : "ITEM-1", "itemData" : { "DOI" : "10.1038/nrgastro.2011.33", "ISSN" : "1759-5053", "PMID" : "21423260", "abstract" : "The goal of hepatitis B treatment is to prevent cirrhosis, liver decompensation and hepatocellular carcinoma. In clinical practice, treatment response is determined by suppression of serum HBV DNA levels, hepatitis B e antigen seroconversion to hepatitis B e antibody, hepatitis B surface antigen loss, normalization of alanine aminotransferase levels and improvement in liver histology. Patients with life-threatening liver disease, and those with high levels of HBV replication and active or advanced liver disease, should be treated. Other patients should be monitored so that treatment can be initiated when indicated. Currently, seven medications are approved for the treatment of hepatitis B: two formulations of interferon and five nucleos(t)ide analogues. Interferon is administered for a finite duration while nucleos(t)ide analogues are usually administered for many years. Antiviral drug resistance is a major limiting factor to the success of nucleos(t)ide analogue treatment; therefore, treatment should be initiated with drugs that have a high genetic barrier to resistance (that is, a low potential for drug resistance). In addition, treatment response should be closely monitored to detect virologic breakthroughs, and the importance of medication adherence should be emphasized. Management of patients with treatment failure should be tailored according to the type of treatment failure (lack of initial response versus virologic breakthrough), the treatment that the patient is receiving, history of prior treatment, and the pretreatment characteristics of both the patient and the disease.", "author" : [ { "dropping-particle" : "", "family" : "Kwon", "given" : "Hellan", "non-dropping-particle" : "", "parse-names" : false, "suffix" : "" }, { "dropping-particle" : "", "family" : "Lok", "given" : "Anna S", "non-dropping-particle" : "", "parse-names" : false, "suffix" : "" } ], "container-title" : "Nature reviews. Gastroenterology &amp; hepatology", "id" : "ITEM-1", "issue" : "5", "issued" : { "date-parts" : [ [ "2011", "5" ] ] }, "page" : "275-84", "title" : "Hepatitis B therapy.", "type" : "article-journal", "volume" : "8" }, "uris" : [ "http://www.mendeley.com/documents/?uuid=f6677c2b-7096-4a93-ba23-3be1b64a520b" ] }, { "id" : "ITEM-2", "itemData" : { "DOI" : "10.1016/j.cld.2007.08.002", "ISSN" : "1089-3261", "PMID" : "17981225", "abstract" : "This article reviews the molecular biology of the hepatitis B virus in an effort to explain its natural history from a molecular perspective. The life cycle of the virus, with special attention to virus replication, polypeptide production, and morphogenesis, is described. The way in which these steps may influence the natural history of viral pathogenesis, as well as the effectiveness of interventions, receives special consideration.", "author" : [ { "dropping-particle" : "", "family" : "Block", "given" : "Timothy M", "non-dropping-particle" : "", "parse-names" : false, "suffix" : "" }, { "dropping-particle" : "", "family" : "Guo", "given" : "Haitao", "non-dropping-particle" : "", "parse-names" : false, "suffix" : "" }, { "dropping-particle" : "", "family" : "Guo", "given" : "Ju-Tao", "non-dropping-particle" : "", "parse-names" : false, "suffix" : "" } ], "container-title" : "Clinics in liver disease", "genre" : "JOUR", "id" : "ITEM-2", "issue" : "4", "issued" : { "date-parts" : [ [ "2007", "11" ] ] }, "page" : "685-706, vii", "title" : "Molecular virology of hepatitis B virus for clinicians.", "type" : "article-journal", "volume" : "11" }, "uris" : [ "http://www.mendeley.com/documents/?uuid=bae192a1-1f3f-4180-93f7-b690af161dcf" ] } ], "mendeley" : { "formattedCitation" : "&lt;sup&gt;[2,3]&lt;/sup&gt;", "plainTextFormattedCitation" : "[2,3]", "previouslyFormattedCitation" : "&lt;sup&gt;[2,3]&lt;/sup&gt;" }, "properties" : {  }, "schema" : "https://github.com/citation-style-language/schema/raw/master/csl-citation.json" }</w:instrText>
      </w:r>
      <w:r w:rsidR="004F4E6E" w:rsidRPr="00C11F21">
        <w:rPr>
          <w:rFonts w:ascii="Book Antiqua" w:hAnsi="Book Antiqua" w:cstheme="minorHAnsi"/>
          <w:sz w:val="24"/>
          <w:szCs w:val="24"/>
          <w:lang w:val="en-US"/>
        </w:rPr>
        <w:fldChar w:fldCharType="separate"/>
      </w:r>
      <w:r w:rsidR="004F4E6E" w:rsidRPr="00C11F21">
        <w:rPr>
          <w:rFonts w:ascii="Book Antiqua" w:hAnsi="Book Antiqua" w:cstheme="minorHAnsi"/>
          <w:noProof/>
          <w:sz w:val="24"/>
          <w:szCs w:val="24"/>
          <w:vertAlign w:val="superscript"/>
          <w:lang w:val="en-US"/>
        </w:rPr>
        <w:t>[2,3]</w:t>
      </w:r>
      <w:r w:rsidR="004F4E6E" w:rsidRPr="00C11F21">
        <w:rPr>
          <w:rFonts w:ascii="Book Antiqua" w:hAnsi="Book Antiqua" w:cstheme="minorHAnsi"/>
          <w:sz w:val="24"/>
          <w:szCs w:val="24"/>
          <w:lang w:val="en-US"/>
        </w:rPr>
        <w:fldChar w:fldCharType="end"/>
      </w:r>
      <w:r w:rsidRPr="00C11F21">
        <w:rPr>
          <w:rFonts w:ascii="Book Antiqua" w:hAnsi="Book Antiqua" w:cstheme="minorHAnsi"/>
          <w:sz w:val="24"/>
          <w:szCs w:val="24"/>
          <w:lang w:val="en-US"/>
        </w:rPr>
        <w:t>.</w:t>
      </w:r>
      <w:r w:rsidR="004F4E6E" w:rsidRPr="00C11F21">
        <w:rPr>
          <w:rFonts w:ascii="Book Antiqua" w:hAnsi="Book Antiqua" w:cstheme="minorHAnsi" w:hint="eastAsia"/>
          <w:sz w:val="24"/>
          <w:szCs w:val="24"/>
          <w:lang w:val="en-US" w:eastAsia="zh-CN"/>
        </w:rPr>
        <w:t xml:space="preserve"> </w:t>
      </w:r>
      <w:r w:rsidRPr="00C11F21">
        <w:rPr>
          <w:rFonts w:ascii="Book Antiqua" w:hAnsi="Book Antiqua" w:cstheme="minorHAnsi"/>
          <w:sz w:val="24"/>
          <w:szCs w:val="24"/>
          <w:lang w:val="en-US"/>
        </w:rPr>
        <w:t xml:space="preserve">Currently, the available anti-HBV </w:t>
      </w:r>
      <w:r w:rsidR="00596ABC" w:rsidRPr="00C11F21">
        <w:rPr>
          <w:rFonts w:ascii="Book Antiqua" w:hAnsi="Book Antiqua" w:cstheme="minorHAnsi"/>
          <w:sz w:val="24"/>
          <w:szCs w:val="24"/>
          <w:lang w:val="en-US"/>
        </w:rPr>
        <w:t>treatment</w:t>
      </w:r>
      <w:r w:rsidR="00035CB9" w:rsidRPr="00C11F21">
        <w:rPr>
          <w:rFonts w:ascii="Book Antiqua" w:hAnsi="Book Antiqua" w:cstheme="minorHAnsi"/>
          <w:sz w:val="24"/>
          <w:szCs w:val="24"/>
          <w:lang w:val="en-US"/>
        </w:rPr>
        <w:t>s</w:t>
      </w:r>
      <w:r w:rsidRPr="00C11F21">
        <w:rPr>
          <w:rFonts w:ascii="Book Antiqua" w:hAnsi="Book Antiqua" w:cstheme="minorHAnsi"/>
          <w:sz w:val="24"/>
          <w:szCs w:val="24"/>
          <w:lang w:val="en-US"/>
        </w:rPr>
        <w:t xml:space="preserve"> include conventional or pegylated interferon-α (IFN-α) and nucleos(t)ide analogs (NAs)</w:t>
      </w:r>
      <w:r w:rsidR="004F4E6E" w:rsidRPr="00C11F21">
        <w:rPr>
          <w:rFonts w:ascii="Book Antiqua" w:hAnsi="Book Antiqua" w:cstheme="minorHAnsi"/>
          <w:sz w:val="24"/>
          <w:szCs w:val="24"/>
          <w:lang w:val="en-US"/>
        </w:rPr>
        <w:fldChar w:fldCharType="begin" w:fldLock="1"/>
      </w:r>
      <w:r w:rsidR="004F4E6E" w:rsidRPr="00C11F21">
        <w:rPr>
          <w:rFonts w:ascii="Book Antiqua" w:hAnsi="Book Antiqua" w:cstheme="minorHAnsi"/>
          <w:sz w:val="24"/>
          <w:szCs w:val="24"/>
          <w:lang w:val="en-US"/>
        </w:rPr>
        <w:instrText>ADDIN CSL_CITATION { "citationItems" : [ { "id" : "ITEM-1", "itemData" : { "DOI" : "10.1016/j.jhep.2017.03.021", "ISBN" : "0168-8278", "ISSN" : "1600-0641", "PMID" : "28427875", "abstract" : "Hepatitis B virus (HBV) infection remains a global public health problem with changing epidemiology due to several factors including vaccination policies and migration. This Clinical Practice Guideline presents updated recommendations for the optimal management of HBV infection. Chronic HBV infection can be classified into five phases: (I) HBeAg-positive chronic infection, (II) HBeAg-positive chronic hepatitis, (III) HBeAg-negative chronic infection, (IV) HBeAg-negative chronic hepatitis and (V) HBsAg-negative phase. All patients with chronic HBV infection are at increased risk of progression to cirrhosis and hepatocellular carcinoma (HCC), depending on host and viral factors. The main goal of therapy is to improve survival and quality of life by preventing disease progression, and consequently HCC development. The induction of long-term suppression of HBV replication represents the main endpoint of current treatment strategies, while HBsAg loss is an optimal endpoint. The typical indication for treatment requires HBV DNA &gt;2,000IU/ml, elevated ALT and/or at least moderate histological lesions, while all cirrhotic patients with detectable HBV DNA should be treated. Additional indications include the prevention of mother to child transmission in pregnant women with high viremia and prevention of HBV reactivation in patients requiring immunosuppression or chemotherapy. The long-term administration of a potent nucleos(t)ide analogue with high barrier to resistance, i.e., entecavir, tenofovir disoproxil or tenofovir alafenamide, represents the treatment of choice. Pegylated interferon-alfa treatment can also be considered in mild to moderate chronic hepatitis B patients. Combination therapies are not generally recommended. All patients should be monitored for risk of disease progression and HCC. Treated patients should be monitored for therapy response and adherence. HCC remains the major concern for treated chronic hepatitis B patients. Several subgroups of patients with HBV infection require specific focus. Future treatment strategies to achieve 'cure' of disease and new biomarkers are discussed.", "author" : [ { "dropping-particle" : "", "family" : "European Association for the Study of the Liver.", "given" : "", "non-dropping-particle" : "", "parse-names" : false, "suffix" : "" } ], "container-title" : "Journal of hepatology", "id" : "ITEM-1", "issue" : "2", "issued" : { "date-parts" : [ [ "2017", "8", "18" ] ] }, "page" : "370-398", "title" : "EASL 2017 Clinical Practice Guidelines on the management of hepatitis B virus infection.", "type" : "article-journal", "volume" : "67" }, "uris" : [ "http://www.mendeley.com/documents/?uuid=1569e885-c444-4672-9d7d-f471038ef6a2" ] } ], "mendeley" : { "formattedCitation" : "&lt;sup&gt;[4]&lt;/sup&gt;", "plainTextFormattedCitation" : "[4]", "previouslyFormattedCitation" : "&lt;sup&gt;[4]&lt;/sup&gt;" }, "properties" : {  }, "schema" : "https://github.com/citation-style-language/schema/raw/master/csl-citation.json" }</w:instrText>
      </w:r>
      <w:r w:rsidR="004F4E6E" w:rsidRPr="00C11F21">
        <w:rPr>
          <w:rFonts w:ascii="Book Antiqua" w:hAnsi="Book Antiqua" w:cstheme="minorHAnsi"/>
          <w:sz w:val="24"/>
          <w:szCs w:val="24"/>
          <w:lang w:val="en-US"/>
        </w:rPr>
        <w:fldChar w:fldCharType="separate"/>
      </w:r>
      <w:r w:rsidR="004F4E6E" w:rsidRPr="00C11F21">
        <w:rPr>
          <w:rFonts w:ascii="Book Antiqua" w:hAnsi="Book Antiqua" w:cstheme="minorHAnsi"/>
          <w:noProof/>
          <w:sz w:val="24"/>
          <w:szCs w:val="24"/>
          <w:vertAlign w:val="superscript"/>
          <w:lang w:val="en-US"/>
        </w:rPr>
        <w:t>[4]</w:t>
      </w:r>
      <w:r w:rsidR="004F4E6E" w:rsidRPr="00C11F21">
        <w:rPr>
          <w:rFonts w:ascii="Book Antiqua" w:hAnsi="Book Antiqua" w:cstheme="minorHAnsi"/>
          <w:sz w:val="24"/>
          <w:szCs w:val="24"/>
          <w:lang w:val="en-US"/>
        </w:rPr>
        <w:fldChar w:fldCharType="end"/>
      </w:r>
      <w:r w:rsidRPr="00C11F21">
        <w:rPr>
          <w:rFonts w:ascii="Book Antiqua" w:hAnsi="Book Antiqua" w:cstheme="minorHAnsi"/>
          <w:sz w:val="24"/>
          <w:szCs w:val="24"/>
          <w:lang w:val="en-US"/>
        </w:rPr>
        <w:t xml:space="preserve">. </w:t>
      </w:r>
      <w:r w:rsidR="00E0626D" w:rsidRPr="00C11F21">
        <w:rPr>
          <w:rFonts w:ascii="Book Antiqua" w:hAnsi="Book Antiqua" w:cstheme="minorHAnsi"/>
          <w:sz w:val="24"/>
          <w:szCs w:val="24"/>
          <w:lang w:val="en-US"/>
        </w:rPr>
        <w:t>B</w:t>
      </w:r>
      <w:r w:rsidRPr="00C11F21">
        <w:rPr>
          <w:rFonts w:ascii="Book Antiqua" w:hAnsi="Book Antiqua" w:cstheme="minorHAnsi"/>
          <w:sz w:val="24"/>
          <w:szCs w:val="24"/>
          <w:lang w:val="en-US"/>
        </w:rPr>
        <w:t>oth types of treatment</w:t>
      </w:r>
      <w:r w:rsidR="00A63E5B" w:rsidRPr="00C11F21">
        <w:rPr>
          <w:rFonts w:ascii="Book Antiqua" w:hAnsi="Book Antiqua" w:cstheme="minorHAnsi"/>
          <w:sz w:val="24"/>
          <w:szCs w:val="24"/>
          <w:lang w:val="en-US"/>
        </w:rPr>
        <w:t>s</w:t>
      </w:r>
      <w:r w:rsidRPr="00C11F21">
        <w:rPr>
          <w:rFonts w:ascii="Book Antiqua" w:hAnsi="Book Antiqua" w:cstheme="minorHAnsi"/>
          <w:sz w:val="24"/>
          <w:szCs w:val="24"/>
          <w:lang w:val="en-US"/>
        </w:rPr>
        <w:t xml:space="preserve"> have drawbacks: IFN-based therapies cause significant side effects and yield long-term clinical benefits in less than 40% of treated patients</w:t>
      </w:r>
      <w:r w:rsidR="004F4E6E" w:rsidRPr="00C11F21">
        <w:rPr>
          <w:rFonts w:ascii="Book Antiqua" w:hAnsi="Book Antiqua" w:cstheme="minorHAnsi"/>
          <w:sz w:val="24"/>
          <w:szCs w:val="24"/>
          <w:lang w:val="en-US"/>
        </w:rPr>
        <w:fldChar w:fldCharType="begin" w:fldLock="1"/>
      </w:r>
      <w:r w:rsidR="004F4E6E" w:rsidRPr="00C11F21">
        <w:rPr>
          <w:rFonts w:ascii="Book Antiqua" w:hAnsi="Book Antiqua" w:cstheme="minorHAnsi"/>
          <w:sz w:val="24"/>
          <w:szCs w:val="24"/>
          <w:lang w:val="en-US"/>
        </w:rPr>
        <w:instrText>ADDIN CSL_CITATION { "citationItems" : [ { "id" : "ITEM-1", "itemData" : { "DOI" : "10.1007/s12072-012-9343-x", "ISBN" : "1936-0533 1936-0541", "ISSN" : "19360533", "PMID" : "23518903", "abstract" : "PURPOSE: To investigate the durability of response to peginterferon alfa-2a up to 5\u00a0years post-treatment and factors associated with response in hepatitis B e-antigen (HBeAg)-negative patients.\\n\\nMETHODS: HBeAg-negative patients received peginterferon alfa-2a (180\u00a0\u03bcg/week)\u00a0\u00b1\u00a0lamivudine (100\u00a0mg/day) for 48\u00a0weeks as part of a multicenter, randomized study. The planned 5-year efficacy analysis included patients (n\u00a0=\u00a0230) enrolled in the long-term follow-up study. On-treatment hepatitis B surface antigen (HBsAg) decline kinetics were analyzed retrospectively in a subgroup of patients with HBsAg data available at baseline, weeks 12, 24, and 48 on-treatment, and 6\u00a0months post-treatment (n\u00a0=\u00a0120). Receiver operating characteristic analyses identified the on-treatment HBsAg levels associated with response at 1 and 5\u00a0years post-treatment.\\n\\nRESULTS: HBV DNA \u22642,000\u00a0IU/mL and HBsAg clearance at 5\u00a0years post-treatment were achieved by 23 and 12% of patients, respectively. High rates of HBsAg clearance at 5\u00a0years post-treatment were achieved by patients with HBV DNA \u22642,000\u00a0IU/mL at 1\u00a0year post-treatment (28%). Rates of HBV DNA \u22642,000\u00a0IU/mL at 1\u00a0year post-treatment were 47.2 and 43.4% in patients with \u226510% decline from baseline at weeks 12 and 24, respectively, compared with 16.4% (p\u00a0=\u00a00.0003) and 13.2% (p\u00a0&lt;\u00a00.0004) in patients with a &lt;10% decline. Rates of HBsAg clearance at 5\u00a0years post-treatment were 22.6 and 22.4% in patients with \u226510% decline at weeks 12 and 24, respectively, compared with 7.5% (p\u00a0=\u00a00.0161) and 3.8% (p\u00a0&lt;\u00a00.0001) in patients with &lt;10% decline.\\n\\nCONCLUSIONS: Peginterferon alfa-2a results in increasing rates of HBsAg clearance during post-treatment follow-up in HBeAg-negative patients. On-treatment decline in HBsAg is significantly associated with long-term post-treatment response.", "author" : [ { "dropping-particle" : "", "family" : "Marcellin", "given" : "Patrick", "non-dropping-particle" : "", "parse-names" : false, "suffix" : "" }, { "dropping-particle" : "", "family" : "Bonino", "given" : "Ferruccio", "non-dropping-particle" : "", "parse-names" : false, "suffix" : "" }, { "dropping-particle" : "", "family" : "Yurdaydin", "given" : "Cihan", "non-dropping-particle" : "", "parse-names" : false, "suffix" : "" }, { "dropping-particle" : "", "family" : "Hadziyannis", "given" : "Stephanos", "non-dropping-particle" : "", "parse-names" : false, "suffix" : "" }, { "dropping-particle" : "", "family" : "Moucari", "given" : "Rami", "non-dropping-particle" : "", "parse-names" : false, "suffix" : "" }, { "dropping-particle" : "", "family" : "Kapprell", "given" : "Hans Peter", "non-dropping-particle" : "", "parse-names" : false, "suffix" : "" }, { "dropping-particle" : "", "family" : "Rothe", "given" : "Vivien", "non-dropping-particle" : "", "parse-names" : false, "suffix" : "" }, { "dropping-particle" : "", "family" : "Popescu", "given" : "Matei", "non-dropping-particle" : "", "parse-names" : false, "suffix" : "" }, { "dropping-particle" : "", "family" : "Brunetto", "given" : "Maurizia R.", "non-dropping-particle" : "", "parse-names" : false, "suffix" : "" } ], "container-title" : "Hepatology International", "id" : "ITEM-1", "issue" : "1", "issued" : { "date-parts" : [ [ "2013" ] ] }, "page" : "88-97", "title" : "Hepatitis B surface antigen levels: Association with 5-year response to peginterferon alfa-2a in hepatitis B e-antigen-negative patients", "type" : "article-journal", "volume" : "7" }, "uris" : [ "http://www.mendeley.com/documents/?uuid=747edfed-e493-4c13-83da-1929d1f902e6" ] } ], "mendeley" : { "formattedCitation" : "&lt;sup&gt;[5]&lt;/sup&gt;", "plainTextFormattedCitation" : "[5]", "previouslyFormattedCitation" : "&lt;sup&gt;[5]&lt;/sup&gt;" }, "properties" : {  }, "schema" : "https://github.com/citation-style-language/schema/raw/master/csl-citation.json" }</w:instrText>
      </w:r>
      <w:r w:rsidR="004F4E6E" w:rsidRPr="00C11F21">
        <w:rPr>
          <w:rFonts w:ascii="Book Antiqua" w:hAnsi="Book Antiqua" w:cstheme="minorHAnsi"/>
          <w:sz w:val="24"/>
          <w:szCs w:val="24"/>
          <w:lang w:val="en-US"/>
        </w:rPr>
        <w:fldChar w:fldCharType="separate"/>
      </w:r>
      <w:r w:rsidR="004F4E6E" w:rsidRPr="00C11F21">
        <w:rPr>
          <w:rFonts w:ascii="Book Antiqua" w:hAnsi="Book Antiqua" w:cstheme="minorHAnsi"/>
          <w:noProof/>
          <w:sz w:val="24"/>
          <w:szCs w:val="24"/>
          <w:vertAlign w:val="superscript"/>
          <w:lang w:val="en-US"/>
        </w:rPr>
        <w:t>[5]</w:t>
      </w:r>
      <w:r w:rsidR="004F4E6E" w:rsidRPr="00C11F21">
        <w:rPr>
          <w:rFonts w:ascii="Book Antiqua" w:hAnsi="Book Antiqua" w:cstheme="minorHAnsi"/>
          <w:sz w:val="24"/>
          <w:szCs w:val="24"/>
          <w:lang w:val="en-US"/>
        </w:rPr>
        <w:fldChar w:fldCharType="end"/>
      </w:r>
      <w:r w:rsidRPr="00C11F21">
        <w:rPr>
          <w:rFonts w:ascii="Book Antiqua" w:hAnsi="Book Antiqua" w:cstheme="minorHAnsi"/>
          <w:sz w:val="24"/>
          <w:szCs w:val="24"/>
          <w:lang w:val="en-US"/>
        </w:rPr>
        <w:t>, whereas first-line NAs suppress viral activity in more than 80% of patients, but viral eradication is rare</w:t>
      </w:r>
      <w:r w:rsidR="004F4E6E" w:rsidRPr="00C11F21">
        <w:rPr>
          <w:rFonts w:ascii="Book Antiqua" w:hAnsi="Book Antiqua" w:cstheme="minorHAnsi"/>
          <w:sz w:val="24"/>
          <w:szCs w:val="24"/>
          <w:lang w:val="en-US"/>
        </w:rPr>
        <w:fldChar w:fldCharType="begin" w:fldLock="1"/>
      </w:r>
      <w:r w:rsidR="004F4E6E" w:rsidRPr="00C11F21">
        <w:rPr>
          <w:rFonts w:ascii="Book Antiqua" w:hAnsi="Book Antiqua" w:cstheme="minorHAnsi"/>
          <w:sz w:val="24"/>
          <w:szCs w:val="24"/>
          <w:lang w:val="en-US"/>
        </w:rPr>
        <w:instrText>ADDIN CSL_CITATION { "citationItems" : [ { "id" : "ITEM-1", "itemData" : { "DOI" : "10.1016/j.jhep.2017.03.021", "ISBN" : "0168-8278", "ISSN" : "1600-0641", "PMID" : "28427875", "abstract" : "Hepatitis B virus (HBV) infection remains a global public health problem with changing epidemiology due to several factors including vaccination policies and migration. This Clinical Practice Guideline presents updated recommendations for the optimal management of HBV infection. Chronic HBV infection can be classified into five phases: (I) HBeAg-positive chronic infection, (II) HBeAg-positive chronic hepatitis, (III) HBeAg-negative chronic infection, (IV) HBeAg-negative chronic hepatitis and (V) HBsAg-negative phase. All patients with chronic HBV infection are at increased risk of progression to cirrhosis and hepatocellular carcinoma (HCC), depending on host and viral factors. The main goal of therapy is to improve survival and quality of life by preventing disease progression, and consequently HCC development. The induction of long-term suppression of HBV replication represents the main endpoint of current treatment strategies, while HBsAg loss is an optimal endpoint. The typical indication for treatment requires HBV DNA &gt;2,000IU/ml, elevated ALT and/or at least moderate histological lesions, while all cirrhotic patients with detectable HBV DNA should be treated. Additional indications include the prevention of mother to child transmission in pregnant women with high viremia and prevention of HBV reactivation in patients requiring immunosuppression or chemotherapy. The long-term administration of a potent nucleos(t)ide analogue with high barrier to resistance, i.e., entecavir, tenofovir disoproxil or tenofovir alafenamide, represents the treatment of choice. Pegylated interferon-alfa treatment can also be considered in mild to moderate chronic hepatitis B patients. Combination therapies are not generally recommended. All patients should be monitored for risk of disease progression and HCC. Treated patients should be monitored for therapy response and adherence. HCC remains the major concern for treated chronic hepatitis B patients. Several subgroups of patients with HBV infection require specific focus. Future treatment strategies to achieve 'cure' of disease and new biomarkers are discussed.", "author" : [ { "dropping-particle" : "", "family" : "European Association for the Study of the Liver.", "given" : "", "non-dropping-particle" : "", "parse-names" : false, "suffix" : "" } ], "container-title" : "Journal of hepatology", "id" : "ITEM-1", "issue" : "2", "issued" : { "date-parts" : [ [ "2017", "8", "18" ] ] }, "page" : "370-398", "title" : "EASL 2017 Clinical Practice Guidelines on the management of hepatitis B virus infection.", "type" : "article-journal", "volume" : "67" }, "uris" : [ "http://www.mendeley.com/documents/?uuid=1569e885-c444-4672-9d7d-f471038ef6a2" ] }, { "id" : "ITEM-2", "itemData" : { "DOI" : "10.1111/liv.12461", "ISSN" : "1478-3231", "PMID" : "24393326", "abstract" : "BACKGROUND &amp; AIMS The natural course after hepatitis B surface antigen (HBsAg) seroclearance in Caucasian patients with chronic hepatitis B virus (HBV) infection is not well-defined. To investigate the clinical characteristics and outcome in a series of European Caucasian patients with chronic HBV infection according to HBsAg response over time. METHODS A total of 612 patients with compensated chronic HBV infection and without other cause of liver disease were prospectively followed up. Seventy-eight subjects cleared HBsAg and 534 remained HBsAg-positive. Clinical and virological examinations were periodically performed and development of cirrhosis and liver-related complications was monitored during a mean follow-up time of 9.9 years. RESULTS After HBsAg seroclearance, serum HBV DNA was undetectable in 38 patients in whom it was tested and HBsAg reappearance was observed in two subjects (2.6%). At 15 years of follow-up, the cumulative probability of developing a liver-related complication was 11.6% in HBsAg-positive patients and 1.8% in those with HBsAg loss (P = 0.03), although this benefit was limited to patients with cirrhosis (P &lt; 0.001) and to those who received therapy (P &lt; 0.01). Among patients without cirrhosis and among those who did not receive therapy, the probability was not different between those who cleared the HBsAg and those who did not (P = 0.3 and P = 0.5 respectively). CONCLUSION Hepatitis B surface antigen loss confers a significant clinical benefit in Caucasian subjects with HBV-related cirrhosis and in those with chronic HBV infection who receive antiviral therapy. However, HBsAg reappearance can be observed in selected cases.", "author" : [ { "dropping-particle" : "", "family" : "Lauret", "given" : "Eugenia", "non-dropping-particle" : "", "parse-names" : false, "suffix" : "" }, { "dropping-particle" : "", "family" : "Gonz\u00e1lez-Di\u00e9guez", "given" : "Mar\u00eda L", "non-dropping-particle" : "", "parse-names" : false, "suffix" : "" }, { "dropping-particle" : "", "family" : "Rodr\u00edguez", "given" : "Mercedes", "non-dropping-particle" : "", "parse-names" : false, "suffix" : "" }, { "dropping-particle" : "", "family" : "Gonz\u00e1lez", "given" : "Marta", "non-dropping-particle" : "", "parse-names" : false, "suffix" : "" }, { "dropping-particle" : "", "family" : "Mel\u00f3n", "given" : "Santiago", "non-dropping-particle" : "", "parse-names" : false, "suffix" : "" }, { "dropping-particle" : "", "family" : "Rodrigo", "given" : "Luis", "non-dropping-particle" : "", "parse-names" : false, "suffix" : "" }, { "dropping-particle" : "", "family" : "Rodr\u00edguez", "given" : "Manuel", "non-dropping-particle" : "", "parse-names" : false, "suffix" : "" } ], "container-title" : "Liver international : official journal of the International Association for the Study of the Liver", "id" : "ITEM-2", "issue" : "1", "issued" : { "date-parts" : [ [ "2015", "1" ] ] }, "page" : "140-7", "title" : "Long-term outcome in Caucasian patients with chronic hepatitis B virus infection after HBsAg seroclearance.", "type" : "article-journal", "volume" : "35" }, "uris" : [ "http://www.mendeley.com/documents/?uuid=b0d48901-6767-43c9-86e5-ec3a31eff6a3" ] }, { "id" : "ITEM-3", "itemData" : { "DOI" : "10.1016/j.jhep.2012.12.006", "ISSN" : "01688278", "PMID" : "23246508", "abstract" : "Background &amp; Aims: Seroclearance of hepatitis B surface antigen (HBsAg) is the most ideal end point in the treatment of chronic hepatitis B. This study develops a predictive scoring system to assess whether the addition of serum levels HBsAg may improve the predictability of HBsAg loss. Methods: This study included 2491 untreated participants with genotype B or C HBV infection, who were HBsAg-seropositive, HBeAg-seronegative, anti-HCV-seronegative, and cirrhosis free at study entry. Regression coefficients of predictors in Cox Regression models were converted into integer scores for predicting HBsAg seroclearance. Predictive accuracy was assessed with area under the receiver operating characteristic curves (AUROC), and predictive accuracies of models with and without serum HBsAg levels were compared. Results: Low serum levels of both HBsAg and HBV DNA were the strongest predictors of spontaneous HBsAg seroclearance. Compared to baseline serum HBsAg levels \u22651000 IU/ml, the multivariate adjusted rate ratio of spontaneous HBsAg seroclearance was 10.96 (7.92-15.16) for those with baseline serum HBsAg levels &lt;100 IU/ml. The predictive ability of HBsAg levels was modified by HBV viral load, showing a weaker effect in those with higher viral loads, and the strongest effect among those with undetectable viral loads. The inclusion of serum HBsAg levels greatly improved the AUROC for predicting HBsAg seroclearance at the fifth (from 0.79 [0.787-0.792] to 0.89 [0.889-0.891]) and tenth year (from 0.73 [0.728-0.732] to 0.84 [0.839-0.841]) after study entry. Conclusions: Incorporated into an easy-to-use scoring system, HBV viral load and quantitative serum HBsAg levels can accurately predict HBsAg seroclearance. \u00a9 2013 European Association for the Study of the Liver. Published by Elsevier B.V. All rights reserved.", "author" : [ { "dropping-particle" : "", "family" : "Liu", "given" : "Jessica", "non-dropping-particle" : "", "parse-names" : false, "suffix" : "" }, { "dropping-particle" : "", "family" : "Lee", "given" : "Mei Hsuan", "non-dropping-particle" : "", "parse-names" : false, "suffix" : "" }, { "dropping-particle" : "", "family" : "Batrla-Utermann", "given" : "Richard", "non-dropping-particle" : "", "parse-names" : false, "suffix" : "" }, { "dropping-particle" : "", "family" : "Jen", "given" : "Chin Lan", "non-dropping-particle" : "", "parse-names" : false, "suffix" : "" }, { "dropping-particle" : "", "family" : "Iloeje", "given" : "Uchenna H.", "non-dropping-particle" : "", "parse-names" : false, "suffix" : "" }, { "dropping-particle" : "", "family" : "Lu", "given" : "Sheng Nan", "non-dropping-particle" : "", "parse-names" : false, "suffix" : "" }, { "dropping-particle" : "", "family" : "Wang", "given" : "Li Yu", "non-dropping-particle" : "", "parse-names" : false, "suffix" : "" }, { "dropping-particle" : "", "family" : "You", "given" : "San Lin", "non-dropping-particle" : "", "parse-names" : false, "suffix" : "" }, { "dropping-particle" : "", "family" : "Hsiao", "given" : "Chuhsing K.", "non-dropping-particle" : "", "parse-names" : false, "suffix" : "" }, { "dropping-particle" : "", "family" : "Yang", "given" : "Hwai I.", "non-dropping-particle" : "", "parse-names" : false, "suffix" : "" }, { "dropping-particle" : "", "family" : "Chen", "given" : "Chien Jen", "non-dropping-particle" : "", "parse-names" : false, "suffix" : "" } ], "container-title" : "Journal of Hepatology", "id" : "ITEM-3", "issue" : "5", "issued" : { "date-parts" : [ [ "2013" ] ] }, "page" : "853-860", "publisher" : "European Association for the Study of the Liver", "title" : "A predictive scoring system for the seroclearance of HBsAg in HBeAg-seronegative chronic hepatitis B patients with genotype B or C infection", "type" : "article-journal", "volume" : "58" }, "uris" : [ "http://www.mendeley.com/documents/?uuid=23d515c2-59d1-4794-b4f7-ddc39cf62b93" ] } ], "mendeley" : { "formattedCitation" : "&lt;sup&gt;[4,6,7]&lt;/sup&gt;", "plainTextFormattedCitation" : "[4,6,7]", "previouslyFormattedCitation" : "&lt;sup&gt;[4,6,7]&lt;/sup&gt;" }, "properties" : {  }, "schema" : "https://github.com/citation-style-language/schema/raw/master/csl-citation.json" }</w:instrText>
      </w:r>
      <w:r w:rsidR="004F4E6E" w:rsidRPr="00C11F21">
        <w:rPr>
          <w:rFonts w:ascii="Book Antiqua" w:hAnsi="Book Antiqua" w:cstheme="minorHAnsi"/>
          <w:sz w:val="24"/>
          <w:szCs w:val="24"/>
          <w:lang w:val="en-US"/>
        </w:rPr>
        <w:fldChar w:fldCharType="separate"/>
      </w:r>
      <w:r w:rsidR="004F4E6E" w:rsidRPr="00C11F21">
        <w:rPr>
          <w:rFonts w:ascii="Book Antiqua" w:hAnsi="Book Antiqua" w:cstheme="minorHAnsi"/>
          <w:noProof/>
          <w:sz w:val="24"/>
          <w:szCs w:val="24"/>
          <w:vertAlign w:val="superscript"/>
          <w:lang w:val="en-US"/>
        </w:rPr>
        <w:t>[4,6,7]</w:t>
      </w:r>
      <w:r w:rsidR="004F4E6E" w:rsidRPr="00C11F21">
        <w:rPr>
          <w:rFonts w:ascii="Book Antiqua" w:hAnsi="Book Antiqua" w:cstheme="minorHAnsi"/>
          <w:sz w:val="24"/>
          <w:szCs w:val="24"/>
          <w:lang w:val="en-US"/>
        </w:rPr>
        <w:fldChar w:fldCharType="end"/>
      </w:r>
      <w:r w:rsidRPr="00C11F21">
        <w:rPr>
          <w:rFonts w:ascii="Book Antiqua" w:hAnsi="Book Antiqua" w:cstheme="minorHAnsi"/>
          <w:sz w:val="24"/>
          <w:szCs w:val="24"/>
          <w:lang w:val="en-US"/>
        </w:rPr>
        <w:t>.</w:t>
      </w:r>
    </w:p>
    <w:p w14:paraId="019D7609" w14:textId="04E93166" w:rsidR="00CE22F5" w:rsidRPr="00C11F21" w:rsidRDefault="005C659B" w:rsidP="004F4E6E">
      <w:pPr>
        <w:autoSpaceDE w:val="0"/>
        <w:autoSpaceDN w:val="0"/>
        <w:adjustRightInd w:val="0"/>
        <w:snapToGrid w:val="0"/>
        <w:spacing w:after="0" w:line="360" w:lineRule="auto"/>
        <w:ind w:firstLineChars="100" w:firstLine="240"/>
        <w:jc w:val="both"/>
        <w:rPr>
          <w:rFonts w:ascii="Book Antiqua" w:hAnsi="Book Antiqua" w:cstheme="minorHAnsi"/>
          <w:sz w:val="24"/>
          <w:szCs w:val="24"/>
          <w:lang w:val="en-US"/>
        </w:rPr>
      </w:pPr>
      <w:r w:rsidRPr="00C11F21">
        <w:rPr>
          <w:rFonts w:ascii="Book Antiqua" w:hAnsi="Book Antiqua" w:cstheme="minorHAnsi"/>
          <w:sz w:val="24"/>
          <w:szCs w:val="24"/>
          <w:lang w:val="en-US"/>
        </w:rPr>
        <w:t>Based on extensive research in the HBV lifecycle and virus-host interactions, several new agents are under development to achieve a functional cure for HBV infection</w:t>
      </w:r>
      <w:r w:rsidR="004F4E6E" w:rsidRPr="00C11F21">
        <w:rPr>
          <w:rFonts w:ascii="Book Antiqua" w:hAnsi="Book Antiqua" w:cstheme="minorHAnsi"/>
          <w:sz w:val="24"/>
          <w:szCs w:val="24"/>
          <w:lang w:val="en-US"/>
        </w:rPr>
        <w:fldChar w:fldCharType="begin" w:fldLock="1"/>
      </w:r>
      <w:r w:rsidR="004F4E6E" w:rsidRPr="00C11F21">
        <w:rPr>
          <w:rFonts w:ascii="Book Antiqua" w:hAnsi="Book Antiqua" w:cstheme="minorHAnsi"/>
          <w:sz w:val="24"/>
          <w:szCs w:val="24"/>
          <w:lang w:val="en-US"/>
        </w:rPr>
        <w:instrText>ADDIN CSL_CITATION { "citationItems" : [ { "id" : "ITEM-1", "itemData" : { "DOI" : "10.4254/wjh.v7.i9.1272", "PMID" : "26019743", "abstract" : "Chronic hepatitis B (CHB) remains a significant unmet medical need, with 240 million chronically infected persons worldwide. It can be controlled effectively with either nucleoside/nucleotide-based or interferon-based therapies. However, most patients receiving these therapies will relapse after treatment withdrawal. During recent years, the advances in molecular biology and immunology have enabled a better understanding of the viral-host interaction and inspired new treatment approaches to achieve either elimination of the virus from the liver or durable immune control of the infection. This review aims to provide a brief overview on the potential new therapies that may overcome the challenge of persistent CHB infection in the near future.", "author" : [ { "dropping-particle" : "", "family" : "Phyo", "given" : "Wah Wah", "non-dropping-particle" : "", "parse-names" : false, "suffix" : "" }, { "dropping-particle" : "Sen", "family" : "Soh", "given" : "Alex Yu", "non-dropping-particle" : "", "parse-names" : false, "suffix" : "" }, { "dropping-particle" : "", "family" : "Lim", "given" : "Seng Gee", "non-dropping-particle" : "", "parse-names" : false, "suffix" : "" }, { "dropping-particle" : "", "family" : "Lee", "given" : "Guan Huei", "non-dropping-particle" : "", "parse-names" : false, "suffix" : "" } ], "container-title" : "World journal of hepatology", "id" : "ITEM-1", "issue" : "9", "issued" : { "date-parts" : [ [ "2015", "5", "28" ] ] }, "page" : "1272-81", "title" : "Search for a cure for chronic hepatitis B infection: How close are we?", "type" : "article-journal", "volume" : "7" }, "uris" : [ "http://www.mendeley.com/documents/?uuid=a3ce5304-2269-4daf-ba74-4c225157eb5e" ] }, { "id" : "ITEM-2", "itemData" : { "DOI" : "10.1111/apt.13694", "ISSN" : "1365-2036", "PMID" : "27302653", "abstract" : "BACKGROUND Current anti-viral therapies, interferon and nucleos(t)ide analogues, have been proven to reduce the progression of chronic hepatitis B (CHB). However, covalently closed circular DNA (cccDNA) of hepatitis B virus (HBV) persists, resulting in viral relapse after the discontinuation of treatment. AIM To discuss and review novel therapies for chronic hepatitis B infection. METHODS Recent published studies which searched from PubMed were comprehensive reviewed. The key words include chronic hepatitis B, hepatitis B virus cure, covalently closed circular DNA, direct acting anti-virals and host targeting agents. RESULTS Several novel agents through viral and host targets approaches are under investigations towards functional cure of HBV. On the one hand, direct acting anti-virals targeting virus itself, such as HBV new polymerase inhibitor, entry inhibitor, engineered site-specific nucleases and RNA interference, could inhibit amplification of cccDNA as well as intrahepatic HBV infection and eliminate or silence cccDNA transcription. Inhibitors of HBV nucleocapsid assembly suppress capsid formation and prevent synthesis of HBV DNA. On the other hand, host targeting agents (HTA) include lymphotoxin-\u03b2 receptor agonist, toll-like receptor agonist, immune checkpoint inhibitors and adenovirus-based therapeutic vaccine. Through enhancing innate and adaptive immune responses, these agents could induce noncytolytic destruction of cccDNA or attack HBV-infected hepatocytes. CONCLUSION With these promising approaches, we hope to reach global hepatitis B virus control in the middle of this century.", "author" : [ { "dropping-particle" : "", "family" : "Lin", "given" : "C-L", "non-dropping-particle" : "", "parse-names" : false, "suffix" : "" }, { "dropping-particle" : "", "family" : "Kao", "given" : "J-H", "non-dropping-particle" : "", "parse-names" : false, "suffix" : "" } ], "container-title" : "Alimentary pharmacology &amp; therapeutics", "id" : "ITEM-2", "issue" : "3", "issued" : { "date-parts" : [ [ "2016", "8" ] ] }, "page" : "213-22", "title" : "Review article: novel therapies for hepatitis B virus cure - advances and perspectives.", "type" : "article-journal", "volume" : "44" }, "uris" : [ "http://www.mendeley.com/documents/?uuid=6321a9c6-4451-4a10-99f7-9ec154a33b6b" ] } ], "mendeley" : { "formattedCitation" : "&lt;sup&gt;[8,9]&lt;/sup&gt;", "plainTextFormattedCitation" : "[8,9]", "previouslyFormattedCitation" : "&lt;sup&gt;[8,9]&lt;/sup&gt;" }, "properties" : {  }, "schema" : "https://github.com/citation-style-language/schema/raw/master/csl-citation.json" }</w:instrText>
      </w:r>
      <w:r w:rsidR="004F4E6E" w:rsidRPr="00C11F21">
        <w:rPr>
          <w:rFonts w:ascii="Book Antiqua" w:hAnsi="Book Antiqua" w:cstheme="minorHAnsi"/>
          <w:sz w:val="24"/>
          <w:szCs w:val="24"/>
          <w:lang w:val="en-US"/>
        </w:rPr>
        <w:fldChar w:fldCharType="separate"/>
      </w:r>
      <w:r w:rsidR="004F4E6E" w:rsidRPr="00C11F21">
        <w:rPr>
          <w:rFonts w:ascii="Book Antiqua" w:hAnsi="Book Antiqua" w:cstheme="minorHAnsi"/>
          <w:noProof/>
          <w:sz w:val="24"/>
          <w:szCs w:val="24"/>
          <w:vertAlign w:val="superscript"/>
          <w:lang w:val="en-US"/>
        </w:rPr>
        <w:t>[8,9]</w:t>
      </w:r>
      <w:r w:rsidR="004F4E6E" w:rsidRPr="00C11F21">
        <w:rPr>
          <w:rFonts w:ascii="Book Antiqua" w:hAnsi="Book Antiqua" w:cstheme="minorHAnsi"/>
          <w:sz w:val="24"/>
          <w:szCs w:val="24"/>
          <w:lang w:val="en-US"/>
        </w:rPr>
        <w:fldChar w:fldCharType="end"/>
      </w:r>
      <w:r w:rsidRPr="00C11F21">
        <w:rPr>
          <w:rFonts w:ascii="Book Antiqua" w:hAnsi="Book Antiqua" w:cstheme="minorHAnsi"/>
          <w:sz w:val="24"/>
          <w:szCs w:val="24"/>
          <w:lang w:val="en-US"/>
        </w:rPr>
        <w:t>.</w:t>
      </w:r>
      <w:r w:rsidR="00144419" w:rsidRPr="00C11F21">
        <w:rPr>
          <w:rFonts w:ascii="Book Antiqua" w:hAnsi="Book Antiqua" w:cstheme="minorHAnsi"/>
          <w:sz w:val="24"/>
          <w:szCs w:val="24"/>
          <w:lang w:val="en-US"/>
        </w:rPr>
        <w:t xml:space="preserve"> In this sense, identification of sodium-taurocholate cotransporting polypeptide (NTCP</w:t>
      </w:r>
      <w:r w:rsidR="002051EA" w:rsidRPr="00C11F21">
        <w:rPr>
          <w:rFonts w:ascii="Book Antiqua" w:hAnsi="Book Antiqua" w:cstheme="minorHAnsi"/>
          <w:sz w:val="24"/>
          <w:szCs w:val="24"/>
          <w:lang w:val="en-US"/>
        </w:rPr>
        <w:t>)</w:t>
      </w:r>
      <w:r w:rsidR="00144419" w:rsidRPr="00C11F21">
        <w:rPr>
          <w:rFonts w:ascii="Book Antiqua" w:hAnsi="Book Antiqua" w:cstheme="minorHAnsi"/>
          <w:sz w:val="24"/>
          <w:szCs w:val="24"/>
          <w:lang w:val="en-US"/>
        </w:rPr>
        <w:t xml:space="preserve">, </w:t>
      </w:r>
      <w:r w:rsidR="007C25AA" w:rsidRPr="00C11F21">
        <w:rPr>
          <w:rFonts w:ascii="Book Antiqua" w:hAnsi="Book Antiqua" w:cstheme="minorHAnsi"/>
          <w:sz w:val="24"/>
          <w:szCs w:val="24"/>
          <w:lang w:val="en-US"/>
        </w:rPr>
        <w:t xml:space="preserve">encoded </w:t>
      </w:r>
      <w:r w:rsidR="00144419" w:rsidRPr="00C11F21">
        <w:rPr>
          <w:rFonts w:ascii="Book Antiqua" w:hAnsi="Book Antiqua" w:cstheme="minorHAnsi"/>
          <w:sz w:val="24"/>
          <w:szCs w:val="24"/>
          <w:lang w:val="en-US"/>
        </w:rPr>
        <w:t xml:space="preserve">by </w:t>
      </w:r>
      <w:r w:rsidR="00E0626D" w:rsidRPr="00C11F21">
        <w:rPr>
          <w:rFonts w:ascii="Book Antiqua" w:hAnsi="Book Antiqua" w:cstheme="minorHAnsi"/>
          <w:sz w:val="24"/>
          <w:szCs w:val="24"/>
          <w:lang w:val="en-US"/>
        </w:rPr>
        <w:t xml:space="preserve">the </w:t>
      </w:r>
      <w:r w:rsidR="00144419" w:rsidRPr="00C11F21">
        <w:rPr>
          <w:rFonts w:ascii="Book Antiqua" w:hAnsi="Book Antiqua" w:cstheme="minorHAnsi"/>
          <w:i/>
          <w:sz w:val="24"/>
          <w:szCs w:val="24"/>
          <w:lang w:val="en-US"/>
        </w:rPr>
        <w:t>SLC10A1</w:t>
      </w:r>
      <w:r w:rsidR="00144419" w:rsidRPr="00C11F21">
        <w:rPr>
          <w:rFonts w:ascii="Book Antiqua" w:hAnsi="Book Antiqua" w:cstheme="minorHAnsi"/>
          <w:sz w:val="24"/>
          <w:szCs w:val="24"/>
          <w:lang w:val="en-US"/>
        </w:rPr>
        <w:t xml:space="preserve"> gene</w:t>
      </w:r>
      <w:r w:rsidR="002051EA" w:rsidRPr="00C11F21">
        <w:rPr>
          <w:rFonts w:ascii="Book Antiqua" w:hAnsi="Book Antiqua" w:cstheme="minorHAnsi"/>
          <w:sz w:val="24"/>
          <w:szCs w:val="24"/>
          <w:lang w:val="en-US"/>
        </w:rPr>
        <w:t xml:space="preserve"> and</w:t>
      </w:r>
      <w:r w:rsidR="00857397" w:rsidRPr="00C11F21">
        <w:rPr>
          <w:rFonts w:ascii="Book Antiqua" w:hAnsi="Book Antiqua" w:cstheme="minorHAnsi"/>
          <w:sz w:val="24"/>
          <w:szCs w:val="24"/>
          <w:lang w:val="en-US"/>
        </w:rPr>
        <w:t xml:space="preserve"> </w:t>
      </w:r>
      <w:r w:rsidR="00857397" w:rsidRPr="00C11F21">
        <w:rPr>
          <w:rFonts w:ascii="Book Antiqua" w:hAnsi="Book Antiqua" w:cs="Arial"/>
          <w:sz w:val="24"/>
          <w:szCs w:val="24"/>
          <w:lang w:val="en-US"/>
        </w:rPr>
        <w:t>located on chromosome 14</w:t>
      </w:r>
      <w:r w:rsidR="006326CD" w:rsidRPr="00C11F21">
        <w:rPr>
          <w:rFonts w:ascii="Book Antiqua" w:hAnsi="Book Antiqua" w:cstheme="minorHAnsi"/>
          <w:sz w:val="24"/>
          <w:szCs w:val="24"/>
          <w:lang w:val="en-US"/>
        </w:rPr>
        <w:fldChar w:fldCharType="begin" w:fldLock="1"/>
      </w:r>
      <w:r w:rsidR="0092490D" w:rsidRPr="00C11F21">
        <w:rPr>
          <w:rFonts w:ascii="Book Antiqua" w:hAnsi="Book Antiqua" w:cstheme="minorHAnsi"/>
          <w:sz w:val="24"/>
          <w:szCs w:val="24"/>
          <w:lang w:val="en-US"/>
        </w:rPr>
        <w:instrText>ADDIN CSL_CITATION { "citationItems" : [ { "id" : "ITEM-1", "itemData" : { "DOI" : "10.1172/JCI117091", "ISBN" : "10.1172/JCI117091", "ISSN" : "0021-9738", "PMID" : "8132774", "abstract" : "We have used a cDNA probe from a cloned rat liver Na+/taurocholate cotransporting polypeptide (Ntcp) to screen a human liver cDNA library. A 1,599-bp cDNA clone that encodes a human Na+/taurocholate cotransporting polypeptide (NTCP) was isolated. The human NTCP consists of 349 amino acids (calculated molecular mass of 38 kD) and exhibits 77% amino acid homology with the rat Ntcp. In vitro translation experiments indicate that the protein is glycosylated and has a molecular weight similar to the rat Ntcp. Injection of in vitro transcribed cRNA into Xenopus laevis oocytes resulted in the expression of Na(+)-dependent taurocholate uptake. Saturation kinetics indicated that the human NTCP has a higher affinity for taurocholate (apparent Km = 6 microM) than the previously cloned rat protein (apparent Km = 25 microM). NTCP-mediated taurocholate uptake into oocytes was inhibited by all major bile acid derivatives (100 microM), bumetanide (500 microM), and bromosulphophthalein (100 microM). Southern blot analysis of genomic DNA from a panel of human/hamster somatic cell hybrids mapped the human NTCP gene to chromosome 14.", "author" : [ { "dropping-particle" : "", "family" : "Hagenbuch", "given" : "B", "non-dropping-particle" : "", "parse-names" : false, "suffix" : "" }, { "dropping-particle" : "", "family" : "Meier", "given" : "P J", "non-dropping-particle" : "", "parse-names" : false, "suffix" : "" } ], "container-title" : "The Journal of clinical investigation", "id" : "ITEM-1", "issue" : "3", "issued" : { "date-parts" : [ [ "1994" ] ] }, "page" : "1326-31", "title" : "Molecular cloning, chromosomal localization, and functional characterization of a human liver Na+/bile acid cotransporter.", "type" : "article-journal", "volume" : "93" }, "uris" : [ "http://www.mendeley.com/documents/?uuid=87ad1146-7cf1-4169-ac22-f11ef4d55e52" ] }, { "id" : "ITEM-2", "itemData" : { "DOI" : "10.1007/978-3-642-14541-4_5", "ISSN" : "0171-2004 (Print)", "PMID" : "21103971", "abstract" : "Bile formation is an important function of the liver. Bile salts are a major constituent of bile and are secreted by hepatocytes into bile and delivered into the small intestine, where they assist in fat digestion. In the small intestine, bile salts are almost quantitatively reclaimed and transported back via the portal circulation to the liver. In the liver, hepatocytes take up bile salts and secrete them again into bile for ongoing enterohepatic circulation. Uptake of bile salts into hepatocytes occurs largely in a sodium-dependent manner by the sodium taurocholate cotransporting polypeptide NTCP. The transport properties of NTCP have been extensively characterized. It is an electrogenic member of the solute carrier family of transporters (SLC10A1) and transports predominantly bile salts and sulfated compounds, but is also able to mediate transport of additional substrates, such as thyroid hormones, drugs and toxins. It is highly regulated under physiologic and pathophysiologic conditions. Regulation of NTCP copes with changes of bile salt load to hepatocytes and prevents entry of cytotoxic bile salts during liver disease. Canalicular export of bile salts is mediated by the ATP-binding cassette transporter bile salt export pump BSEP (ABCB11). BSEP constitutes the rate limiting step of hepatocellular bile salt transport and drives enterohepatic circulation of bile salts. It is extensively regulated to keep intracellular bile salt levels low under normal and pathophysiologic situations. Mutations in the BSEP gene lead to severe progressive familial intrahepatic cholestasis. The substrates of BSEP are practically restricted to bile salts and their metabolites. It is, however, subject to inhibition by endogenous metabolites or by drugs. A sustained inhibition will lead to acquired cholestasis, which can end in liver injury.", "author" : [ { "dropping-particle" : "", "family" : "Stieger", "given" : "Bruno", "non-dropping-particle" : "", "parse-names" : false, "suffix" : "" } ], "container-title" : "Handbook of experimental pharmacology", "id" : "ITEM-2", "issue" : "201", "issued" : { "date-parts" : [ [ "2011" ] ] }, "language" : "eng", "page" : "205-259", "publisher-place" : "Germany", "title" : "The role of the sodium-taurocholate cotransporting polypeptide (NTCP) and of the bile salt export pump (BSEP) in physiology and pathophysiology of bile formation.", "type" : "article-journal" }, "uris" : [ "http://www.mendeley.com/documents/?uuid=79ec1054-2aa9-45a2-a7cc-2973a20b9e61" ] } ], "mendeley" : { "formattedCitation" : "&lt;sup&gt;[10,11]&lt;/sup&gt;", "plainTextFormattedCitation" : "[10,11]", "previouslyFormattedCitation" : "&lt;sup&gt;[10,11]&lt;/sup&gt;" }, "properties" : {  }, "schema" : "https://github.com/citation-style-language/schema/raw/master/csl-citation.json" }</w:instrText>
      </w:r>
      <w:r w:rsidR="006326CD" w:rsidRPr="00C11F21">
        <w:rPr>
          <w:rFonts w:ascii="Book Antiqua" w:hAnsi="Book Antiqua" w:cstheme="minorHAnsi"/>
          <w:sz w:val="24"/>
          <w:szCs w:val="24"/>
          <w:lang w:val="en-US"/>
        </w:rPr>
        <w:fldChar w:fldCharType="separate"/>
      </w:r>
      <w:r w:rsidR="009421D3" w:rsidRPr="00C11F21">
        <w:rPr>
          <w:rFonts w:ascii="Book Antiqua" w:hAnsi="Book Antiqua" w:cstheme="minorHAnsi"/>
          <w:noProof/>
          <w:sz w:val="24"/>
          <w:szCs w:val="24"/>
          <w:vertAlign w:val="superscript"/>
          <w:lang w:val="en-US"/>
        </w:rPr>
        <w:t>[10,11]</w:t>
      </w:r>
      <w:r w:rsidR="006326CD" w:rsidRPr="00C11F21">
        <w:rPr>
          <w:rFonts w:ascii="Book Antiqua" w:hAnsi="Book Antiqua" w:cstheme="minorHAnsi"/>
          <w:sz w:val="24"/>
          <w:szCs w:val="24"/>
          <w:lang w:val="en-US"/>
        </w:rPr>
        <w:fldChar w:fldCharType="end"/>
      </w:r>
      <w:r w:rsidR="002051EA" w:rsidRPr="00C11F21">
        <w:rPr>
          <w:rFonts w:ascii="Book Antiqua" w:hAnsi="Book Antiqua" w:cstheme="minorHAnsi"/>
          <w:sz w:val="24"/>
          <w:szCs w:val="24"/>
          <w:lang w:val="en-US"/>
        </w:rPr>
        <w:t>,</w:t>
      </w:r>
      <w:r w:rsidR="00144419" w:rsidRPr="00C11F21">
        <w:rPr>
          <w:rFonts w:ascii="Book Antiqua" w:hAnsi="Book Antiqua" w:cstheme="minorHAnsi"/>
          <w:sz w:val="24"/>
          <w:szCs w:val="24"/>
          <w:lang w:val="en-US"/>
        </w:rPr>
        <w:t xml:space="preserve"> as a receptor for HBV infection</w:t>
      </w:r>
      <w:r w:rsidR="006326CD" w:rsidRPr="00C11F21">
        <w:rPr>
          <w:rFonts w:ascii="Book Antiqua" w:hAnsi="Book Antiqua" w:cstheme="minorHAnsi"/>
          <w:sz w:val="24"/>
          <w:szCs w:val="24"/>
          <w:lang w:val="en-US"/>
        </w:rPr>
        <w:fldChar w:fldCharType="begin" w:fldLock="1"/>
      </w:r>
      <w:r w:rsidR="0092490D" w:rsidRPr="00C11F21">
        <w:rPr>
          <w:rFonts w:ascii="Book Antiqua" w:hAnsi="Book Antiqua" w:cstheme="minorHAnsi"/>
          <w:sz w:val="24"/>
          <w:szCs w:val="24"/>
          <w:lang w:val="en-US"/>
        </w:rPr>
        <w:instrText>ADDIN CSL_CITATION { "citationItems" : [ { "id" : "ITEM-1", "itemData" : { "DOI" : "10.7554/eLife.00049", "ISBN" : "2050-084X (Electronic)", "ISSN" : "2050-084X", "PMID" : "23150796", "abstract" : "Human hepatitis B virus (HBV) infection and HBV-related diseases remain a major public health problem. Individuals coinfected with its satellite hepatitis D virus (HDV) have more severe disease. Cellular entry of both viruses is mediated by HBV envelope proteins. The pre-S1 domain of the large envelope protein is a key determinant for receptor(s) binding. However, the identity of the receptor(s) is unknown. Here, by using near zero distance photo-cross-linking and tandem affinity purification, we revealed that the receptor-binding region of pre-S1 specifically interacts with sodium taurocholate cotransporting polypeptide (NTCP), a multiple transmembrane transporter predominantly expressed in the liver. Silencing NTCP inhibited HBV and HDV infection, while exogenous NTCP expression rendered nonsusceptible hepatocarcinoma cells susceptible to these viral infections. Moreover, replacing amino acids 157-165 of nonfunctional monkey NTCP with the human counterpart conferred its ability in supporting both viral infections. Our results demonstrate that NTCP is a functional receptor for HBV and HDV.DOI:http://dx.doi.org/10.7554/eLife.00049.001.", "author" : [ { "dropping-particle" : "", "family" : "Yan", "given" : "Huan", "non-dropping-particle" : "", "parse-names" : false, "suffix" : "" }, { "dropping-particle" : "", "family" : "Zhong", "given" : "Guocai", "non-dropping-particle" : "", "parse-names" : false, "suffix" : "" }, { "dropping-particle" : "", "family" : "Xu", "given" : "Guangwei", "non-dropping-particle" : "", "parse-names" : false, "suffix" : "" }, { "dropping-particle" : "", "family" : "He", "given" : "Wenhui", "non-dropping-particle" : "", "parse-names" : false, "suffix" : "" }, { "dropping-particle" : "", "family" : "Jing", "given" : "Zhiyi", "non-dropping-particle" : "", "parse-names" : false, "suffix" : "" }, { "dropping-particle" : "", "family" : "Gao", "given" : "Zhenchao", "non-dropping-particle" : "", "parse-names" : false, "suffix" : "" }, { "dropping-particle" : "", "family" : "Huang", "given" : "Yi", "non-dropping-particle" : "", "parse-names" : false, "suffix" : "" }, { "dropping-particle" : "", "family" : "Qi", "given" : "Yonghe", "non-dropping-particle" : "", "parse-names" : false, "suffix" : "" }, { "dropping-particle" : "", "family" : "Peng", "given" : "Bo", "non-dropping-particle" : "", "parse-names" : false, "suffix" : "" }, { "dropping-particle" : "", "family" : "Wang", "given" : "Haimin", "non-dropping-particle" : "", "parse-names" : false, "suffix" : "" }, { "dropping-particle" : "", "family" : "Fu", "given" : "Liran", "non-dropping-particle" : "", "parse-names" : false, "suffix" : "" }, { "dropping-particle" : "", "family" : "Song", "given" : "Mei", "non-dropping-particle" : "", "parse-names" : false, "suffix" : "" }, { "dropping-particle" : "", "family" : "Chen", "given" : "Pan", "non-dropping-particle" : "", "parse-names" : false, "suffix" : "" }, { "dropping-particle" : "", "family" : "Gao", "given" : "Wenqing", "non-dropping-particle" : "", "parse-names" : false, "suffix" : "" }, { "dropping-particle" : "", "family" : "Ren", "given" : "Bijie", "non-dropping-particle" : "", "parse-names" : false, "suffix" : "" }, { "dropping-particle" : "", "family" : "Sun", "given" : "Yinyan", "non-dropping-particle" : "", "parse-names" : false, "suffix" : "" }, { "dropping-particle" : "", "family" : "Cai", "given" : "Tao", "non-dropping-particle" : "", "parse-names" : false, "suffix" : "" }, { "dropping-particle" : "", "family" : "Feng", "given" : "Xiaofeng", "non-dropping-particle" : "", "parse-names" : false, "suffix" : "" }, { "dropping-particle" : "", "family" : "Sui", "given" : "Jianhua", "non-dropping-particle" : "", "parse-names" : false, "suffix" : "" }, { "dropping-particle" : "", "family" : "Li", "given" : "Wenhui", "non-dropping-particle" : "", "parse-names" : false, "suffix" : "" } ], "container-title" : "eLife", "id" : "ITEM-1", "issue" : "1", "issued" : { "date-parts" : [ [ "2012", "11", "13" ] ] }, "page" : "e00049", "title" : "Sodium taurocholate cotransporting polypeptide is a functional receptor for human hepatitis B and D virus.", "type" : "article-journal", "volume" : "1" }, "uris" : [ "http://www.mendeley.com/documents/?uuid=fc143fe4-b77c-44f0-83ee-15f5f4388d46" ] } ], "mendeley" : { "formattedCitation" : "&lt;sup&gt;[12]&lt;/sup&gt;", "plainTextFormattedCitation" : "[12]", "previouslyFormattedCitation" : "&lt;sup&gt;[12]&lt;/sup&gt;" }, "properties" : {  }, "schema" : "https://github.com/citation-style-language/schema/raw/master/csl-citation.json" }</w:instrText>
      </w:r>
      <w:r w:rsidR="006326CD" w:rsidRPr="00C11F21">
        <w:rPr>
          <w:rFonts w:ascii="Book Antiqua" w:hAnsi="Book Antiqua" w:cstheme="minorHAnsi"/>
          <w:sz w:val="24"/>
          <w:szCs w:val="24"/>
          <w:lang w:val="en-US"/>
        </w:rPr>
        <w:fldChar w:fldCharType="separate"/>
      </w:r>
      <w:r w:rsidR="009421D3" w:rsidRPr="00C11F21">
        <w:rPr>
          <w:rFonts w:ascii="Book Antiqua" w:hAnsi="Book Antiqua" w:cstheme="minorHAnsi"/>
          <w:noProof/>
          <w:sz w:val="24"/>
          <w:szCs w:val="24"/>
          <w:vertAlign w:val="superscript"/>
          <w:lang w:val="en-US"/>
        </w:rPr>
        <w:t>[12]</w:t>
      </w:r>
      <w:r w:rsidR="006326CD" w:rsidRPr="00C11F21">
        <w:rPr>
          <w:rFonts w:ascii="Book Antiqua" w:hAnsi="Book Antiqua" w:cstheme="minorHAnsi"/>
          <w:sz w:val="24"/>
          <w:szCs w:val="24"/>
          <w:lang w:val="en-US"/>
        </w:rPr>
        <w:fldChar w:fldCharType="end"/>
      </w:r>
      <w:r w:rsidR="004F4E6E" w:rsidRPr="00C11F21">
        <w:rPr>
          <w:rFonts w:ascii="Book Antiqua" w:hAnsi="Book Antiqua" w:cstheme="minorHAnsi" w:hint="eastAsia"/>
          <w:sz w:val="24"/>
          <w:szCs w:val="24"/>
          <w:lang w:val="en-US" w:eastAsia="zh-CN"/>
        </w:rPr>
        <w:t xml:space="preserve"> </w:t>
      </w:r>
      <w:r w:rsidR="00E0626D" w:rsidRPr="00C11F21">
        <w:rPr>
          <w:rFonts w:ascii="Book Antiqua" w:hAnsi="Book Antiqua" w:cstheme="minorHAnsi"/>
          <w:sz w:val="24"/>
          <w:szCs w:val="24"/>
          <w:lang w:val="en-US"/>
        </w:rPr>
        <w:t xml:space="preserve">has </w:t>
      </w:r>
      <w:r w:rsidR="00144419" w:rsidRPr="00C11F21">
        <w:rPr>
          <w:rFonts w:ascii="Book Antiqua" w:hAnsi="Book Antiqua" w:cstheme="minorHAnsi"/>
          <w:sz w:val="24"/>
          <w:szCs w:val="24"/>
          <w:lang w:val="en-US"/>
        </w:rPr>
        <w:t xml:space="preserve">provided valuable information for the development of inhibitors </w:t>
      </w:r>
      <w:r w:rsidR="00035CB9" w:rsidRPr="00C11F21">
        <w:rPr>
          <w:rFonts w:ascii="Book Antiqua" w:hAnsi="Book Antiqua" w:cstheme="minorHAnsi"/>
          <w:sz w:val="24"/>
          <w:szCs w:val="24"/>
          <w:lang w:val="en-US"/>
        </w:rPr>
        <w:t>of</w:t>
      </w:r>
      <w:r w:rsidR="00144419" w:rsidRPr="00C11F21">
        <w:rPr>
          <w:rFonts w:ascii="Book Antiqua" w:hAnsi="Book Antiqua" w:cstheme="minorHAnsi"/>
          <w:sz w:val="24"/>
          <w:szCs w:val="24"/>
          <w:lang w:val="en-US"/>
        </w:rPr>
        <w:t xml:space="preserve"> HBV entry. </w:t>
      </w:r>
      <w:r w:rsidR="00857397" w:rsidRPr="00C11F21">
        <w:rPr>
          <w:rFonts w:ascii="Book Antiqua" w:hAnsi="Book Antiqua" w:cs="Arial"/>
          <w:sz w:val="24"/>
          <w:szCs w:val="24"/>
          <w:lang w:val="en-US"/>
        </w:rPr>
        <w:t xml:space="preserve">NTCP </w:t>
      </w:r>
      <w:r w:rsidR="00144419" w:rsidRPr="00C11F21">
        <w:rPr>
          <w:rFonts w:ascii="Book Antiqua" w:hAnsi="Book Antiqua" w:cstheme="minorHAnsi"/>
          <w:sz w:val="24"/>
          <w:szCs w:val="24"/>
          <w:lang w:val="en-US"/>
        </w:rPr>
        <w:t>is a multiple-transmembrane protein that is predominantly expressed at the basolateral membrane of hepatocytes. The primary role of NTCP is to transport bile salts from the portal blood into hepatocytes</w:t>
      </w:r>
      <w:r w:rsidR="004F4E6E" w:rsidRPr="00C11F21">
        <w:rPr>
          <w:rFonts w:ascii="Book Antiqua" w:hAnsi="Book Antiqua" w:cstheme="minorHAnsi"/>
          <w:sz w:val="24"/>
          <w:szCs w:val="24"/>
          <w:lang w:val="en-US"/>
        </w:rPr>
        <w:fldChar w:fldCharType="begin" w:fldLock="1"/>
      </w:r>
      <w:r w:rsidR="004F4E6E" w:rsidRPr="00C11F21">
        <w:rPr>
          <w:rFonts w:ascii="Book Antiqua" w:hAnsi="Book Antiqua" w:cstheme="minorHAnsi"/>
          <w:sz w:val="24"/>
          <w:szCs w:val="24"/>
          <w:lang w:val="en-US"/>
        </w:rPr>
        <w:instrText>ADDIN CSL_CITATION { "citationItems" : [ { "id" : "ITEM-1", "itemData" : { "DOI" : "10.1172/JCI117091", "ISBN" : "10.1172/JCI117091", "ISSN" : "0021-9738", "PMID" : "8132774", "abstract" : "We have used a cDNA probe from a cloned rat liver Na+/taurocholate cotransporting polypeptide (Ntcp) to screen a human liver cDNA library. A 1,599-bp cDNA clone that encodes a human Na+/taurocholate cotransporting polypeptide (NTCP) was isolated. The human NTCP consists of 349 amino acids (calculated molecular mass of 38 kD) and exhibits 77% amino acid homology with the rat Ntcp. In vitro translation experiments indicate that the protein is glycosylated and has a molecular weight similar to the rat Ntcp. Injection of in vitro transcribed cRNA into Xenopus laevis oocytes resulted in the expression of Na(+)-dependent taurocholate uptake. Saturation kinetics indicated that the human NTCP has a higher affinity for taurocholate (apparent Km = 6 microM) than the previously cloned rat protein (apparent Km = 25 microM). NTCP-mediated taurocholate uptake into oocytes was inhibited by all major bile acid derivatives (100 microM), bumetanide (500 microM), and bromosulphophthalein (100 microM). Southern blot analysis of genomic DNA from a panel of human/hamster somatic cell hybrids mapped the human NTCP gene to chromosome 14.", "author" : [ { "dropping-particle" : "", "family" : "Hagenbuch", "given" : "B", "non-dropping-particle" : "", "parse-names" : false, "suffix" : "" }, { "dropping-particle" : "", "family" : "Meier", "given" : "P J", "non-dropping-particle" : "", "parse-names" : false, "suffix" : "" } ], "container-title" : "The Journal of clinical investigation", "id" : "ITEM-1", "issue" : "3", "issued" : { "date-parts" : [ [ "1994" ] ] }, "page" : "1326-31", "title" : "Molecular cloning, chromosomal localization, and functional characterization of a human liver Na+/bile acid cotransporter.", "type" : "article-journal", "volume" : "93" }, "uris" : [ "http://www.mendeley.com/documents/?uuid=87ad1146-7cf1-4169-ac22-f11ef4d55e52" ] }, { "id" : "ITEM-2", "itemData" : { "DOI" : "10.1007/978-3-642-14541-4_5", "ISSN" : "0171-2004 (Print)", "PMID" : "21103971", "abstract" : "Bile formation is an important function of the liver. Bile salts are a major constituent of bile and are secreted by hepatocytes into bile and delivered into the small intestine, where they assist in fat digestion. In the small intestine, bile salts are almost quantitatively reclaimed and transported back via the portal circulation to the liver. In the liver, hepatocytes take up bile salts and secrete them again into bile for ongoing enterohepatic circulation. Uptake of bile salts into hepatocytes occurs largely in a sodium-dependent manner by the sodium taurocholate cotransporting polypeptide NTCP. The transport properties of NTCP have been extensively characterized. It is an electrogenic member of the solute carrier family of transporters (SLC10A1) and transports predominantly bile salts and sulfated compounds, but is also able to mediate transport of additional substrates, such as thyroid hormones, drugs and toxins. It is highly regulated under physiologic and pathophysiologic conditions. Regulation of NTCP copes with changes of bile salt load to hepatocytes and prevents entry of cytotoxic bile salts during liver disease. Canalicular export of bile salts is mediated by the ATP-binding cassette transporter bile salt export pump BSEP (ABCB11). BSEP constitutes the rate limiting step of hepatocellular bile salt transport and drives enterohepatic circulation of bile salts. It is extensively regulated to keep intracellular bile salt levels low under normal and pathophysiologic situations. Mutations in the BSEP gene lead to severe progressive familial intrahepatic cholestasis. The substrates of BSEP are practically restricted to bile salts and their metabolites. It is, however, subject to inhibition by endogenous metabolites or by drugs. A sustained inhibition will lead to acquired cholestasis, which can end in liver injury.", "author" : [ { "dropping-particle" : "", "family" : "Stieger", "given" : "Bruno", "non-dropping-particle" : "", "parse-names" : false, "suffix" : "" } ], "container-title" : "Handbook of experimental pharmacology", "id" : "ITEM-2", "issue" : "201", "issued" : { "date-parts" : [ [ "2011" ] ] }, "language" : "eng", "page" : "205-259", "publisher-place" : "Germany", "title" : "The role of the sodium-taurocholate cotransporting polypeptide (NTCP) and of the bile salt export pump (BSEP) in physiology and pathophysiology of bile formation.", "type" : "article-journal" }, "uris" : [ "http://www.mendeley.com/documents/?uuid=79ec1054-2aa9-45a2-a7cc-2973a20b9e61" ] } ], "mendeley" : { "formattedCitation" : "&lt;sup&gt;[10,11]&lt;/sup&gt;", "plainTextFormattedCitation" : "[10,11]", "previouslyFormattedCitation" : "&lt;sup&gt;[10,11]&lt;/sup&gt;" }, "properties" : {  }, "schema" : "https://github.com/citation-style-language/schema/raw/master/csl-citation.json" }</w:instrText>
      </w:r>
      <w:r w:rsidR="004F4E6E" w:rsidRPr="00C11F21">
        <w:rPr>
          <w:rFonts w:ascii="Book Antiqua" w:hAnsi="Book Antiqua" w:cstheme="minorHAnsi"/>
          <w:sz w:val="24"/>
          <w:szCs w:val="24"/>
          <w:lang w:val="en-US"/>
        </w:rPr>
        <w:fldChar w:fldCharType="separate"/>
      </w:r>
      <w:r w:rsidR="004F4E6E" w:rsidRPr="00C11F21">
        <w:rPr>
          <w:rFonts w:ascii="Book Antiqua" w:hAnsi="Book Antiqua" w:cstheme="minorHAnsi"/>
          <w:noProof/>
          <w:sz w:val="24"/>
          <w:szCs w:val="24"/>
          <w:vertAlign w:val="superscript"/>
          <w:lang w:val="en-US"/>
        </w:rPr>
        <w:t>[10,11]</w:t>
      </w:r>
      <w:r w:rsidR="004F4E6E" w:rsidRPr="00C11F21">
        <w:rPr>
          <w:rFonts w:ascii="Book Antiqua" w:hAnsi="Book Antiqua" w:cstheme="minorHAnsi"/>
          <w:sz w:val="24"/>
          <w:szCs w:val="24"/>
          <w:lang w:val="en-US"/>
        </w:rPr>
        <w:fldChar w:fldCharType="end"/>
      </w:r>
      <w:r w:rsidR="001616EA" w:rsidRPr="00C11F21">
        <w:rPr>
          <w:rFonts w:ascii="Book Antiqua" w:hAnsi="Book Antiqua" w:cstheme="minorHAnsi"/>
          <w:sz w:val="24"/>
          <w:szCs w:val="24"/>
          <w:lang w:val="en-US"/>
        </w:rPr>
        <w:t>.</w:t>
      </w:r>
      <w:r w:rsidR="004F4E6E" w:rsidRPr="00C11F21">
        <w:rPr>
          <w:rFonts w:ascii="Book Antiqua" w:hAnsi="Book Antiqua" w:cstheme="minorHAnsi" w:hint="eastAsia"/>
          <w:sz w:val="24"/>
          <w:szCs w:val="24"/>
          <w:lang w:val="en-US" w:eastAsia="zh-CN"/>
        </w:rPr>
        <w:t xml:space="preserve"> </w:t>
      </w:r>
      <w:r w:rsidR="00E0626D" w:rsidRPr="00C11F21">
        <w:rPr>
          <w:rFonts w:ascii="Book Antiqua" w:hAnsi="Book Antiqua" w:cstheme="minorHAnsi"/>
          <w:sz w:val="24"/>
          <w:szCs w:val="24"/>
          <w:lang w:val="en-US"/>
        </w:rPr>
        <w:t>I</w:t>
      </w:r>
      <w:r w:rsidR="00144419" w:rsidRPr="00C11F21">
        <w:rPr>
          <w:rFonts w:ascii="Book Antiqua" w:hAnsi="Book Antiqua" w:cstheme="minorHAnsi"/>
          <w:sz w:val="24"/>
          <w:szCs w:val="24"/>
          <w:lang w:val="en-US"/>
        </w:rPr>
        <w:t>nteraction</w:t>
      </w:r>
      <w:r w:rsidR="00E0626D" w:rsidRPr="00C11F21">
        <w:rPr>
          <w:rFonts w:ascii="Book Antiqua" w:hAnsi="Book Antiqua" w:cstheme="minorHAnsi"/>
          <w:sz w:val="24"/>
          <w:szCs w:val="24"/>
          <w:lang w:val="en-US"/>
        </w:rPr>
        <w:t>s</w:t>
      </w:r>
      <w:r w:rsidR="00144419" w:rsidRPr="00C11F21">
        <w:rPr>
          <w:rFonts w:ascii="Book Antiqua" w:hAnsi="Book Antiqua" w:cstheme="minorHAnsi"/>
          <w:sz w:val="24"/>
          <w:szCs w:val="24"/>
          <w:lang w:val="en-US"/>
        </w:rPr>
        <w:t xml:space="preserve"> of viral particles with </w:t>
      </w:r>
      <w:r w:rsidR="00857397" w:rsidRPr="00C11F21">
        <w:rPr>
          <w:rFonts w:ascii="Book Antiqua" w:hAnsi="Book Antiqua" w:cstheme="minorHAnsi"/>
          <w:sz w:val="24"/>
          <w:szCs w:val="24"/>
          <w:lang w:val="en-US"/>
        </w:rPr>
        <w:t>this receptor</w:t>
      </w:r>
      <w:r w:rsidR="00144419" w:rsidRPr="00C11F21">
        <w:rPr>
          <w:rFonts w:ascii="Book Antiqua" w:hAnsi="Book Antiqua" w:cstheme="minorHAnsi"/>
          <w:sz w:val="24"/>
          <w:szCs w:val="24"/>
          <w:lang w:val="en-US"/>
        </w:rPr>
        <w:t xml:space="preserve"> </w:t>
      </w:r>
      <w:r w:rsidR="00E0626D" w:rsidRPr="00C11F21">
        <w:rPr>
          <w:rFonts w:ascii="Book Antiqua" w:hAnsi="Book Antiqua" w:cstheme="minorHAnsi"/>
          <w:sz w:val="24"/>
          <w:szCs w:val="24"/>
          <w:lang w:val="en-US"/>
        </w:rPr>
        <w:t xml:space="preserve">are </w:t>
      </w:r>
      <w:r w:rsidR="00144419" w:rsidRPr="00C11F21">
        <w:rPr>
          <w:rFonts w:ascii="Book Antiqua" w:hAnsi="Book Antiqua" w:cstheme="minorHAnsi"/>
          <w:sz w:val="24"/>
          <w:szCs w:val="24"/>
          <w:lang w:val="en-US"/>
        </w:rPr>
        <w:t>mediated by the hepatitis B surface antigen (HBsAg),</w:t>
      </w:r>
      <w:r w:rsidR="00857397" w:rsidRPr="00C11F21">
        <w:rPr>
          <w:rFonts w:ascii="Book Antiqua" w:hAnsi="Book Antiqua" w:cstheme="minorHAnsi"/>
          <w:sz w:val="24"/>
          <w:szCs w:val="24"/>
          <w:lang w:val="en-US"/>
        </w:rPr>
        <w:t xml:space="preserve"> </w:t>
      </w:r>
      <w:r w:rsidR="00E0626D" w:rsidRPr="00C11F21">
        <w:rPr>
          <w:rFonts w:ascii="Book Antiqua" w:hAnsi="Book Antiqua" w:cstheme="minorHAnsi"/>
          <w:sz w:val="24"/>
          <w:szCs w:val="24"/>
          <w:lang w:val="en-US"/>
        </w:rPr>
        <w:t xml:space="preserve">which is </w:t>
      </w:r>
      <w:r w:rsidR="00857397" w:rsidRPr="00C11F21">
        <w:rPr>
          <w:rFonts w:ascii="Book Antiqua" w:hAnsi="Book Antiqua" w:cstheme="minorHAnsi"/>
          <w:sz w:val="24"/>
          <w:szCs w:val="24"/>
          <w:lang w:val="en-US"/>
        </w:rPr>
        <w:t>formed</w:t>
      </w:r>
      <w:r w:rsidR="00F8773C" w:rsidRPr="00C11F21">
        <w:rPr>
          <w:rFonts w:ascii="Book Antiqua" w:hAnsi="Book Antiqua" w:cstheme="minorHAnsi"/>
          <w:sz w:val="24"/>
          <w:szCs w:val="24"/>
          <w:lang w:val="en-US"/>
        </w:rPr>
        <w:t xml:space="preserve"> by three </w:t>
      </w:r>
      <w:r w:rsidR="00DE1789" w:rsidRPr="00C11F21">
        <w:rPr>
          <w:rFonts w:ascii="Book Antiqua" w:hAnsi="Book Antiqua" w:cstheme="minorHAnsi"/>
          <w:sz w:val="24"/>
          <w:szCs w:val="24"/>
          <w:lang w:val="en-US"/>
        </w:rPr>
        <w:t xml:space="preserve">viral </w:t>
      </w:r>
      <w:r w:rsidR="00857397" w:rsidRPr="00C11F21">
        <w:rPr>
          <w:rFonts w:ascii="Book Antiqua" w:hAnsi="Book Antiqua" w:cstheme="minorHAnsi"/>
          <w:sz w:val="24"/>
          <w:szCs w:val="24"/>
          <w:lang w:val="en-US"/>
        </w:rPr>
        <w:t>envelope</w:t>
      </w:r>
      <w:r w:rsidR="00F8773C" w:rsidRPr="00C11F21">
        <w:rPr>
          <w:rFonts w:ascii="Book Antiqua" w:hAnsi="Book Antiqua" w:cstheme="minorHAnsi"/>
          <w:sz w:val="24"/>
          <w:szCs w:val="24"/>
          <w:lang w:val="en-US"/>
        </w:rPr>
        <w:t xml:space="preserve"> proteins (</w:t>
      </w:r>
      <w:r w:rsidR="00E0626D" w:rsidRPr="00C11F21">
        <w:rPr>
          <w:rFonts w:ascii="Book Antiqua" w:hAnsi="Book Antiqua" w:cstheme="minorHAnsi"/>
          <w:sz w:val="24"/>
          <w:szCs w:val="24"/>
          <w:lang w:val="en-US"/>
        </w:rPr>
        <w:t>l</w:t>
      </w:r>
      <w:r w:rsidR="00F8773C" w:rsidRPr="00C11F21">
        <w:rPr>
          <w:rFonts w:ascii="Book Antiqua" w:hAnsi="Book Antiqua" w:cstheme="minorHAnsi"/>
          <w:sz w:val="24"/>
          <w:szCs w:val="24"/>
          <w:lang w:val="en-US"/>
        </w:rPr>
        <w:t xml:space="preserve">arge, </w:t>
      </w:r>
      <w:r w:rsidR="00000E2A" w:rsidRPr="00C11F21">
        <w:rPr>
          <w:rFonts w:ascii="Book Antiqua" w:hAnsi="Book Antiqua" w:cstheme="minorHAnsi"/>
          <w:sz w:val="24"/>
          <w:szCs w:val="24"/>
          <w:lang w:val="en-US"/>
        </w:rPr>
        <w:t>middle</w:t>
      </w:r>
      <w:r w:rsidR="0048559B" w:rsidRPr="00C11F21">
        <w:rPr>
          <w:rFonts w:ascii="Book Antiqua" w:hAnsi="Book Antiqua" w:cstheme="minorHAnsi"/>
          <w:sz w:val="24"/>
          <w:szCs w:val="24"/>
          <w:lang w:val="en-US"/>
        </w:rPr>
        <w:t>,</w:t>
      </w:r>
      <w:r w:rsidR="00F8773C" w:rsidRPr="00C11F21">
        <w:rPr>
          <w:rFonts w:ascii="Book Antiqua" w:hAnsi="Book Antiqua" w:cstheme="minorHAnsi"/>
          <w:sz w:val="24"/>
          <w:szCs w:val="24"/>
          <w:lang w:val="en-US"/>
        </w:rPr>
        <w:t xml:space="preserve"> and </w:t>
      </w:r>
      <w:r w:rsidR="00E0626D" w:rsidRPr="00C11F21">
        <w:rPr>
          <w:rFonts w:ascii="Book Antiqua" w:hAnsi="Book Antiqua" w:cstheme="minorHAnsi"/>
          <w:sz w:val="24"/>
          <w:szCs w:val="24"/>
          <w:lang w:val="en-US"/>
        </w:rPr>
        <w:t>s</w:t>
      </w:r>
      <w:r w:rsidR="00F8773C" w:rsidRPr="00C11F21">
        <w:rPr>
          <w:rFonts w:ascii="Book Antiqua" w:hAnsi="Book Antiqua" w:cstheme="minorHAnsi"/>
          <w:sz w:val="24"/>
          <w:szCs w:val="24"/>
          <w:lang w:val="en-US"/>
        </w:rPr>
        <w:t>mall)</w:t>
      </w:r>
      <w:r w:rsidR="000036F9" w:rsidRPr="00C11F21">
        <w:rPr>
          <w:rFonts w:ascii="Book Antiqua" w:hAnsi="Book Antiqua" w:cstheme="minorHAnsi"/>
          <w:sz w:val="24"/>
          <w:szCs w:val="24"/>
          <w:lang w:val="en-US"/>
        </w:rPr>
        <w:t xml:space="preserve"> that </w:t>
      </w:r>
      <w:r w:rsidR="00A9749D" w:rsidRPr="00C11F21">
        <w:rPr>
          <w:rFonts w:ascii="Book Antiqua" w:hAnsi="Book Antiqua" w:cstheme="minorHAnsi"/>
          <w:sz w:val="24"/>
          <w:szCs w:val="24"/>
          <w:lang w:val="en-US"/>
        </w:rPr>
        <w:t>diffe</w:t>
      </w:r>
      <w:r w:rsidR="000036F9" w:rsidRPr="00C11F21">
        <w:rPr>
          <w:rFonts w:ascii="Book Antiqua" w:hAnsi="Book Antiqua" w:cstheme="minorHAnsi"/>
          <w:sz w:val="24"/>
          <w:szCs w:val="24"/>
          <w:lang w:val="en-US"/>
        </w:rPr>
        <w:t>r</w:t>
      </w:r>
      <w:r w:rsidR="00F8773C" w:rsidRPr="00C11F21">
        <w:rPr>
          <w:rFonts w:ascii="Book Antiqua" w:hAnsi="Book Antiqua" w:cstheme="minorHAnsi"/>
          <w:sz w:val="24"/>
          <w:szCs w:val="24"/>
          <w:lang w:val="en-US"/>
        </w:rPr>
        <w:t xml:space="preserve"> in length</w:t>
      </w:r>
      <w:r w:rsidR="000036F9" w:rsidRPr="00C11F21">
        <w:rPr>
          <w:rFonts w:ascii="Book Antiqua" w:hAnsi="Book Antiqua" w:cstheme="minorHAnsi"/>
          <w:sz w:val="24"/>
          <w:szCs w:val="24"/>
          <w:lang w:val="en-US"/>
        </w:rPr>
        <w:t xml:space="preserve"> at the N-terminal region</w:t>
      </w:r>
      <w:r w:rsidR="00A9749D" w:rsidRPr="00C11F21">
        <w:rPr>
          <w:rFonts w:ascii="Book Antiqua" w:hAnsi="Book Antiqua" w:cstheme="minorHAnsi"/>
          <w:sz w:val="24"/>
          <w:szCs w:val="24"/>
          <w:lang w:val="en-US"/>
        </w:rPr>
        <w:t xml:space="preserve"> and share the same C-terminal S </w:t>
      </w:r>
      <w:r w:rsidR="001F0E5F" w:rsidRPr="00C11F21">
        <w:rPr>
          <w:rFonts w:ascii="Book Antiqua" w:hAnsi="Book Antiqua" w:cstheme="minorHAnsi"/>
          <w:sz w:val="24"/>
          <w:szCs w:val="24"/>
          <w:lang w:val="en-US"/>
        </w:rPr>
        <w:t>region</w:t>
      </w:r>
      <w:r w:rsidR="005B043F" w:rsidRPr="00C11F21">
        <w:rPr>
          <w:rFonts w:ascii="Book Antiqua" w:hAnsi="Book Antiqua" w:cstheme="minorHAnsi"/>
          <w:sz w:val="24"/>
          <w:szCs w:val="24"/>
          <w:lang w:val="en-US"/>
        </w:rPr>
        <w:fldChar w:fldCharType="begin" w:fldLock="1"/>
      </w:r>
      <w:r w:rsidR="005B043F" w:rsidRPr="00C11F21">
        <w:rPr>
          <w:rFonts w:ascii="Book Antiqua" w:hAnsi="Book Antiqua" w:cstheme="minorHAnsi"/>
          <w:sz w:val="24"/>
          <w:szCs w:val="24"/>
          <w:lang w:val="en-US"/>
        </w:rPr>
        <w:instrText>ADDIN CSL_CITATION { "citationItems" : [ { "id" : "ITEM-1", "itemData" : { "DOI" : "10.1128/MMBR.64.1.51-68.2000", "ISBN" : "1092-2172", "ISSN" : "1092-2172", "PMID" : "10704474", "abstract" : "Hepadnaviruses (hepatitis B viruses) cause transient and chronic infections of the liver. Transient infections run a course of several months, and chronic infections are often lifelong. Chronic infections can lead to liver failure with cirrhosis and hepatocellular carcinoma. The replication strategy of these viruses has been described in great detail, but virus-host interactions leading to acute and chronic disease are still poorly understood. Studies on how the virus evades the immune response to cause prolonged transient infections with high-titer viremia and lifelong infections with an ongoing inflammation of the liver are still at an early stage, and the role of the virus in liver cancer is still elusive. The state of knowledge in this very active field is therefore reviewed with an emphasis on past accomplishments as well as goals for the future.", "author" : [ { "dropping-particle" : "", "family" : "Seeger", "given" : "C", "non-dropping-particle" : "", "parse-names" : false, "suffix" : "" }, { "dropping-particle" : "", "family" : "Mason", "given" : "W S", "non-dropping-particle" : "", "parse-names" : false, "suffix" : "" } ], "container-title" : "Microbiology and molecular biology reviews : MMBR", "id" : "ITEM-1", "issue" : "1", "issued" : { "date-parts" : [ [ "2000" ] ] }, "page" : "51-68", "title" : "Hepatitis B virus biology.", "type" : "article-journal", "volume" : "64" }, "uris" : [ "http://www.mendeley.com/documents/?uuid=c7555fa2-dca2-4958-9e24-ab8fdc4da7f6" ] }, { "id" : "ITEM-2", "itemData" : { "DOI" : "10.1007/978-3-642-80145-7_10", "ISBN" : "978-3-642-80145-7", "author" : [ { "dropping-particle" : "", "family" : "Nassal", "given" : "M", "non-dropping-particle" : "", "parse-names" : false, "suffix" : "" } ], "container-title" : "Morphogenesis and Maturation of Retroviruses", "editor" : [ { "dropping-particle" : "", "family" : "Kr\u00e4usslich", "given" : "Hans-Georg", "non-dropping-particle" : "", "parse-names" : false, "suffix" : "" } ], "id" : "ITEM-2", "issued" : { "date-parts" : [ [ "1996" ] ] }, "page" : "297-337", "publisher" : "Springer Berlin Heidelberg", "publisher-place" : "Berlin, Heidelberg", "title" : "Hepatitis B Virus Morphogenesis", "type" : "chapter" }, "uris" : [ "http://www.mendeley.com/documents/?uuid=238e49b2-96e3-3a7b-9227-520feb1ef0b0", "http://www.mendeley.com/documents/?uuid=0a04af42-993f-499d-a563-07c146e5ec41", "http://www.mendeley.com/documents/?uuid=9365472b-dfc2-4ae4-afe1-e75aa9445a0e" ] } ], "mendeley" : { "formattedCitation" : "&lt;sup&gt;[13,14]&lt;/sup&gt;", "plainTextFormattedCitation" : "[13,14]", "previouslyFormattedCitation" : "&lt;sup&gt;[13,14]&lt;/sup&gt;" }, "properties" : {  }, "schema" : "https://github.com/citation-style-language/schema/raw/master/csl-citation.json" }</w:instrText>
      </w:r>
      <w:r w:rsidR="005B043F" w:rsidRPr="00C11F21">
        <w:rPr>
          <w:rFonts w:ascii="Book Antiqua" w:hAnsi="Book Antiqua" w:cstheme="minorHAnsi"/>
          <w:sz w:val="24"/>
          <w:szCs w:val="24"/>
          <w:lang w:val="en-US"/>
        </w:rPr>
        <w:fldChar w:fldCharType="separate"/>
      </w:r>
      <w:r w:rsidR="005B043F" w:rsidRPr="00C11F21">
        <w:rPr>
          <w:rFonts w:ascii="Book Antiqua" w:hAnsi="Book Antiqua" w:cstheme="minorHAnsi"/>
          <w:noProof/>
          <w:sz w:val="24"/>
          <w:szCs w:val="24"/>
          <w:vertAlign w:val="superscript"/>
          <w:lang w:val="en-US"/>
        </w:rPr>
        <w:t>[13,14]</w:t>
      </w:r>
      <w:r w:rsidR="005B043F" w:rsidRPr="00C11F21">
        <w:rPr>
          <w:rFonts w:ascii="Book Antiqua" w:hAnsi="Book Antiqua" w:cstheme="minorHAnsi"/>
          <w:sz w:val="24"/>
          <w:szCs w:val="24"/>
          <w:lang w:val="en-US"/>
        </w:rPr>
        <w:fldChar w:fldCharType="end"/>
      </w:r>
      <w:r w:rsidR="00A53E60" w:rsidRPr="00C11F21">
        <w:rPr>
          <w:rFonts w:ascii="Book Antiqua" w:hAnsi="Book Antiqua" w:cstheme="minorHAnsi"/>
          <w:sz w:val="24"/>
          <w:szCs w:val="24"/>
          <w:lang w:val="en-US"/>
        </w:rPr>
        <w:t>.</w:t>
      </w:r>
      <w:r w:rsidR="00035FF4" w:rsidRPr="00C11F21">
        <w:rPr>
          <w:rFonts w:ascii="Book Antiqua" w:hAnsi="Book Antiqua" w:cstheme="minorHAnsi"/>
          <w:sz w:val="24"/>
          <w:szCs w:val="24"/>
          <w:lang w:val="en-US"/>
        </w:rPr>
        <w:t xml:space="preserve"> </w:t>
      </w:r>
      <w:r w:rsidR="00192398" w:rsidRPr="00C11F21">
        <w:rPr>
          <w:rFonts w:ascii="Book Antiqua" w:hAnsi="Book Antiqua" w:cstheme="minorHAnsi"/>
          <w:sz w:val="24"/>
          <w:szCs w:val="24"/>
          <w:lang w:val="en-US"/>
        </w:rPr>
        <w:t xml:space="preserve">The HBV </w:t>
      </w:r>
      <w:r w:rsidR="00967132" w:rsidRPr="00C11F21">
        <w:rPr>
          <w:rFonts w:ascii="Book Antiqua" w:hAnsi="Book Antiqua" w:cstheme="minorHAnsi"/>
          <w:sz w:val="24"/>
          <w:szCs w:val="24"/>
          <w:lang w:val="en-US"/>
        </w:rPr>
        <w:t>l</w:t>
      </w:r>
      <w:r w:rsidR="00F8773C" w:rsidRPr="00C11F21">
        <w:rPr>
          <w:rFonts w:ascii="Book Antiqua" w:hAnsi="Book Antiqua" w:cstheme="minorHAnsi"/>
          <w:sz w:val="24"/>
          <w:szCs w:val="24"/>
          <w:lang w:val="en-US"/>
        </w:rPr>
        <w:t xml:space="preserve">arge </w:t>
      </w:r>
      <w:r w:rsidR="00223C85" w:rsidRPr="00C11F21">
        <w:rPr>
          <w:rFonts w:ascii="Book Antiqua" w:hAnsi="Book Antiqua" w:cstheme="minorHAnsi"/>
          <w:sz w:val="24"/>
          <w:szCs w:val="24"/>
          <w:lang w:val="en-US"/>
        </w:rPr>
        <w:t>envelope proteins</w:t>
      </w:r>
      <w:r w:rsidR="00F8773C" w:rsidRPr="00C11F21">
        <w:rPr>
          <w:rFonts w:ascii="Book Antiqua" w:hAnsi="Book Antiqua" w:cstheme="minorHAnsi"/>
          <w:sz w:val="24"/>
          <w:szCs w:val="24"/>
          <w:lang w:val="en-US"/>
        </w:rPr>
        <w:t xml:space="preserve"> (LHBs)</w:t>
      </w:r>
      <w:r w:rsidR="00E0626D" w:rsidRPr="00C11F21">
        <w:rPr>
          <w:rFonts w:ascii="Book Antiqua" w:hAnsi="Book Antiqua" w:cstheme="minorHAnsi"/>
          <w:sz w:val="24"/>
          <w:szCs w:val="24"/>
          <w:lang w:val="en-US"/>
        </w:rPr>
        <w:t>, which</w:t>
      </w:r>
      <w:r w:rsidR="00F8773C" w:rsidRPr="00C11F21">
        <w:rPr>
          <w:rFonts w:ascii="Book Antiqua" w:hAnsi="Book Antiqua" w:cstheme="minorHAnsi"/>
          <w:sz w:val="24"/>
          <w:szCs w:val="24"/>
          <w:lang w:val="en-US"/>
        </w:rPr>
        <w:t xml:space="preserve"> </w:t>
      </w:r>
      <w:r w:rsidR="00223C85" w:rsidRPr="00C11F21">
        <w:rPr>
          <w:rFonts w:ascii="Book Antiqua" w:hAnsi="Book Antiqua" w:cstheme="minorHAnsi"/>
          <w:sz w:val="24"/>
          <w:szCs w:val="24"/>
          <w:lang w:val="en-US"/>
        </w:rPr>
        <w:t>include</w:t>
      </w:r>
      <w:r w:rsidR="00F8773C" w:rsidRPr="00C11F21">
        <w:rPr>
          <w:rFonts w:ascii="Book Antiqua" w:hAnsi="Book Antiqua" w:cstheme="minorHAnsi"/>
          <w:sz w:val="24"/>
          <w:szCs w:val="24"/>
          <w:lang w:val="en-US"/>
        </w:rPr>
        <w:t xml:space="preserve"> </w:t>
      </w:r>
      <w:r w:rsidR="00E0626D" w:rsidRPr="00C11F21">
        <w:rPr>
          <w:rFonts w:ascii="Book Antiqua" w:hAnsi="Book Antiqua" w:cstheme="minorHAnsi"/>
          <w:sz w:val="24"/>
          <w:szCs w:val="24"/>
          <w:lang w:val="en-US"/>
        </w:rPr>
        <w:t xml:space="preserve">the </w:t>
      </w:r>
      <w:r w:rsidR="00F8773C" w:rsidRPr="00C11F21">
        <w:rPr>
          <w:rFonts w:ascii="Book Antiqua" w:hAnsi="Book Antiqua" w:cstheme="minorHAnsi"/>
          <w:sz w:val="24"/>
          <w:szCs w:val="24"/>
          <w:lang w:val="en-US"/>
        </w:rPr>
        <w:t>preS1, preS2</w:t>
      </w:r>
      <w:r w:rsidR="00E0626D" w:rsidRPr="00C11F21">
        <w:rPr>
          <w:rFonts w:ascii="Book Antiqua" w:hAnsi="Book Antiqua" w:cstheme="minorHAnsi"/>
          <w:sz w:val="24"/>
          <w:szCs w:val="24"/>
          <w:lang w:val="en-US"/>
        </w:rPr>
        <w:t>,</w:t>
      </w:r>
      <w:r w:rsidR="00F8773C" w:rsidRPr="00C11F21">
        <w:rPr>
          <w:rFonts w:ascii="Book Antiqua" w:hAnsi="Book Antiqua" w:cstheme="minorHAnsi"/>
          <w:sz w:val="24"/>
          <w:szCs w:val="24"/>
          <w:lang w:val="en-US"/>
        </w:rPr>
        <w:t xml:space="preserve"> and S region</w:t>
      </w:r>
      <w:r w:rsidR="00B870CA" w:rsidRPr="00C11F21">
        <w:rPr>
          <w:rFonts w:ascii="Book Antiqua" w:hAnsi="Book Antiqua" w:cstheme="minorHAnsi"/>
          <w:sz w:val="24"/>
          <w:szCs w:val="24"/>
          <w:lang w:val="en-US"/>
        </w:rPr>
        <w:t>s</w:t>
      </w:r>
      <w:r w:rsidR="00DE1789" w:rsidRPr="00C11F21">
        <w:rPr>
          <w:rFonts w:ascii="Book Antiqua" w:hAnsi="Book Antiqua" w:cstheme="minorHAnsi"/>
          <w:sz w:val="24"/>
          <w:szCs w:val="24"/>
          <w:lang w:val="en-US"/>
        </w:rPr>
        <w:t xml:space="preserve"> of the surface open reading frame of </w:t>
      </w:r>
      <w:r w:rsidR="00E0626D" w:rsidRPr="00C11F21">
        <w:rPr>
          <w:rFonts w:ascii="Book Antiqua" w:hAnsi="Book Antiqua" w:cstheme="minorHAnsi"/>
          <w:sz w:val="24"/>
          <w:szCs w:val="24"/>
          <w:lang w:val="en-US"/>
        </w:rPr>
        <w:t xml:space="preserve">the </w:t>
      </w:r>
      <w:r w:rsidR="00DE1789" w:rsidRPr="00C11F21">
        <w:rPr>
          <w:rFonts w:ascii="Book Antiqua" w:hAnsi="Book Antiqua" w:cstheme="minorHAnsi"/>
          <w:sz w:val="24"/>
          <w:szCs w:val="24"/>
          <w:lang w:val="en-US"/>
        </w:rPr>
        <w:t>HBV genome</w:t>
      </w:r>
      <w:r w:rsidR="00BF3ECE" w:rsidRPr="00C11F21">
        <w:rPr>
          <w:rFonts w:ascii="Book Antiqua" w:hAnsi="Book Antiqua" w:cstheme="minorHAnsi"/>
          <w:sz w:val="24"/>
          <w:szCs w:val="24"/>
          <w:lang w:val="en-US"/>
        </w:rPr>
        <w:t xml:space="preserve">, </w:t>
      </w:r>
      <w:r w:rsidR="00967132" w:rsidRPr="00C11F21">
        <w:rPr>
          <w:rFonts w:ascii="Book Antiqua" w:hAnsi="Book Antiqua" w:cstheme="minorHAnsi"/>
          <w:sz w:val="24"/>
          <w:szCs w:val="24"/>
          <w:lang w:val="en-US"/>
        </w:rPr>
        <w:t xml:space="preserve">interact with NTCP through specific binding of </w:t>
      </w:r>
      <w:r w:rsidR="009D2B1E" w:rsidRPr="00C11F21">
        <w:rPr>
          <w:rFonts w:ascii="Book Antiqua" w:hAnsi="Book Antiqua" w:cstheme="minorHAnsi"/>
          <w:sz w:val="24"/>
          <w:szCs w:val="24"/>
          <w:lang w:val="en-US"/>
        </w:rPr>
        <w:t xml:space="preserve">a </w:t>
      </w:r>
      <w:r w:rsidR="00967132" w:rsidRPr="00C11F21">
        <w:rPr>
          <w:rFonts w:ascii="Book Antiqua" w:hAnsi="Book Antiqua" w:cstheme="minorHAnsi"/>
          <w:sz w:val="24"/>
          <w:szCs w:val="24"/>
          <w:lang w:val="en-US"/>
        </w:rPr>
        <w:t xml:space="preserve">47 amino acids (aa) </w:t>
      </w:r>
      <w:r w:rsidR="009D2B1E" w:rsidRPr="00C11F21">
        <w:rPr>
          <w:rFonts w:ascii="Book Antiqua" w:hAnsi="Book Antiqua" w:cstheme="minorHAnsi"/>
          <w:sz w:val="24"/>
          <w:szCs w:val="24"/>
          <w:lang w:val="en-US"/>
        </w:rPr>
        <w:t xml:space="preserve">domain </w:t>
      </w:r>
      <w:r w:rsidR="00967132" w:rsidRPr="00C11F21">
        <w:rPr>
          <w:rFonts w:ascii="Book Antiqua" w:hAnsi="Book Antiqua" w:cstheme="minorHAnsi"/>
          <w:sz w:val="24"/>
          <w:szCs w:val="24"/>
          <w:lang w:val="en-US"/>
        </w:rPr>
        <w:t xml:space="preserve">in the N-terminal end of </w:t>
      </w:r>
      <w:r w:rsidR="0048559B" w:rsidRPr="00C11F21">
        <w:rPr>
          <w:rFonts w:ascii="Book Antiqua" w:hAnsi="Book Antiqua" w:cstheme="minorHAnsi"/>
          <w:sz w:val="24"/>
          <w:szCs w:val="24"/>
          <w:lang w:val="en-US"/>
        </w:rPr>
        <w:t xml:space="preserve">the </w:t>
      </w:r>
      <w:r w:rsidR="00967132" w:rsidRPr="00C11F21">
        <w:rPr>
          <w:rFonts w:ascii="Book Antiqua" w:hAnsi="Book Antiqua" w:cstheme="minorHAnsi"/>
          <w:sz w:val="24"/>
          <w:szCs w:val="24"/>
          <w:lang w:val="en-US"/>
        </w:rPr>
        <w:t>preS1 region</w:t>
      </w:r>
      <w:r w:rsidR="0092490D" w:rsidRPr="00C11F21">
        <w:rPr>
          <w:rFonts w:ascii="Book Antiqua" w:hAnsi="Book Antiqua" w:cstheme="minorHAnsi"/>
          <w:sz w:val="24"/>
          <w:szCs w:val="24"/>
          <w:lang w:val="en-US"/>
        </w:rPr>
        <w:fldChar w:fldCharType="begin" w:fldLock="1"/>
      </w:r>
      <w:r w:rsidR="0092490D" w:rsidRPr="00C11F21">
        <w:rPr>
          <w:rFonts w:ascii="Book Antiqua" w:hAnsi="Book Antiqua" w:cstheme="minorHAnsi"/>
          <w:sz w:val="24"/>
          <w:szCs w:val="24"/>
          <w:lang w:val="en-US"/>
        </w:rPr>
        <w:instrText>ADDIN CSL_CITATION { "citationItems" : [ { "id" : "ITEM-1", "itemData" : { "ISSN" : "0022-538X", "PMID" : "9971786", "abstract" : "During the life cycle of hepatitis B virus (HBV), the large envelope protein (L) plays a pivotal role. Indeed, this polypeptide is essential for viral assembly and probably for the infection process. By performing mutagenesis experiments, we have previously excluded a putative involvement of the pre-S2 domain of the L protein in viral infectivity. In the present study, we have evaluated the role of the pre-S1 region in HBV infection. For this purpose, 21 mutants of the L protein were created. The entire pre-S1 domain was covered by contiguous deletions of 5 amino acids. First, after transfection into HepG2 cells, the efficient expression of both glycosylated and unglycosylated L mutant proteins was verified. The secretion rate of envelope proteins was modified positively or negatively by deletions, indicating that the pre-S1 domain contains several regulating sequences able to influence the surface protein secretion. The ability of mutant proteins to support the production of virions was then studied. Only the four C-terminal deletions, covering the 17 amino acids suspected to interact with the cytoplasmic nucleocapsids, inhibited virion release. Finally, the presence of the modified pre-S1 domain at the external side of all secreted virions was confirmed, and their infectivity was assayed on normal human hepatocytes in primary culture. Only a short sequence including amino acids 78 to 87 tolerates internal deletions without affecting viral infectivity. These results confirm the involvement of the L protein in the infection step and demonstrate that the sequence between amino acids 3 and 77 is involved in this process.", "author" : [ { "dropping-particle" : "", "family" : "Seyec", "given" : "J", "non-dropping-particle" : "Le", "parse-names" : false, "suffix" : "" }, { "dropping-particle" : "", "family" : "Chouteau", "given" : "P", "non-dropping-particle" : "", "parse-names" : false, "suffix" : "" }, { "dropping-particle" : "", "family" : "Cannie", "given" : "I", "non-dropping-particle" : "", "parse-names" : false, "suffix" : "" }, { "dropping-particle" : "", "family" : "Guguen-Guillouzo", "given" : "C", "non-dropping-particle" : "", "parse-names" : false, "suffix" : "" }, { "dropping-particle" : "", "family" : "Gripon", "given" : "P", "non-dropping-particle" : "", "parse-names" : false, "suffix" : "" } ], "container-title" : "Journal of virology", "id" : "ITEM-1", "issue" : "3", "issued" : { "date-parts" : [ [ "1999", "3" ] ] }, "page" : "2052-7", "title" : "Infection process of the hepatitis B virus depends on the presence of a defined sequence in the pre-S1 domain.", "type" : "article-journal", "volume" : "73" }, "uris" : [ "http://www.mendeley.com/documents/?uuid=8b64efc2-7972-477d-bf26-0295e01b76c3" ] }, { "id" : "ITEM-2", "itemData" : { "DOI" : "10.1128/JVI.00096-07", "ISBN" : "0022-538X", "ISSN" : "0022-538X", "PMID" : "17376925", "abstract" : "The N-terminal pre-S domain of the large hepatitis B virus (HBV) envelope protein plays a pivotal role at the initial step of the viral entry pathway. In the present study, the entire pre-S domain was mapped for infectivity determinants, following a reverse-genetics approach and using in vitro infection assays with hepatitis delta virus (HDV) or HBV particles. The results demonstrate that lesions created within the N-terminal 75 amino acids of the pre-S region abrogate infectivity, whereas mutations between amino acids 76 and 113, overlapping the matrix domain, had no effect. In contrast to the results of a recent study (L. Stoeckl, A. Funk, A. Kopitzki, B. Brandenburg, S. Oess, H. Will, H. Sirma, and E. Hildt, Proc. Natl. Acad. Sci. 103:6730-6734, 2006), the deletion of a cell membrane translocation motif (TLM) located between amino acids 148 and 161 at the C terminus of pre-S2 did not interfere with the infectivity of the resulting HDV or HBV mutants. Furthermore, a series of large deletions overlapping the pre-S2 domain were compatible with infectivity, although the efficiency of infection was reduced when the deletions extended to the pre-S1 domain. Overall, the results demonstrate that the activity of the pre-S domain at viral entry solely depends on the integrity of its first 75 amino acids and thus excludes any function of the matrix domain or TLM.", "author" : [ { "dropping-particle" : "", "family" : "Blanchet", "given" : "Matthieu", "non-dropping-particle" : "", "parse-names" : false, "suffix" : "" }, { "dropping-particle" : "", "family" : "Sureau", "given" : "Camille", "non-dropping-particle" : "", "parse-names" : false, "suffix" : "" } ], "container-title" : "Journal of virology", "id" : "ITEM-2", "issue" : "11", "issued" : { "date-parts" : [ [ "2007", "6" ] ] }, "page" : "5841-9", "title" : "Infectivity determinants of the hepatitis B virus pre-S domain are confined to the N-terminal 75 amino acid residues.", "type" : "article-journal", "volume" : "81" }, "uris" : [ "http://www.mendeley.com/documents/?uuid=2732447b-0af3-47f4-a74a-591889dcb719" ] }, { "id" : "ITEM-3", "itemData" : { "DOI" : "10.1053/j.gastro.2005.03.090", "ISBN" : "0016-5085 (Print)", "ISSN" : "00165085", "PMID" : "16012950", "abstract" : "Background &amp; Aims: Studies on the early steps in the life cycle of hepatitis B virus have been hampered by the lack of readily available target cells. In this study, we mapped a defined virus attachment site to primary hepatocytes that is essential for infection. Methods: We used purified virus particles from human carrier plasma as an inoculum and primary cultures of tupaia hepatocytes as susceptible target cells and studied the inhibitory effect of amino-terminally acylated preS1-derived lipopeptides on infection interference. Results: Infectivity of virus could be blocked efficiently in this system by amino-terminally acylated peptides containing amino acids 2-18 from the preS1 domain. The addition of amino acids 28-48 enhanced the inhibitory capacity, whereas amino acids 49-78 did not contribute to inhibition. Myristoylated preS1 peptides 2-48 bound strongly to tupaia hepatocytes but not to nonhepatic cells or rodent hepatocytes and thereby inhibited infection even at concentrations of 1 nmol/L completely. Particles consisting only of the small hepatitis B surface protein-the active component of current hepatitis B vaccines-did not bind at all to tupaia hepatocytes, but the addition of the preS1 domain to the particles allowed binding. Conclusions: The preS1 sequence 2-48 mediates attachment of the virus to its target cells, whereas the small surface protein seems to be involved in other steps. These findings indicate that the current subunit hepatitis B vaccines may be improved by the addition of distinct preS1 epitopes. Moreover, preS1 lipopeptides are promising candidates for specific antiviral therapy against hepatitis B infections. \u00a9 2005 by the American Gastroenterological Association.", "author" : [ { "dropping-particle" : "", "family" : "Glebe", "given" : "Dieter", "non-dropping-particle" : "", "parse-names" : false, "suffix" : "" }, { "dropping-particle" : "", "family" : "Urban", "given" : "Stephan", "non-dropping-particle" : "", "parse-names" : false, "suffix" : "" }, { "dropping-particle" : "V.", "family" : "Knoop", "given" : "Eva", "non-dropping-particle" : "", "parse-names" : false, "suffix" : "" }, { "dropping-particle" : "", "family" : "\u00c7a\u01e7", "given" : "Nilg\u00fcn", "non-dropping-particle" : "", "parse-names" : false, "suffix" : "" }, { "dropping-particle" : "", "family" : "Krass", "given" : "Peter", "non-dropping-particle" : "", "parse-names" : false, "suffix" : "" }, { "dropping-particle" : "", "family" : "Gr\u00fcn", "given" : "Stefanie", "non-dropping-particle" : "", "parse-names" : false, "suffix" : "" }, { "dropping-particle" : "", "family" : "Bulavaite", "given" : "Aiste", "non-dropping-particle" : "", "parse-names" : false, "suffix" : "" }, { "dropping-particle" : "", "family" : "Sasnauskas", "given" : "Kestutis", "non-dropping-particle" : "", "parse-names" : false, "suffix" : "" }, { "dropping-particle" : "", "family" : "Gerlich", "given" : "Wolfram H.", "non-dropping-particle" : "", "parse-names" : false, "suffix" : "" } ], "container-title" : "Gastroenterology", "id" : "ITEM-3", "issue" : "1", "issued" : { "date-parts" : [ [ "2005" ] ] }, "page" : "234-245", "title" : "Mapping of the hepatitis B virus attachment site by use of infection-inhibiting preS1 lipopeptides and tupaia hepatocytes", "type" : "article-journal", "volume" : "129" }, "uris" : [ "http://www.mendeley.com/documents/?uuid=52c29662-dbb6-4994-8bdb-549ab936e7bb" ] }, { "id" : "ITEM-4", "itemData" : { "DOI" : "10.1128/JVI.79.3.1613", "ISBN" : "0022-538X (Print)\\r0022-538X (Linking)", "ISSN" : "0022-538X", "PMID" : "15650187", "abstract" : "The lack of an appropriate in vitro infection system for the major human pathogen hepatitis B virus (HBV) has prevented a molecular understanding of the early infection events of HBV. We used the novel HBV-infectible cell line HepaRG and primary human hepatocytes to investigate the interference of infection by HBV envelope protein-derived peptides. We found that a peptide consisting of the authentically myristoylated N-terminal 47 amino acids of the pre-S1 domain of the large viral envelope protein (L protein) specifically prevented HBV infection, with a 50% inhibitory concentration (IC50) of 8 nM. The replacement of myristic acid with other hydrophobic moieties resulted in changes in the inhibitory activity, most notably by a decrease in the IC50 to picomolar concentrations for longer unbranched fatty acids. The obstruction of HepaRG cell susceptibility to HBV infection after short preincubation times with the peptides suggested that the peptides efficiently target and inactivate a receptor at the hepatocyte surface. Our data both shed light on the molecular mechanism of HBV entry into hepatocytes and provide a basis for the development of potent hepadnaviral entry inhibitors as a novel therapeutic concept for the treatment of hepatitis Beta.", "author" : [ { "dropping-particle" : "", "family" : "Gripon", "given" : "Philippe", "non-dropping-particle" : "", "parse-names" : false, "suffix" : "" }, { "dropping-particle" : "", "family" : "Cannie", "given" : "Isabelle", "non-dropping-particle" : "", "parse-names" : false, "suffix" : "" }, { "dropping-particle" : "", "family" : "Urban", "given" : "Stephan", "non-dropping-particle" : "", "parse-names" : false, "suffix" : "" } ], "container-title" : "Journal of Virology", "id" : "ITEM-4", "issue" : "3", "issued" : { "date-parts" : [ [ "2005" ] ] }, "page" : "1613-1622", "title" : "Efficient Inhibition of Hepatitis B Virus Infection by Acylated Peptides Derived from the Large Viral Surface Protein.", "type" : "article-journal", "volume" : "79" }, "uris" : [ "http://www.mendeley.com/documents/?uuid=1b7f44b2-3727-452e-80ac-0d908b763115" ] } ], "mendeley" : { "formattedCitation" : "&lt;sup&gt;[15\u201318]&lt;/sup&gt;", "plainTextFormattedCitation" : "[15\u201318]" }, "properties" : {  }, "schema" : "https://github.com/citation-style-language/schema/raw/master/csl-citation.json" }</w:instrText>
      </w:r>
      <w:r w:rsidR="0092490D" w:rsidRPr="00C11F21">
        <w:rPr>
          <w:rFonts w:ascii="Book Antiqua" w:hAnsi="Book Antiqua" w:cstheme="minorHAnsi"/>
          <w:sz w:val="24"/>
          <w:szCs w:val="24"/>
          <w:lang w:val="en-US"/>
        </w:rPr>
        <w:fldChar w:fldCharType="separate"/>
      </w:r>
      <w:r w:rsidR="0092490D" w:rsidRPr="00C11F21">
        <w:rPr>
          <w:rFonts w:ascii="Book Antiqua" w:hAnsi="Book Antiqua" w:cstheme="minorHAnsi"/>
          <w:noProof/>
          <w:sz w:val="24"/>
          <w:szCs w:val="24"/>
          <w:vertAlign w:val="superscript"/>
          <w:lang w:val="en-US"/>
        </w:rPr>
        <w:t>[15</w:t>
      </w:r>
      <w:r w:rsidR="004F4E6E" w:rsidRPr="00C11F21">
        <w:rPr>
          <w:rFonts w:ascii="Book Antiqua" w:hAnsi="Book Antiqua" w:cstheme="minorHAnsi" w:hint="eastAsia"/>
          <w:noProof/>
          <w:sz w:val="24"/>
          <w:szCs w:val="24"/>
          <w:vertAlign w:val="superscript"/>
          <w:lang w:val="en-US" w:eastAsia="zh-CN"/>
        </w:rPr>
        <w:t>-</w:t>
      </w:r>
      <w:r w:rsidR="0092490D" w:rsidRPr="00C11F21">
        <w:rPr>
          <w:rFonts w:ascii="Book Antiqua" w:hAnsi="Book Antiqua" w:cstheme="minorHAnsi"/>
          <w:noProof/>
          <w:sz w:val="24"/>
          <w:szCs w:val="24"/>
          <w:vertAlign w:val="superscript"/>
          <w:lang w:val="en-US"/>
        </w:rPr>
        <w:t>18]</w:t>
      </w:r>
      <w:r w:rsidR="0092490D" w:rsidRPr="00C11F21">
        <w:rPr>
          <w:rFonts w:ascii="Book Antiqua" w:hAnsi="Book Antiqua" w:cstheme="minorHAnsi"/>
          <w:sz w:val="24"/>
          <w:szCs w:val="24"/>
          <w:lang w:val="en-US"/>
        </w:rPr>
        <w:fldChar w:fldCharType="end"/>
      </w:r>
      <w:r w:rsidR="00C7646A">
        <w:rPr>
          <w:rFonts w:ascii="Book Antiqua" w:hAnsi="Book Antiqua" w:cstheme="minorHAnsi" w:hint="eastAsia"/>
          <w:sz w:val="24"/>
          <w:szCs w:val="24"/>
          <w:lang w:val="en-US" w:eastAsia="zh-CN"/>
        </w:rPr>
        <w:t xml:space="preserve"> </w:t>
      </w:r>
      <w:r w:rsidR="00CB0D37" w:rsidRPr="00C11F21">
        <w:rPr>
          <w:rFonts w:ascii="Book Antiqua" w:hAnsi="Book Antiqua"/>
          <w:sz w:val="24"/>
          <w:szCs w:val="24"/>
          <w:lang w:val="en-US"/>
        </w:rPr>
        <w:t xml:space="preserve">(hereafter referred to as the </w:t>
      </w:r>
      <w:r w:rsidR="00CB0D37" w:rsidRPr="00C11F21">
        <w:rPr>
          <w:rFonts w:ascii="Book Antiqua" w:hAnsi="Book Antiqua" w:cstheme="minorHAnsi"/>
          <w:sz w:val="24"/>
          <w:szCs w:val="24"/>
          <w:lang w:val="en-US"/>
        </w:rPr>
        <w:t>NTCP-interacting domain)</w:t>
      </w:r>
      <w:r w:rsidR="003C4F41" w:rsidRPr="00C11F21">
        <w:rPr>
          <w:rFonts w:ascii="Book Antiqua" w:hAnsi="Book Antiqua" w:cstheme="minorHAnsi"/>
          <w:sz w:val="24"/>
          <w:szCs w:val="24"/>
          <w:lang w:val="en-US"/>
        </w:rPr>
        <w:t>,</w:t>
      </w:r>
      <w:r w:rsidR="009D2B1E" w:rsidRPr="00C11F21">
        <w:rPr>
          <w:rFonts w:ascii="Book Antiqua" w:hAnsi="Book Antiqua" w:cstheme="minorHAnsi"/>
          <w:sz w:val="24"/>
          <w:szCs w:val="24"/>
          <w:lang w:val="en-US"/>
        </w:rPr>
        <w:t xml:space="preserve"> </w:t>
      </w:r>
      <w:r w:rsidR="00967132" w:rsidRPr="00C11F21">
        <w:rPr>
          <w:rFonts w:ascii="Book Antiqua" w:hAnsi="Book Antiqua" w:cstheme="minorHAnsi"/>
          <w:sz w:val="24"/>
          <w:szCs w:val="24"/>
          <w:lang w:val="en-US"/>
        </w:rPr>
        <w:t>a</w:t>
      </w:r>
      <w:r w:rsidR="00035FF4" w:rsidRPr="00C11F21">
        <w:rPr>
          <w:rFonts w:ascii="Book Antiqua" w:hAnsi="Book Antiqua" w:cstheme="minorHAnsi"/>
          <w:sz w:val="24"/>
          <w:szCs w:val="24"/>
          <w:lang w:val="en-US"/>
        </w:rPr>
        <w:t xml:space="preserve">s </w:t>
      </w:r>
      <w:r w:rsidR="00E0626D" w:rsidRPr="00C11F21">
        <w:rPr>
          <w:rFonts w:ascii="Book Antiqua" w:hAnsi="Book Antiqua" w:cstheme="minorHAnsi"/>
          <w:sz w:val="24"/>
          <w:szCs w:val="24"/>
          <w:lang w:val="en-US"/>
        </w:rPr>
        <w:t xml:space="preserve">is </w:t>
      </w:r>
      <w:r w:rsidR="00035FF4" w:rsidRPr="00C11F21">
        <w:rPr>
          <w:rFonts w:ascii="Book Antiqua" w:hAnsi="Book Antiqua" w:cstheme="minorHAnsi"/>
          <w:sz w:val="24"/>
          <w:szCs w:val="24"/>
          <w:lang w:val="en-US"/>
        </w:rPr>
        <w:t>shown in Figure 1</w:t>
      </w:r>
      <w:r w:rsidR="00967132" w:rsidRPr="00C11F21">
        <w:rPr>
          <w:rFonts w:ascii="Book Antiqua" w:hAnsi="Book Antiqua" w:cstheme="minorHAnsi"/>
          <w:sz w:val="24"/>
          <w:szCs w:val="24"/>
          <w:lang w:val="en-US"/>
        </w:rPr>
        <w:t>.</w:t>
      </w:r>
      <w:r w:rsidR="00CE22F5" w:rsidRPr="00C11F21">
        <w:rPr>
          <w:rFonts w:ascii="Book Antiqua" w:hAnsi="Book Antiqua" w:cstheme="minorHAnsi"/>
          <w:sz w:val="24"/>
          <w:szCs w:val="24"/>
          <w:lang w:val="en-US"/>
        </w:rPr>
        <w:t xml:space="preserve"> </w:t>
      </w:r>
    </w:p>
    <w:p w14:paraId="434CB90D" w14:textId="16E9531B" w:rsidR="005B0877" w:rsidRPr="00C11F21" w:rsidRDefault="005B0877" w:rsidP="004F4E6E">
      <w:pPr>
        <w:autoSpaceDE w:val="0"/>
        <w:autoSpaceDN w:val="0"/>
        <w:adjustRightInd w:val="0"/>
        <w:snapToGrid w:val="0"/>
        <w:spacing w:after="0" w:line="360" w:lineRule="auto"/>
        <w:ind w:firstLineChars="100" w:firstLine="240"/>
        <w:jc w:val="both"/>
        <w:rPr>
          <w:rFonts w:ascii="Book Antiqua" w:hAnsi="Book Antiqua"/>
          <w:sz w:val="24"/>
          <w:szCs w:val="24"/>
          <w:shd w:val="clear" w:color="auto" w:fill="FFFFFF"/>
          <w:lang w:val="en-US"/>
        </w:rPr>
      </w:pPr>
      <w:r w:rsidRPr="00C11F21">
        <w:rPr>
          <w:rFonts w:ascii="Book Antiqua" w:hAnsi="Book Antiqua" w:cstheme="minorHAnsi"/>
          <w:sz w:val="24"/>
          <w:szCs w:val="24"/>
          <w:lang w:val="en-US"/>
        </w:rPr>
        <w:t>It is reasonable to think that t</w:t>
      </w:r>
      <w:r w:rsidR="009D2B1E" w:rsidRPr="00C11F21">
        <w:rPr>
          <w:rFonts w:ascii="Book Antiqua" w:hAnsi="Book Antiqua" w:cstheme="minorHAnsi"/>
          <w:sz w:val="24"/>
          <w:szCs w:val="24"/>
          <w:lang w:val="en-US"/>
        </w:rPr>
        <w:t>he degree of sequence variability in th</w:t>
      </w:r>
      <w:r w:rsidR="007E1C60" w:rsidRPr="00C11F21">
        <w:rPr>
          <w:rFonts w:ascii="Book Antiqua" w:hAnsi="Book Antiqua" w:cstheme="minorHAnsi"/>
          <w:sz w:val="24"/>
          <w:szCs w:val="24"/>
          <w:lang w:val="en-US"/>
        </w:rPr>
        <w:t>e NTCP-interacting</w:t>
      </w:r>
      <w:r w:rsidR="009D2B1E" w:rsidRPr="00C11F21">
        <w:rPr>
          <w:rFonts w:ascii="Book Antiqua" w:hAnsi="Book Antiqua" w:cstheme="minorHAnsi"/>
          <w:sz w:val="24"/>
          <w:szCs w:val="24"/>
          <w:lang w:val="en-US"/>
        </w:rPr>
        <w:t xml:space="preserve"> domain, which is an indication of the extent to which sequence conservation is important </w:t>
      </w:r>
      <w:r w:rsidRPr="00C11F21">
        <w:rPr>
          <w:rFonts w:ascii="Book Antiqua" w:hAnsi="Book Antiqua" w:cstheme="minorHAnsi"/>
          <w:sz w:val="24"/>
          <w:szCs w:val="24"/>
          <w:lang w:val="en-US"/>
        </w:rPr>
        <w:t xml:space="preserve">to </w:t>
      </w:r>
      <w:r w:rsidRPr="00C11F21">
        <w:rPr>
          <w:rFonts w:ascii="Book Antiqua" w:hAnsi="Book Antiqua"/>
          <w:sz w:val="24"/>
          <w:szCs w:val="24"/>
          <w:shd w:val="clear" w:color="auto" w:fill="FFFFFF"/>
          <w:lang w:val="en-US"/>
        </w:rPr>
        <w:t>maintain its function</w:t>
      </w:r>
      <w:r w:rsidR="004F4E6E" w:rsidRPr="00C11F21">
        <w:rPr>
          <w:rFonts w:ascii="Book Antiqua" w:hAnsi="Book Antiqua" w:cstheme="minorHAnsi"/>
          <w:sz w:val="24"/>
          <w:szCs w:val="24"/>
          <w:lang w:val="en-US"/>
        </w:rPr>
        <w:fldChar w:fldCharType="begin" w:fldLock="1"/>
      </w:r>
      <w:r w:rsidR="004F4E6E" w:rsidRPr="00C11F21">
        <w:rPr>
          <w:rFonts w:ascii="Book Antiqua" w:hAnsi="Book Antiqua" w:cstheme="minorHAnsi"/>
          <w:sz w:val="24"/>
          <w:szCs w:val="24"/>
          <w:lang w:val="en-US"/>
        </w:rPr>
        <w:instrText>ADDIN CSL_CITATION { "citationItems" : [ { "id" : "ITEM-1", "itemData" : { "author" : [ { "dropping-particle" : "", "family" : "Roberts", "given" : "KA", "non-dropping-particle" : "", "parse-names" : false, "suffix" : "" }, { "dropping-particle" : "", "family" : "Mao", "given" : "R", "non-dropping-particle" : "", "parse-names" : false, "suffix" : "" }, { "dropping-particle" : "", "family" : "O'Fallon", "given" : "BD", "non-dropping-particle" : "", "parse-names" : false, "suffix" : "" }, { "dropping-particle" : "", "family" : "Lyon", "given" : "E", "non-dropping-particle" : "", "parse-names" : false, "suffix" : "" } ], "chapter-number" : "13", "container-title" : "Clinical Genomics. A guide to clinical next generation sequencing.", "edition" : "First", "editor" : [ { "dropping-particle" : "", "family" : "Kulkarni", "given" : "S", "non-dropping-particle" : "", "parse-names" : false, "suffix" : "" }, { "dropping-particle" : "", "family" : "Pfeifer", "given" : "J", "non-dropping-particle" : "", "parse-names" : false, "suffix" : "" } ], "id" : "ITEM-1", "issued" : { "date-parts" : [ [ "2015" ] ] }, "page" : "219-231", "publisher" : "Elsevier Academic Press", "publisher-place" : "USA", "title" : "Reporting of clinical genomics test results", "type" : "chapter" }, "uris" : [ "http://www.mendeley.com/documents/?uuid=950f5be8-7578-3622-bd6a-bed61bd472ec", "http://www.mendeley.com/documents/?uuid=a545ba15-07f4-4720-ad8b-6d767472080d" ] } ], "mendeley" : { "formattedCitation" : "&lt;sup&gt;[19]&lt;/sup&gt;", "plainTextFormattedCitation" : "[19]", "previouslyFormattedCitation" : "&lt;sup&gt;[25]&lt;/sup&gt;" }, "properties" : {  }, "schema" : "https://github.com/citation-style-language/schema/raw/master/csl-citation.json" }</w:instrText>
      </w:r>
      <w:r w:rsidR="004F4E6E" w:rsidRPr="00C11F21">
        <w:rPr>
          <w:rFonts w:ascii="Book Antiqua" w:hAnsi="Book Antiqua" w:cstheme="minorHAnsi"/>
          <w:sz w:val="24"/>
          <w:szCs w:val="24"/>
          <w:lang w:val="en-US"/>
        </w:rPr>
        <w:fldChar w:fldCharType="separate"/>
      </w:r>
      <w:r w:rsidR="004F4E6E" w:rsidRPr="00C11F21">
        <w:rPr>
          <w:rFonts w:ascii="Book Antiqua" w:hAnsi="Book Antiqua" w:cstheme="minorHAnsi"/>
          <w:noProof/>
          <w:sz w:val="24"/>
          <w:szCs w:val="24"/>
          <w:vertAlign w:val="superscript"/>
          <w:lang w:val="en-US"/>
        </w:rPr>
        <w:t>[19]</w:t>
      </w:r>
      <w:r w:rsidR="004F4E6E" w:rsidRPr="00C11F21">
        <w:rPr>
          <w:rFonts w:ascii="Book Antiqua" w:hAnsi="Book Antiqua" w:cstheme="minorHAnsi"/>
          <w:sz w:val="24"/>
          <w:szCs w:val="24"/>
          <w:lang w:val="en-US"/>
        </w:rPr>
        <w:fldChar w:fldCharType="end"/>
      </w:r>
      <w:r w:rsidR="003C4F41" w:rsidRPr="00C11F21">
        <w:rPr>
          <w:rFonts w:ascii="Book Antiqua" w:hAnsi="Book Antiqua"/>
          <w:sz w:val="24"/>
          <w:szCs w:val="24"/>
          <w:shd w:val="clear" w:color="auto" w:fill="FFFFFF"/>
          <w:lang w:val="en-US"/>
        </w:rPr>
        <w:t>,</w:t>
      </w:r>
      <w:r w:rsidRPr="00C11F21">
        <w:rPr>
          <w:rFonts w:ascii="Book Antiqua" w:hAnsi="Book Antiqua" w:cstheme="minorHAnsi"/>
          <w:sz w:val="24"/>
          <w:szCs w:val="24"/>
          <w:lang w:val="en-US"/>
        </w:rPr>
        <w:t xml:space="preserve"> </w:t>
      </w:r>
      <w:r w:rsidR="003D1C09" w:rsidRPr="00C11F21">
        <w:rPr>
          <w:rFonts w:ascii="Book Antiqua" w:hAnsi="Book Antiqua" w:cstheme="minorHAnsi"/>
          <w:sz w:val="24"/>
          <w:szCs w:val="24"/>
          <w:lang w:val="en-US"/>
        </w:rPr>
        <w:t>may</w:t>
      </w:r>
      <w:r w:rsidRPr="00C11F21">
        <w:rPr>
          <w:rFonts w:ascii="Book Antiqua" w:hAnsi="Book Antiqua" w:cstheme="minorHAnsi"/>
          <w:sz w:val="24"/>
          <w:szCs w:val="24"/>
          <w:lang w:val="en-US"/>
        </w:rPr>
        <w:t xml:space="preserve"> have an impact on </w:t>
      </w:r>
      <w:r w:rsidRPr="00C11F21">
        <w:rPr>
          <w:rFonts w:ascii="Book Antiqua" w:hAnsi="Book Antiqua" w:cstheme="minorHAnsi"/>
          <w:sz w:val="24"/>
          <w:szCs w:val="24"/>
          <w:lang w:val="en-US"/>
        </w:rPr>
        <w:lastRenderedPageBreak/>
        <w:t xml:space="preserve">the response to inhibitors of HBV entry based on </w:t>
      </w:r>
      <w:r w:rsidRPr="00C11F21">
        <w:rPr>
          <w:rFonts w:ascii="Book Antiqua" w:hAnsi="Book Antiqua"/>
          <w:sz w:val="24"/>
          <w:szCs w:val="24"/>
          <w:shd w:val="clear" w:color="auto" w:fill="FFFFFF"/>
          <w:lang w:val="en-US"/>
        </w:rPr>
        <w:t>synthetic myristoylated lipopeptides</w:t>
      </w:r>
      <w:r w:rsidRPr="00C11F21">
        <w:rPr>
          <w:rFonts w:ascii="Book Antiqua" w:hAnsi="Book Antiqua" w:cstheme="minorHAnsi"/>
          <w:sz w:val="24"/>
          <w:szCs w:val="24"/>
          <w:lang w:val="en-US"/>
        </w:rPr>
        <w:fldChar w:fldCharType="begin" w:fldLock="1"/>
      </w:r>
      <w:r w:rsidR="0092490D" w:rsidRPr="00C11F21">
        <w:rPr>
          <w:rFonts w:ascii="Book Antiqua" w:hAnsi="Book Antiqua" w:cstheme="minorHAnsi"/>
          <w:sz w:val="24"/>
          <w:szCs w:val="24"/>
          <w:lang w:val="en-US"/>
        </w:rPr>
        <w:instrText>ADDIN CSL_CITATION { "citationItems" : [ { "id" : "ITEM-1", "itemData" : { "DOI" : "10.1053/j.gastro.2014.04.030", "ISSN" : "15280012", "PMID" : "24768844", "abstract" : "Although there has been much research into the pathogenesis and treatment of hepatitis B virus (HBV) and hepatitis D virus (HDV) infections, we still do not completely understand how these pathogens enter hepatocytes. This is because in vitro infection studies have only been performed in primary human hepatocytes. Development of a polarizable, HBV-susceptible human hepatoma cell line and studies of primary hepatocytes from Tupaia belangeri have provided important insights into the viral and cellular factors involved in virus binding and infection. The large envelope (L) protein on the surface of HBV and HDV particles has many different functions and is required for virus entry. The L protein mediates attachment of virions to heparan sulfate proteoglycans on the surface of hepatocytes. The myristoylated N-terminal preS1 domain of the L protein subsequently binds to the sodium taurocholate cotransporting polypeptide (NTCP, encoded by SLC10A1), the recently identified bona fide receptor for HBV and HDV. The receptor functions of NTCP and virus entry are blocked, in vitro and in vivo, by Myrcludex B, a synthetic N-acylated preS1 lipopeptide. Currently, the only agents available to treat chronic HBV infection target the viral polymerase, and no selective therapies are available for HDV infection. It is therefore important to study the therapeutic potential of virus entry inhibitors, especially when combined with strategies to induce immune-mediated killing of infected hepatocytes. ?? 2014 by the AGA Institute.", "author" : [ { "dropping-particle" : "", "family" : "Urban", "given" : "Stephan", "non-dropping-particle" : "", "parse-names" : false, "suffix" : "" }, { "dropping-particle" : "", "family" : "Bartenschlager", "given" : "Ralf", "non-dropping-particle" : "", "parse-names" : false, "suffix" : "" }, { "dropping-particle" : "", "family" : "Kubitz", "given" : "Ralf", "non-dropping-particle" : "", "parse-names" : false, "suffix" : "" }, { "dropping-particle" : "", "family" : "Zoulim", "given" : "Fabien", "non-dropping-particle" : "", "parse-names" : false, "suffix" : "" } ], "container-title" : "Gastroenterology", "id" : "ITEM-1", "issue" : "1", "issued" : { "date-parts" : [ [ "2014" ] ] }, "page" : "48-64", "publisher" : "Elsevier, Inc", "title" : "Strategies to inhibit entry of HBV and HDV into hepatocytes", "type" : "article-journal", "volume" : "147" }, "uris" : [ "http://www.mendeley.com/documents/?uuid=467646dd-8efa-4384-9cc3-b413dcf9adc4" ] } ], "mendeley" : { "formattedCitation" : "&lt;sup&gt;[20]&lt;/sup&gt;", "plainTextFormattedCitation" : "[20]", "previouslyFormattedCitation" : "&lt;sup&gt;[27]&lt;/sup&gt;" }, "properties" : {  }, "schema" : "https://github.com/citation-style-language/schema/raw/master/csl-citation.json" }</w:instrText>
      </w:r>
      <w:r w:rsidRPr="00C11F21">
        <w:rPr>
          <w:rFonts w:ascii="Book Antiqua" w:hAnsi="Book Antiqua" w:cstheme="minorHAnsi"/>
          <w:sz w:val="24"/>
          <w:szCs w:val="24"/>
          <w:lang w:val="en-US"/>
        </w:rPr>
        <w:fldChar w:fldCharType="separate"/>
      </w:r>
      <w:r w:rsidR="0092490D" w:rsidRPr="00C11F21">
        <w:rPr>
          <w:rFonts w:ascii="Book Antiqua" w:hAnsi="Book Antiqua" w:cstheme="minorHAnsi"/>
          <w:noProof/>
          <w:sz w:val="24"/>
          <w:szCs w:val="24"/>
          <w:vertAlign w:val="superscript"/>
          <w:lang w:val="en-US"/>
        </w:rPr>
        <w:t>[20]</w:t>
      </w:r>
      <w:r w:rsidRPr="00C11F21">
        <w:rPr>
          <w:rFonts w:ascii="Book Antiqua" w:hAnsi="Book Antiqua" w:cstheme="minorHAnsi"/>
          <w:sz w:val="24"/>
          <w:szCs w:val="24"/>
          <w:lang w:val="en-US"/>
        </w:rPr>
        <w:fldChar w:fldCharType="end"/>
      </w:r>
      <w:r w:rsidRPr="00C11F21">
        <w:rPr>
          <w:rFonts w:ascii="Book Antiqua" w:hAnsi="Book Antiqua"/>
          <w:sz w:val="24"/>
          <w:szCs w:val="24"/>
          <w:shd w:val="clear" w:color="auto" w:fill="FFFFFF"/>
          <w:lang w:val="en-US"/>
        </w:rPr>
        <w:t xml:space="preserve"> </w:t>
      </w:r>
      <w:r w:rsidR="003C4F41" w:rsidRPr="00C11F21">
        <w:rPr>
          <w:rFonts w:ascii="Book Antiqua" w:hAnsi="Book Antiqua"/>
          <w:sz w:val="24"/>
          <w:szCs w:val="24"/>
          <w:shd w:val="clear" w:color="auto" w:fill="FFFFFF"/>
          <w:lang w:val="en-US"/>
        </w:rPr>
        <w:t>that</w:t>
      </w:r>
      <w:r w:rsidRPr="00C11F21">
        <w:rPr>
          <w:rFonts w:ascii="Book Antiqua" w:hAnsi="Book Antiqua"/>
          <w:sz w:val="24"/>
          <w:szCs w:val="24"/>
          <w:shd w:val="clear" w:color="auto" w:fill="FFFFFF"/>
          <w:lang w:val="en-US"/>
        </w:rPr>
        <w:t xml:space="preserve"> share the same aa sequence with the NTCP-interacting domain</w:t>
      </w:r>
      <w:r w:rsidR="003D1C09" w:rsidRPr="00C11F21">
        <w:rPr>
          <w:rFonts w:ascii="Book Antiqua" w:hAnsi="Book Antiqua"/>
          <w:sz w:val="24"/>
          <w:szCs w:val="24"/>
          <w:shd w:val="clear" w:color="auto" w:fill="FFFFFF"/>
          <w:lang w:val="en-US"/>
        </w:rPr>
        <w:t xml:space="preserve"> </w:t>
      </w:r>
      <w:r w:rsidR="003D1C09" w:rsidRPr="00C11F21">
        <w:rPr>
          <w:rFonts w:ascii="Book Antiqua" w:hAnsi="Book Antiqua" w:cstheme="minorHAnsi"/>
          <w:sz w:val="24"/>
          <w:szCs w:val="24"/>
          <w:lang w:val="en-US"/>
        </w:rPr>
        <w:t>(</w:t>
      </w:r>
      <w:r w:rsidR="003D1C09" w:rsidRPr="00C11F21">
        <w:rPr>
          <w:rFonts w:ascii="Book Antiqua" w:hAnsi="Book Antiqua" w:cstheme="minorHAnsi"/>
          <w:i/>
          <w:sz w:val="24"/>
          <w:szCs w:val="24"/>
          <w:lang w:val="en-US"/>
        </w:rPr>
        <w:t>i</w:t>
      </w:r>
      <w:r w:rsidR="004F4E6E" w:rsidRPr="00C11F21">
        <w:rPr>
          <w:rFonts w:ascii="Book Antiqua" w:hAnsi="Book Antiqua" w:cstheme="minorHAnsi" w:hint="eastAsia"/>
          <w:i/>
          <w:sz w:val="24"/>
          <w:szCs w:val="24"/>
          <w:lang w:val="en-US" w:eastAsia="zh-CN"/>
        </w:rPr>
        <w:t>.</w:t>
      </w:r>
      <w:r w:rsidR="003D1C09" w:rsidRPr="00C11F21">
        <w:rPr>
          <w:rFonts w:ascii="Book Antiqua" w:hAnsi="Book Antiqua" w:cstheme="minorHAnsi"/>
          <w:i/>
          <w:sz w:val="24"/>
          <w:szCs w:val="24"/>
          <w:lang w:val="en-US"/>
        </w:rPr>
        <w:t>e</w:t>
      </w:r>
      <w:r w:rsidR="004F4E6E" w:rsidRPr="00C11F21">
        <w:rPr>
          <w:rFonts w:ascii="Book Antiqua" w:hAnsi="Book Antiqua" w:cstheme="minorHAnsi" w:hint="eastAsia"/>
          <w:i/>
          <w:sz w:val="24"/>
          <w:szCs w:val="24"/>
          <w:lang w:val="en-US" w:eastAsia="zh-CN"/>
        </w:rPr>
        <w:t>.</w:t>
      </w:r>
      <w:r w:rsidR="003D1C09" w:rsidRPr="00C11F21">
        <w:rPr>
          <w:rFonts w:ascii="Book Antiqua" w:hAnsi="Book Antiqua" w:cstheme="minorHAnsi"/>
          <w:sz w:val="24"/>
          <w:szCs w:val="24"/>
          <w:lang w:val="en-US"/>
        </w:rPr>
        <w:t>, therapy to block NTCP)</w:t>
      </w:r>
      <w:r w:rsidRPr="00C11F21">
        <w:rPr>
          <w:rFonts w:ascii="Book Antiqua" w:hAnsi="Book Antiqua"/>
          <w:sz w:val="24"/>
          <w:szCs w:val="24"/>
          <w:shd w:val="clear" w:color="auto" w:fill="FFFFFF"/>
          <w:lang w:val="en-US"/>
        </w:rPr>
        <w:t xml:space="preserve">. </w:t>
      </w:r>
      <w:r w:rsidRPr="00C11F21">
        <w:rPr>
          <w:rFonts w:ascii="Book Antiqua" w:hAnsi="Book Antiqua" w:cstheme="minorHAnsi"/>
          <w:sz w:val="24"/>
          <w:szCs w:val="24"/>
          <w:lang w:val="en-US"/>
        </w:rPr>
        <w:t xml:space="preserve">For example, </w:t>
      </w:r>
      <w:r w:rsidR="003D1C09" w:rsidRPr="00C11F21">
        <w:rPr>
          <w:rFonts w:ascii="Book Antiqua" w:hAnsi="Book Antiqua" w:cstheme="minorHAnsi"/>
          <w:sz w:val="24"/>
          <w:szCs w:val="24"/>
          <w:lang w:val="en-US"/>
        </w:rPr>
        <w:t xml:space="preserve">sequence variability in the NTCP-interacting domain </w:t>
      </w:r>
      <w:r w:rsidR="001E6DC0" w:rsidRPr="00C11F21">
        <w:rPr>
          <w:rFonts w:ascii="Book Antiqua" w:hAnsi="Book Antiqua" w:cstheme="minorHAnsi"/>
          <w:sz w:val="24"/>
          <w:szCs w:val="24"/>
          <w:lang w:val="en-US"/>
        </w:rPr>
        <w:t>might change</w:t>
      </w:r>
      <w:r w:rsidRPr="00C11F21">
        <w:rPr>
          <w:rFonts w:ascii="Book Antiqua" w:hAnsi="Book Antiqua" w:cstheme="minorHAnsi"/>
          <w:sz w:val="24"/>
          <w:szCs w:val="24"/>
          <w:lang w:val="en-US"/>
        </w:rPr>
        <w:t xml:space="preserve"> </w:t>
      </w:r>
      <w:r w:rsidR="003D1C09" w:rsidRPr="00C11F21">
        <w:rPr>
          <w:rFonts w:ascii="Book Antiqua" w:hAnsi="Book Antiqua" w:cstheme="minorHAnsi"/>
          <w:sz w:val="24"/>
          <w:szCs w:val="24"/>
          <w:lang w:val="en-US"/>
        </w:rPr>
        <w:t>its</w:t>
      </w:r>
      <w:r w:rsidRPr="00C11F21">
        <w:rPr>
          <w:rFonts w:ascii="Book Antiqua" w:hAnsi="Book Antiqua" w:cstheme="minorHAnsi"/>
          <w:sz w:val="24"/>
          <w:szCs w:val="24"/>
          <w:lang w:val="en-US"/>
        </w:rPr>
        <w:t xml:space="preserve"> affinity to attach to NTCP</w:t>
      </w:r>
      <w:r w:rsidR="003D1C09" w:rsidRPr="00C11F21">
        <w:rPr>
          <w:rFonts w:ascii="Book Antiqua" w:hAnsi="Book Antiqua" w:cstheme="minorHAnsi"/>
          <w:sz w:val="24"/>
          <w:szCs w:val="24"/>
          <w:lang w:val="en-US"/>
        </w:rPr>
        <w:t>,</w:t>
      </w:r>
      <w:r w:rsidRPr="00C11F21">
        <w:rPr>
          <w:rFonts w:ascii="Book Antiqua" w:hAnsi="Book Antiqua" w:cstheme="minorHAnsi"/>
          <w:sz w:val="24"/>
          <w:szCs w:val="24"/>
          <w:lang w:val="en-US"/>
        </w:rPr>
        <w:t xml:space="preserve"> chang</w:t>
      </w:r>
      <w:r w:rsidR="003D1C09" w:rsidRPr="00C11F21">
        <w:rPr>
          <w:rFonts w:ascii="Book Antiqua" w:hAnsi="Book Antiqua" w:cstheme="minorHAnsi"/>
          <w:sz w:val="24"/>
          <w:szCs w:val="24"/>
          <w:lang w:val="en-US"/>
        </w:rPr>
        <w:t>ing</w:t>
      </w:r>
      <w:r w:rsidRPr="00C11F21">
        <w:rPr>
          <w:rFonts w:ascii="Book Antiqua" w:hAnsi="Book Antiqua" w:cstheme="minorHAnsi"/>
          <w:sz w:val="24"/>
          <w:szCs w:val="24"/>
          <w:lang w:val="en-US"/>
        </w:rPr>
        <w:t xml:space="preserve"> the dynamics of the competition with synthetic myristoylated lipopeptide analogues</w:t>
      </w:r>
      <w:r w:rsidR="003D1C09" w:rsidRPr="00C11F21">
        <w:rPr>
          <w:rFonts w:ascii="Book Antiqua" w:hAnsi="Book Antiqua" w:cstheme="minorHAnsi"/>
          <w:sz w:val="24"/>
          <w:szCs w:val="24"/>
          <w:lang w:val="en-US"/>
        </w:rPr>
        <w:t>, and making them less effective in patients showing such variation.</w:t>
      </w:r>
      <w:r w:rsidRPr="00C11F21">
        <w:rPr>
          <w:rFonts w:ascii="Book Antiqua" w:hAnsi="Book Antiqua" w:cstheme="minorHAnsi"/>
          <w:sz w:val="24"/>
          <w:szCs w:val="24"/>
          <w:lang w:val="en-US"/>
        </w:rPr>
        <w:t xml:space="preserve"> </w:t>
      </w:r>
    </w:p>
    <w:p w14:paraId="14F385BE" w14:textId="6289257A" w:rsidR="005C659B" w:rsidRPr="00C11F21" w:rsidRDefault="003F1AAA" w:rsidP="00F33187">
      <w:pPr>
        <w:autoSpaceDE w:val="0"/>
        <w:autoSpaceDN w:val="0"/>
        <w:adjustRightInd w:val="0"/>
        <w:snapToGrid w:val="0"/>
        <w:spacing w:after="0" w:line="360" w:lineRule="auto"/>
        <w:jc w:val="both"/>
        <w:rPr>
          <w:rFonts w:ascii="Book Antiqua" w:hAnsi="Book Antiqua" w:cstheme="minorHAnsi"/>
          <w:sz w:val="24"/>
          <w:szCs w:val="24"/>
          <w:lang w:val="en-US"/>
        </w:rPr>
      </w:pPr>
      <w:r w:rsidRPr="00C11F21">
        <w:rPr>
          <w:rFonts w:ascii="Book Antiqua" w:hAnsi="Book Antiqua" w:cstheme="minorHAnsi"/>
          <w:sz w:val="24"/>
          <w:szCs w:val="24"/>
          <w:lang w:val="en-US"/>
        </w:rPr>
        <w:t>Furthermore, s</w:t>
      </w:r>
      <w:r w:rsidR="005C659B" w:rsidRPr="00C11F21">
        <w:rPr>
          <w:rFonts w:ascii="Book Antiqua" w:hAnsi="Book Antiqua" w:cstheme="minorHAnsi"/>
          <w:sz w:val="24"/>
          <w:szCs w:val="24"/>
          <w:lang w:val="en-US"/>
        </w:rPr>
        <w:t xml:space="preserve">everal single nucleotide polymorphisms (SNPs) that </w:t>
      </w:r>
      <w:r w:rsidR="00893761" w:rsidRPr="00C11F21">
        <w:rPr>
          <w:rFonts w:ascii="Book Antiqua" w:hAnsi="Book Antiqua" w:cstheme="minorHAnsi"/>
          <w:sz w:val="24"/>
          <w:szCs w:val="24"/>
          <w:lang w:val="en-US"/>
        </w:rPr>
        <w:t>may</w:t>
      </w:r>
      <w:r w:rsidR="00AA02B9" w:rsidRPr="00C11F21">
        <w:rPr>
          <w:rFonts w:ascii="Book Antiqua" w:hAnsi="Book Antiqua" w:cstheme="minorHAnsi"/>
          <w:sz w:val="24"/>
          <w:szCs w:val="24"/>
          <w:lang w:val="en-US"/>
        </w:rPr>
        <w:t xml:space="preserve"> </w:t>
      </w:r>
      <w:r w:rsidR="0048559B" w:rsidRPr="00C11F21">
        <w:rPr>
          <w:rFonts w:ascii="Book Antiqua" w:hAnsi="Book Antiqua" w:cstheme="minorHAnsi"/>
          <w:sz w:val="24"/>
          <w:szCs w:val="24"/>
          <w:lang w:val="en-US"/>
        </w:rPr>
        <w:t>change</w:t>
      </w:r>
      <w:r w:rsidR="005C659B" w:rsidRPr="00C11F21">
        <w:rPr>
          <w:rFonts w:ascii="Book Antiqua" w:hAnsi="Book Antiqua" w:cstheme="minorHAnsi"/>
          <w:sz w:val="24"/>
          <w:szCs w:val="24"/>
          <w:lang w:val="en-US"/>
        </w:rPr>
        <w:t xml:space="preserve"> the physiological function of NTCP as the key transporter for bile salt homeostasis and</w:t>
      </w:r>
      <w:r w:rsidR="001616EA" w:rsidRPr="00C11F21">
        <w:rPr>
          <w:rFonts w:ascii="Book Antiqua" w:hAnsi="Book Antiqua" w:cstheme="minorHAnsi"/>
          <w:sz w:val="24"/>
          <w:szCs w:val="24"/>
          <w:lang w:val="en-US"/>
        </w:rPr>
        <w:t xml:space="preserve"> affect</w:t>
      </w:r>
      <w:r w:rsidR="005C659B" w:rsidRPr="00C11F21">
        <w:rPr>
          <w:rFonts w:ascii="Book Antiqua" w:hAnsi="Book Antiqua" w:cstheme="minorHAnsi"/>
          <w:sz w:val="24"/>
          <w:szCs w:val="24"/>
          <w:lang w:val="en-US"/>
        </w:rPr>
        <w:t xml:space="preserve"> HBV entry have been identified in </w:t>
      </w:r>
      <w:r w:rsidR="005C659B" w:rsidRPr="00C11F21">
        <w:rPr>
          <w:rFonts w:ascii="Book Antiqua" w:hAnsi="Book Antiqua" w:cstheme="minorHAnsi"/>
          <w:i/>
          <w:sz w:val="24"/>
          <w:szCs w:val="24"/>
          <w:lang w:val="en-US"/>
        </w:rPr>
        <w:t>SLC10A1</w:t>
      </w:r>
      <w:r w:rsidR="005B043F" w:rsidRPr="00C11F21">
        <w:rPr>
          <w:rFonts w:ascii="Book Antiqua" w:hAnsi="Book Antiqua" w:cstheme="minorHAnsi"/>
          <w:sz w:val="24"/>
          <w:szCs w:val="24"/>
          <w:lang w:val="en-US"/>
        </w:rPr>
        <w:fldChar w:fldCharType="begin" w:fldLock="1"/>
      </w:r>
      <w:r w:rsidR="005B043F" w:rsidRPr="00C11F21">
        <w:rPr>
          <w:rFonts w:ascii="Book Antiqua" w:hAnsi="Book Antiqua" w:cstheme="minorHAnsi"/>
          <w:sz w:val="24"/>
          <w:szCs w:val="24"/>
          <w:lang w:val="en-US"/>
        </w:rPr>
        <w:instrText>ADDIN CSL_CITATION { "citationItems" : [ { "id" : "ITEM-1", "itemData" : { "DOI" : "10.1128/JVI.03478-13", "ISBN" : "1098-5514 (Electronic)\\n0022-538X (Linking)", "ISSN" : "1098-5514", "PMID" : "24390325", "abstract" : "UNLABELLED: The liver bile acids transporter sodium taurocholate cotransporting polypeptide (NTCP) is responsible for the majority of sodium-dependent bile salts uptake by hepatocytes. NTCP also functions as a cellular receptor for viral entry of hepatitis B virus (HBV) and hepatitis D virus (HDV) through a specific interaction between NTCP and the pre-S1 domain of HBV large envelope protein. However, it remains unknown if these two functions of NTCP are independent or if they interfere with each other. Here we show that binding of the pre-S1 domain to human NTCP blocks taurocholate uptake by the receptor; conversely, some bile acid substrates of NTCP inhibit HBV and HDV entry. Mutations of NTCP residues critical for bile salts binding severely impair viral infection by HDV and HBV; to a lesser extent, the residues important for sodium binding also inhibit viral infection. The mutation S267F, corresponding to a single nucleotide polymorphism (SNP) found in about 9% of the East Asian population, renders NTCP without either taurocholate transporting activity or the ability to support HBV or HDV infection in cell culture. These results demonstrate that molecular determinants critical for HBV and HDV entry overlap with that for bile salts uptake by NTCP, indicating that viral infection may interfere with the normal function of NTCP, and bile acids and their derivatives hold the potential for further development into antiviral drugs.\\n\\nIMPORTANCE: Human hepatitis B virus (HBV) and its satellite virus, hepatitis D virus (HDV), are important human pathogens. Available therapeutics against HBV are limited, and there is no drug that is clinically available for HDV infection. A liver bile acids transporter (sodium taurocholate cotransporting polypeptide [NTCP]) critical for maintaining homeostasis of bile acids serves as a functional receptor for HBV and HDV. We report here that the NTCP-binding lipopeptide that originates from the first 47 amino acids of the pre-S1 domain of the HBV L protein blocks taurocholate transport. Some bile salts dose dependently inhibit HBV and HDV infection mediated by NTCP; molecular determinants of NTCP critical for HBV and HDV entry overlap with that for bile acids transport. This work advances our understanding of NTCP-mediated HBV and HDV infection in relation to NTCP's physiological function. Our results also suggest that bile acids or their derivatives hold potential for development into novel drugs against HBV and HDV infection.", "author" : [ { "dropping-particle" : "", "family" : "Yan", "given" : "Huan", "non-dropping-particle" : "", "parse-names" : false, "suffix" : "" }, { "dropping-particle" : "", "family" : "Peng", "given" : "Bo", "non-dropping-particle" : "", "parse-names" : false, "suffix" : "" }, { "dropping-particle" : "", "family" : "Liu", "given" : "Yang", "non-dropping-particle" : "", "parse-names" : false, "suffix" : "" }, { "dropping-particle" : "", "family" : "Xu", "given" : "Guangwei", "non-dropping-particle" : "", "parse-names" : false, "suffix" : "" }, { "dropping-particle" : "", "family" : "He", "given" : "Wenhui", "non-dropping-particle" : "", "parse-names" : false, "suffix" : "" }, { "dropping-particle" : "", "family" : "Ren", "given" : "Bijie", "non-dropping-particle" : "", "parse-names" : false, "suffix" : "" }, { "dropping-particle" : "", "family" : "Jing", "given" : "Zhiyi", "non-dropping-particle" : "", "parse-names" : false, "suffix" : "" }, { "dropping-particle" : "", "family" : "Sui", "given" : "Jianhua", "non-dropping-particle" : "", "parse-names" : false, "suffix" : "" }, { "dropping-particle" : "", "family" : "Li", "given" : "Wenhui", "non-dropping-particle" : "", "parse-names" : false, "suffix" : "" } ], "container-title" : "Journal of virology", "id" : "ITEM-1", "issue" : "6", "issued" : { "date-parts" : [ [ "2014" ] ] }, "page" : "3273-84", "title" : "Viral entry of hepatitis B and D viruses and bile salts transportation share common molecular determinants on sodium taurocholate cotransporting polypeptide.", "type" : "article-journal", "volume" : "88" }, "uris" : [ "http://www.mendeley.com/documents/?uuid=cef1f10c-4b25-48a4-88c7-798739798b1a" ] } ], "mendeley" : { "formattedCitation" : "&lt;sup&gt;[21]&lt;/sup&gt;", "plainTextFormattedCitation" : "[21]", "previouslyFormattedCitation" : "&lt;sup&gt;[17]&lt;/sup&gt;" }, "properties" : {  }, "schema" : "https://github.com/citation-style-language/schema/raw/master/csl-citation.json" }</w:instrText>
      </w:r>
      <w:r w:rsidR="005B043F" w:rsidRPr="00C11F21">
        <w:rPr>
          <w:rFonts w:ascii="Book Antiqua" w:hAnsi="Book Antiqua" w:cstheme="minorHAnsi"/>
          <w:sz w:val="24"/>
          <w:szCs w:val="24"/>
          <w:lang w:val="en-US"/>
        </w:rPr>
        <w:fldChar w:fldCharType="separate"/>
      </w:r>
      <w:r w:rsidR="005B043F" w:rsidRPr="00C11F21">
        <w:rPr>
          <w:rFonts w:ascii="Book Antiqua" w:hAnsi="Book Antiqua" w:cstheme="minorHAnsi"/>
          <w:noProof/>
          <w:sz w:val="24"/>
          <w:szCs w:val="24"/>
          <w:vertAlign w:val="superscript"/>
          <w:lang w:val="en-US"/>
        </w:rPr>
        <w:t>[21]</w:t>
      </w:r>
      <w:r w:rsidR="005B043F" w:rsidRPr="00C11F21">
        <w:rPr>
          <w:rFonts w:ascii="Book Antiqua" w:hAnsi="Book Antiqua" w:cstheme="minorHAnsi"/>
          <w:sz w:val="24"/>
          <w:szCs w:val="24"/>
          <w:lang w:val="en-US"/>
        </w:rPr>
        <w:fldChar w:fldCharType="end"/>
      </w:r>
      <w:r w:rsidR="002E3951" w:rsidRPr="00C11F21">
        <w:rPr>
          <w:rFonts w:ascii="Book Antiqua" w:hAnsi="Book Antiqua" w:cstheme="minorHAnsi"/>
          <w:sz w:val="24"/>
          <w:szCs w:val="24"/>
          <w:lang w:val="en-US"/>
        </w:rPr>
        <w:t>, and</w:t>
      </w:r>
      <w:r w:rsidR="005C659B" w:rsidRPr="00C11F21">
        <w:rPr>
          <w:rFonts w:ascii="Book Antiqua" w:hAnsi="Book Antiqua" w:cstheme="minorHAnsi"/>
          <w:sz w:val="24"/>
          <w:szCs w:val="24"/>
          <w:lang w:val="en-US"/>
        </w:rPr>
        <w:t xml:space="preserve"> most</w:t>
      </w:r>
      <w:r w:rsidR="003D4DDB" w:rsidRPr="00C11F21">
        <w:rPr>
          <w:rFonts w:ascii="Book Antiqua" w:hAnsi="Book Antiqua" w:cstheme="minorHAnsi"/>
          <w:sz w:val="24"/>
          <w:szCs w:val="24"/>
          <w:lang w:val="en-US"/>
        </w:rPr>
        <w:t xml:space="preserve"> of them</w:t>
      </w:r>
      <w:r w:rsidR="005C659B" w:rsidRPr="00C11F21">
        <w:rPr>
          <w:rFonts w:ascii="Book Antiqua" w:hAnsi="Book Antiqua" w:cstheme="minorHAnsi"/>
          <w:sz w:val="24"/>
          <w:szCs w:val="24"/>
          <w:lang w:val="en-US"/>
        </w:rPr>
        <w:t xml:space="preserve"> show an ethnicity-dependent profile</w:t>
      </w:r>
      <w:r w:rsidR="004F4E6E" w:rsidRPr="00C11F21">
        <w:rPr>
          <w:rFonts w:ascii="Book Antiqua" w:hAnsi="Book Antiqua" w:cstheme="minorHAnsi"/>
          <w:sz w:val="24"/>
          <w:szCs w:val="24"/>
          <w:lang w:val="en-US"/>
        </w:rPr>
        <w:fldChar w:fldCharType="begin" w:fldLock="1"/>
      </w:r>
      <w:r w:rsidR="004F4E6E" w:rsidRPr="00C11F21">
        <w:rPr>
          <w:rFonts w:ascii="Book Antiqua" w:hAnsi="Book Antiqua" w:cstheme="minorHAnsi"/>
          <w:sz w:val="24"/>
          <w:szCs w:val="24"/>
          <w:lang w:val="en-US"/>
        </w:rPr>
        <w:instrText>ADDIN CSL_CITATION { "citationItems" : [ { "id" : "ITEM-1", "itemData" : { "DOI" : "10.1074/jbc.M305782200", "ISBN" : "6153437605", "ISSN" : "0021-9258", "PMID" : "14660639", "abstract" : "The key transporter responsible for hepatic uptake of bile acids from portal circulation is Na+-taurocholate cotransporting polypeptide (NTCP, SLC10A1). This transporter is thought to be critical for the maintenance of enterohepatic recirculation of bile acids and hepatocyte function. Therefore, functionally relevant polymorphisms in this transporter would be predicted to have an important impact on bile acid homeostasis/liver function. However, little is known regarding genetic heterogeneity in NTCP. In this study, we demonstrate the presence of multiple single nucleotide polymorphisms in NTCP in populations of European, African, Chinese, and Hispanic Americans. Specifically four nonsynonymous single nucleotide polymorphisms associated with a significant loss of transport function were identified. Cell surface biotinylation experiments indicated that the altered transport activity of T668C (Ile223--&gt;Thr), a variant seen only in African Americans, was due at least in part to decreased plasma membrane expression. Similar expression patterns were observed when the variant alleles were expressed in HepG2 cells, and plasma membrane expression was assessed using immunofluorescence confocal microscopy. Interestingly the C800T (Ser267--&gt;Phe) variant, seen only in Chinese Americans, exhibited a near complete loss of function for bile acid uptake yet fully normal transport function for the non-bile acid substrate estrone sulfate, suggesting this position may be part of a region in the transporter critical and specific for bile acid substrate recognition. Accordingly, our study indicates functionally important polymorphisms in NTCP exist and that the likelihood of being carriers of such polymorphisms is dependent on ethnicity.", "author" : [ { "dropping-particle" : "", "family" : "Ho", "given" : "Richard H.", "non-dropping-particle" : "", "parse-names" : false, "suffix" : "" }, { "dropping-particle" : "", "family" : "Leake", "given" : "Brenda F.", "non-dropping-particle" : "", "parse-names" : false, "suffix" : "" }, { "dropping-particle" : "", "family" : "Roberts", "given" : "Richard L.", "non-dropping-particle" : "", "parse-names" : false, "suffix" : "" }, { "dropping-particle" : "", "family" : "Lee", "given" : "Wooin", "non-dropping-particle" : "", "parse-names" : false, "suffix" : "" }, { "dropping-particle" : "", "family" : "Kim", "given" : "Richard B.", "non-dropping-particle" : "", "parse-names" : false, "suffix" : "" } ], "container-title" : "The Journal of biological chemistry", "id" : "ITEM-1", "issue" : "8", "issued" : { "date-parts" : [ [ "2004", "2", "20" ] ] }, "page" : "7213-22", "title" : "Ethnicity-dependent polymorphism in Na+-taurocholate cotransporting polypeptide (SLC10A1) reveals a domain critical for bile acid substrate recognition.", "type" : "article-journal", "volume" : "279" }, "uris" : [ "http://www.mendeley.com/documents/?uuid=2f919f57-7d9d-4115-80c1-795627b625e5" ] }, { "id" : "ITEM-2", "itemData" : { "DOI" : "10.3109/00498254.2011.555567", "ISBN" : "0049-8254", "ISSN" : "1366-5928", "PMID" : "21341987", "abstract" : "Genetic variants of Na(+)-taurocholate co-transporting polypeptide (NTCP; SLC10A1) and ileal apical sodium-dependent bile acid transporter (ASBT; SLC10A2), which greatly contribute to bile acid homeostasis, were extensively explored in the Korean population and functional variants of NTCP were compared among Asian populations. From direct DNA sequencing, six SNPs were identified in the SLC10A1 gene and 14 SNPs in the SLC10A2 gene. Three of seven coding variants were non-synonymous SNPs: two variants from SLC10A1 (A64T, S267F) and one from SLC10A2 (A171S). No linkage was analysed in the SLC10A1 gene because of low frequencies of genetic variants, and the SLC10A2 gene was composed of two separated linkage disequilibrium blocks contrary to the white population. The stably transfected NTCP-A64T variant showed significantly decreased uptakes of taurocholate and rosuvastatin compared with wild-type NTCP. The decreased taurocholate uptake and increased rosuvastatin uptake were shown in the NTCP-S267F variant. The allele frequencies of these functional variants were 1.0% and 3.1%, respectively, in a Korean population. However, NTCP-A64T was not found in Chinese and Vietnamese subjects. The frequency distribution of NTCP-S267F in Koreans was significantly lower than those in Chinese and Vietnamese populations. Our data suggest that NTCP-A64T and -S267F variants cause substrate-dependent functional change in vitro, and show ethnic difference in their allelic frequencies among Asian populations although the clinical relevance of these variants is remained to be evaluated.", "author" : [ { "dropping-particle" : "", "family" : "Pan", "given" : "Wei", "non-dropping-particle" : "", "parse-names" : false, "suffix" : "" }, { "dropping-particle" : "", "family" : "Song", "given" : "Im-Sook", "non-dropping-particle" : "", "parse-names" : false, "suffix" : "" }, { "dropping-particle" : "", "family" : "Shin", "given" : "Ho-Jung", "non-dropping-particle" : "", "parse-names" : false, "suffix" : "" }, { "dropping-particle" : "", "family" : "Kim", "given" : "Min-Hye", "non-dropping-particle" : "", "parse-names" : false, "suffix" : "" }, { "dropping-particle" : "", "family" : "Choi", "given" : "Yeong-Lim", "non-dropping-particle" : "", "parse-names" : false, "suffix" : "" }, { "dropping-particle" : "", "family" : "Lim", "given" : "Su-Jeong", "non-dropping-particle" : "", "parse-names" : false, "suffix" : "" }, { "dropping-particle" : "", "family" : "Kim", "given" : "Woo-Young", "non-dropping-particle" : "", "parse-names" : false, "suffix" : "" }, { "dropping-particle" : "", "family" : "Lee", "given" : "Sang-Seop", "non-dropping-particle" : "", "parse-names" : false, "suffix" : "" }, { "dropping-particle" : "", "family" : "Shin", "given" : "Jae-Gook", "non-dropping-particle" : "", "parse-names" : false, "suffix" : "" } ], "container-title" : "Xenobiotica; the fate of foreign compounds in biological systems", "id" : "ITEM-2", "issue" : "6", "issued" : { "date-parts" : [ [ "2011" ] ] }, "page" : "501-10", "title" : "Genetic polymorphisms in Na+-taurocholate co-transporting polypeptide (NTCP) and ileal apical sodium-dependent bile acid transporter (ASBT) and ethnic comparisons of functional variants of NTCP among Asian populations.", "type" : "article-journal", "volume" : "41" }, "uris" : [ "http://www.mendeley.com/documents/?uuid=bd0a1e5f-4cc8-4098-bd80-f0134f6098c6" ] } ], "mendeley" : { "formattedCitation" : "&lt;sup&gt;[22,23]&lt;/sup&gt;", "plainTextFormattedCitation" : "[22,23]", "previouslyFormattedCitation" : "&lt;sup&gt;[18,19]&lt;/sup&gt;" }, "properties" : {  }, "schema" : "https://github.com/citation-style-language/schema/raw/master/csl-citation.json" }</w:instrText>
      </w:r>
      <w:r w:rsidR="004F4E6E" w:rsidRPr="00C11F21">
        <w:rPr>
          <w:rFonts w:ascii="Book Antiqua" w:hAnsi="Book Antiqua" w:cstheme="minorHAnsi"/>
          <w:sz w:val="24"/>
          <w:szCs w:val="24"/>
          <w:lang w:val="en-US"/>
        </w:rPr>
        <w:fldChar w:fldCharType="separate"/>
      </w:r>
      <w:r w:rsidR="004F4E6E" w:rsidRPr="00C11F21">
        <w:rPr>
          <w:rFonts w:ascii="Book Antiqua" w:hAnsi="Book Antiqua" w:cstheme="minorHAnsi"/>
          <w:noProof/>
          <w:sz w:val="24"/>
          <w:szCs w:val="24"/>
          <w:vertAlign w:val="superscript"/>
          <w:lang w:val="en-US"/>
        </w:rPr>
        <w:t>[22,23]</w:t>
      </w:r>
      <w:r w:rsidR="004F4E6E" w:rsidRPr="00C11F21">
        <w:rPr>
          <w:rFonts w:ascii="Book Antiqua" w:hAnsi="Book Antiqua" w:cstheme="minorHAnsi"/>
          <w:sz w:val="24"/>
          <w:szCs w:val="24"/>
          <w:lang w:val="en-US"/>
        </w:rPr>
        <w:fldChar w:fldCharType="end"/>
      </w:r>
      <w:r w:rsidR="005C659B" w:rsidRPr="00C11F21">
        <w:rPr>
          <w:rFonts w:ascii="Book Antiqua" w:hAnsi="Book Antiqua" w:cstheme="minorHAnsi"/>
          <w:sz w:val="24"/>
          <w:szCs w:val="24"/>
          <w:lang w:val="en-US"/>
        </w:rPr>
        <w:t>.</w:t>
      </w:r>
      <w:r w:rsidR="004F4E6E" w:rsidRPr="00C11F21">
        <w:rPr>
          <w:rFonts w:ascii="Book Antiqua" w:hAnsi="Book Antiqua" w:cstheme="minorHAnsi" w:hint="eastAsia"/>
          <w:sz w:val="24"/>
          <w:szCs w:val="24"/>
          <w:lang w:val="en-US" w:eastAsia="zh-CN"/>
        </w:rPr>
        <w:t xml:space="preserve"> </w:t>
      </w:r>
      <w:r w:rsidR="00E53CC5" w:rsidRPr="00C11F21">
        <w:rPr>
          <w:rFonts w:ascii="Book Antiqua" w:hAnsi="Book Antiqua" w:cstheme="minorHAnsi"/>
          <w:sz w:val="24"/>
          <w:szCs w:val="24"/>
          <w:lang w:val="en-US"/>
        </w:rPr>
        <w:t xml:space="preserve">The rs2296651 SNP in </w:t>
      </w:r>
      <w:r w:rsidR="00E53CC5" w:rsidRPr="00C11F21">
        <w:rPr>
          <w:rFonts w:ascii="Book Antiqua" w:hAnsi="Book Antiqua" w:cstheme="minorHAnsi"/>
          <w:i/>
          <w:sz w:val="24"/>
          <w:szCs w:val="24"/>
          <w:lang w:val="en-US"/>
        </w:rPr>
        <w:t>SLC10A1</w:t>
      </w:r>
      <w:r w:rsidR="00E53CC5" w:rsidRPr="00C11F21">
        <w:rPr>
          <w:rFonts w:ascii="Book Antiqua" w:hAnsi="Book Antiqua" w:cstheme="minorHAnsi"/>
          <w:sz w:val="24"/>
          <w:szCs w:val="24"/>
          <w:lang w:val="en-US"/>
        </w:rPr>
        <w:t xml:space="preserve"> (g.69778476G&gt;A, </w:t>
      </w:r>
      <w:r w:rsidR="00E53CC5" w:rsidRPr="00C11F21">
        <w:rPr>
          <w:rFonts w:ascii="Book Antiqua" w:hAnsi="Book Antiqua" w:cs="Arial"/>
          <w:sz w:val="24"/>
          <w:szCs w:val="24"/>
          <w:lang w:val="en-US"/>
        </w:rPr>
        <w:t>GenBank accession number NC_000014.9</w:t>
      </w:r>
      <w:r w:rsidR="00E53CC5" w:rsidRPr="00C11F21">
        <w:rPr>
          <w:rFonts w:ascii="Book Antiqua" w:hAnsi="Book Antiqua" w:cstheme="minorHAnsi"/>
          <w:sz w:val="24"/>
          <w:szCs w:val="24"/>
          <w:lang w:val="en-US"/>
        </w:rPr>
        <w:t xml:space="preserve">), which causes the </w:t>
      </w:r>
      <w:r w:rsidR="005C659B" w:rsidRPr="00C11F21">
        <w:rPr>
          <w:rFonts w:ascii="Book Antiqua" w:hAnsi="Book Antiqua" w:cstheme="minorHAnsi"/>
          <w:sz w:val="24"/>
          <w:szCs w:val="24"/>
          <w:lang w:val="en-US"/>
        </w:rPr>
        <w:t>S267F varian</w:t>
      </w:r>
      <w:r w:rsidR="00E53CC5" w:rsidRPr="00C11F21">
        <w:rPr>
          <w:rFonts w:ascii="Book Antiqua" w:hAnsi="Book Antiqua" w:cstheme="minorHAnsi"/>
          <w:sz w:val="24"/>
          <w:szCs w:val="24"/>
          <w:lang w:val="en-US"/>
        </w:rPr>
        <w:t xml:space="preserve">t, has been </w:t>
      </w:r>
      <w:r w:rsidR="005C659B" w:rsidRPr="00C11F21">
        <w:rPr>
          <w:rFonts w:ascii="Book Antiqua" w:hAnsi="Book Antiqua" w:cstheme="minorHAnsi"/>
          <w:sz w:val="24"/>
          <w:szCs w:val="24"/>
          <w:lang w:val="en-US"/>
        </w:rPr>
        <w:t xml:space="preserve">identified </w:t>
      </w:r>
      <w:r w:rsidR="00B82B0C" w:rsidRPr="00C11F21">
        <w:rPr>
          <w:rFonts w:ascii="Book Antiqua" w:hAnsi="Book Antiqua" w:cstheme="minorHAnsi"/>
          <w:sz w:val="24"/>
          <w:szCs w:val="24"/>
          <w:lang w:val="en-US"/>
        </w:rPr>
        <w:t xml:space="preserve">in </w:t>
      </w:r>
      <w:r w:rsidR="005C659B" w:rsidRPr="00C11F21">
        <w:rPr>
          <w:rFonts w:ascii="Book Antiqua" w:hAnsi="Book Antiqua" w:cstheme="minorHAnsi"/>
          <w:sz w:val="24"/>
          <w:szCs w:val="24"/>
          <w:lang w:val="en-US"/>
        </w:rPr>
        <w:t>Asian</w:t>
      </w:r>
      <w:r w:rsidR="00941304" w:rsidRPr="00C11F21">
        <w:rPr>
          <w:rFonts w:ascii="Book Antiqua" w:hAnsi="Book Antiqua" w:cstheme="minorHAnsi"/>
          <w:sz w:val="24"/>
          <w:szCs w:val="24"/>
          <w:lang w:val="en-US"/>
        </w:rPr>
        <w:t xml:space="preserve"> population</w:t>
      </w:r>
      <w:r w:rsidR="00E0626D" w:rsidRPr="00C11F21">
        <w:rPr>
          <w:rFonts w:ascii="Book Antiqua" w:hAnsi="Book Antiqua" w:cstheme="minorHAnsi"/>
          <w:sz w:val="24"/>
          <w:szCs w:val="24"/>
          <w:lang w:val="en-US"/>
        </w:rPr>
        <w:t>s</w:t>
      </w:r>
      <w:r w:rsidR="00941304" w:rsidRPr="00C11F21">
        <w:rPr>
          <w:rFonts w:ascii="Book Antiqua" w:hAnsi="Book Antiqua" w:cstheme="minorHAnsi"/>
          <w:sz w:val="24"/>
          <w:szCs w:val="24"/>
          <w:lang w:val="en-US"/>
        </w:rPr>
        <w:t xml:space="preserve"> </w:t>
      </w:r>
      <w:r w:rsidR="0048559B" w:rsidRPr="00C11F21">
        <w:rPr>
          <w:rFonts w:ascii="Book Antiqua" w:hAnsi="Book Antiqua" w:cstheme="minorHAnsi"/>
          <w:sz w:val="24"/>
          <w:szCs w:val="24"/>
          <w:lang w:val="en-US"/>
        </w:rPr>
        <w:t>at</w:t>
      </w:r>
      <w:r w:rsidR="00941304" w:rsidRPr="00C11F21">
        <w:rPr>
          <w:rFonts w:ascii="Book Antiqua" w:hAnsi="Book Antiqua" w:cstheme="minorHAnsi"/>
          <w:sz w:val="24"/>
          <w:szCs w:val="24"/>
          <w:lang w:val="en-US"/>
        </w:rPr>
        <w:t xml:space="preserve"> a prevalence </w:t>
      </w:r>
      <w:r w:rsidR="00E0626D" w:rsidRPr="00C11F21">
        <w:rPr>
          <w:rFonts w:ascii="Book Antiqua" w:hAnsi="Book Antiqua" w:cstheme="minorHAnsi"/>
          <w:sz w:val="24"/>
          <w:szCs w:val="24"/>
          <w:lang w:val="en-US"/>
        </w:rPr>
        <w:t>of</w:t>
      </w:r>
      <w:r w:rsidR="00941304" w:rsidRPr="00C11F21">
        <w:rPr>
          <w:rFonts w:ascii="Book Antiqua" w:hAnsi="Book Antiqua" w:cstheme="minorHAnsi"/>
          <w:sz w:val="24"/>
          <w:szCs w:val="24"/>
          <w:lang w:val="en-US"/>
        </w:rPr>
        <w:t xml:space="preserve"> 3.1% to 9.2</w:t>
      </w:r>
      <w:r w:rsidR="005C659B" w:rsidRPr="00C11F21">
        <w:rPr>
          <w:rFonts w:ascii="Book Antiqua" w:hAnsi="Book Antiqua" w:cstheme="minorHAnsi"/>
          <w:sz w:val="24"/>
          <w:szCs w:val="24"/>
          <w:lang w:val="en-US"/>
        </w:rPr>
        <w:t>%</w:t>
      </w:r>
      <w:r w:rsidR="004F4E6E" w:rsidRPr="00C11F21">
        <w:rPr>
          <w:rFonts w:ascii="Book Antiqua" w:hAnsi="Book Antiqua" w:cstheme="minorHAnsi"/>
          <w:sz w:val="24"/>
          <w:szCs w:val="24"/>
          <w:lang w:val="en-US"/>
        </w:rPr>
        <w:fldChar w:fldCharType="begin" w:fldLock="1"/>
      </w:r>
      <w:r w:rsidR="004F4E6E" w:rsidRPr="00C11F21">
        <w:rPr>
          <w:rFonts w:ascii="Book Antiqua" w:hAnsi="Book Antiqua" w:cstheme="minorHAnsi"/>
          <w:sz w:val="24"/>
          <w:szCs w:val="24"/>
          <w:lang w:val="en-US"/>
        </w:rPr>
        <w:instrText>ADDIN CSL_CITATION { "citationItems" : [ { "id" : "ITEM-1", "itemData" : { "DOI" : "10.1074/jbc.M305782200", "ISBN" : "6153437605", "ISSN" : "0021-9258", "PMID" : "14660639", "abstract" : "The key transporter responsible for hepatic uptake of bile acids from portal circulation is Na+-taurocholate cotransporting polypeptide (NTCP, SLC10A1). This transporter is thought to be critical for the maintenance of enterohepatic recirculation of bile acids and hepatocyte function. Therefore, functionally relevant polymorphisms in this transporter would be predicted to have an important impact on bile acid homeostasis/liver function. However, little is known regarding genetic heterogeneity in NTCP. In this study, we demonstrate the presence of multiple single nucleotide polymorphisms in NTCP in populations of European, African, Chinese, and Hispanic Americans. Specifically four nonsynonymous single nucleotide polymorphisms associated with a significant loss of transport function were identified. Cell surface biotinylation experiments indicated that the altered transport activity of T668C (Ile223--&gt;Thr), a variant seen only in African Americans, was due at least in part to decreased plasma membrane expression. Similar expression patterns were observed when the variant alleles were expressed in HepG2 cells, and plasma membrane expression was assessed using immunofluorescence confocal microscopy. Interestingly the C800T (Ser267--&gt;Phe) variant, seen only in Chinese Americans, exhibited a near complete loss of function for bile acid uptake yet fully normal transport function for the non-bile acid substrate estrone sulfate, suggesting this position may be part of a region in the transporter critical and specific for bile acid substrate recognition. Accordingly, our study indicates functionally important polymorphisms in NTCP exist and that the likelihood of being carriers of such polymorphisms is dependent on ethnicity.", "author" : [ { "dropping-particle" : "", "family" : "Ho", "given" : "Richard H.", "non-dropping-particle" : "", "parse-names" : false, "suffix" : "" }, { "dropping-particle" : "", "family" : "Leake", "given" : "Brenda F.", "non-dropping-particle" : "", "parse-names" : false, "suffix" : "" }, { "dropping-particle" : "", "family" : "Roberts", "given" : "Richard L.", "non-dropping-particle" : "", "parse-names" : false, "suffix" : "" }, { "dropping-particle" : "", "family" : "Lee", "given" : "Wooin", "non-dropping-particle" : "", "parse-names" : false, "suffix" : "" }, { "dropping-particle" : "", "family" : "Kim", "given" : "Richard B.", "non-dropping-particle" : "", "parse-names" : false, "suffix" : "" } ], "container-title" : "The Journal of biological chemistry", "id" : "ITEM-1", "issue" : "8", "issued" : { "date-parts" : [ [ "2004", "2", "20" ] ] }, "page" : "7213-22", "title" : "Ethnicity-dependent polymorphism in Na+-taurocholate cotransporting polypeptide (SLC10A1) reveals a domain critical for bile acid substrate recognition.", "type" : "article-journal", "volume" : "279" }, "uris" : [ "http://www.mendeley.com/documents/?uuid=2f919f57-7d9d-4115-80c1-795627b625e5" ] } ], "mendeley" : { "formattedCitation" : "&lt;sup&gt;[22]&lt;/sup&gt;", "plainTextFormattedCitation" : "[22]", "previouslyFormattedCitation" : "&lt;sup&gt;[18]&lt;/sup&gt;" }, "properties" : {  }, "schema" : "https://github.com/citation-style-language/schema/raw/master/csl-citation.json" }</w:instrText>
      </w:r>
      <w:r w:rsidR="004F4E6E" w:rsidRPr="00C11F21">
        <w:rPr>
          <w:rFonts w:ascii="Book Antiqua" w:hAnsi="Book Antiqua" w:cstheme="minorHAnsi"/>
          <w:sz w:val="24"/>
          <w:szCs w:val="24"/>
          <w:lang w:val="en-US"/>
        </w:rPr>
        <w:fldChar w:fldCharType="separate"/>
      </w:r>
      <w:r w:rsidR="004F4E6E" w:rsidRPr="00C11F21">
        <w:rPr>
          <w:rFonts w:ascii="Book Antiqua" w:hAnsi="Book Antiqua" w:cstheme="minorHAnsi"/>
          <w:noProof/>
          <w:sz w:val="24"/>
          <w:szCs w:val="24"/>
          <w:vertAlign w:val="superscript"/>
          <w:lang w:val="en-US"/>
        </w:rPr>
        <w:t>[22]</w:t>
      </w:r>
      <w:r w:rsidR="004F4E6E" w:rsidRPr="00C11F21">
        <w:rPr>
          <w:rFonts w:ascii="Book Antiqua" w:hAnsi="Book Antiqua" w:cstheme="minorHAnsi"/>
          <w:sz w:val="24"/>
          <w:szCs w:val="24"/>
          <w:lang w:val="en-US"/>
        </w:rPr>
        <w:fldChar w:fldCharType="end"/>
      </w:r>
      <w:r w:rsidR="00BB34A9" w:rsidRPr="00C11F21">
        <w:rPr>
          <w:rFonts w:ascii="Book Antiqua" w:hAnsi="Book Antiqua" w:cstheme="minorHAnsi"/>
          <w:sz w:val="24"/>
          <w:szCs w:val="24"/>
          <w:lang w:val="en-US"/>
        </w:rPr>
        <w:t>.</w:t>
      </w:r>
      <w:r w:rsidR="004F4E6E" w:rsidRPr="00C11F21">
        <w:rPr>
          <w:rFonts w:ascii="Book Antiqua" w:hAnsi="Book Antiqua" w:cstheme="minorHAnsi" w:hint="eastAsia"/>
          <w:sz w:val="24"/>
          <w:szCs w:val="24"/>
          <w:lang w:val="en-US" w:eastAsia="zh-CN"/>
        </w:rPr>
        <w:t xml:space="preserve"> </w:t>
      </w:r>
      <w:r w:rsidR="005C659B" w:rsidRPr="00C11F21">
        <w:rPr>
          <w:rFonts w:ascii="Book Antiqua" w:hAnsi="Book Antiqua" w:cstheme="minorHAnsi"/>
          <w:sz w:val="24"/>
          <w:szCs w:val="24"/>
          <w:lang w:val="en-US"/>
        </w:rPr>
        <w:t>Previous studies focu</w:t>
      </w:r>
      <w:r w:rsidR="002E3951" w:rsidRPr="00C11F21">
        <w:rPr>
          <w:rFonts w:ascii="Book Antiqua" w:hAnsi="Book Antiqua" w:cstheme="minorHAnsi"/>
          <w:sz w:val="24"/>
          <w:szCs w:val="24"/>
          <w:lang w:val="en-US"/>
        </w:rPr>
        <w:t>sing</w:t>
      </w:r>
      <w:r w:rsidR="005C659B" w:rsidRPr="00C11F21">
        <w:rPr>
          <w:rFonts w:ascii="Book Antiqua" w:hAnsi="Book Antiqua" w:cstheme="minorHAnsi"/>
          <w:sz w:val="24"/>
          <w:szCs w:val="24"/>
          <w:lang w:val="en-US"/>
        </w:rPr>
        <w:t xml:space="preserve"> on </w:t>
      </w:r>
      <w:r w:rsidR="00E53CC5" w:rsidRPr="00C11F21">
        <w:rPr>
          <w:rFonts w:ascii="Book Antiqua" w:hAnsi="Book Antiqua" w:cstheme="minorHAnsi"/>
          <w:sz w:val="24"/>
          <w:szCs w:val="24"/>
          <w:lang w:val="en-US"/>
        </w:rPr>
        <w:t>rs2296651</w:t>
      </w:r>
      <w:r w:rsidR="005C659B" w:rsidRPr="00C11F21">
        <w:rPr>
          <w:rFonts w:ascii="Book Antiqua" w:hAnsi="Book Antiqua" w:cstheme="minorHAnsi"/>
          <w:sz w:val="24"/>
          <w:szCs w:val="24"/>
          <w:lang w:val="en-US"/>
        </w:rPr>
        <w:t xml:space="preserve"> and HBV infection have yielded conflicting results</w:t>
      </w:r>
      <w:r w:rsidR="004F4E6E" w:rsidRPr="00C11F21">
        <w:rPr>
          <w:rFonts w:ascii="Book Antiqua" w:hAnsi="Book Antiqua" w:cstheme="minorHAnsi"/>
          <w:sz w:val="24"/>
          <w:szCs w:val="24"/>
          <w:lang w:val="en-US"/>
        </w:rPr>
        <w:fldChar w:fldCharType="begin" w:fldLock="1"/>
      </w:r>
      <w:r w:rsidR="004F4E6E" w:rsidRPr="00C11F21">
        <w:rPr>
          <w:rFonts w:ascii="Book Antiqua" w:hAnsi="Book Antiqua" w:cstheme="minorHAnsi"/>
          <w:sz w:val="24"/>
          <w:szCs w:val="24"/>
          <w:lang w:val="en-US"/>
        </w:rPr>
        <w:instrText>ADDIN CSL_CITATION { "citationItems" : [ { "id" : "ITEM-1", "itemData" : { "DOI" : "10.1002/hep.27608", "ISSN" : "02709139", "abstract" : "In the past 50 years there have been considerable efforts to identify the cellular receptor of hepatitis B virus (HBV). Recently, in vitro evidence from several groups has shown that the sodium\u2013taurocholate cotransporting polypeptide (NTCP, which is encoded by SLC10A1 and transports bile acids into hepatic cells in enterohepatic recirculation) is a strong candidate. In particular, in vitro the p.Ser267Phe variation of SLC10A1 results in loss of HBV receptor function. We tested the role of NTCP as a receptor for HBV in chronic hepatitis B patients using a genetic association study. We selected SLC10A1 variants from 189 exomes. We used Sanger sequencing to follow up the association of the various SLC10A1 variants in a Han Chinese cohort of 1899 chronic hepatitis B patients and 1828 healthy controls. We further investigated the potential impact of the p.Ser267Phe variant on NTCP function using structural analysis. The p.Ser267Phe variant was associated with healthy status (P = 5.7 \u00d7 10\u221223, odds ratio = 0.36) irrespective of hepatitis B virus surface antibody status (P = 6.2 \u00d7 10\u221221 and 1.5 \u00d7 10\u221210, respectively, when the cases were compared with hepatitis B virus surface antibody\u2013positive and \u2013negative controls). The variation was also associated with a lower incidence of acute-on-chronic liver failure (P = 0.007). The estimated heritability explained by this single variation was \u223c3.2%. The population prevented fraction was around 13.0% among the southern Chinese. Our structural modeling showed that the p.Ser267Phe variant might interfere with ligand binding, thereby preventing HBV from cellular entry. Conclusion: The p.Ser267Phe NTCP variant is significantly associated with resistance to chronic hepatitis B and a lower incidence of acute-on-chronic liver failure. Our results support that NTCP is a cellular receptor for HBV in human infection. (Hepatology 2015;61:1251\u20131260)", "author" : [ { "dropping-particle" : "", "family" : "Peng", "given" : "Liang", "non-dropping-particle" : "", "parse-names" : false, "suffix" : "" }, { "dropping-particle" : "", "family" : "Zhao", "given" : "Qiang", "non-dropping-particle" : "", "parse-names" : false, "suffix" : "" }, { "dropping-particle" : "", "family" : "Li", "given" : "Qibin", "non-dropping-particle" : "", "parse-names" : false, "suffix" : "" }, { "dropping-particle" : "", "family" : "Li", "given" : "Miaoxin", "non-dropping-particle" : "", "parse-names" : false, "suffix" : "" }, { "dropping-particle" : "", "family" : "Li", "given" : "Caixia", "non-dropping-particle" : "", "parse-names" : false, "suffix" : "" }, { "dropping-particle" : "", "family" : "Xu", "given" : "Tingting", "non-dropping-particle" : "", "parse-names" : false, "suffix" : "" }, { "dropping-particle" : "", "family" : "Jing", "given" : "Xiangyi", "non-dropping-particle" : "", "parse-names" : false, "suffix" : "" }, { "dropping-particle" : "", "family" : "Zhu", "given" : "Xiang", "non-dropping-particle" : "", "parse-names" : false, "suffix" : "" }, { "dropping-particle" : "", "family" : "Wang", "given" : "Ye", "non-dropping-particle" : "", "parse-names" : false, "suffix" : "" }, { "dropping-particle" : "", "family" : "Li", "given" : "Fucheng", "non-dropping-particle" : "", "parse-names" : false, "suffix" : "" }, { "dropping-particle" : "", "family" : "Liu", "given" : "Ruihong", "non-dropping-particle" : "", "parse-names" : false, "suffix" : "" }, { "dropping-particle" : "", "family" : "Zhong", "given" : "Cheng", "non-dropping-particle" : "", "parse-names" : false, "suffix" : "" }, { "dropping-particle" : "", "family" : "Pan", "given" : "Qihao", "non-dropping-particle" : "", "parse-names" : false, "suffix" : "" }, { "dropping-particle" : "", "family" : "Zeng", "given" : "Binghui", "non-dropping-particle" : "", "parse-names" : false, "suffix" : "" }, { "dropping-particle" : "", "family" : "Liao", "given" : "Qijun", "non-dropping-particle" : "", "parse-names" : false, "suffix" : "" }, { "dropping-particle" : "", "family" : "Hu", "given" : "Bin", "non-dropping-particle" : "", "parse-names" : false, "suffix" : "" }, { "dropping-particle" : "", "family" : "Hu", "given" : "Zhao\u2010xia", "non-dropping-particle" : "", "parse-names" : false, "suffix" : "" }, { "dropping-particle" : "", "family" : "Huang", "given" : "Yang\u2010su", "non-dropping-particle" : "", "parse-names" : false, "suffix" : "" }, { "dropping-particle" : "", "family" : "Sham", "given" : "Pak", "non-dropping-particle" : "", "parse-names" : false, "suffix" : "" }, { "dropping-particle" : "", "family" : "Liu", "given" : "Jinsong", "non-dropping-particle" : "", "parse-names" : false, "suffix" : "" }, { "dropping-particle" : "", "family" : "Xu", "given" : "Shuhua", "non-dropping-particle" : "", "parse-names" : false, "suffix" : "" }, { "dropping-particle" : "", "family" : "Wang", "given" : "Jun", "non-dropping-particle" : "", "parse-names" : false, "suffix" : "" }, { "dropping-particle" : "", "family" : "Gao", "given" : "Zhi\u2010liang", "non-dropping-particle" : "", "parse-names" : false, "suffix" : "" }, { "dropping-particle" : "", "family" : "Wang", "given" : "Yiming", "non-dropping-particle" : "", "parse-names" : false, "suffix" : "" } ], "container-title" : "Hepatology", "id" : "ITEM-1", "issue" : "4", "issued" : { "date-parts" : [ [ "2015", "4" ] ] }, "page" : "1251-1260", "publisher" : "Wiley Online Library", "title" : "The p.Ser267Phe variant in SLC10A1 is associated with resistance to chronic hepatitis B", "type" : "article-journal", "volume" : "61" }, "uris" : [ "http://www.mendeley.com/documents/?uuid=cea3b429-6f35-4111-b481-768ce768bbce" ] }, { "id" : "ITEM-2", "itemData" : { "DOI" : "10.1089/gtmb.2013.0491", "ISSN" : "1945-0257", "PMID" : "24735529", "abstract" : "Background: Sodium taurocholate cotransporting polypeptide (NTCP) plays an important role in the enterohepatic circulation of bile acids and hepatocyte function and was recently proposed to be a functional receptor for hepatitis B virus (HBV). Objective: This study investigated the association of the functional polymorphism c.800C&gt;T (p.S267F) (rs2296651) of the NTCP gene with HBV infection. Methods: The study included 244 patients with chronic HBV infection, 76 HBV infection resolvers, and 113 healthy controls. The polymorphism was genotyped using the polymerase chain reaction-restriction fragment length polymorphism method. Results: The distribution of the genotype and allele frequency of rs2296651 polymorphism was significantly different among the HBV patients, HBV infection resolvers, and healthy controls (p=0.034 and p=0.039, respectively). The frequency of genotype CT in HBV patients was significantly higher than that in healthy controls (11.9% vs. 4.4%, p=0.026, odds ratios [OR]=2.913, 95% confidence intervals [95% CI]=1.097-7.738). The frequency of allele T in HBV patients was also significantly higher than that in healthy controls (5.9% vs. 2.2%, p=0.029, OR=2.793, 95% CI=1.067-7.312). The frequency of genotype CT and allele T in HBV patients was higher than that in HBV infection resolvers although the difference was not significant. The genotype and allele frequency between infection resolvers and healthy controls and between HBV patients with different clinical diseases had no significant difference. Conclusion: These findings suggest that the rs2296651 polymorphism may predispose the susceptibility to and chronicity of HBV infection.", "author" : [ { "dropping-particle" : "", "family" : "Li", "given" : "Na", "non-dropping-particle" : "", "parse-names" : false, "suffix" : "" }, { "dropping-particle" : "", "family" : "Zhang", "given" : "Pingping", "non-dropping-particle" : "", "parse-names" : false, "suffix" : "" }, { "dropping-particle" : "", "family" : "Yang", "given" : "Cuiling", "non-dropping-particle" : "", "parse-names" : false, "suffix" : "" }, { "dropping-particle" : "", "family" : "Zhu", "given" : "Qianqian", "non-dropping-particle" : "", "parse-names" : false, "suffix" : "" }, { "dropping-particle" : "", "family" : "Li", "given" : "Zhu", "non-dropping-particle" : "", "parse-names" : false, "suffix" : "" }, { "dropping-particle" : "", "family" : "Li", "given" : "Fang", "non-dropping-particle" : "", "parse-names" : false, "suffix" : "" }, { "dropping-particle" : "", "family" : "Han", "given" : "Qunying", "non-dropping-particle" : "", "parse-names" : false, "suffix" : "" }, { "dropping-particle" : "", "family" : "Wang", "given" : "Yawen", "non-dropping-particle" : "", "parse-names" : false, "suffix" : "" }, { "dropping-particle" : "", "family" : "Lv", "given" : "Yi", "non-dropping-particle" : "", "parse-names" : false, "suffix" : "" }, { "dropping-particle" : "", "family" : "Wei", "given" : "Ping", "non-dropping-particle" : "", "parse-names" : false, "suffix" : "" }, { "dropping-particle" : "", "family" : "Liu", "given" : "Zhengwen", "non-dropping-particle" : "", "parse-names" : false, "suffix" : "" } ], "container-title" : "Genetic testing and molecular biomarkers", "id" : "ITEM-2", "issue" : "6", "issued" : { "date-parts" : [ [ "2014" ] ] }, "page" : "425-9", "title" : "Association of genetic variation of sodium taurocholate cotransporting polypeptide with chronic hepatitis B virus infection.", "type" : "article-journal", "volume" : "18" }, "uris" : [ "http://www.mendeley.com/documents/?uuid=8eb07e90-b6cc-48a5-9b76-9905f52cadde" ] } ], "mendeley" : { "formattedCitation" : "&lt;sup&gt;[24,25]&lt;/sup&gt;", "plainTextFormattedCitation" : "[24,25]", "previouslyFormattedCitation" : "&lt;sup&gt;[20,21]&lt;/sup&gt;" }, "properties" : {  }, "schema" : "https://github.com/citation-style-language/schema/raw/master/csl-citation.json" }</w:instrText>
      </w:r>
      <w:r w:rsidR="004F4E6E" w:rsidRPr="00C11F21">
        <w:rPr>
          <w:rFonts w:ascii="Book Antiqua" w:hAnsi="Book Antiqua" w:cstheme="minorHAnsi"/>
          <w:sz w:val="24"/>
          <w:szCs w:val="24"/>
          <w:lang w:val="en-US"/>
        </w:rPr>
        <w:fldChar w:fldCharType="separate"/>
      </w:r>
      <w:r w:rsidR="004F4E6E" w:rsidRPr="00C11F21">
        <w:rPr>
          <w:rFonts w:ascii="Book Antiqua" w:hAnsi="Book Antiqua" w:cstheme="minorHAnsi"/>
          <w:noProof/>
          <w:sz w:val="24"/>
          <w:szCs w:val="24"/>
          <w:vertAlign w:val="superscript"/>
          <w:lang w:val="en-US"/>
        </w:rPr>
        <w:t>[24,25]</w:t>
      </w:r>
      <w:r w:rsidR="004F4E6E" w:rsidRPr="00C11F21">
        <w:rPr>
          <w:rFonts w:ascii="Book Antiqua" w:hAnsi="Book Antiqua" w:cstheme="minorHAnsi"/>
          <w:sz w:val="24"/>
          <w:szCs w:val="24"/>
          <w:lang w:val="en-US"/>
        </w:rPr>
        <w:fldChar w:fldCharType="end"/>
      </w:r>
      <w:r w:rsidR="005C659B" w:rsidRPr="00C11F21">
        <w:rPr>
          <w:rFonts w:ascii="Book Antiqua" w:hAnsi="Book Antiqua" w:cstheme="minorHAnsi"/>
          <w:sz w:val="24"/>
          <w:szCs w:val="24"/>
          <w:lang w:val="en-US"/>
        </w:rPr>
        <w:t>,</w:t>
      </w:r>
      <w:r w:rsidR="004F4E6E" w:rsidRPr="00C11F21">
        <w:rPr>
          <w:rFonts w:ascii="Book Antiqua" w:hAnsi="Book Antiqua" w:cstheme="minorHAnsi" w:hint="eastAsia"/>
          <w:sz w:val="24"/>
          <w:szCs w:val="24"/>
          <w:lang w:val="en-US" w:eastAsia="zh-CN"/>
        </w:rPr>
        <w:t xml:space="preserve"> </w:t>
      </w:r>
      <w:r w:rsidR="005C659B" w:rsidRPr="00C11F21">
        <w:rPr>
          <w:rFonts w:ascii="Book Antiqua" w:hAnsi="Book Antiqua" w:cstheme="minorHAnsi"/>
          <w:sz w:val="24"/>
          <w:szCs w:val="24"/>
          <w:lang w:val="en-US"/>
        </w:rPr>
        <w:t>and the role of this SNP in cirrhosis and hepatocellular carcinoma remains unc</w:t>
      </w:r>
      <w:r w:rsidR="0048559B" w:rsidRPr="00C11F21">
        <w:rPr>
          <w:rFonts w:ascii="Book Antiqua" w:hAnsi="Book Antiqua" w:cstheme="minorHAnsi"/>
          <w:sz w:val="24"/>
          <w:szCs w:val="24"/>
          <w:lang w:val="en-US"/>
        </w:rPr>
        <w:t>ertain</w:t>
      </w:r>
      <w:r w:rsidR="004F4E6E" w:rsidRPr="00C11F21">
        <w:rPr>
          <w:rFonts w:ascii="Book Antiqua" w:hAnsi="Book Antiqua" w:cstheme="minorHAnsi"/>
          <w:sz w:val="24"/>
          <w:szCs w:val="24"/>
          <w:lang w:val="en-US"/>
        </w:rPr>
        <w:fldChar w:fldCharType="begin" w:fldLock="1"/>
      </w:r>
      <w:r w:rsidR="004F4E6E" w:rsidRPr="00C11F21">
        <w:rPr>
          <w:rFonts w:ascii="Book Antiqua" w:hAnsi="Book Antiqua" w:cstheme="minorHAnsi"/>
          <w:sz w:val="24"/>
          <w:szCs w:val="24"/>
          <w:lang w:val="en-US"/>
        </w:rPr>
        <w:instrText>ADDIN CSL_CITATION { "citationItems" : [ { "id" : "ITEM-1", "itemData" : { "DOI" : "10.1136/gutjnl-2015-310686", "ISSN" : "1468-3288", "PMID" : "26642861", "abstract" : "OBJECTIVE The sodium taurocholate co-transporting polypeptide (NTCP), encoded by SLC10A1, was recently identified as a receptor for HBV. We assessed the association of the p.Ser267Phe variant (rs2296651) with chronic hepatitis B (CHB) serostatus, cirrhosis and hepatocellular carcinoma (HCC) in patients with CHB. DESIGN The variant was genotyped in 3801 patients with CHB and 3801 matched hepatitis B surface antigen (HBsAg) seronegative individuals. ORs with 95% CIs for the variant's association with CHB, cirrhosis and HCC were estimated using logistic regression. RESULTS In patients with CHB, the S267F variant was observed in 515 (18.5%) controls, 40 (17.2%) cirrhosis only cases, 49 (13.2%) non-cirrhotic HCC cases, and 52 (12.7%) cirrhotic-HCC cases. After adjustment for known risk factors, S267F was significantly associated with decreased risk for cirrhosis (OR 0.65 (95% CI 0.49 to 0.86), p=0.002) and HCC (OR 0.55 (95% CI 0.42 to 0.72), p&lt;0.001). This association persisted for non-cirrhotic and cirrhotic-HCC. Compared with patients with HBV DNA levels greater than 10(5) copies/mL who carried the GG genotype, patients who had undetectable HBV DNA and the GA or AA genotypes had a 25-fold decreased risk of developing HCC (OR 0.04 (95% CI 0.02 to 0.11), p&lt;0.001). The AA genotype was also associated with HBsAg seronegativity (OR 0.13 (95% CI 0.05 to 0.34), p&lt;0.001). CONCLUSIONS The SLC10A1 (NTCP) S267F variant is independently associated with decreased risk of cirrhosis and HCC, and resistance to CHB infection. Together with serum HBV DNA levels, S267F may help to identify patients with CHB with very low risk of HCC.", "author" : [ { "dropping-particle" : "", "family" : "Hu", "given" : "Hui-han", "non-dropping-particle" : "", "parse-names" : false, "suffix" : "" }, { "dropping-particle" : "", "family" : "Liu", "given" : "Jessica", "non-dropping-particle" : "", "parse-names" : false, "suffix" : "" }, { "dropping-particle" : "", "family" : "Lin", "given" : "Yu-ling", "non-dropping-particle" : "", "parse-names" : false, "suffix" : "" }, { "dropping-particle" : "", "family" : "Luo", "given" : "Wun-sheng", "non-dropping-particle" : "", "parse-names" : false, "suffix" : "" }, { "dropping-particle" : "", "family" : "Chu", "given" : "Yu-ju", "non-dropping-particle" : "", "parse-names" : false, "suffix" : "" }, { "dropping-particle" : "", "family" : "Chang", "given" : "Chia-lin", "non-dropping-particle" : "", "parse-names" : false, "suffix" : "" }, { "dropping-particle" : "", "family" : "Jen", "given" : "Chin-lan", "non-dropping-particle" : "", "parse-names" : false, "suffix" : "" }, { "dropping-particle" : "", "family" : "Lee", "given" : "Mei-hsuan", "non-dropping-particle" : "", "parse-names" : false, "suffix" : "" }, { "dropping-particle" : "", "family" : "Lu", "given" : "Sheng-nan", "non-dropping-particle" : "", "parse-names" : false, "suffix" : "" }, { "dropping-particle" : "", "family" : "Wang", "given" : "Li-yu", "non-dropping-particle" : "", "parse-names" : false, "suffix" : "" }, { "dropping-particle" : "", "family" : "You", "given" : "San-lin", "non-dropping-particle" : "", "parse-names" : false, "suffix" : "" }, { "dropping-particle" : "", "family" : "Yang", "given" : "Hwai-i", "non-dropping-particle" : "", "parse-names" : false, "suffix" : "" }, { "dropping-particle" : "", "family" : "Chen", "given" : "Chien-jen", "non-dropping-particle" : "", "parse-names" : false, "suffix" : "" }, { "dropping-particle" : "", "family" : "REVEAL-HBV Study Group", "given" : "", "non-dropping-particle" : "", "parse-names" : false, "suffix" : "" } ], "container-title" : "Gut", "id" : "ITEM-1", "issue" : "9", "issued" : { "date-parts" : [ [ "2016", "9" ] ] }, "page" : "1514-21", "title" : "The rs2296651 (S267F) variant on NTCP (SLC10A1) is inversely associated with chronic hepatitis B and progression to cirrhosis and hepatocellular carcinoma in patients with chronic hepatitis B.", "type" : "article-journal", "volume" : "65" }, "uris" : [ "http://www.mendeley.com/documents/?uuid=c41d825c-e602-42d0-85b5-69823761bafb" ] } ], "mendeley" : { "formattedCitation" : "&lt;sup&gt;[26]&lt;/sup&gt;", "plainTextFormattedCitation" : "[26]", "previouslyFormattedCitation" : "&lt;sup&gt;[22]&lt;/sup&gt;" }, "properties" : {  }, "schema" : "https://github.com/citation-style-language/schema/raw/master/csl-citation.json" }</w:instrText>
      </w:r>
      <w:r w:rsidR="004F4E6E" w:rsidRPr="00C11F21">
        <w:rPr>
          <w:rFonts w:ascii="Book Antiqua" w:hAnsi="Book Antiqua" w:cstheme="minorHAnsi"/>
          <w:sz w:val="24"/>
          <w:szCs w:val="24"/>
          <w:lang w:val="en-US"/>
        </w:rPr>
        <w:fldChar w:fldCharType="separate"/>
      </w:r>
      <w:r w:rsidR="004F4E6E" w:rsidRPr="00C11F21">
        <w:rPr>
          <w:rFonts w:ascii="Book Antiqua" w:hAnsi="Book Antiqua" w:cstheme="minorHAnsi"/>
          <w:noProof/>
          <w:sz w:val="24"/>
          <w:szCs w:val="24"/>
          <w:vertAlign w:val="superscript"/>
          <w:lang w:val="en-US"/>
        </w:rPr>
        <w:t>[26]</w:t>
      </w:r>
      <w:r w:rsidR="004F4E6E" w:rsidRPr="00C11F21">
        <w:rPr>
          <w:rFonts w:ascii="Book Antiqua" w:hAnsi="Book Antiqua" w:cstheme="minorHAnsi"/>
          <w:sz w:val="24"/>
          <w:szCs w:val="24"/>
          <w:lang w:val="en-US"/>
        </w:rPr>
        <w:fldChar w:fldCharType="end"/>
      </w:r>
      <w:r w:rsidR="005C659B" w:rsidRPr="00C11F21">
        <w:rPr>
          <w:rFonts w:ascii="Book Antiqua" w:hAnsi="Book Antiqua" w:cstheme="minorHAnsi"/>
          <w:sz w:val="24"/>
          <w:szCs w:val="24"/>
          <w:lang w:val="en-US"/>
        </w:rPr>
        <w:t>.</w:t>
      </w:r>
      <w:r w:rsidR="004F4E6E" w:rsidRPr="00C11F21">
        <w:rPr>
          <w:rFonts w:ascii="Book Antiqua" w:hAnsi="Book Antiqua" w:cstheme="minorHAnsi" w:hint="eastAsia"/>
          <w:sz w:val="24"/>
          <w:szCs w:val="24"/>
          <w:lang w:val="en-US" w:eastAsia="zh-CN"/>
        </w:rPr>
        <w:t xml:space="preserve"> </w:t>
      </w:r>
      <w:r w:rsidR="00DA4816" w:rsidRPr="00C11F21">
        <w:rPr>
          <w:rFonts w:ascii="Book Antiqua" w:hAnsi="Book Antiqua" w:cstheme="minorHAnsi"/>
          <w:sz w:val="24"/>
          <w:szCs w:val="24"/>
          <w:lang w:val="en-US"/>
        </w:rPr>
        <w:t>However</w:t>
      </w:r>
      <w:r w:rsidR="003D69F8" w:rsidRPr="00C11F21">
        <w:rPr>
          <w:rFonts w:ascii="Book Antiqua" w:hAnsi="Book Antiqua" w:cstheme="minorHAnsi"/>
          <w:sz w:val="24"/>
          <w:szCs w:val="24"/>
          <w:lang w:val="en-US"/>
        </w:rPr>
        <w:t>,</w:t>
      </w:r>
      <w:r w:rsidR="00DA4816" w:rsidRPr="00C11F21">
        <w:rPr>
          <w:rFonts w:ascii="Book Antiqua" w:hAnsi="Book Antiqua"/>
          <w:sz w:val="24"/>
          <w:szCs w:val="24"/>
          <w:shd w:val="clear" w:color="auto" w:fill="FFFFFF"/>
          <w:lang w:val="en-US"/>
        </w:rPr>
        <w:t xml:space="preserve"> </w:t>
      </w:r>
      <w:r w:rsidR="003C4F41" w:rsidRPr="00C11F21">
        <w:rPr>
          <w:rFonts w:ascii="Book Antiqua" w:hAnsi="Book Antiqua"/>
          <w:sz w:val="24"/>
          <w:szCs w:val="24"/>
          <w:shd w:val="clear" w:color="auto" w:fill="FFFFFF"/>
          <w:lang w:val="en-US"/>
        </w:rPr>
        <w:t>as</w:t>
      </w:r>
      <w:r w:rsidR="00DA4816" w:rsidRPr="00C11F21">
        <w:rPr>
          <w:rFonts w:ascii="Book Antiqua" w:hAnsi="Book Antiqua"/>
          <w:sz w:val="24"/>
          <w:szCs w:val="24"/>
          <w:shd w:val="clear" w:color="auto" w:fill="FFFFFF"/>
          <w:lang w:val="en-US"/>
        </w:rPr>
        <w:t xml:space="preserve"> synthetic myristoylated lipopeptides </w:t>
      </w:r>
      <w:r w:rsidR="003C4F41" w:rsidRPr="00C11F21">
        <w:rPr>
          <w:rFonts w:ascii="Book Antiqua" w:hAnsi="Book Antiqua"/>
          <w:sz w:val="24"/>
          <w:szCs w:val="24"/>
          <w:shd w:val="clear" w:color="auto" w:fill="FFFFFF"/>
          <w:lang w:val="en-US"/>
        </w:rPr>
        <w:t>share</w:t>
      </w:r>
      <w:r w:rsidR="00DA4816" w:rsidRPr="00C11F21">
        <w:rPr>
          <w:rFonts w:ascii="Book Antiqua" w:hAnsi="Book Antiqua"/>
          <w:sz w:val="24"/>
          <w:szCs w:val="24"/>
          <w:shd w:val="clear" w:color="auto" w:fill="FFFFFF"/>
          <w:lang w:val="en-US"/>
        </w:rPr>
        <w:t xml:space="preserve"> the same </w:t>
      </w:r>
      <w:r w:rsidR="003D69F8" w:rsidRPr="00C11F21">
        <w:rPr>
          <w:rFonts w:ascii="Book Antiqua" w:hAnsi="Book Antiqua"/>
          <w:sz w:val="24"/>
          <w:szCs w:val="24"/>
          <w:shd w:val="clear" w:color="auto" w:fill="FFFFFF"/>
          <w:lang w:val="en-US"/>
        </w:rPr>
        <w:t>aa</w:t>
      </w:r>
      <w:r w:rsidR="00DA4816" w:rsidRPr="00C11F21">
        <w:rPr>
          <w:rFonts w:ascii="Book Antiqua" w:hAnsi="Book Antiqua"/>
          <w:sz w:val="24"/>
          <w:szCs w:val="24"/>
          <w:shd w:val="clear" w:color="auto" w:fill="FFFFFF"/>
          <w:lang w:val="en-US"/>
        </w:rPr>
        <w:t xml:space="preserve"> sequence with the NTCP-interacting domain, it is reasonable to think that the presence of this SNP might influence the effectiv</w:t>
      </w:r>
      <w:r w:rsidR="003C4F41" w:rsidRPr="00C11F21">
        <w:rPr>
          <w:rFonts w:ascii="Book Antiqua" w:hAnsi="Book Antiqua"/>
          <w:sz w:val="24"/>
          <w:szCs w:val="24"/>
          <w:shd w:val="clear" w:color="auto" w:fill="FFFFFF"/>
          <w:lang w:val="en-US"/>
        </w:rPr>
        <w:t>eness</w:t>
      </w:r>
      <w:r w:rsidR="00DA4816" w:rsidRPr="00C11F21">
        <w:rPr>
          <w:rFonts w:ascii="Book Antiqua" w:hAnsi="Book Antiqua"/>
          <w:sz w:val="24"/>
          <w:szCs w:val="24"/>
          <w:shd w:val="clear" w:color="auto" w:fill="FFFFFF"/>
          <w:lang w:val="en-US"/>
        </w:rPr>
        <w:t xml:space="preserve"> of these therapies. </w:t>
      </w:r>
      <w:r w:rsidR="0048559B" w:rsidRPr="00C11F21">
        <w:rPr>
          <w:rFonts w:ascii="Book Antiqua" w:hAnsi="Book Antiqua" w:cstheme="minorHAnsi"/>
          <w:sz w:val="24"/>
          <w:szCs w:val="24"/>
          <w:lang w:val="en-US"/>
        </w:rPr>
        <w:t>T</w:t>
      </w:r>
      <w:r w:rsidR="00AD523E" w:rsidRPr="00C11F21">
        <w:rPr>
          <w:rFonts w:ascii="Book Antiqua" w:hAnsi="Book Antiqua" w:cstheme="minorHAnsi"/>
          <w:sz w:val="24"/>
          <w:szCs w:val="24"/>
          <w:lang w:val="en-US"/>
        </w:rPr>
        <w:t xml:space="preserve">his variant has not been found in some Caucasian </w:t>
      </w:r>
      <w:r w:rsidR="00537888" w:rsidRPr="00C11F21">
        <w:rPr>
          <w:rFonts w:ascii="Book Antiqua" w:hAnsi="Book Antiqua" w:cstheme="minorHAnsi"/>
          <w:sz w:val="24"/>
          <w:szCs w:val="24"/>
          <w:lang w:val="en-US"/>
        </w:rPr>
        <w:t>p</w:t>
      </w:r>
      <w:r w:rsidR="00E0626D" w:rsidRPr="00C11F21">
        <w:rPr>
          <w:rFonts w:ascii="Book Antiqua" w:hAnsi="Book Antiqua" w:cstheme="minorHAnsi"/>
          <w:sz w:val="24"/>
          <w:szCs w:val="24"/>
          <w:lang w:val="en-US"/>
        </w:rPr>
        <w:t>opulations</w:t>
      </w:r>
      <w:r w:rsidR="00AD523E" w:rsidRPr="00C11F21">
        <w:rPr>
          <w:rFonts w:ascii="Book Antiqua" w:hAnsi="Book Antiqua" w:cstheme="minorHAnsi"/>
          <w:sz w:val="24"/>
          <w:szCs w:val="24"/>
          <w:lang w:val="en-US"/>
        </w:rPr>
        <w:t xml:space="preserve"> (European Americans</w:t>
      </w:r>
      <w:r w:rsidR="00F15105" w:rsidRPr="00C11F21">
        <w:rPr>
          <w:rFonts w:ascii="Book Antiqua" w:hAnsi="Book Antiqua" w:cstheme="minorHAnsi"/>
          <w:sz w:val="24"/>
          <w:szCs w:val="24"/>
          <w:lang w:val="en-US"/>
        </w:rPr>
        <w:t xml:space="preserve"> and</w:t>
      </w:r>
      <w:r w:rsidR="00AD523E" w:rsidRPr="00C11F21">
        <w:rPr>
          <w:rFonts w:ascii="Book Antiqua" w:hAnsi="Book Antiqua" w:cstheme="minorHAnsi"/>
          <w:sz w:val="24"/>
          <w:szCs w:val="24"/>
          <w:lang w:val="en-US"/>
        </w:rPr>
        <w:t xml:space="preserve"> Hispanic Americans)</w:t>
      </w:r>
      <w:r w:rsidR="004F4E6E" w:rsidRPr="00C11F21">
        <w:rPr>
          <w:rFonts w:ascii="Book Antiqua" w:hAnsi="Book Antiqua" w:cstheme="minorHAnsi"/>
          <w:sz w:val="24"/>
          <w:szCs w:val="24"/>
          <w:lang w:val="en-US"/>
        </w:rPr>
        <w:fldChar w:fldCharType="begin" w:fldLock="1"/>
      </w:r>
      <w:r w:rsidR="004F4E6E" w:rsidRPr="00C11F21">
        <w:rPr>
          <w:rFonts w:ascii="Book Antiqua" w:hAnsi="Book Antiqua" w:cstheme="minorHAnsi"/>
          <w:sz w:val="24"/>
          <w:szCs w:val="24"/>
          <w:lang w:val="en-US"/>
        </w:rPr>
        <w:instrText>ADDIN CSL_CITATION { "citationItems" : [ { "id" : "ITEM-1", "itemData" : { "DOI" : "10.1074/jbc.M305782200", "ISBN" : "6153437605", "ISSN" : "0021-9258", "PMID" : "14660639", "abstract" : "The key transporter responsible for hepatic uptake of bile acids from portal circulation is Na+-taurocholate cotransporting polypeptide (NTCP, SLC10A1). This transporter is thought to be critical for the maintenance of enterohepatic recirculation of bile acids and hepatocyte function. Therefore, functionally relevant polymorphisms in this transporter would be predicted to have an important impact on bile acid homeostasis/liver function. However, little is known regarding genetic heterogeneity in NTCP. In this study, we demonstrate the presence of multiple single nucleotide polymorphisms in NTCP in populations of European, African, Chinese, and Hispanic Americans. Specifically four nonsynonymous single nucleotide polymorphisms associated with a significant loss of transport function were identified. Cell surface biotinylation experiments indicated that the altered transport activity of T668C (Ile223--&gt;Thr), a variant seen only in African Americans, was due at least in part to decreased plasma membrane expression. Similar expression patterns were observed when the variant alleles were expressed in HepG2 cells, and plasma membrane expression was assessed using immunofluorescence confocal microscopy. Interestingly the C800T (Ser267--&gt;Phe) variant, seen only in Chinese Americans, exhibited a near complete loss of function for bile acid uptake yet fully normal transport function for the non-bile acid substrate estrone sulfate, suggesting this position may be part of a region in the transporter critical and specific for bile acid substrate recognition. Accordingly, our study indicates functionally important polymorphisms in NTCP exist and that the likelihood of being carriers of such polymorphisms is dependent on ethnicity.", "author" : [ { "dropping-particle" : "", "family" : "Ho", "given" : "Richard H.", "non-dropping-particle" : "", "parse-names" : false, "suffix" : "" }, { "dropping-particle" : "", "family" : "Leake", "given" : "Brenda F.", "non-dropping-particle" : "", "parse-names" : false, "suffix" : "" }, { "dropping-particle" : "", "family" : "Roberts", "given" : "Richard L.", "non-dropping-particle" : "", "parse-names" : false, "suffix" : "" }, { "dropping-particle" : "", "family" : "Lee", "given" : "Wooin", "non-dropping-particle" : "", "parse-names" : false, "suffix" : "" }, { "dropping-particle" : "", "family" : "Kim", "given" : "Richard B.", "non-dropping-particle" : "", "parse-names" : false, "suffix" : "" } ], "container-title" : "The Journal of biological chemistry", "id" : "ITEM-1", "issue" : "8", "issued" : { "date-parts" : [ [ "2004", "2", "20" ] ] }, "page" : "7213-22", "title" : "Ethnicity-dependent polymorphism in Na+-taurocholate cotransporting polypeptide (SLC10A1) reveals a domain critical for bile acid substrate recognition.", "type" : "article-journal", "volume" : "279" }, "uris" : [ "http://www.mendeley.com/documents/?uuid=2f919f57-7d9d-4115-80c1-795627b625e5" ] } ], "mendeley" : { "formattedCitation" : "&lt;sup&gt;[22]&lt;/sup&gt;", "plainTextFormattedCitation" : "[22]", "previouslyFormattedCitation" : "&lt;sup&gt;[18]&lt;/sup&gt;" }, "properties" : {  }, "schema" : "https://github.com/citation-style-language/schema/raw/master/csl-citation.json" }</w:instrText>
      </w:r>
      <w:r w:rsidR="004F4E6E" w:rsidRPr="00C11F21">
        <w:rPr>
          <w:rFonts w:ascii="Book Antiqua" w:hAnsi="Book Antiqua" w:cstheme="minorHAnsi"/>
          <w:sz w:val="24"/>
          <w:szCs w:val="24"/>
          <w:lang w:val="en-US"/>
        </w:rPr>
        <w:fldChar w:fldCharType="separate"/>
      </w:r>
      <w:r w:rsidR="004F4E6E" w:rsidRPr="00C11F21">
        <w:rPr>
          <w:rFonts w:ascii="Book Antiqua" w:hAnsi="Book Antiqua" w:cstheme="minorHAnsi"/>
          <w:noProof/>
          <w:sz w:val="24"/>
          <w:szCs w:val="24"/>
          <w:vertAlign w:val="superscript"/>
          <w:lang w:val="en-US"/>
        </w:rPr>
        <w:t>[22]</w:t>
      </w:r>
      <w:r w:rsidR="004F4E6E" w:rsidRPr="00C11F21">
        <w:rPr>
          <w:rFonts w:ascii="Book Antiqua" w:hAnsi="Book Antiqua" w:cstheme="minorHAnsi"/>
          <w:sz w:val="24"/>
          <w:szCs w:val="24"/>
          <w:lang w:val="en-US"/>
        </w:rPr>
        <w:fldChar w:fldCharType="end"/>
      </w:r>
      <w:r w:rsidR="009B5D2C" w:rsidRPr="00C11F21">
        <w:rPr>
          <w:rFonts w:ascii="Book Antiqua" w:hAnsi="Book Antiqua" w:cstheme="minorHAnsi"/>
          <w:sz w:val="24"/>
          <w:szCs w:val="24"/>
          <w:lang w:val="en-US"/>
        </w:rPr>
        <w:t>,</w:t>
      </w:r>
      <w:r w:rsidR="00AD523E" w:rsidRPr="00C11F21">
        <w:rPr>
          <w:rFonts w:ascii="Book Antiqua" w:hAnsi="Book Antiqua" w:cstheme="minorHAnsi"/>
          <w:sz w:val="24"/>
          <w:szCs w:val="24"/>
          <w:lang w:val="en-US"/>
        </w:rPr>
        <w:t xml:space="preserve"> </w:t>
      </w:r>
      <w:r w:rsidR="0048559B" w:rsidRPr="00C11F21">
        <w:rPr>
          <w:rFonts w:ascii="Book Antiqua" w:hAnsi="Book Antiqua" w:cstheme="minorHAnsi"/>
          <w:sz w:val="24"/>
          <w:szCs w:val="24"/>
          <w:lang w:val="en-US"/>
        </w:rPr>
        <w:t xml:space="preserve">but </w:t>
      </w:r>
      <w:r w:rsidR="00AD523E" w:rsidRPr="00C11F21">
        <w:rPr>
          <w:rFonts w:ascii="Book Antiqua" w:hAnsi="Book Antiqua" w:cstheme="minorHAnsi"/>
          <w:sz w:val="24"/>
          <w:szCs w:val="24"/>
          <w:lang w:val="en-US"/>
        </w:rPr>
        <w:t>to</w:t>
      </w:r>
      <w:r w:rsidR="00BB34A9" w:rsidRPr="00C11F21">
        <w:rPr>
          <w:rFonts w:ascii="Book Antiqua" w:hAnsi="Book Antiqua" w:cstheme="minorHAnsi"/>
          <w:sz w:val="24"/>
          <w:szCs w:val="24"/>
          <w:lang w:val="en-US"/>
        </w:rPr>
        <w:t xml:space="preserve"> our knowledge, there are no studies investigating the prevalence of rs2296651 in our country (Spain)</w:t>
      </w:r>
      <w:r w:rsidR="002E44E2" w:rsidRPr="00C11F21">
        <w:rPr>
          <w:rFonts w:ascii="Book Antiqua" w:hAnsi="Book Antiqua" w:cstheme="minorHAnsi"/>
          <w:sz w:val="24"/>
          <w:szCs w:val="24"/>
          <w:lang w:val="en-US"/>
        </w:rPr>
        <w:t>, w</w:t>
      </w:r>
      <w:r w:rsidR="00223C85" w:rsidRPr="00C11F21">
        <w:rPr>
          <w:rFonts w:ascii="Book Antiqua" w:hAnsi="Book Antiqua" w:cstheme="minorHAnsi"/>
          <w:sz w:val="24"/>
          <w:szCs w:val="24"/>
          <w:lang w:val="en-US"/>
        </w:rPr>
        <w:t xml:space="preserve">here </w:t>
      </w:r>
      <w:r w:rsidR="00E0626D" w:rsidRPr="00C11F21">
        <w:rPr>
          <w:rFonts w:ascii="Book Antiqua" w:hAnsi="Book Antiqua" w:cstheme="minorHAnsi"/>
          <w:sz w:val="24"/>
          <w:szCs w:val="24"/>
          <w:lang w:val="en-US"/>
        </w:rPr>
        <w:t xml:space="preserve">a </w:t>
      </w:r>
      <w:r w:rsidR="00223C85" w:rsidRPr="00C11F21">
        <w:rPr>
          <w:rFonts w:ascii="Book Antiqua" w:hAnsi="Book Antiqua" w:cstheme="minorHAnsi"/>
          <w:sz w:val="24"/>
          <w:szCs w:val="24"/>
          <w:lang w:val="en-US"/>
        </w:rPr>
        <w:t xml:space="preserve">Caucasian population mainly </w:t>
      </w:r>
      <w:r w:rsidR="00E0626D" w:rsidRPr="00C11F21">
        <w:rPr>
          <w:rFonts w:ascii="Book Antiqua" w:hAnsi="Book Antiqua" w:cstheme="minorHAnsi"/>
          <w:sz w:val="24"/>
          <w:szCs w:val="24"/>
          <w:lang w:val="en-US"/>
        </w:rPr>
        <w:t xml:space="preserve">of </w:t>
      </w:r>
      <w:r w:rsidR="00223C85" w:rsidRPr="00C11F21">
        <w:rPr>
          <w:rFonts w:ascii="Book Antiqua" w:hAnsi="Book Antiqua" w:cstheme="minorHAnsi"/>
          <w:sz w:val="24"/>
          <w:szCs w:val="24"/>
          <w:lang w:val="en-US"/>
        </w:rPr>
        <w:t>European Mediterranean origin</w:t>
      </w:r>
      <w:r w:rsidR="002E44E2" w:rsidRPr="00C11F21">
        <w:rPr>
          <w:rFonts w:ascii="Book Antiqua" w:hAnsi="Book Antiqua" w:cstheme="minorHAnsi"/>
          <w:sz w:val="24"/>
          <w:szCs w:val="24"/>
          <w:lang w:val="en-US"/>
        </w:rPr>
        <w:t xml:space="preserve"> </w:t>
      </w:r>
      <w:r w:rsidR="00E0626D" w:rsidRPr="00C11F21">
        <w:rPr>
          <w:rFonts w:ascii="Book Antiqua" w:hAnsi="Book Antiqua" w:cstheme="minorHAnsi"/>
          <w:sz w:val="24"/>
          <w:szCs w:val="24"/>
          <w:lang w:val="en-US"/>
        </w:rPr>
        <w:t>is</w:t>
      </w:r>
      <w:r w:rsidR="002E44E2" w:rsidRPr="00C11F21">
        <w:rPr>
          <w:rFonts w:ascii="Book Antiqua" w:hAnsi="Book Antiqua" w:cstheme="minorHAnsi"/>
          <w:sz w:val="24"/>
          <w:szCs w:val="24"/>
          <w:lang w:val="en-US"/>
        </w:rPr>
        <w:t xml:space="preserve"> prevalent</w:t>
      </w:r>
      <w:r w:rsidR="00BB34A9" w:rsidRPr="00C11F21">
        <w:rPr>
          <w:rFonts w:ascii="Book Antiqua" w:hAnsi="Book Antiqua" w:cstheme="minorHAnsi"/>
          <w:sz w:val="24"/>
          <w:szCs w:val="24"/>
          <w:lang w:val="en-US"/>
        </w:rPr>
        <w:t>.</w:t>
      </w:r>
    </w:p>
    <w:p w14:paraId="5D5E8614" w14:textId="595C5641" w:rsidR="00B813A4" w:rsidRPr="00C11F21" w:rsidRDefault="008F2A6B" w:rsidP="004F4E6E">
      <w:pPr>
        <w:widowControl w:val="0"/>
        <w:autoSpaceDE w:val="0"/>
        <w:autoSpaceDN w:val="0"/>
        <w:adjustRightInd w:val="0"/>
        <w:snapToGrid w:val="0"/>
        <w:spacing w:after="0" w:line="360" w:lineRule="auto"/>
        <w:ind w:firstLineChars="100" w:firstLine="240"/>
        <w:jc w:val="both"/>
        <w:rPr>
          <w:rFonts w:ascii="Book Antiqua" w:hAnsi="Book Antiqua" w:cstheme="minorHAnsi"/>
          <w:sz w:val="24"/>
          <w:szCs w:val="24"/>
          <w:lang w:val="en-US"/>
        </w:rPr>
      </w:pPr>
      <w:r w:rsidRPr="00C11F21">
        <w:rPr>
          <w:rFonts w:ascii="Book Antiqua" w:hAnsi="Book Antiqua" w:cstheme="minorHAnsi"/>
          <w:sz w:val="24"/>
          <w:szCs w:val="24"/>
          <w:lang w:val="en-US"/>
        </w:rPr>
        <w:t>The main aim</w:t>
      </w:r>
      <w:r w:rsidR="00B813A4" w:rsidRPr="00C11F21">
        <w:rPr>
          <w:rFonts w:ascii="Book Antiqua" w:hAnsi="Book Antiqua" w:cstheme="minorHAnsi"/>
          <w:sz w:val="24"/>
          <w:szCs w:val="24"/>
          <w:lang w:val="en-US"/>
        </w:rPr>
        <w:t>s</w:t>
      </w:r>
      <w:r w:rsidRPr="00C11F21">
        <w:rPr>
          <w:rFonts w:ascii="Book Antiqua" w:hAnsi="Book Antiqua" w:cstheme="minorHAnsi"/>
          <w:sz w:val="24"/>
          <w:szCs w:val="24"/>
          <w:lang w:val="en-US"/>
        </w:rPr>
        <w:t xml:space="preserve"> of this study w</w:t>
      </w:r>
      <w:r w:rsidR="00B813A4" w:rsidRPr="00C11F21">
        <w:rPr>
          <w:rFonts w:ascii="Book Antiqua" w:hAnsi="Book Antiqua" w:cstheme="minorHAnsi"/>
          <w:sz w:val="24"/>
          <w:szCs w:val="24"/>
          <w:lang w:val="en-US"/>
        </w:rPr>
        <w:t>ere</w:t>
      </w:r>
      <w:r w:rsidR="004F4E6E" w:rsidRPr="00C11F21">
        <w:rPr>
          <w:rFonts w:ascii="Book Antiqua" w:hAnsi="Book Antiqua" w:cstheme="minorHAnsi" w:hint="eastAsia"/>
          <w:sz w:val="24"/>
          <w:szCs w:val="24"/>
          <w:lang w:val="en-US" w:eastAsia="zh-CN"/>
        </w:rPr>
        <w:t xml:space="preserve"> </w:t>
      </w:r>
      <w:r w:rsidR="002B7485" w:rsidRPr="00C11F21">
        <w:rPr>
          <w:rFonts w:ascii="Book Antiqua" w:hAnsi="Book Antiqua" w:cstheme="minorHAnsi"/>
          <w:sz w:val="24"/>
          <w:szCs w:val="24"/>
          <w:lang w:val="en-US"/>
        </w:rPr>
        <w:t xml:space="preserve">to </w:t>
      </w:r>
      <w:r w:rsidR="00B3261A" w:rsidRPr="00C11F21">
        <w:rPr>
          <w:rFonts w:ascii="Book Antiqua" w:hAnsi="Book Antiqua" w:cstheme="minorHAnsi"/>
          <w:sz w:val="24"/>
          <w:szCs w:val="24"/>
          <w:lang w:val="en-US"/>
        </w:rPr>
        <w:t>a</w:t>
      </w:r>
      <w:r w:rsidR="00D20045" w:rsidRPr="00C11F21">
        <w:rPr>
          <w:rFonts w:ascii="Book Antiqua" w:hAnsi="Book Antiqua" w:cstheme="minorHAnsi"/>
          <w:sz w:val="24"/>
          <w:szCs w:val="24"/>
          <w:lang w:val="en-US"/>
        </w:rPr>
        <w:t>nalyze</w:t>
      </w:r>
      <w:r w:rsidR="005C659B" w:rsidRPr="00C11F21">
        <w:rPr>
          <w:rFonts w:ascii="Book Antiqua" w:hAnsi="Book Antiqua" w:cstheme="minorHAnsi"/>
          <w:sz w:val="24"/>
          <w:szCs w:val="24"/>
          <w:lang w:val="en-US"/>
        </w:rPr>
        <w:t xml:space="preserve"> </w:t>
      </w:r>
      <w:r w:rsidR="009D7D3B" w:rsidRPr="00C11F21">
        <w:rPr>
          <w:rFonts w:ascii="Book Antiqua" w:hAnsi="Book Antiqua" w:cstheme="minorHAnsi"/>
          <w:sz w:val="24"/>
          <w:szCs w:val="24"/>
          <w:lang w:val="en-US"/>
        </w:rPr>
        <w:t>the</w:t>
      </w:r>
      <w:r w:rsidR="005C659B" w:rsidRPr="00C11F21">
        <w:rPr>
          <w:rFonts w:ascii="Book Antiqua" w:hAnsi="Book Antiqua" w:cstheme="minorHAnsi"/>
          <w:sz w:val="24"/>
          <w:szCs w:val="24"/>
          <w:lang w:val="en-US"/>
        </w:rPr>
        <w:t xml:space="preserve"> </w:t>
      </w:r>
      <w:r w:rsidR="003D0EDB" w:rsidRPr="00C11F21">
        <w:rPr>
          <w:rFonts w:ascii="Book Antiqua" w:hAnsi="Book Antiqua" w:cstheme="minorHAnsi"/>
          <w:sz w:val="24"/>
          <w:szCs w:val="24"/>
          <w:lang w:val="en-US"/>
        </w:rPr>
        <w:t xml:space="preserve">variability and conservation of the HBV </w:t>
      </w:r>
      <w:r w:rsidR="00A63E5B" w:rsidRPr="00C11F21">
        <w:rPr>
          <w:rFonts w:ascii="Book Antiqua" w:hAnsi="Book Antiqua" w:cstheme="minorHAnsi"/>
          <w:sz w:val="24"/>
          <w:szCs w:val="24"/>
          <w:lang w:val="en-US"/>
        </w:rPr>
        <w:t>preS1</w:t>
      </w:r>
      <w:r w:rsidR="003D0EDB" w:rsidRPr="00C11F21">
        <w:rPr>
          <w:rFonts w:ascii="Book Antiqua" w:hAnsi="Book Antiqua" w:cstheme="minorHAnsi"/>
          <w:sz w:val="24"/>
          <w:szCs w:val="24"/>
          <w:lang w:val="en-US"/>
        </w:rPr>
        <w:t xml:space="preserve"> region</w:t>
      </w:r>
      <w:r w:rsidR="00A63E5B" w:rsidRPr="00C11F21">
        <w:rPr>
          <w:rFonts w:ascii="Book Antiqua" w:hAnsi="Book Antiqua" w:cstheme="minorHAnsi"/>
          <w:sz w:val="24"/>
          <w:szCs w:val="24"/>
          <w:lang w:val="en-US"/>
        </w:rPr>
        <w:t xml:space="preserve"> </w:t>
      </w:r>
      <w:r w:rsidR="003D0EDB" w:rsidRPr="00C11F21">
        <w:rPr>
          <w:rFonts w:ascii="Book Antiqua" w:hAnsi="Book Antiqua" w:cstheme="minorHAnsi"/>
          <w:sz w:val="24"/>
          <w:szCs w:val="24"/>
          <w:lang w:val="en-US"/>
        </w:rPr>
        <w:t xml:space="preserve">NTCP-interacting domain, </w:t>
      </w:r>
      <w:r w:rsidR="009D7D3B" w:rsidRPr="00C11F21">
        <w:rPr>
          <w:rFonts w:ascii="Book Antiqua" w:hAnsi="Book Antiqua" w:cstheme="minorHAnsi"/>
          <w:sz w:val="24"/>
          <w:szCs w:val="24"/>
          <w:lang w:val="en-US"/>
        </w:rPr>
        <w:t xml:space="preserve">involved in HBV </w:t>
      </w:r>
      <w:r w:rsidR="002B7485" w:rsidRPr="00C11F21">
        <w:rPr>
          <w:rFonts w:ascii="Book Antiqua" w:hAnsi="Book Antiqua" w:cstheme="minorHAnsi"/>
          <w:sz w:val="24"/>
          <w:szCs w:val="24"/>
          <w:lang w:val="en-US"/>
        </w:rPr>
        <w:t>entry into</w:t>
      </w:r>
      <w:r w:rsidR="009D7D3B" w:rsidRPr="00C11F21">
        <w:rPr>
          <w:rFonts w:ascii="Book Antiqua" w:hAnsi="Book Antiqua" w:cstheme="minorHAnsi"/>
          <w:sz w:val="24"/>
          <w:szCs w:val="24"/>
          <w:lang w:val="en-US"/>
        </w:rPr>
        <w:t xml:space="preserve"> </w:t>
      </w:r>
      <w:r w:rsidR="002B7485" w:rsidRPr="00C11F21">
        <w:rPr>
          <w:rFonts w:ascii="Book Antiqua" w:hAnsi="Book Antiqua" w:cstheme="minorHAnsi"/>
          <w:sz w:val="24"/>
          <w:szCs w:val="24"/>
          <w:lang w:val="en-US"/>
        </w:rPr>
        <w:t>h</w:t>
      </w:r>
      <w:r w:rsidR="009D7D3B" w:rsidRPr="00C11F21">
        <w:rPr>
          <w:rFonts w:ascii="Book Antiqua" w:hAnsi="Book Antiqua" w:cstheme="minorHAnsi"/>
          <w:sz w:val="24"/>
          <w:szCs w:val="24"/>
          <w:lang w:val="en-US"/>
        </w:rPr>
        <w:t>epatocytes</w:t>
      </w:r>
      <w:r w:rsidR="002B7485" w:rsidRPr="00C11F21">
        <w:rPr>
          <w:rFonts w:ascii="Book Antiqua" w:hAnsi="Book Antiqua" w:cstheme="minorHAnsi"/>
          <w:sz w:val="24"/>
          <w:szCs w:val="24"/>
          <w:lang w:val="en-US"/>
        </w:rPr>
        <w:t>,</w:t>
      </w:r>
      <w:r w:rsidR="00B813A4" w:rsidRPr="00C11F21">
        <w:rPr>
          <w:rFonts w:ascii="Book Antiqua" w:hAnsi="Book Antiqua" w:cstheme="minorHAnsi"/>
          <w:sz w:val="24"/>
          <w:szCs w:val="24"/>
          <w:lang w:val="en-US"/>
        </w:rPr>
        <w:t xml:space="preserve"> and </w:t>
      </w:r>
      <w:r w:rsidR="002B7485" w:rsidRPr="00C11F21">
        <w:rPr>
          <w:rFonts w:ascii="Book Antiqua" w:hAnsi="Book Antiqua" w:cstheme="minorHAnsi"/>
          <w:sz w:val="24"/>
          <w:szCs w:val="24"/>
          <w:lang w:val="en-US"/>
        </w:rPr>
        <w:t xml:space="preserve">to determine </w:t>
      </w:r>
      <w:r w:rsidR="00B813A4" w:rsidRPr="00C11F21">
        <w:rPr>
          <w:rFonts w:ascii="Book Antiqua" w:hAnsi="Book Antiqua" w:cstheme="minorHAnsi"/>
          <w:sz w:val="24"/>
          <w:szCs w:val="24"/>
          <w:lang w:val="en-US"/>
        </w:rPr>
        <w:t>the prevalence of the rs2296651 SNP</w:t>
      </w:r>
      <w:r w:rsidR="00DB52E9" w:rsidRPr="00C11F21">
        <w:rPr>
          <w:rFonts w:ascii="Book Antiqua" w:hAnsi="Book Antiqua" w:cstheme="minorHAnsi"/>
          <w:sz w:val="24"/>
          <w:szCs w:val="24"/>
          <w:lang w:val="en-US"/>
        </w:rPr>
        <w:t xml:space="preserve">, </w:t>
      </w:r>
      <w:r w:rsidR="003D0EDB" w:rsidRPr="00C11F21">
        <w:rPr>
          <w:rFonts w:ascii="Book Antiqua" w:hAnsi="Book Antiqua" w:cstheme="minorHAnsi"/>
          <w:sz w:val="24"/>
          <w:szCs w:val="24"/>
          <w:lang w:val="en-US"/>
        </w:rPr>
        <w:t xml:space="preserve">causing the S267F NTCP variant, </w:t>
      </w:r>
      <w:r w:rsidR="00B813A4" w:rsidRPr="00C11F21">
        <w:rPr>
          <w:rFonts w:ascii="Book Antiqua" w:hAnsi="Book Antiqua" w:cstheme="minorHAnsi"/>
          <w:sz w:val="24"/>
          <w:szCs w:val="24"/>
          <w:lang w:val="en-US"/>
        </w:rPr>
        <w:t>in a</w:t>
      </w:r>
      <w:r w:rsidR="002B7485" w:rsidRPr="00C11F21">
        <w:rPr>
          <w:rFonts w:ascii="Book Antiqua" w:hAnsi="Book Antiqua" w:cstheme="minorHAnsi"/>
          <w:sz w:val="24"/>
          <w:szCs w:val="24"/>
          <w:lang w:val="en-US"/>
        </w:rPr>
        <w:t>n HBV</w:t>
      </w:r>
      <w:r w:rsidR="00B813A4" w:rsidRPr="00C11F21">
        <w:rPr>
          <w:rFonts w:ascii="Book Antiqua" w:hAnsi="Book Antiqua" w:cstheme="minorHAnsi"/>
          <w:sz w:val="24"/>
          <w:szCs w:val="24"/>
          <w:lang w:val="en-US"/>
        </w:rPr>
        <w:t xml:space="preserve"> patient population from our area (Barcelona, Spain).</w:t>
      </w:r>
    </w:p>
    <w:p w14:paraId="0E4A8A5E" w14:textId="77777777" w:rsidR="00B813A4" w:rsidRPr="00C11F21" w:rsidRDefault="00B813A4" w:rsidP="00F33187">
      <w:pPr>
        <w:widowControl w:val="0"/>
        <w:autoSpaceDE w:val="0"/>
        <w:autoSpaceDN w:val="0"/>
        <w:adjustRightInd w:val="0"/>
        <w:snapToGrid w:val="0"/>
        <w:spacing w:after="0" w:line="360" w:lineRule="auto"/>
        <w:jc w:val="both"/>
        <w:rPr>
          <w:rFonts w:ascii="Book Antiqua" w:hAnsi="Book Antiqua" w:cstheme="minorHAnsi"/>
          <w:sz w:val="24"/>
          <w:szCs w:val="24"/>
          <w:lang w:val="en-US"/>
        </w:rPr>
      </w:pPr>
    </w:p>
    <w:p w14:paraId="7D0ACCE4" w14:textId="77777777" w:rsidR="005C659B" w:rsidRPr="00C11F21" w:rsidRDefault="005C659B" w:rsidP="00F33187">
      <w:pPr>
        <w:widowControl w:val="0"/>
        <w:autoSpaceDE w:val="0"/>
        <w:autoSpaceDN w:val="0"/>
        <w:adjustRightInd w:val="0"/>
        <w:snapToGrid w:val="0"/>
        <w:spacing w:after="0" w:line="360" w:lineRule="auto"/>
        <w:jc w:val="both"/>
        <w:rPr>
          <w:rFonts w:ascii="Book Antiqua" w:hAnsi="Book Antiqua" w:cstheme="minorHAnsi"/>
          <w:b/>
          <w:sz w:val="24"/>
          <w:szCs w:val="24"/>
          <w:lang w:val="en-US"/>
        </w:rPr>
      </w:pPr>
      <w:r w:rsidRPr="00C11F21">
        <w:rPr>
          <w:rFonts w:ascii="Book Antiqua" w:hAnsi="Book Antiqua" w:cstheme="minorHAnsi"/>
          <w:b/>
          <w:sz w:val="24"/>
          <w:szCs w:val="24"/>
          <w:lang w:val="en-US"/>
        </w:rPr>
        <w:t>MATERIALS AND METHODS</w:t>
      </w:r>
    </w:p>
    <w:p w14:paraId="22633965" w14:textId="77777777" w:rsidR="005C659B" w:rsidRPr="00C11F21" w:rsidRDefault="005C659B" w:rsidP="00F33187">
      <w:pPr>
        <w:widowControl w:val="0"/>
        <w:autoSpaceDE w:val="0"/>
        <w:autoSpaceDN w:val="0"/>
        <w:adjustRightInd w:val="0"/>
        <w:snapToGrid w:val="0"/>
        <w:spacing w:after="0" w:line="360" w:lineRule="auto"/>
        <w:ind w:left="284" w:hanging="284"/>
        <w:jc w:val="both"/>
        <w:rPr>
          <w:rFonts w:ascii="Book Antiqua" w:hAnsi="Book Antiqua" w:cstheme="minorHAnsi"/>
          <w:b/>
          <w:i/>
          <w:sz w:val="24"/>
          <w:szCs w:val="24"/>
          <w:lang w:val="en-US"/>
        </w:rPr>
      </w:pPr>
      <w:r w:rsidRPr="00C11F21">
        <w:rPr>
          <w:rFonts w:ascii="Book Antiqua" w:hAnsi="Book Antiqua" w:cstheme="minorHAnsi"/>
          <w:b/>
          <w:i/>
          <w:sz w:val="24"/>
          <w:szCs w:val="24"/>
          <w:lang w:val="en-US"/>
        </w:rPr>
        <w:t>Patients and samples</w:t>
      </w:r>
    </w:p>
    <w:p w14:paraId="539DA731" w14:textId="79177B40" w:rsidR="00D236B7" w:rsidRPr="00C11F21" w:rsidRDefault="00D236B7" w:rsidP="00F33187">
      <w:pPr>
        <w:autoSpaceDE w:val="0"/>
        <w:autoSpaceDN w:val="0"/>
        <w:adjustRightInd w:val="0"/>
        <w:snapToGrid w:val="0"/>
        <w:spacing w:after="0" w:line="360" w:lineRule="auto"/>
        <w:jc w:val="both"/>
        <w:rPr>
          <w:rFonts w:ascii="Book Antiqua" w:hAnsi="Book Antiqua" w:cstheme="minorHAnsi"/>
          <w:sz w:val="24"/>
          <w:szCs w:val="24"/>
          <w:lang w:val="en-US"/>
        </w:rPr>
      </w:pPr>
      <w:r w:rsidRPr="00C11F21">
        <w:rPr>
          <w:rFonts w:ascii="Book Antiqua" w:hAnsi="Book Antiqua" w:cstheme="minorHAnsi"/>
          <w:sz w:val="24"/>
          <w:szCs w:val="24"/>
          <w:lang w:val="en-US"/>
        </w:rPr>
        <w:lastRenderedPageBreak/>
        <w:t xml:space="preserve">The study included 246 </w:t>
      </w:r>
      <w:r w:rsidR="00D66BD5" w:rsidRPr="00C11F21">
        <w:rPr>
          <w:rFonts w:ascii="Book Antiqua" w:hAnsi="Book Antiqua" w:cstheme="minorHAnsi"/>
          <w:sz w:val="24"/>
          <w:szCs w:val="24"/>
          <w:lang w:val="en-US"/>
        </w:rPr>
        <w:t>individuals</w:t>
      </w:r>
      <w:r w:rsidRPr="00C11F21">
        <w:rPr>
          <w:rFonts w:ascii="Book Antiqua" w:hAnsi="Book Antiqua" w:cstheme="minorHAnsi"/>
          <w:sz w:val="24"/>
          <w:szCs w:val="24"/>
          <w:lang w:val="en-US"/>
        </w:rPr>
        <w:t xml:space="preserve"> recruited from the population attending the outpatient clinic of Vall Hebron University Hospital (Barcelona, Spain). The study was approved by the hospital ethics committee and all </w:t>
      </w:r>
      <w:r w:rsidR="00D66BD5" w:rsidRPr="00C11F21">
        <w:rPr>
          <w:rFonts w:ascii="Book Antiqua" w:hAnsi="Book Antiqua" w:cstheme="minorHAnsi"/>
          <w:sz w:val="24"/>
          <w:szCs w:val="24"/>
          <w:lang w:val="en-US"/>
        </w:rPr>
        <w:t>individuals</w:t>
      </w:r>
      <w:r w:rsidRPr="00C11F21">
        <w:rPr>
          <w:rFonts w:ascii="Book Antiqua" w:hAnsi="Book Antiqua" w:cstheme="minorHAnsi"/>
          <w:sz w:val="24"/>
          <w:szCs w:val="24"/>
          <w:lang w:val="en-US"/>
        </w:rPr>
        <w:t xml:space="preserve"> gave informed written consent for participation at enrollment. </w:t>
      </w:r>
      <w:r w:rsidR="00D66BD5" w:rsidRPr="00C11F21">
        <w:rPr>
          <w:rFonts w:ascii="Book Antiqua" w:hAnsi="Book Antiqua" w:cstheme="minorHAnsi"/>
          <w:sz w:val="24"/>
          <w:szCs w:val="24"/>
          <w:lang w:val="en-US"/>
        </w:rPr>
        <w:t>Participants</w:t>
      </w:r>
      <w:r w:rsidRPr="00C11F21">
        <w:rPr>
          <w:rFonts w:ascii="Book Antiqua" w:hAnsi="Book Antiqua" w:cstheme="minorHAnsi"/>
          <w:sz w:val="24"/>
          <w:szCs w:val="24"/>
          <w:lang w:val="en-US"/>
        </w:rPr>
        <w:t xml:space="preserve"> were divided into 3 groups: group A, patients with chronic hepatitis B infection (n=41, CHB); group B, patients testing negative for HBsAg, but positive for antibodies against the hepatitis B core antigen (anti-HBc) (</w:t>
      </w:r>
      <w:r w:rsidRPr="00C11F21">
        <w:rPr>
          <w:rFonts w:ascii="Book Antiqua" w:hAnsi="Book Antiqua" w:cstheme="minorHAnsi"/>
          <w:i/>
          <w:sz w:val="24"/>
          <w:szCs w:val="24"/>
          <w:lang w:val="en-US"/>
        </w:rPr>
        <w:t>n</w:t>
      </w:r>
      <w:r w:rsidR="004F4E6E" w:rsidRPr="00C11F21">
        <w:rPr>
          <w:rFonts w:ascii="Book Antiqua" w:hAnsi="Book Antiqua" w:cstheme="minorHAnsi" w:hint="eastAsia"/>
          <w:sz w:val="24"/>
          <w:szCs w:val="24"/>
          <w:lang w:val="en-US" w:eastAsia="zh-CN"/>
        </w:rPr>
        <w:t xml:space="preserve"> </w:t>
      </w:r>
      <w:r w:rsidRPr="00C11F21">
        <w:rPr>
          <w:rFonts w:ascii="Book Antiqua" w:hAnsi="Book Antiqua" w:cstheme="minorHAnsi"/>
          <w:sz w:val="24"/>
          <w:szCs w:val="24"/>
          <w:lang w:val="en-US"/>
        </w:rPr>
        <w:t>=</w:t>
      </w:r>
      <w:r w:rsidR="004F4E6E" w:rsidRPr="00C11F21">
        <w:rPr>
          <w:rFonts w:ascii="Book Antiqua" w:hAnsi="Book Antiqua" w:cstheme="minorHAnsi" w:hint="eastAsia"/>
          <w:sz w:val="24"/>
          <w:szCs w:val="24"/>
          <w:lang w:val="en-US" w:eastAsia="zh-CN"/>
        </w:rPr>
        <w:t xml:space="preserve"> </w:t>
      </w:r>
      <w:r w:rsidRPr="00C11F21">
        <w:rPr>
          <w:rFonts w:ascii="Book Antiqua" w:hAnsi="Book Antiqua" w:cstheme="minorHAnsi"/>
          <w:sz w:val="24"/>
          <w:szCs w:val="24"/>
          <w:lang w:val="en-US"/>
        </w:rPr>
        <w:t>100, Resolvers); and group C, an HBV-uninfected control group (HBsAg-negative, antiHBc-negative) (</w:t>
      </w:r>
      <w:r w:rsidR="004F4E6E" w:rsidRPr="00C11F21">
        <w:rPr>
          <w:rFonts w:ascii="Book Antiqua" w:hAnsi="Book Antiqua" w:cstheme="minorHAnsi"/>
          <w:i/>
          <w:sz w:val="24"/>
          <w:szCs w:val="24"/>
          <w:lang w:val="en-US"/>
        </w:rPr>
        <w:t>n</w:t>
      </w:r>
      <w:r w:rsidR="004F4E6E" w:rsidRPr="00C11F21">
        <w:rPr>
          <w:rFonts w:ascii="Book Antiqua" w:hAnsi="Book Antiqua" w:cstheme="minorHAnsi"/>
          <w:sz w:val="24"/>
          <w:szCs w:val="24"/>
          <w:lang w:val="en-US"/>
        </w:rPr>
        <w:t xml:space="preserve"> </w:t>
      </w:r>
      <w:r w:rsidRPr="00C11F21">
        <w:rPr>
          <w:rFonts w:ascii="Book Antiqua" w:hAnsi="Book Antiqua" w:cstheme="minorHAnsi"/>
          <w:sz w:val="24"/>
          <w:szCs w:val="24"/>
          <w:lang w:val="en-US"/>
        </w:rPr>
        <w:t>=</w:t>
      </w:r>
      <w:r w:rsidR="004F4E6E" w:rsidRPr="00C11F21">
        <w:rPr>
          <w:rFonts w:ascii="Book Antiqua" w:hAnsi="Book Antiqua" w:cstheme="minorHAnsi" w:hint="eastAsia"/>
          <w:sz w:val="24"/>
          <w:szCs w:val="24"/>
          <w:lang w:val="en-US" w:eastAsia="zh-CN"/>
        </w:rPr>
        <w:t xml:space="preserve"> </w:t>
      </w:r>
      <w:r w:rsidRPr="00C11F21">
        <w:rPr>
          <w:rFonts w:ascii="Book Antiqua" w:hAnsi="Book Antiqua" w:cstheme="minorHAnsi"/>
          <w:sz w:val="24"/>
          <w:szCs w:val="24"/>
          <w:lang w:val="en-US"/>
        </w:rPr>
        <w:t xml:space="preserve">105, Controls). Participants from groups B and C were all Caucasian. </w:t>
      </w:r>
      <w:r w:rsidR="00EF5CFA" w:rsidRPr="00C11F21">
        <w:rPr>
          <w:rFonts w:ascii="Book Antiqua" w:hAnsi="Book Antiqua" w:cstheme="minorHAnsi"/>
          <w:sz w:val="24"/>
          <w:szCs w:val="24"/>
          <w:lang w:val="en-US"/>
        </w:rPr>
        <w:t xml:space="preserve">Ethnic heterogeneity was greater in </w:t>
      </w:r>
      <w:r w:rsidRPr="00C11F21">
        <w:rPr>
          <w:rFonts w:ascii="Book Antiqua" w:hAnsi="Book Antiqua" w:cstheme="minorHAnsi"/>
          <w:sz w:val="24"/>
          <w:szCs w:val="24"/>
          <w:lang w:val="en-US"/>
        </w:rPr>
        <w:t>Group A</w:t>
      </w:r>
      <w:r w:rsidR="00EF5CFA" w:rsidRPr="00C11F21">
        <w:rPr>
          <w:rFonts w:ascii="Book Antiqua" w:hAnsi="Book Antiqua" w:cstheme="minorHAnsi"/>
          <w:sz w:val="24"/>
          <w:szCs w:val="24"/>
          <w:lang w:val="en-US"/>
        </w:rPr>
        <w:t>,</w:t>
      </w:r>
      <w:r w:rsidRPr="00C11F21">
        <w:rPr>
          <w:rFonts w:ascii="Book Antiqua" w:hAnsi="Book Antiqua" w:cstheme="minorHAnsi"/>
          <w:sz w:val="24"/>
          <w:szCs w:val="24"/>
          <w:lang w:val="en-US"/>
        </w:rPr>
        <w:t xml:space="preserve"> with 30/41 (73%) Caucasian, 5/41 Asian (12%), and 6/41 sub-Saharan (15%) </w:t>
      </w:r>
      <w:r w:rsidR="009602CF" w:rsidRPr="00C11F21">
        <w:rPr>
          <w:rFonts w:ascii="Book Antiqua" w:hAnsi="Book Antiqua" w:cstheme="minorHAnsi"/>
          <w:sz w:val="24"/>
          <w:szCs w:val="24"/>
          <w:lang w:val="en-US"/>
        </w:rPr>
        <w:t xml:space="preserve">participants </w:t>
      </w:r>
      <w:r w:rsidRPr="00C11F21">
        <w:rPr>
          <w:rFonts w:ascii="Book Antiqua" w:hAnsi="Book Antiqua" w:cstheme="minorHAnsi"/>
          <w:sz w:val="24"/>
          <w:szCs w:val="24"/>
          <w:lang w:val="en-US"/>
        </w:rPr>
        <w:t>(Table 1).</w:t>
      </w:r>
    </w:p>
    <w:p w14:paraId="133943BF" w14:textId="534D4529" w:rsidR="005C659B" w:rsidRPr="00C11F21" w:rsidRDefault="00EF5CFA" w:rsidP="00F33187">
      <w:pPr>
        <w:autoSpaceDE w:val="0"/>
        <w:autoSpaceDN w:val="0"/>
        <w:adjustRightInd w:val="0"/>
        <w:snapToGrid w:val="0"/>
        <w:spacing w:after="0" w:line="360" w:lineRule="auto"/>
        <w:jc w:val="both"/>
        <w:rPr>
          <w:rFonts w:ascii="Book Antiqua" w:hAnsi="Book Antiqua" w:cstheme="minorHAnsi"/>
          <w:sz w:val="24"/>
          <w:szCs w:val="24"/>
          <w:lang w:val="en-US"/>
        </w:rPr>
      </w:pPr>
      <w:r w:rsidRPr="00C11F21">
        <w:rPr>
          <w:rFonts w:ascii="Book Antiqua" w:hAnsi="Book Antiqua" w:cstheme="minorHAnsi"/>
          <w:sz w:val="24"/>
          <w:szCs w:val="24"/>
          <w:lang w:val="en-US"/>
        </w:rPr>
        <w:t xml:space="preserve">Two </w:t>
      </w:r>
      <w:r w:rsidR="0086377B" w:rsidRPr="00C11F21">
        <w:rPr>
          <w:rFonts w:ascii="Book Antiqua" w:hAnsi="Book Antiqua" w:cstheme="minorHAnsi"/>
          <w:sz w:val="24"/>
          <w:szCs w:val="24"/>
          <w:lang w:val="en-US"/>
        </w:rPr>
        <w:t xml:space="preserve">main </w:t>
      </w:r>
      <w:r w:rsidRPr="00C11F21">
        <w:rPr>
          <w:rFonts w:ascii="Book Antiqua" w:hAnsi="Book Antiqua" w:cstheme="minorHAnsi"/>
          <w:sz w:val="24"/>
          <w:szCs w:val="24"/>
          <w:lang w:val="en-US"/>
        </w:rPr>
        <w:t xml:space="preserve">analyses were performed. </w:t>
      </w:r>
      <w:r w:rsidR="0086377B" w:rsidRPr="00C11F21">
        <w:rPr>
          <w:rFonts w:ascii="Book Antiqua" w:hAnsi="Book Antiqua" w:cstheme="minorHAnsi"/>
          <w:sz w:val="24"/>
          <w:szCs w:val="24"/>
          <w:lang w:val="en-US"/>
        </w:rPr>
        <w:t>First, t</w:t>
      </w:r>
      <w:r w:rsidR="009602CF" w:rsidRPr="00C11F21">
        <w:rPr>
          <w:rFonts w:ascii="Book Antiqua" w:hAnsi="Book Antiqua" w:cstheme="minorHAnsi"/>
          <w:sz w:val="24"/>
          <w:szCs w:val="24"/>
          <w:lang w:val="en-US"/>
        </w:rPr>
        <w:t>he v</w:t>
      </w:r>
      <w:r w:rsidR="00277217" w:rsidRPr="00C11F21">
        <w:rPr>
          <w:rFonts w:ascii="Book Antiqua" w:hAnsi="Book Antiqua" w:cstheme="minorHAnsi"/>
          <w:sz w:val="24"/>
          <w:szCs w:val="24"/>
          <w:lang w:val="en-US"/>
        </w:rPr>
        <w:t xml:space="preserve">ariability and conservation of </w:t>
      </w:r>
      <w:r w:rsidRPr="00C11F21">
        <w:rPr>
          <w:rFonts w:ascii="Book Antiqua" w:hAnsi="Book Antiqua" w:cstheme="minorHAnsi"/>
          <w:sz w:val="24"/>
          <w:szCs w:val="24"/>
          <w:lang w:val="en-US"/>
        </w:rPr>
        <w:t xml:space="preserve">the </w:t>
      </w:r>
      <w:r w:rsidR="00277217" w:rsidRPr="00C11F21">
        <w:rPr>
          <w:rFonts w:ascii="Book Antiqua" w:hAnsi="Book Antiqua" w:cstheme="minorHAnsi"/>
          <w:sz w:val="24"/>
          <w:szCs w:val="24"/>
          <w:lang w:val="en-US"/>
        </w:rPr>
        <w:t>preS1</w:t>
      </w:r>
      <w:r w:rsidR="00893761" w:rsidRPr="00C11F21">
        <w:rPr>
          <w:rFonts w:ascii="Book Antiqua" w:hAnsi="Book Antiqua" w:cstheme="minorHAnsi"/>
          <w:sz w:val="24"/>
          <w:szCs w:val="24"/>
          <w:lang w:val="en-US"/>
        </w:rPr>
        <w:t xml:space="preserve"> </w:t>
      </w:r>
      <w:r w:rsidR="00320909" w:rsidRPr="00C11F21">
        <w:rPr>
          <w:rFonts w:ascii="Book Antiqua" w:hAnsi="Book Antiqua" w:cstheme="minorHAnsi"/>
          <w:sz w:val="24"/>
          <w:szCs w:val="24"/>
          <w:lang w:val="en-US"/>
        </w:rPr>
        <w:t xml:space="preserve">region </w:t>
      </w:r>
      <w:r w:rsidR="00842C00" w:rsidRPr="00C11F21">
        <w:rPr>
          <w:rFonts w:ascii="Book Antiqua" w:hAnsi="Book Antiqua" w:cstheme="minorHAnsi"/>
          <w:sz w:val="24"/>
          <w:szCs w:val="24"/>
          <w:lang w:val="en-US"/>
        </w:rPr>
        <w:t>of LHB</w:t>
      </w:r>
      <w:r w:rsidR="001209D0" w:rsidRPr="00C11F21">
        <w:rPr>
          <w:rFonts w:ascii="Book Antiqua" w:hAnsi="Book Antiqua" w:cstheme="minorHAnsi"/>
          <w:sz w:val="24"/>
          <w:szCs w:val="24"/>
          <w:lang w:val="en-US"/>
        </w:rPr>
        <w:t>s</w:t>
      </w:r>
      <w:r w:rsidR="00842C00" w:rsidRPr="00C11F21">
        <w:rPr>
          <w:rFonts w:ascii="Book Antiqua" w:hAnsi="Book Antiqua" w:cstheme="minorHAnsi"/>
          <w:sz w:val="24"/>
          <w:szCs w:val="24"/>
          <w:lang w:val="en-US"/>
        </w:rPr>
        <w:t xml:space="preserve"> </w:t>
      </w:r>
      <w:r w:rsidR="00277217" w:rsidRPr="00C11F21">
        <w:rPr>
          <w:rFonts w:ascii="Book Antiqua" w:hAnsi="Book Antiqua" w:cstheme="minorHAnsi"/>
          <w:sz w:val="24"/>
          <w:szCs w:val="24"/>
          <w:lang w:val="en-US"/>
        </w:rPr>
        <w:t xml:space="preserve">was analyzed </w:t>
      </w:r>
      <w:r w:rsidR="004855A8" w:rsidRPr="00C11F21">
        <w:rPr>
          <w:rFonts w:ascii="Book Antiqua" w:hAnsi="Book Antiqua" w:cstheme="minorHAnsi"/>
          <w:sz w:val="24"/>
          <w:szCs w:val="24"/>
          <w:lang w:val="en-US"/>
        </w:rPr>
        <w:t xml:space="preserve">in </w:t>
      </w:r>
      <w:r w:rsidRPr="00C11F21">
        <w:rPr>
          <w:rFonts w:ascii="Book Antiqua" w:hAnsi="Book Antiqua" w:cstheme="minorHAnsi"/>
          <w:sz w:val="24"/>
          <w:szCs w:val="24"/>
          <w:lang w:val="en-US"/>
        </w:rPr>
        <w:t>the 1</w:t>
      </w:r>
      <w:r w:rsidR="004855A8" w:rsidRPr="00C11F21">
        <w:rPr>
          <w:rFonts w:ascii="Book Antiqua" w:hAnsi="Book Antiqua" w:cstheme="minorHAnsi"/>
          <w:sz w:val="24"/>
          <w:szCs w:val="24"/>
          <w:lang w:val="en-US"/>
        </w:rPr>
        <w:t xml:space="preserve">8 </w:t>
      </w:r>
      <w:r w:rsidRPr="00C11F21">
        <w:rPr>
          <w:rFonts w:ascii="Book Antiqua" w:hAnsi="Book Antiqua" w:cstheme="minorHAnsi"/>
          <w:sz w:val="24"/>
          <w:szCs w:val="24"/>
          <w:lang w:val="en-US"/>
        </w:rPr>
        <w:t xml:space="preserve">patient samples from </w:t>
      </w:r>
      <w:r w:rsidR="00FD5C85" w:rsidRPr="00C11F21">
        <w:rPr>
          <w:rFonts w:ascii="Book Antiqua" w:hAnsi="Book Antiqua" w:cstheme="minorHAnsi"/>
          <w:sz w:val="24"/>
          <w:szCs w:val="24"/>
          <w:lang w:val="en-US"/>
        </w:rPr>
        <w:t>G</w:t>
      </w:r>
      <w:r w:rsidR="00D236B7" w:rsidRPr="00C11F21">
        <w:rPr>
          <w:rFonts w:ascii="Book Antiqua" w:hAnsi="Book Antiqua" w:cstheme="minorHAnsi"/>
          <w:sz w:val="24"/>
          <w:szCs w:val="24"/>
          <w:lang w:val="en-US"/>
        </w:rPr>
        <w:t xml:space="preserve">roup </w:t>
      </w:r>
      <w:r w:rsidRPr="00C11F21">
        <w:rPr>
          <w:rFonts w:ascii="Book Antiqua" w:hAnsi="Book Antiqua" w:cstheme="minorHAnsi"/>
          <w:sz w:val="24"/>
          <w:szCs w:val="24"/>
          <w:lang w:val="en-US"/>
        </w:rPr>
        <w:t xml:space="preserve">A with a viral load greater than </w:t>
      </w:r>
      <w:r w:rsidR="004F4E6E" w:rsidRPr="00C11F21">
        <w:rPr>
          <w:rFonts w:ascii="Book Antiqua" w:hAnsi="Book Antiqua" w:cstheme="minorHAnsi" w:hint="eastAsia"/>
          <w:sz w:val="24"/>
          <w:szCs w:val="24"/>
          <w:lang w:val="en-US" w:eastAsia="zh-CN"/>
        </w:rPr>
        <w:t xml:space="preserve"> </w:t>
      </w:r>
      <w:r w:rsidR="004855A8" w:rsidRPr="00C11F21">
        <w:rPr>
          <w:rFonts w:ascii="Book Antiqua" w:hAnsi="Book Antiqua" w:cstheme="minorHAnsi"/>
          <w:sz w:val="24"/>
          <w:szCs w:val="24"/>
          <w:lang w:val="en-US"/>
        </w:rPr>
        <w:t>&gt;</w:t>
      </w:r>
      <w:r w:rsidR="0086098F" w:rsidRPr="00C11F21">
        <w:rPr>
          <w:rFonts w:ascii="Book Antiqua" w:hAnsi="Book Antiqua" w:cstheme="minorHAnsi" w:hint="eastAsia"/>
          <w:sz w:val="24"/>
          <w:szCs w:val="24"/>
          <w:lang w:val="en-US" w:eastAsia="zh-CN"/>
        </w:rPr>
        <w:t xml:space="preserve"> </w:t>
      </w:r>
      <w:r w:rsidR="004855A8" w:rsidRPr="00C11F21">
        <w:rPr>
          <w:rFonts w:ascii="Book Antiqua" w:hAnsi="Book Antiqua" w:cstheme="minorHAnsi"/>
          <w:sz w:val="24"/>
          <w:szCs w:val="24"/>
          <w:lang w:val="en-US"/>
        </w:rPr>
        <w:t>4 logIU/mL</w:t>
      </w:r>
      <w:r w:rsidR="002B7485" w:rsidRPr="00C11F21">
        <w:rPr>
          <w:rFonts w:ascii="Book Antiqua" w:hAnsi="Book Antiqua" w:cstheme="minorHAnsi"/>
          <w:sz w:val="24"/>
          <w:szCs w:val="24"/>
          <w:lang w:val="en-US"/>
        </w:rPr>
        <w:t>. This is</w:t>
      </w:r>
      <w:r w:rsidR="004855A8" w:rsidRPr="00C11F21">
        <w:rPr>
          <w:rFonts w:ascii="Book Antiqua" w:hAnsi="Book Antiqua" w:cstheme="minorHAnsi"/>
          <w:sz w:val="24"/>
          <w:szCs w:val="24"/>
          <w:lang w:val="en-US"/>
        </w:rPr>
        <w:t xml:space="preserve"> </w:t>
      </w:r>
      <w:r w:rsidRPr="00C11F21">
        <w:rPr>
          <w:rFonts w:ascii="Book Antiqua" w:hAnsi="Book Antiqua" w:cstheme="minorHAnsi"/>
          <w:sz w:val="24"/>
          <w:szCs w:val="24"/>
          <w:lang w:val="en-US"/>
        </w:rPr>
        <w:t xml:space="preserve">the </w:t>
      </w:r>
      <w:r w:rsidR="004855A8" w:rsidRPr="00C11F21">
        <w:rPr>
          <w:rFonts w:ascii="Book Antiqua" w:hAnsi="Book Antiqua" w:cstheme="minorHAnsi"/>
          <w:sz w:val="24"/>
          <w:szCs w:val="24"/>
          <w:lang w:val="en-US"/>
        </w:rPr>
        <w:t>sensitivity limit of the PCR</w:t>
      </w:r>
      <w:r w:rsidR="00CA5688" w:rsidRPr="00C11F21">
        <w:rPr>
          <w:rFonts w:ascii="Book Antiqua" w:hAnsi="Book Antiqua" w:cstheme="minorHAnsi"/>
          <w:sz w:val="24"/>
          <w:szCs w:val="24"/>
          <w:lang w:val="en-US"/>
        </w:rPr>
        <w:t xml:space="preserve"> to amplify that region</w:t>
      </w:r>
      <w:r w:rsidR="00320909" w:rsidRPr="00C11F21">
        <w:rPr>
          <w:rFonts w:ascii="Book Antiqua" w:hAnsi="Book Antiqua" w:cstheme="minorHAnsi"/>
          <w:sz w:val="24"/>
          <w:szCs w:val="24"/>
          <w:lang w:val="en-US"/>
        </w:rPr>
        <w:t>. Then we determined the sequence of preS1</w:t>
      </w:r>
      <w:r w:rsidR="00D236B7" w:rsidRPr="00C11F21">
        <w:rPr>
          <w:rFonts w:ascii="Book Antiqua" w:hAnsi="Book Antiqua" w:cstheme="minorHAnsi"/>
          <w:sz w:val="24"/>
          <w:szCs w:val="24"/>
          <w:lang w:val="en-US"/>
        </w:rPr>
        <w:t xml:space="preserve"> </w:t>
      </w:r>
      <w:r w:rsidR="004855A8" w:rsidRPr="00C11F21">
        <w:rPr>
          <w:rFonts w:ascii="Book Antiqua" w:hAnsi="Book Antiqua" w:cstheme="minorHAnsi"/>
          <w:sz w:val="24"/>
          <w:szCs w:val="24"/>
          <w:lang w:val="en-US"/>
        </w:rPr>
        <w:t>by next-generation sequencing (NGS) based on ultra-deep pyrosequencing (UDPS) on the GS-Junior platform (454</w:t>
      </w:r>
      <w:r w:rsidR="004855A8" w:rsidRPr="00C11F21">
        <w:rPr>
          <w:rFonts w:ascii="Book Antiqua" w:hAnsi="Book Antiqua" w:cs="Arial"/>
          <w:sz w:val="24"/>
          <w:szCs w:val="24"/>
          <w:lang w:val="en-US"/>
        </w:rPr>
        <w:t xml:space="preserve"> Life sciences</w:t>
      </w:r>
      <w:r w:rsidR="004855A8" w:rsidRPr="00C11F21">
        <w:rPr>
          <w:rFonts w:ascii="Book Antiqua" w:hAnsi="Book Antiqua" w:cstheme="minorHAnsi"/>
          <w:sz w:val="24"/>
          <w:szCs w:val="24"/>
          <w:lang w:val="en-US"/>
        </w:rPr>
        <w:t>-Roche</w:t>
      </w:r>
      <w:r w:rsidR="004855A8" w:rsidRPr="00C11F21">
        <w:rPr>
          <w:rFonts w:ascii="Book Antiqua" w:hAnsi="Book Antiqua" w:cs="Arial"/>
          <w:sz w:val="24"/>
          <w:szCs w:val="24"/>
          <w:lang w:val="en-US"/>
        </w:rPr>
        <w:t>, Branford, U</w:t>
      </w:r>
      <w:r w:rsidR="004F4E6E" w:rsidRPr="00C11F21">
        <w:rPr>
          <w:rFonts w:ascii="Book Antiqua" w:hAnsi="Book Antiqua" w:cs="Arial" w:hint="eastAsia"/>
          <w:sz w:val="24"/>
          <w:szCs w:val="24"/>
          <w:lang w:val="en-US" w:eastAsia="zh-CN"/>
        </w:rPr>
        <w:t>nited States</w:t>
      </w:r>
      <w:r w:rsidR="004855A8" w:rsidRPr="00C11F21">
        <w:rPr>
          <w:rFonts w:ascii="Book Antiqua" w:hAnsi="Book Antiqua" w:cstheme="minorHAnsi"/>
          <w:sz w:val="24"/>
          <w:szCs w:val="24"/>
          <w:lang w:val="en-US"/>
        </w:rPr>
        <w:t xml:space="preserve">). All 18 patients were treatment-naïve and tested negative for </w:t>
      </w:r>
      <w:r w:rsidR="00CC1B25" w:rsidRPr="00C11F21">
        <w:rPr>
          <w:rFonts w:ascii="Book Antiqua" w:hAnsi="Book Antiqua" w:cstheme="minorHAnsi"/>
          <w:sz w:val="24"/>
          <w:szCs w:val="24"/>
          <w:lang w:val="en-US"/>
        </w:rPr>
        <w:t>hepatitis D virus (</w:t>
      </w:r>
      <w:r w:rsidR="004855A8" w:rsidRPr="00C11F21">
        <w:rPr>
          <w:rFonts w:ascii="Book Antiqua" w:hAnsi="Book Antiqua" w:cstheme="minorHAnsi"/>
          <w:sz w:val="24"/>
          <w:szCs w:val="24"/>
          <w:lang w:val="en-US"/>
        </w:rPr>
        <w:t>HDV</w:t>
      </w:r>
      <w:r w:rsidR="00CC1B25" w:rsidRPr="00C11F21">
        <w:rPr>
          <w:rFonts w:ascii="Book Antiqua" w:hAnsi="Book Antiqua" w:cstheme="minorHAnsi"/>
          <w:sz w:val="24"/>
          <w:szCs w:val="24"/>
          <w:lang w:val="en-US"/>
        </w:rPr>
        <w:t>)</w:t>
      </w:r>
      <w:r w:rsidR="004855A8" w:rsidRPr="00C11F21">
        <w:rPr>
          <w:rFonts w:ascii="Book Antiqua" w:hAnsi="Book Antiqua" w:cstheme="minorHAnsi"/>
          <w:sz w:val="24"/>
          <w:szCs w:val="24"/>
          <w:lang w:val="en-US"/>
        </w:rPr>
        <w:t>, hepatitis C virus (HCV), and human immunodeficiency virus (HIV). The demographic, biochemical, and virological characteristics of these patients are shown in Table 2.</w:t>
      </w:r>
      <w:r w:rsidR="00893761" w:rsidRPr="00C11F21">
        <w:rPr>
          <w:rFonts w:ascii="Book Antiqua" w:hAnsi="Book Antiqua" w:cstheme="minorHAnsi"/>
          <w:sz w:val="24"/>
          <w:szCs w:val="24"/>
          <w:lang w:val="en-US"/>
        </w:rPr>
        <w:t xml:space="preserve"> </w:t>
      </w:r>
      <w:r w:rsidR="0086377B" w:rsidRPr="00C11F21">
        <w:rPr>
          <w:rFonts w:ascii="Book Antiqua" w:hAnsi="Book Antiqua" w:cstheme="minorHAnsi"/>
          <w:sz w:val="24"/>
          <w:szCs w:val="24"/>
          <w:lang w:val="en-US"/>
        </w:rPr>
        <w:t>Second, t</w:t>
      </w:r>
      <w:r w:rsidR="005C659B" w:rsidRPr="00C11F21">
        <w:rPr>
          <w:rFonts w:ascii="Book Antiqua" w:hAnsi="Book Antiqua" w:cstheme="minorHAnsi"/>
          <w:sz w:val="24"/>
          <w:szCs w:val="24"/>
          <w:lang w:val="en-US"/>
        </w:rPr>
        <w:t xml:space="preserve">he </w:t>
      </w:r>
      <w:r w:rsidR="00EA25CE" w:rsidRPr="00C11F21">
        <w:rPr>
          <w:rFonts w:ascii="Book Antiqua" w:hAnsi="Book Antiqua" w:cstheme="minorHAnsi"/>
          <w:sz w:val="24"/>
          <w:szCs w:val="24"/>
          <w:lang w:val="en-US"/>
        </w:rPr>
        <w:t xml:space="preserve">rs2296651 </w:t>
      </w:r>
      <w:r w:rsidR="005C659B" w:rsidRPr="00C11F21">
        <w:rPr>
          <w:rFonts w:ascii="Book Antiqua" w:hAnsi="Book Antiqua" w:cstheme="minorHAnsi"/>
          <w:sz w:val="24"/>
          <w:szCs w:val="24"/>
          <w:lang w:val="en-US"/>
        </w:rPr>
        <w:t xml:space="preserve">SNP (S267F) was determined in all 246 </w:t>
      </w:r>
      <w:r w:rsidR="002B7485" w:rsidRPr="00C11F21">
        <w:rPr>
          <w:rFonts w:ascii="Book Antiqua" w:hAnsi="Book Antiqua" w:cstheme="minorHAnsi"/>
          <w:sz w:val="24"/>
          <w:szCs w:val="24"/>
          <w:lang w:val="en-US"/>
        </w:rPr>
        <w:t>individuals</w:t>
      </w:r>
      <w:r w:rsidRPr="00C11F21">
        <w:rPr>
          <w:rFonts w:ascii="Book Antiqua" w:hAnsi="Book Antiqua" w:cstheme="minorHAnsi"/>
          <w:sz w:val="24"/>
          <w:szCs w:val="24"/>
          <w:lang w:val="en-US"/>
        </w:rPr>
        <w:t xml:space="preserve"> comprising the 3 groups</w:t>
      </w:r>
      <w:r w:rsidR="00893761" w:rsidRPr="00C11F21">
        <w:rPr>
          <w:rFonts w:ascii="Book Antiqua" w:hAnsi="Book Antiqua" w:cstheme="minorHAnsi"/>
          <w:sz w:val="24"/>
          <w:szCs w:val="24"/>
          <w:lang w:val="en-US"/>
        </w:rPr>
        <w:t xml:space="preserve"> following a previously described </w:t>
      </w:r>
      <w:r w:rsidR="00571F4E" w:rsidRPr="00C11F21">
        <w:rPr>
          <w:rFonts w:ascii="Book Antiqua" w:hAnsi="Book Antiqua" w:cstheme="minorHAnsi"/>
          <w:sz w:val="24"/>
          <w:szCs w:val="24"/>
          <w:lang w:val="en-US"/>
        </w:rPr>
        <w:t xml:space="preserve">in-house developed </w:t>
      </w:r>
      <w:r w:rsidR="00893761" w:rsidRPr="00C11F21">
        <w:rPr>
          <w:rFonts w:ascii="Book Antiqua" w:hAnsi="Book Antiqua" w:cstheme="minorHAnsi"/>
          <w:sz w:val="24"/>
          <w:szCs w:val="24"/>
          <w:lang w:val="en-US"/>
        </w:rPr>
        <w:t>protocol to detect SNPs in human serum samples</w:t>
      </w:r>
      <w:r w:rsidR="004F4E6E" w:rsidRPr="00C11F21">
        <w:rPr>
          <w:rFonts w:ascii="Book Antiqua" w:hAnsi="Book Antiqua" w:cstheme="minorHAnsi"/>
          <w:sz w:val="24"/>
          <w:szCs w:val="24"/>
          <w:lang w:val="en-US"/>
        </w:rPr>
        <w:fldChar w:fldCharType="begin" w:fldLock="1"/>
      </w:r>
      <w:r w:rsidR="004F4E6E" w:rsidRPr="00C11F21">
        <w:rPr>
          <w:rFonts w:ascii="Book Antiqua" w:hAnsi="Book Antiqua" w:cstheme="minorHAnsi"/>
          <w:sz w:val="24"/>
          <w:szCs w:val="24"/>
          <w:lang w:val="en-US"/>
        </w:rPr>
        <w:instrText>ADDIN CSL_CITATION { "citationItems" : [ { "id" : "ITEM-1", "itemData" : { "DOI" : "10.1515/cclm-2015-0297", "ISSN" : "14374331", "PMID" : "26154193", "abstract" : "BACKGROUND: \u03b11-Antitrypsin deficiency (AATD) is an autosomal codominant disorder associated with a high risk of developing lung and liver disease. The most common deficient alleles are known as Z and S. However, another deficient variant, called Mmalton, which causes a deficiency similar to variant Z, is considered to be the second cause of severe AATD in Spain. Nevertheless, the Mmalton allele is not recognizable by usual diagnostic techniques and therefore, its real prevalence is underestimated. We describe a rapid real-time PCR and melting curves assay designed for the detection of Mmalton AATD.\\n\\nMETHODS: We tested the applicability of this new technique for the identification of the Mmalton allele in AATD screening using whole blood, dried blood spot (DBS) and serum samples. Mmalton heterozygote and homozygote samples and samples without this allele were included in the study.\\n\\nRESULTS: This new assay is able to detect homozygous and heterozygous genotypes in the same reaction and in a single step, giving matching results with those obtained by SERPINA1 gene sequencing.\\n\\nCONCLUSIONS: This technology is optimal for working with small amounts of DNA, such as in DBS and even with residual DNA present in serum samples, allowing improvement in routine algorithms of AATD diagnosis or large-scale screening. This method will be useful for obtaining more in depth knowledge of the real incidence of the Mmalton variant.", "author" : [ { "dropping-particle" : "", "family" : "Belmonte", "given" : "Irene", "non-dropping-particle" : "", "parse-names" : false, "suffix" : "" }, { "dropping-particle" : "", "family" : "Montoto", "given" : "Luciana", "non-dropping-particle" : "", "parse-names" : false, "suffix" : "" }, { "dropping-particle" : "", "family" : "Miravitlles", "given" : "Marc", "non-dropping-particle" : "", "parse-names" : false, "suffix" : "" }, { "dropping-particle" : "", "family" : "Barrecheguren", "given" : "Miriam", "non-dropping-particle" : "", "parse-names" : false, "suffix" : "" }, { "dropping-particle" : "", "family" : "Esquinas", "given" : "Cristina", "non-dropping-particle" : "", "parse-names" : false, "suffix" : "" }, { "dropping-particle" : "", "family" : "Rodr\u00edguez", "given" : "Esther", "non-dropping-particle" : "", "parse-names" : false, "suffix" : "" }, { "dropping-particle" : "", "family" : "Giralt", "given" : "Marina", "non-dropping-particle" : "", "parse-names" : false, "suffix" : "" }, { "dropping-particle" : "", "family" : "Rodr\u00edguez-Fr\u00edas", "given" : "Francisco", "non-dropping-particle" : "", "parse-names" : false, "suffix" : "" } ], "container-title" : "Clinical Chemistry and Laboratory Medicine", "id" : "ITEM-1", "issue" : "2", "issued" : { "date-parts" : [ [ "2016" ] ] }, "page" : "241-248", "title" : "Rapid detection of Mmalton \u03b11-antitrypsin deficiency allele by real-time PCR and melting curves in whole blood, serum and dried blood spot samples", "type" : "article-journal", "volume" : "54" }, "uris" : [ "http://www.mendeley.com/documents/?uuid=2a8fd53d-73b1-43e2-a586-742359a8da4d" ] } ], "mendeley" : { "formattedCitation" : "&lt;sup&gt;[27]&lt;/sup&gt;", "plainTextFormattedCitation" : "[27]", "previouslyFormattedCitation" : "&lt;sup&gt;[28]&lt;/sup&gt;" }, "properties" : {  }, "schema" : "https://github.com/citation-style-language/schema/raw/master/csl-citation.json" }</w:instrText>
      </w:r>
      <w:r w:rsidR="004F4E6E" w:rsidRPr="00C11F21">
        <w:rPr>
          <w:rFonts w:ascii="Book Antiqua" w:hAnsi="Book Antiqua" w:cstheme="minorHAnsi"/>
          <w:sz w:val="24"/>
          <w:szCs w:val="24"/>
          <w:lang w:val="en-US"/>
        </w:rPr>
        <w:fldChar w:fldCharType="separate"/>
      </w:r>
      <w:r w:rsidR="004F4E6E" w:rsidRPr="00C11F21">
        <w:rPr>
          <w:rFonts w:ascii="Book Antiqua" w:hAnsi="Book Antiqua" w:cstheme="minorHAnsi"/>
          <w:noProof/>
          <w:sz w:val="24"/>
          <w:szCs w:val="24"/>
          <w:vertAlign w:val="superscript"/>
          <w:lang w:val="en-US"/>
        </w:rPr>
        <w:t>[27]</w:t>
      </w:r>
      <w:r w:rsidR="004F4E6E" w:rsidRPr="00C11F21">
        <w:rPr>
          <w:rFonts w:ascii="Book Antiqua" w:hAnsi="Book Antiqua" w:cstheme="minorHAnsi"/>
          <w:sz w:val="24"/>
          <w:szCs w:val="24"/>
          <w:lang w:val="en-US"/>
        </w:rPr>
        <w:fldChar w:fldCharType="end"/>
      </w:r>
      <w:r w:rsidR="00893761" w:rsidRPr="00C11F21">
        <w:rPr>
          <w:rFonts w:ascii="Book Antiqua" w:hAnsi="Book Antiqua" w:cstheme="minorHAnsi"/>
          <w:sz w:val="24"/>
          <w:szCs w:val="24"/>
          <w:lang w:val="en-US"/>
        </w:rPr>
        <w:t>.</w:t>
      </w:r>
      <w:r w:rsidR="004F4E6E" w:rsidRPr="00C11F21">
        <w:rPr>
          <w:rFonts w:ascii="Book Antiqua" w:hAnsi="Book Antiqua" w:cstheme="minorHAnsi" w:hint="eastAsia"/>
          <w:sz w:val="24"/>
          <w:szCs w:val="24"/>
          <w:lang w:val="en-US" w:eastAsia="zh-CN"/>
        </w:rPr>
        <w:t xml:space="preserve"> </w:t>
      </w:r>
      <w:r w:rsidR="005C659B" w:rsidRPr="00C11F21">
        <w:rPr>
          <w:rFonts w:ascii="Book Antiqua" w:hAnsi="Book Antiqua" w:cstheme="minorHAnsi"/>
          <w:sz w:val="24"/>
          <w:szCs w:val="24"/>
          <w:lang w:val="en-US"/>
        </w:rPr>
        <w:t xml:space="preserve">To avoid the </w:t>
      </w:r>
      <w:r w:rsidR="00EA25CE" w:rsidRPr="00C11F21">
        <w:rPr>
          <w:rFonts w:ascii="Book Antiqua" w:hAnsi="Book Antiqua" w:cstheme="minorHAnsi"/>
          <w:sz w:val="24"/>
          <w:szCs w:val="24"/>
          <w:lang w:val="en-US"/>
        </w:rPr>
        <w:t>discomfort</w:t>
      </w:r>
      <w:r w:rsidR="005C659B" w:rsidRPr="00C11F21">
        <w:rPr>
          <w:rFonts w:ascii="Book Antiqua" w:hAnsi="Book Antiqua" w:cstheme="minorHAnsi"/>
          <w:sz w:val="24"/>
          <w:szCs w:val="24"/>
          <w:lang w:val="en-US"/>
        </w:rPr>
        <w:t xml:space="preserve"> of additional blood drawing, 1 mL of serum from samples obtained for routine clinical analysis was used for </w:t>
      </w:r>
      <w:r w:rsidR="00893761" w:rsidRPr="00C11F21">
        <w:rPr>
          <w:rFonts w:ascii="Book Antiqua" w:hAnsi="Book Antiqua" w:cstheme="minorHAnsi"/>
          <w:sz w:val="24"/>
          <w:szCs w:val="24"/>
          <w:lang w:val="en-US"/>
        </w:rPr>
        <w:t>all analyses.</w:t>
      </w:r>
      <w:r w:rsidR="00A975ED" w:rsidRPr="00C11F21">
        <w:rPr>
          <w:rFonts w:ascii="Book Antiqua" w:hAnsi="Book Antiqua" w:cstheme="minorHAnsi"/>
          <w:sz w:val="24"/>
          <w:szCs w:val="24"/>
          <w:lang w:val="en-US"/>
        </w:rPr>
        <w:t xml:space="preserve"> </w:t>
      </w:r>
    </w:p>
    <w:p w14:paraId="16E8B747" w14:textId="77777777" w:rsidR="005C659B" w:rsidRPr="00C11F21" w:rsidRDefault="005C659B" w:rsidP="00F33187">
      <w:pPr>
        <w:snapToGrid w:val="0"/>
        <w:spacing w:after="0" w:line="360" w:lineRule="auto"/>
        <w:jc w:val="both"/>
        <w:rPr>
          <w:rFonts w:ascii="Book Antiqua" w:hAnsi="Book Antiqua" w:cstheme="minorHAnsi"/>
          <w:sz w:val="24"/>
          <w:szCs w:val="24"/>
          <w:lang w:val="en-US"/>
        </w:rPr>
      </w:pPr>
    </w:p>
    <w:p w14:paraId="78CBDDCE" w14:textId="77777777" w:rsidR="005C659B" w:rsidRPr="00C11F21" w:rsidRDefault="005C659B" w:rsidP="00F33187">
      <w:pPr>
        <w:autoSpaceDE w:val="0"/>
        <w:autoSpaceDN w:val="0"/>
        <w:adjustRightInd w:val="0"/>
        <w:snapToGrid w:val="0"/>
        <w:spacing w:after="0" w:line="360" w:lineRule="auto"/>
        <w:jc w:val="both"/>
        <w:rPr>
          <w:rFonts w:ascii="Book Antiqua" w:hAnsi="Book Antiqua" w:cstheme="minorHAnsi"/>
          <w:b/>
          <w:i/>
          <w:sz w:val="24"/>
          <w:szCs w:val="24"/>
          <w:lang w:val="en-US"/>
        </w:rPr>
      </w:pPr>
      <w:r w:rsidRPr="00C11F21">
        <w:rPr>
          <w:rFonts w:ascii="Book Antiqua" w:hAnsi="Book Antiqua" w:cstheme="minorHAnsi"/>
          <w:b/>
          <w:i/>
          <w:sz w:val="24"/>
          <w:szCs w:val="24"/>
          <w:lang w:val="en-US"/>
        </w:rPr>
        <w:t>Serological and virological determinations</w:t>
      </w:r>
    </w:p>
    <w:p w14:paraId="40091ED3" w14:textId="77777777" w:rsidR="005C659B" w:rsidRPr="00C11F21" w:rsidRDefault="005C659B" w:rsidP="00F33187">
      <w:pPr>
        <w:autoSpaceDE w:val="0"/>
        <w:autoSpaceDN w:val="0"/>
        <w:adjustRightInd w:val="0"/>
        <w:snapToGrid w:val="0"/>
        <w:spacing w:after="0" w:line="360" w:lineRule="auto"/>
        <w:jc w:val="both"/>
        <w:rPr>
          <w:rFonts w:ascii="Book Antiqua" w:hAnsi="Book Antiqua" w:cstheme="minorHAnsi"/>
          <w:sz w:val="24"/>
          <w:szCs w:val="24"/>
          <w:lang w:val="en-US"/>
        </w:rPr>
      </w:pPr>
      <w:r w:rsidRPr="00C11F21">
        <w:rPr>
          <w:rFonts w:ascii="Book Antiqua" w:hAnsi="Book Antiqua" w:cstheme="minorHAnsi"/>
          <w:sz w:val="24"/>
          <w:szCs w:val="24"/>
          <w:lang w:val="en-US"/>
        </w:rPr>
        <w:t>Serological markers for HBV (HBsAg, HBeAg, anti-HBe,</w:t>
      </w:r>
      <w:r w:rsidR="00FD2563" w:rsidRPr="00C11F21">
        <w:rPr>
          <w:rFonts w:ascii="Book Antiqua" w:hAnsi="Book Antiqua" w:cstheme="minorHAnsi"/>
          <w:sz w:val="24"/>
          <w:szCs w:val="24"/>
          <w:lang w:val="en-US"/>
        </w:rPr>
        <w:t xml:space="preserve"> and anti-HBc) and</w:t>
      </w:r>
      <w:r w:rsidRPr="00C11F21">
        <w:rPr>
          <w:rFonts w:ascii="Book Antiqua" w:hAnsi="Book Antiqua" w:cstheme="minorHAnsi"/>
          <w:sz w:val="24"/>
          <w:szCs w:val="24"/>
          <w:lang w:val="en-US"/>
        </w:rPr>
        <w:t xml:space="preserve"> anti-HCV</w:t>
      </w:r>
      <w:r w:rsidR="00B85ACB" w:rsidRPr="00C11F21">
        <w:rPr>
          <w:rFonts w:ascii="Book Antiqua" w:hAnsi="Book Antiqua" w:cstheme="minorHAnsi"/>
          <w:sz w:val="24"/>
          <w:szCs w:val="24"/>
          <w:lang w:val="en-US"/>
        </w:rPr>
        <w:t xml:space="preserve"> antibodies</w:t>
      </w:r>
      <w:r w:rsidR="00FD2563" w:rsidRPr="00C11F21">
        <w:rPr>
          <w:rFonts w:ascii="Book Antiqua" w:hAnsi="Book Antiqua" w:cstheme="minorHAnsi"/>
          <w:sz w:val="24"/>
          <w:szCs w:val="24"/>
          <w:lang w:val="en-US"/>
        </w:rPr>
        <w:t xml:space="preserve"> were tested using commercial enzyme immunoassays </w:t>
      </w:r>
      <w:r w:rsidR="00B85ACB" w:rsidRPr="00C11F21">
        <w:rPr>
          <w:rFonts w:ascii="Book Antiqua" w:hAnsi="Book Antiqua" w:cstheme="minorHAnsi"/>
          <w:sz w:val="24"/>
          <w:szCs w:val="24"/>
          <w:lang w:val="en-US"/>
        </w:rPr>
        <w:t xml:space="preserve">mounted </w:t>
      </w:r>
      <w:r w:rsidR="00D10A5F" w:rsidRPr="00C11F21">
        <w:rPr>
          <w:rFonts w:ascii="Book Antiqua" w:hAnsi="Book Antiqua" w:cstheme="minorHAnsi"/>
          <w:sz w:val="24"/>
          <w:szCs w:val="24"/>
          <w:lang w:val="en-US"/>
        </w:rPr>
        <w:t>on</w:t>
      </w:r>
      <w:r w:rsidR="00FD2563" w:rsidRPr="00C11F21">
        <w:rPr>
          <w:rFonts w:ascii="Book Antiqua" w:hAnsi="Book Antiqua" w:cstheme="minorHAnsi"/>
          <w:sz w:val="24"/>
          <w:szCs w:val="24"/>
          <w:lang w:val="en-US"/>
        </w:rPr>
        <w:t xml:space="preserve"> </w:t>
      </w:r>
      <w:r w:rsidR="00174D4B" w:rsidRPr="00C11F21">
        <w:rPr>
          <w:rFonts w:ascii="Book Antiqua" w:hAnsi="Book Antiqua" w:cstheme="minorHAnsi"/>
          <w:sz w:val="24"/>
          <w:szCs w:val="24"/>
          <w:lang w:val="en-US"/>
        </w:rPr>
        <w:t xml:space="preserve">a </w:t>
      </w:r>
      <w:r w:rsidR="00FD2563" w:rsidRPr="00C11F21">
        <w:rPr>
          <w:rFonts w:ascii="Book Antiqua" w:hAnsi="Book Antiqua" w:cstheme="minorHAnsi"/>
          <w:sz w:val="24"/>
          <w:szCs w:val="24"/>
          <w:lang w:val="en-US"/>
        </w:rPr>
        <w:t xml:space="preserve">COBAS 8000 analyzer (Roche Diagnostics, Rotkreuz, </w:t>
      </w:r>
      <w:r w:rsidR="00FD2563" w:rsidRPr="00C11F21">
        <w:rPr>
          <w:rFonts w:ascii="Book Antiqua" w:hAnsi="Book Antiqua" w:cstheme="minorHAnsi"/>
          <w:sz w:val="24"/>
          <w:szCs w:val="24"/>
          <w:lang w:val="en-US"/>
        </w:rPr>
        <w:lastRenderedPageBreak/>
        <w:t xml:space="preserve">Switzerland). </w:t>
      </w:r>
      <w:r w:rsidR="00B85ACB" w:rsidRPr="00C11F21">
        <w:rPr>
          <w:rFonts w:ascii="Book Antiqua" w:hAnsi="Book Antiqua" w:cstheme="minorHAnsi"/>
          <w:sz w:val="24"/>
          <w:szCs w:val="24"/>
          <w:lang w:val="en-US"/>
        </w:rPr>
        <w:t xml:space="preserve">Antibodies against </w:t>
      </w:r>
      <w:r w:rsidR="00FD2563" w:rsidRPr="00C11F21">
        <w:rPr>
          <w:rFonts w:ascii="Book Antiqua" w:hAnsi="Book Antiqua" w:cstheme="minorHAnsi"/>
          <w:sz w:val="24"/>
          <w:szCs w:val="24"/>
          <w:lang w:val="en-US"/>
        </w:rPr>
        <w:t xml:space="preserve">HDV </w:t>
      </w:r>
      <w:r w:rsidR="00B85ACB" w:rsidRPr="00C11F21">
        <w:rPr>
          <w:rFonts w:ascii="Book Antiqua" w:hAnsi="Book Antiqua" w:cstheme="minorHAnsi"/>
          <w:sz w:val="24"/>
          <w:szCs w:val="24"/>
          <w:lang w:val="en-US"/>
        </w:rPr>
        <w:t>were tested</w:t>
      </w:r>
      <w:r w:rsidR="00FD2563" w:rsidRPr="00C11F21">
        <w:rPr>
          <w:rFonts w:ascii="Book Antiqua" w:hAnsi="Book Antiqua" w:cstheme="minorHAnsi"/>
          <w:sz w:val="24"/>
          <w:szCs w:val="24"/>
          <w:lang w:val="en-US"/>
        </w:rPr>
        <w:t xml:space="preserve"> </w:t>
      </w:r>
      <w:r w:rsidR="00D10A5F" w:rsidRPr="00C11F21">
        <w:rPr>
          <w:rFonts w:ascii="Book Antiqua" w:hAnsi="Book Antiqua" w:cstheme="minorHAnsi"/>
          <w:sz w:val="24"/>
          <w:szCs w:val="24"/>
          <w:lang w:val="en-US"/>
        </w:rPr>
        <w:t xml:space="preserve">using </w:t>
      </w:r>
      <w:r w:rsidR="00174D4B" w:rsidRPr="00C11F21">
        <w:rPr>
          <w:rFonts w:ascii="Book Antiqua" w:hAnsi="Book Antiqua" w:cstheme="minorHAnsi"/>
          <w:sz w:val="24"/>
          <w:szCs w:val="24"/>
          <w:lang w:val="en-US"/>
        </w:rPr>
        <w:t xml:space="preserve">the </w:t>
      </w:r>
      <w:r w:rsidR="00D10A5F" w:rsidRPr="00C11F21">
        <w:rPr>
          <w:rFonts w:ascii="Book Antiqua" w:hAnsi="Book Antiqua" w:cstheme="minorHAnsi"/>
          <w:sz w:val="24"/>
          <w:szCs w:val="24"/>
          <w:lang w:val="en-US"/>
        </w:rPr>
        <w:t xml:space="preserve">HDV Ab kit (Dia.Pro Diagnostic Bioprobes, Sesto San Gioviani, Italy), </w:t>
      </w:r>
      <w:r w:rsidR="00FD2563" w:rsidRPr="00C11F21">
        <w:rPr>
          <w:rFonts w:ascii="Book Antiqua" w:hAnsi="Book Antiqua" w:cstheme="minorHAnsi"/>
          <w:sz w:val="24"/>
          <w:szCs w:val="24"/>
          <w:lang w:val="en-US"/>
        </w:rPr>
        <w:t xml:space="preserve">and </w:t>
      </w:r>
      <w:r w:rsidR="00D10A5F" w:rsidRPr="00C11F21">
        <w:rPr>
          <w:rFonts w:ascii="Book Antiqua" w:hAnsi="Book Antiqua" w:cstheme="minorHAnsi"/>
          <w:sz w:val="24"/>
          <w:szCs w:val="24"/>
          <w:lang w:val="en-US"/>
        </w:rPr>
        <w:t>anti-</w:t>
      </w:r>
      <w:r w:rsidR="00FD2563" w:rsidRPr="00C11F21">
        <w:rPr>
          <w:rFonts w:ascii="Book Antiqua" w:hAnsi="Book Antiqua" w:cstheme="minorHAnsi"/>
          <w:sz w:val="24"/>
          <w:szCs w:val="24"/>
          <w:lang w:val="en-US"/>
        </w:rPr>
        <w:t xml:space="preserve">HIV </w:t>
      </w:r>
      <w:r w:rsidRPr="00C11F21">
        <w:rPr>
          <w:rFonts w:ascii="Book Antiqua" w:hAnsi="Book Antiqua" w:cstheme="minorHAnsi"/>
          <w:sz w:val="24"/>
          <w:szCs w:val="24"/>
          <w:lang w:val="en-US"/>
        </w:rPr>
        <w:t>antibodies</w:t>
      </w:r>
      <w:r w:rsidR="00D10A5F" w:rsidRPr="00C11F21">
        <w:rPr>
          <w:rFonts w:ascii="Book Antiqua" w:hAnsi="Book Antiqua" w:cstheme="minorHAnsi"/>
          <w:sz w:val="24"/>
          <w:szCs w:val="24"/>
          <w:lang w:val="en-US"/>
        </w:rPr>
        <w:t xml:space="preserve"> were tested by </w:t>
      </w:r>
      <w:r w:rsidR="00174D4B" w:rsidRPr="00C11F21">
        <w:rPr>
          <w:rFonts w:ascii="Book Antiqua" w:hAnsi="Book Antiqua" w:cstheme="minorHAnsi"/>
          <w:sz w:val="24"/>
          <w:szCs w:val="24"/>
          <w:lang w:val="en-US"/>
        </w:rPr>
        <w:t xml:space="preserve">the </w:t>
      </w:r>
      <w:r w:rsidR="00161FB5" w:rsidRPr="00C11F21">
        <w:rPr>
          <w:rFonts w:ascii="Book Antiqua" w:hAnsi="Book Antiqua" w:cstheme="minorHAnsi"/>
          <w:sz w:val="24"/>
          <w:szCs w:val="24"/>
          <w:lang w:val="en-US"/>
        </w:rPr>
        <w:t xml:space="preserve">Liaison XL murex HIV Ab/Ag </w:t>
      </w:r>
      <w:r w:rsidR="00F635BF" w:rsidRPr="00C11F21">
        <w:rPr>
          <w:rFonts w:ascii="Book Antiqua" w:hAnsi="Book Antiqua" w:cstheme="minorHAnsi"/>
          <w:sz w:val="24"/>
          <w:szCs w:val="24"/>
          <w:lang w:val="en-US"/>
        </w:rPr>
        <w:t>kit</w:t>
      </w:r>
      <w:r w:rsidR="00174D4B" w:rsidRPr="00C11F21">
        <w:rPr>
          <w:rFonts w:ascii="Book Antiqua" w:hAnsi="Book Antiqua" w:cstheme="minorHAnsi"/>
          <w:sz w:val="24"/>
          <w:szCs w:val="24"/>
          <w:lang w:val="en-US"/>
        </w:rPr>
        <w:t xml:space="preserve"> </w:t>
      </w:r>
      <w:r w:rsidR="00D10A5F" w:rsidRPr="00C11F21">
        <w:rPr>
          <w:rFonts w:ascii="Book Antiqua" w:hAnsi="Book Antiqua" w:cstheme="minorHAnsi"/>
          <w:sz w:val="24"/>
          <w:szCs w:val="24"/>
          <w:lang w:val="en-US"/>
        </w:rPr>
        <w:t>(</w:t>
      </w:r>
      <w:r w:rsidR="00161FB5" w:rsidRPr="00C11F21">
        <w:rPr>
          <w:rFonts w:ascii="Book Antiqua" w:hAnsi="Book Antiqua" w:cstheme="minorHAnsi"/>
          <w:sz w:val="24"/>
          <w:szCs w:val="24"/>
          <w:lang w:val="en-US"/>
        </w:rPr>
        <w:t>DiaSorin, Saluggia, Italy</w:t>
      </w:r>
      <w:r w:rsidRPr="00C11F21">
        <w:rPr>
          <w:rFonts w:ascii="Book Antiqua" w:hAnsi="Book Antiqua" w:cstheme="minorHAnsi"/>
          <w:sz w:val="24"/>
          <w:szCs w:val="24"/>
          <w:lang w:val="en-US"/>
        </w:rPr>
        <w:t>). HBV-DNA was quantified by real-time PCR with a detection limit of 20 IU/mL (COBAS TaqMan HBV V2.0, Roche Diagnostics, Mannheim, Germany). HBV genotype</w:t>
      </w:r>
      <w:r w:rsidR="00174D4B" w:rsidRPr="00C11F21">
        <w:rPr>
          <w:rFonts w:ascii="Book Antiqua" w:hAnsi="Book Antiqua" w:cstheme="minorHAnsi"/>
          <w:sz w:val="24"/>
          <w:szCs w:val="24"/>
          <w:lang w:val="en-US"/>
        </w:rPr>
        <w:t>s</w:t>
      </w:r>
      <w:r w:rsidRPr="00C11F21">
        <w:rPr>
          <w:rFonts w:ascii="Book Antiqua" w:hAnsi="Book Antiqua" w:cstheme="minorHAnsi"/>
          <w:sz w:val="24"/>
          <w:szCs w:val="24"/>
          <w:lang w:val="en-US"/>
        </w:rPr>
        <w:t xml:space="preserve"> w</w:t>
      </w:r>
      <w:r w:rsidR="00174D4B" w:rsidRPr="00C11F21">
        <w:rPr>
          <w:rFonts w:ascii="Book Antiqua" w:hAnsi="Book Antiqua" w:cstheme="minorHAnsi"/>
          <w:sz w:val="24"/>
          <w:szCs w:val="24"/>
          <w:lang w:val="en-US"/>
        </w:rPr>
        <w:t>ere</w:t>
      </w:r>
      <w:r w:rsidRPr="00C11F21">
        <w:rPr>
          <w:rFonts w:ascii="Book Antiqua" w:hAnsi="Book Antiqua" w:cstheme="minorHAnsi"/>
          <w:sz w:val="24"/>
          <w:szCs w:val="24"/>
          <w:lang w:val="en-US"/>
        </w:rPr>
        <w:t xml:space="preserve"> determined by Sanger sequencing and phylogenetic analysis with reference sequences from HBV genotypes A to H of the preS1 region (Supplementary Table 1), and supported by NGS analysis of the same region.</w:t>
      </w:r>
    </w:p>
    <w:p w14:paraId="38F04936" w14:textId="77777777" w:rsidR="005C659B" w:rsidRPr="00C11F21" w:rsidRDefault="005C659B" w:rsidP="00F33187">
      <w:pPr>
        <w:autoSpaceDE w:val="0"/>
        <w:autoSpaceDN w:val="0"/>
        <w:adjustRightInd w:val="0"/>
        <w:snapToGrid w:val="0"/>
        <w:spacing w:after="0" w:line="360" w:lineRule="auto"/>
        <w:jc w:val="both"/>
        <w:rPr>
          <w:rFonts w:ascii="Book Antiqua" w:hAnsi="Book Antiqua" w:cstheme="minorHAnsi"/>
          <w:sz w:val="24"/>
          <w:szCs w:val="24"/>
          <w:lang w:val="en-US"/>
        </w:rPr>
      </w:pPr>
    </w:p>
    <w:p w14:paraId="75357E2C" w14:textId="77777777" w:rsidR="005C659B" w:rsidRPr="00C11F21" w:rsidRDefault="005C659B" w:rsidP="00F33187">
      <w:pPr>
        <w:snapToGrid w:val="0"/>
        <w:spacing w:after="0" w:line="360" w:lineRule="auto"/>
        <w:jc w:val="both"/>
        <w:rPr>
          <w:rFonts w:ascii="Book Antiqua" w:hAnsi="Book Antiqua" w:cstheme="minorHAnsi"/>
          <w:b/>
          <w:i/>
          <w:sz w:val="24"/>
          <w:szCs w:val="24"/>
          <w:lang w:val="en-US"/>
        </w:rPr>
      </w:pPr>
      <w:r w:rsidRPr="00C11F21">
        <w:rPr>
          <w:rFonts w:ascii="Book Antiqua" w:hAnsi="Book Antiqua" w:cstheme="minorHAnsi"/>
          <w:b/>
          <w:i/>
          <w:sz w:val="24"/>
          <w:szCs w:val="24"/>
          <w:lang w:val="en-US"/>
        </w:rPr>
        <w:t>Analysis of the HBV preS1 region by NGS</w:t>
      </w:r>
    </w:p>
    <w:p w14:paraId="20364ADC" w14:textId="583FCD73" w:rsidR="005C659B" w:rsidRPr="00C11F21" w:rsidRDefault="005C659B" w:rsidP="00F33187">
      <w:pPr>
        <w:autoSpaceDE w:val="0"/>
        <w:autoSpaceDN w:val="0"/>
        <w:adjustRightInd w:val="0"/>
        <w:snapToGrid w:val="0"/>
        <w:spacing w:after="0" w:line="360" w:lineRule="auto"/>
        <w:jc w:val="both"/>
        <w:rPr>
          <w:rFonts w:ascii="Book Antiqua" w:hAnsi="Book Antiqua" w:cstheme="minorHAnsi"/>
          <w:sz w:val="24"/>
          <w:szCs w:val="24"/>
          <w:lang w:val="en-US"/>
        </w:rPr>
      </w:pPr>
      <w:r w:rsidRPr="00C11F21">
        <w:rPr>
          <w:rFonts w:ascii="Book Antiqua" w:hAnsi="Book Antiqua" w:cstheme="minorHAnsi"/>
          <w:sz w:val="24"/>
          <w:szCs w:val="24"/>
          <w:lang w:val="en-US"/>
        </w:rPr>
        <w:t>In this study</w:t>
      </w:r>
      <w:r w:rsidR="00842C00" w:rsidRPr="00C11F21">
        <w:rPr>
          <w:rFonts w:ascii="Book Antiqua" w:hAnsi="Book Antiqua" w:cstheme="minorHAnsi"/>
          <w:sz w:val="24"/>
          <w:szCs w:val="24"/>
          <w:lang w:val="en-US"/>
        </w:rPr>
        <w:t>,</w:t>
      </w:r>
      <w:r w:rsidRPr="00C11F21">
        <w:rPr>
          <w:rFonts w:ascii="Book Antiqua" w:hAnsi="Book Antiqua" w:cstheme="minorHAnsi"/>
          <w:sz w:val="24"/>
          <w:szCs w:val="24"/>
          <w:lang w:val="en-US"/>
        </w:rPr>
        <w:t xml:space="preserve"> we explored a fragment of the HBV genome including the entire preS1 region and the N-terminal end of preS2. The </w:t>
      </w:r>
      <w:r w:rsidR="00413C98" w:rsidRPr="00C11F21">
        <w:rPr>
          <w:rFonts w:ascii="Book Antiqua" w:hAnsi="Book Antiqua" w:cstheme="minorHAnsi"/>
          <w:sz w:val="24"/>
          <w:szCs w:val="24"/>
          <w:lang w:val="en-US"/>
        </w:rPr>
        <w:t xml:space="preserve">HBV </w:t>
      </w:r>
      <w:r w:rsidR="00742DEC" w:rsidRPr="00C11F21">
        <w:rPr>
          <w:rFonts w:ascii="Book Antiqua" w:hAnsi="Book Antiqua" w:cstheme="minorHAnsi"/>
          <w:sz w:val="24"/>
          <w:szCs w:val="24"/>
          <w:lang w:val="en-US"/>
        </w:rPr>
        <w:t>genotype-specific</w:t>
      </w:r>
      <w:r w:rsidR="00742DEC" w:rsidRPr="00C11F21" w:rsidDel="002F2F7F">
        <w:rPr>
          <w:rFonts w:ascii="Book Antiqua" w:hAnsi="Book Antiqua" w:cstheme="minorHAnsi"/>
          <w:sz w:val="24"/>
          <w:szCs w:val="24"/>
          <w:lang w:val="en-US"/>
        </w:rPr>
        <w:t xml:space="preserve"> </w:t>
      </w:r>
      <w:r w:rsidRPr="00C11F21">
        <w:rPr>
          <w:rFonts w:ascii="Book Antiqua" w:hAnsi="Book Antiqua" w:cstheme="minorHAnsi"/>
          <w:sz w:val="24"/>
          <w:szCs w:val="24"/>
          <w:lang w:val="en-US"/>
        </w:rPr>
        <w:t xml:space="preserve">insertions and deletions </w:t>
      </w:r>
      <w:r w:rsidR="00EB570F" w:rsidRPr="00C11F21">
        <w:rPr>
          <w:rFonts w:ascii="Book Antiqua" w:hAnsi="Book Antiqua" w:cstheme="minorHAnsi"/>
          <w:sz w:val="24"/>
          <w:szCs w:val="24"/>
          <w:lang w:val="en-US"/>
        </w:rPr>
        <w:t xml:space="preserve">occurring </w:t>
      </w:r>
      <w:r w:rsidR="00DE37A1" w:rsidRPr="00C11F21">
        <w:rPr>
          <w:rFonts w:ascii="Book Antiqua" w:hAnsi="Book Antiqua" w:cstheme="minorHAnsi"/>
          <w:sz w:val="24"/>
          <w:szCs w:val="24"/>
          <w:lang w:val="en-US"/>
        </w:rPr>
        <w:t>along the HBV genome</w:t>
      </w:r>
      <w:r w:rsidRPr="00C11F21">
        <w:rPr>
          <w:rFonts w:ascii="Book Antiqua" w:hAnsi="Book Antiqua" w:cstheme="minorHAnsi"/>
          <w:sz w:val="24"/>
          <w:szCs w:val="24"/>
          <w:lang w:val="en-US"/>
        </w:rPr>
        <w:t xml:space="preserve"> </w:t>
      </w:r>
      <w:r w:rsidR="0003365F" w:rsidRPr="00C11F21">
        <w:rPr>
          <w:rFonts w:ascii="Book Antiqua" w:hAnsi="Book Antiqua" w:cstheme="minorHAnsi"/>
          <w:sz w:val="24"/>
          <w:szCs w:val="24"/>
          <w:lang w:val="en-US"/>
        </w:rPr>
        <w:t xml:space="preserve">change </w:t>
      </w:r>
      <w:r w:rsidR="00EA25CE" w:rsidRPr="00C11F21">
        <w:rPr>
          <w:rFonts w:ascii="Book Antiqua" w:hAnsi="Book Antiqua" w:cstheme="minorHAnsi"/>
          <w:sz w:val="24"/>
          <w:szCs w:val="24"/>
          <w:lang w:val="en-US"/>
        </w:rPr>
        <w:t>the</w:t>
      </w:r>
      <w:r w:rsidR="0003365F" w:rsidRPr="00C11F21">
        <w:rPr>
          <w:rFonts w:ascii="Book Antiqua" w:hAnsi="Book Antiqua" w:cstheme="minorHAnsi"/>
          <w:sz w:val="24"/>
          <w:szCs w:val="24"/>
          <w:lang w:val="en-US"/>
        </w:rPr>
        <w:t xml:space="preserve"> nucleotide (nt) numbering</w:t>
      </w:r>
      <w:r w:rsidR="00EA25CE" w:rsidRPr="00C11F21">
        <w:rPr>
          <w:rFonts w:ascii="Book Antiqua" w:hAnsi="Book Antiqua" w:cstheme="minorHAnsi"/>
          <w:sz w:val="24"/>
          <w:szCs w:val="24"/>
          <w:lang w:val="en-US"/>
        </w:rPr>
        <w:t xml:space="preserve"> of the fragment</w:t>
      </w:r>
      <w:r w:rsidRPr="00C11F21">
        <w:rPr>
          <w:rFonts w:ascii="Book Antiqua" w:hAnsi="Book Antiqua" w:cstheme="minorHAnsi"/>
          <w:sz w:val="24"/>
          <w:szCs w:val="24"/>
          <w:lang w:val="en-US"/>
        </w:rPr>
        <w:t xml:space="preserve">. Hence, the fragment </w:t>
      </w:r>
      <w:r w:rsidR="00B01C6D" w:rsidRPr="00C11F21">
        <w:rPr>
          <w:rFonts w:ascii="Book Antiqua" w:hAnsi="Book Antiqua" w:cstheme="minorHAnsi"/>
          <w:sz w:val="24"/>
          <w:szCs w:val="24"/>
          <w:lang w:val="en-US"/>
        </w:rPr>
        <w:t>includes</w:t>
      </w:r>
      <w:r w:rsidRPr="00C11F21">
        <w:rPr>
          <w:rFonts w:ascii="Book Antiqua" w:hAnsi="Book Antiqua" w:cstheme="minorHAnsi"/>
          <w:sz w:val="24"/>
          <w:szCs w:val="24"/>
          <w:lang w:val="en-US"/>
        </w:rPr>
        <w:t xml:space="preserve"> nt positions 2844</w:t>
      </w:r>
      <w:r w:rsidR="00D271E3" w:rsidRPr="00C11F21">
        <w:rPr>
          <w:rFonts w:ascii="Book Antiqua" w:hAnsi="Book Antiqua" w:cstheme="minorHAnsi"/>
          <w:sz w:val="24"/>
          <w:szCs w:val="24"/>
          <w:lang w:val="en-US"/>
        </w:rPr>
        <w:t xml:space="preserve"> to </w:t>
      </w:r>
      <w:r w:rsidRPr="00C11F21">
        <w:rPr>
          <w:rFonts w:ascii="Book Antiqua" w:hAnsi="Book Antiqua" w:cstheme="minorHAnsi"/>
          <w:sz w:val="24"/>
          <w:szCs w:val="24"/>
          <w:lang w:val="en-US"/>
        </w:rPr>
        <w:t xml:space="preserve">56 (434 bp) </w:t>
      </w:r>
      <w:r w:rsidR="00B01C6D" w:rsidRPr="00C11F21">
        <w:rPr>
          <w:rFonts w:ascii="Book Antiqua" w:hAnsi="Book Antiqua" w:cstheme="minorHAnsi"/>
          <w:sz w:val="24"/>
          <w:szCs w:val="24"/>
          <w:lang w:val="en-US"/>
        </w:rPr>
        <w:t>in</w:t>
      </w:r>
      <w:r w:rsidRPr="00C11F21">
        <w:rPr>
          <w:rFonts w:ascii="Book Antiqua" w:hAnsi="Book Antiqua" w:cstheme="minorHAnsi"/>
          <w:sz w:val="24"/>
          <w:szCs w:val="24"/>
          <w:lang w:val="en-US"/>
        </w:rPr>
        <w:t xml:space="preserve"> genotype A</w:t>
      </w:r>
      <w:r w:rsidR="00D271E3" w:rsidRPr="00C11F21">
        <w:rPr>
          <w:rFonts w:ascii="Book Antiqua" w:hAnsi="Book Antiqua" w:cstheme="minorHAnsi"/>
          <w:sz w:val="24"/>
          <w:szCs w:val="24"/>
          <w:lang w:val="en-US"/>
        </w:rPr>
        <w:t xml:space="preserve"> (genome size 3221 nt)</w:t>
      </w:r>
      <w:r w:rsidRPr="00C11F21">
        <w:rPr>
          <w:rFonts w:ascii="Book Antiqua" w:hAnsi="Book Antiqua" w:cstheme="minorHAnsi"/>
          <w:sz w:val="24"/>
          <w:szCs w:val="24"/>
          <w:lang w:val="en-US"/>
        </w:rPr>
        <w:t>, positions 2838</w:t>
      </w:r>
      <w:r w:rsidR="003F1AAA" w:rsidRPr="00C11F21">
        <w:rPr>
          <w:rFonts w:ascii="Book Antiqua" w:hAnsi="Book Antiqua" w:cstheme="minorHAnsi"/>
          <w:sz w:val="24"/>
          <w:szCs w:val="24"/>
          <w:lang w:val="en-US"/>
        </w:rPr>
        <w:t xml:space="preserve"> </w:t>
      </w:r>
      <w:r w:rsidR="00A75517" w:rsidRPr="00C11F21">
        <w:rPr>
          <w:rFonts w:ascii="Book Antiqua" w:hAnsi="Book Antiqua" w:cstheme="minorHAnsi"/>
          <w:sz w:val="24"/>
          <w:szCs w:val="24"/>
          <w:lang w:val="en-US"/>
        </w:rPr>
        <w:t xml:space="preserve">to </w:t>
      </w:r>
      <w:r w:rsidRPr="00C11F21">
        <w:rPr>
          <w:rFonts w:ascii="Book Antiqua" w:hAnsi="Book Antiqua" w:cstheme="minorHAnsi"/>
          <w:sz w:val="24"/>
          <w:szCs w:val="24"/>
          <w:lang w:val="en-US"/>
        </w:rPr>
        <w:t xml:space="preserve">56 </w:t>
      </w:r>
      <w:r w:rsidR="00B01C6D" w:rsidRPr="00C11F21">
        <w:rPr>
          <w:rFonts w:ascii="Book Antiqua" w:hAnsi="Book Antiqua" w:cstheme="minorHAnsi"/>
          <w:sz w:val="24"/>
          <w:szCs w:val="24"/>
          <w:lang w:val="en-US"/>
        </w:rPr>
        <w:t>in</w:t>
      </w:r>
      <w:r w:rsidRPr="00C11F21">
        <w:rPr>
          <w:rFonts w:ascii="Book Antiqua" w:hAnsi="Book Antiqua" w:cstheme="minorHAnsi"/>
          <w:sz w:val="24"/>
          <w:szCs w:val="24"/>
          <w:lang w:val="en-US"/>
        </w:rPr>
        <w:t xml:space="preserve"> genotypes B, C, D, E and H </w:t>
      </w:r>
      <w:r w:rsidR="004F4E6E" w:rsidRPr="00C11F21">
        <w:rPr>
          <w:rFonts w:ascii="Book Antiqua" w:hAnsi="Book Antiqua" w:cstheme="minorHAnsi" w:hint="eastAsia"/>
          <w:sz w:val="24"/>
          <w:szCs w:val="24"/>
          <w:lang w:val="en-US" w:eastAsia="zh-CN"/>
        </w:rPr>
        <w:t>[</w:t>
      </w:r>
      <w:r w:rsidRPr="00C11F21">
        <w:rPr>
          <w:rFonts w:ascii="Book Antiqua" w:hAnsi="Book Antiqua" w:cstheme="minorHAnsi"/>
          <w:sz w:val="24"/>
          <w:szCs w:val="24"/>
          <w:lang w:val="en-US"/>
        </w:rPr>
        <w:t>434 bp in B, C, and H</w:t>
      </w:r>
      <w:r w:rsidR="00D271E3" w:rsidRPr="00C11F21">
        <w:rPr>
          <w:rFonts w:ascii="Book Antiqua" w:hAnsi="Book Antiqua" w:cstheme="minorHAnsi"/>
          <w:sz w:val="24"/>
          <w:szCs w:val="24"/>
          <w:lang w:val="en-US"/>
        </w:rPr>
        <w:t xml:space="preserve"> </w:t>
      </w:r>
      <w:r w:rsidR="004F4E6E" w:rsidRPr="00C11F21">
        <w:rPr>
          <w:rFonts w:ascii="Book Antiqua" w:hAnsi="Book Antiqua" w:cstheme="minorHAnsi" w:hint="eastAsia"/>
          <w:sz w:val="24"/>
          <w:szCs w:val="24"/>
          <w:lang w:val="en-US" w:eastAsia="zh-CN"/>
        </w:rPr>
        <w:t>(</w:t>
      </w:r>
      <w:r w:rsidR="00D271E3" w:rsidRPr="00C11F21">
        <w:rPr>
          <w:rFonts w:ascii="Book Antiqua" w:hAnsi="Book Antiqua" w:cstheme="minorHAnsi"/>
          <w:sz w:val="24"/>
          <w:szCs w:val="24"/>
          <w:lang w:val="en-US"/>
        </w:rPr>
        <w:t xml:space="preserve">genome size 3215 nt in all </w:t>
      </w:r>
      <w:r w:rsidR="00D67BFC" w:rsidRPr="00C11F21">
        <w:rPr>
          <w:rFonts w:ascii="Book Antiqua" w:hAnsi="Book Antiqua" w:cstheme="minorHAnsi"/>
          <w:sz w:val="24"/>
          <w:szCs w:val="24"/>
          <w:lang w:val="en-US"/>
        </w:rPr>
        <w:t>of them</w:t>
      </w:r>
      <w:r w:rsidR="004F4E6E" w:rsidRPr="00C11F21">
        <w:rPr>
          <w:rFonts w:ascii="Book Antiqua" w:hAnsi="Book Antiqua" w:cstheme="minorHAnsi" w:hint="eastAsia"/>
          <w:sz w:val="24"/>
          <w:szCs w:val="24"/>
          <w:lang w:val="en-US" w:eastAsia="zh-CN"/>
        </w:rPr>
        <w:t>)</w:t>
      </w:r>
      <w:r w:rsidRPr="00C11F21">
        <w:rPr>
          <w:rFonts w:ascii="Book Antiqua" w:hAnsi="Book Antiqua" w:cstheme="minorHAnsi"/>
          <w:sz w:val="24"/>
          <w:szCs w:val="24"/>
          <w:lang w:val="en-US"/>
        </w:rPr>
        <w:t>, 401 bp in D</w:t>
      </w:r>
      <w:r w:rsidR="00A75517" w:rsidRPr="00C11F21">
        <w:rPr>
          <w:rFonts w:ascii="Book Antiqua" w:hAnsi="Book Antiqua" w:cstheme="minorHAnsi"/>
          <w:sz w:val="24"/>
          <w:szCs w:val="24"/>
          <w:lang w:val="en-US"/>
        </w:rPr>
        <w:t xml:space="preserve"> </w:t>
      </w:r>
      <w:r w:rsidR="004F4E6E" w:rsidRPr="00C11F21">
        <w:rPr>
          <w:rFonts w:ascii="Book Antiqua" w:hAnsi="Book Antiqua" w:cstheme="minorHAnsi" w:hint="eastAsia"/>
          <w:sz w:val="24"/>
          <w:szCs w:val="24"/>
          <w:lang w:val="en-US" w:eastAsia="zh-CN"/>
        </w:rPr>
        <w:t>(</w:t>
      </w:r>
      <w:r w:rsidR="00D271E3" w:rsidRPr="00C11F21">
        <w:rPr>
          <w:rFonts w:ascii="Book Antiqua" w:hAnsi="Book Antiqua" w:cstheme="minorHAnsi"/>
          <w:sz w:val="24"/>
          <w:szCs w:val="24"/>
          <w:lang w:val="en-US"/>
        </w:rPr>
        <w:t>genome size 3182 nt</w:t>
      </w:r>
      <w:r w:rsidR="004F4E6E" w:rsidRPr="00C11F21">
        <w:rPr>
          <w:rFonts w:ascii="Book Antiqua" w:hAnsi="Book Antiqua" w:cstheme="minorHAnsi" w:hint="eastAsia"/>
          <w:sz w:val="24"/>
          <w:szCs w:val="24"/>
          <w:lang w:val="en-US" w:eastAsia="zh-CN"/>
        </w:rPr>
        <w:t>)</w:t>
      </w:r>
      <w:r w:rsidRPr="00C11F21">
        <w:rPr>
          <w:rFonts w:ascii="Book Antiqua" w:hAnsi="Book Antiqua" w:cstheme="minorHAnsi"/>
          <w:sz w:val="24"/>
          <w:szCs w:val="24"/>
          <w:lang w:val="en-US"/>
        </w:rPr>
        <w:t>, and 431 bp in E</w:t>
      </w:r>
      <w:r w:rsidR="00D271E3" w:rsidRPr="00C11F21">
        <w:rPr>
          <w:rFonts w:ascii="Book Antiqua" w:hAnsi="Book Antiqua" w:cstheme="minorHAnsi"/>
          <w:sz w:val="24"/>
          <w:szCs w:val="24"/>
          <w:lang w:val="en-US"/>
        </w:rPr>
        <w:t xml:space="preserve"> </w:t>
      </w:r>
      <w:r w:rsidR="004F4E6E" w:rsidRPr="00C11F21">
        <w:rPr>
          <w:rFonts w:ascii="Book Antiqua" w:hAnsi="Book Antiqua" w:cstheme="minorHAnsi" w:hint="eastAsia"/>
          <w:sz w:val="24"/>
          <w:szCs w:val="24"/>
          <w:lang w:val="en-US" w:eastAsia="zh-CN"/>
        </w:rPr>
        <w:t>(</w:t>
      </w:r>
      <w:r w:rsidR="00D271E3" w:rsidRPr="00C11F21">
        <w:rPr>
          <w:rFonts w:ascii="Book Antiqua" w:hAnsi="Book Antiqua" w:cstheme="minorHAnsi"/>
          <w:sz w:val="24"/>
          <w:szCs w:val="24"/>
          <w:lang w:val="en-US"/>
        </w:rPr>
        <w:t>genome size 3212 nt</w:t>
      </w:r>
      <w:r w:rsidR="004F4E6E" w:rsidRPr="00C11F21">
        <w:rPr>
          <w:rFonts w:ascii="Book Antiqua" w:hAnsi="Book Antiqua" w:cstheme="minorHAnsi"/>
          <w:sz w:val="24"/>
          <w:szCs w:val="24"/>
          <w:lang w:val="en-US"/>
        </w:rPr>
        <w:t>)</w:t>
      </w:r>
      <w:r w:rsidR="00D271E3" w:rsidRPr="00C11F21">
        <w:rPr>
          <w:rFonts w:ascii="Book Antiqua" w:hAnsi="Book Antiqua" w:cstheme="minorHAnsi"/>
          <w:sz w:val="24"/>
          <w:szCs w:val="24"/>
          <w:lang w:val="en-US"/>
        </w:rPr>
        <w:t>]</w:t>
      </w:r>
      <w:r w:rsidRPr="00C11F21">
        <w:rPr>
          <w:rFonts w:ascii="Book Antiqua" w:hAnsi="Book Antiqua" w:cstheme="minorHAnsi"/>
          <w:sz w:val="24"/>
          <w:szCs w:val="24"/>
          <w:lang w:val="en-US"/>
        </w:rPr>
        <w:t xml:space="preserve"> and positions 2837</w:t>
      </w:r>
      <w:r w:rsidR="00A75517" w:rsidRPr="00C11F21">
        <w:rPr>
          <w:rFonts w:ascii="Book Antiqua" w:hAnsi="Book Antiqua" w:cstheme="minorHAnsi"/>
          <w:sz w:val="24"/>
          <w:szCs w:val="24"/>
          <w:lang w:val="en-US"/>
        </w:rPr>
        <w:t xml:space="preserve"> to </w:t>
      </w:r>
      <w:r w:rsidRPr="00C11F21">
        <w:rPr>
          <w:rFonts w:ascii="Book Antiqua" w:hAnsi="Book Antiqua" w:cstheme="minorHAnsi"/>
          <w:sz w:val="24"/>
          <w:szCs w:val="24"/>
          <w:lang w:val="en-US"/>
        </w:rPr>
        <w:t xml:space="preserve">56 (434 bp) </w:t>
      </w:r>
      <w:r w:rsidR="00B01C6D" w:rsidRPr="00C11F21">
        <w:rPr>
          <w:rFonts w:ascii="Book Antiqua" w:hAnsi="Book Antiqua" w:cstheme="minorHAnsi"/>
          <w:sz w:val="24"/>
          <w:szCs w:val="24"/>
          <w:lang w:val="en-US"/>
        </w:rPr>
        <w:t>in</w:t>
      </w:r>
      <w:r w:rsidRPr="00C11F21">
        <w:rPr>
          <w:rFonts w:ascii="Book Antiqua" w:hAnsi="Book Antiqua" w:cstheme="minorHAnsi"/>
          <w:sz w:val="24"/>
          <w:szCs w:val="24"/>
          <w:lang w:val="en-US"/>
        </w:rPr>
        <w:t xml:space="preserve"> genotype F</w:t>
      </w:r>
      <w:r w:rsidR="00D271E3" w:rsidRPr="00C11F21">
        <w:rPr>
          <w:rFonts w:ascii="Book Antiqua" w:hAnsi="Book Antiqua" w:cstheme="minorHAnsi"/>
          <w:sz w:val="24"/>
          <w:szCs w:val="24"/>
          <w:lang w:val="en-US"/>
        </w:rPr>
        <w:t xml:space="preserve"> (genome size 3215 nt)</w:t>
      </w:r>
      <w:r w:rsidRPr="00C11F21">
        <w:rPr>
          <w:rFonts w:ascii="Book Antiqua" w:hAnsi="Book Antiqua" w:cstheme="minorHAnsi"/>
          <w:sz w:val="24"/>
          <w:szCs w:val="24"/>
          <w:lang w:val="en-US"/>
        </w:rPr>
        <w:t>.</w:t>
      </w:r>
    </w:p>
    <w:p w14:paraId="5DE28A8D" w14:textId="102C7CBC" w:rsidR="005C659B" w:rsidRPr="00C11F21" w:rsidRDefault="005C659B" w:rsidP="004F4E6E">
      <w:pPr>
        <w:snapToGrid w:val="0"/>
        <w:spacing w:after="0" w:line="360" w:lineRule="auto"/>
        <w:ind w:firstLineChars="100" w:firstLine="240"/>
        <w:jc w:val="both"/>
        <w:rPr>
          <w:rFonts w:ascii="Book Antiqua" w:hAnsi="Book Antiqua" w:cstheme="minorHAnsi"/>
          <w:sz w:val="24"/>
          <w:szCs w:val="24"/>
          <w:lang w:val="en-US"/>
        </w:rPr>
      </w:pPr>
      <w:r w:rsidRPr="00C11F21">
        <w:rPr>
          <w:rFonts w:ascii="Book Antiqua" w:hAnsi="Book Antiqua" w:cstheme="minorHAnsi"/>
          <w:sz w:val="24"/>
          <w:szCs w:val="24"/>
          <w:lang w:val="en-US"/>
        </w:rPr>
        <w:t xml:space="preserve">A detailed description of </w:t>
      </w:r>
      <w:r w:rsidR="00334194" w:rsidRPr="00C11F21">
        <w:rPr>
          <w:rFonts w:ascii="Book Antiqua" w:hAnsi="Book Antiqua" w:cstheme="minorHAnsi"/>
          <w:sz w:val="24"/>
          <w:szCs w:val="24"/>
          <w:lang w:val="en-US"/>
        </w:rPr>
        <w:t xml:space="preserve">the </w:t>
      </w:r>
      <w:r w:rsidRPr="00C11F21">
        <w:rPr>
          <w:rFonts w:ascii="Book Antiqua" w:hAnsi="Book Antiqua" w:cstheme="minorHAnsi"/>
          <w:sz w:val="24"/>
          <w:szCs w:val="24"/>
          <w:lang w:val="en-US"/>
        </w:rPr>
        <w:t>molecular amplification, NGS procedures carried out, and subsequent bioinformatic</w:t>
      </w:r>
      <w:r w:rsidR="002B2425" w:rsidRPr="00C11F21">
        <w:rPr>
          <w:rFonts w:ascii="Book Antiqua" w:hAnsi="Book Antiqua" w:cstheme="minorHAnsi"/>
          <w:sz w:val="24"/>
          <w:szCs w:val="24"/>
          <w:lang w:val="en-US"/>
        </w:rPr>
        <w:t>s</w:t>
      </w:r>
      <w:r w:rsidRPr="00C11F21">
        <w:rPr>
          <w:rFonts w:ascii="Book Antiqua" w:hAnsi="Book Antiqua" w:cstheme="minorHAnsi"/>
          <w:sz w:val="24"/>
          <w:szCs w:val="24"/>
          <w:lang w:val="en-US"/>
        </w:rPr>
        <w:t xml:space="preserve"> filtering of the sequenc</w:t>
      </w:r>
      <w:r w:rsidR="00B01C6D" w:rsidRPr="00C11F21">
        <w:rPr>
          <w:rFonts w:ascii="Book Antiqua" w:hAnsi="Book Antiqua" w:cstheme="minorHAnsi"/>
          <w:sz w:val="24"/>
          <w:szCs w:val="24"/>
          <w:lang w:val="en-US"/>
        </w:rPr>
        <w:t>ing</w:t>
      </w:r>
      <w:r w:rsidRPr="00C11F21">
        <w:rPr>
          <w:rFonts w:ascii="Book Antiqua" w:hAnsi="Book Antiqua" w:cstheme="minorHAnsi"/>
          <w:sz w:val="24"/>
          <w:szCs w:val="24"/>
          <w:lang w:val="en-US"/>
        </w:rPr>
        <w:t xml:space="preserve"> data </w:t>
      </w:r>
      <w:r w:rsidR="00174D4B" w:rsidRPr="00C11F21">
        <w:rPr>
          <w:rFonts w:ascii="Book Antiqua" w:hAnsi="Book Antiqua" w:cstheme="minorHAnsi"/>
          <w:sz w:val="24"/>
          <w:szCs w:val="24"/>
          <w:lang w:val="en-US"/>
        </w:rPr>
        <w:t>is</w:t>
      </w:r>
      <w:r w:rsidRPr="00C11F21">
        <w:rPr>
          <w:rFonts w:ascii="Book Antiqua" w:hAnsi="Book Antiqua" w:cstheme="minorHAnsi"/>
          <w:sz w:val="24"/>
          <w:szCs w:val="24"/>
          <w:lang w:val="en-US"/>
        </w:rPr>
        <w:t xml:space="preserve"> provided in the Supplementary Materials and Methods (Supplementary Protocol </w:t>
      </w:r>
      <w:r w:rsidR="00477454" w:rsidRPr="00C11F21">
        <w:rPr>
          <w:rFonts w:ascii="Book Antiqua" w:hAnsi="Book Antiqua" w:cstheme="minorHAnsi"/>
          <w:sz w:val="24"/>
          <w:szCs w:val="24"/>
          <w:lang w:val="en-US"/>
        </w:rPr>
        <w:t>1)</w:t>
      </w:r>
      <w:r w:rsidRPr="00C11F21">
        <w:rPr>
          <w:rFonts w:ascii="Book Antiqua" w:hAnsi="Book Antiqua" w:cstheme="minorHAnsi"/>
          <w:sz w:val="24"/>
          <w:szCs w:val="24"/>
          <w:lang w:val="en-US"/>
        </w:rPr>
        <w:t>. Briefly, molecular amplification was performed by nested PCR</w:t>
      </w:r>
      <w:r w:rsidR="00174D4B" w:rsidRPr="00C11F21">
        <w:rPr>
          <w:rFonts w:ascii="Book Antiqua" w:hAnsi="Book Antiqua" w:cstheme="minorHAnsi"/>
          <w:sz w:val="24"/>
          <w:szCs w:val="24"/>
          <w:lang w:val="en-US"/>
        </w:rPr>
        <w:t>.</w:t>
      </w:r>
      <w:r w:rsidR="000D4D97" w:rsidRPr="00C11F21">
        <w:rPr>
          <w:rFonts w:ascii="Book Antiqua" w:hAnsi="Book Antiqua" w:cstheme="minorHAnsi"/>
          <w:sz w:val="24"/>
          <w:szCs w:val="24"/>
          <w:lang w:val="en-US"/>
        </w:rPr>
        <w:t xml:space="preserve"> </w:t>
      </w:r>
      <w:r w:rsidR="00F635BF" w:rsidRPr="00C11F21">
        <w:rPr>
          <w:rFonts w:ascii="Book Antiqua" w:hAnsi="Book Antiqua" w:cstheme="minorHAnsi"/>
          <w:sz w:val="24"/>
          <w:szCs w:val="24"/>
          <w:lang w:val="en-US"/>
        </w:rPr>
        <w:t xml:space="preserve">In the </w:t>
      </w:r>
      <w:r w:rsidR="00174D4B" w:rsidRPr="00C11F21">
        <w:rPr>
          <w:rFonts w:ascii="Book Antiqua" w:hAnsi="Book Antiqua" w:cs="Arial"/>
          <w:sz w:val="24"/>
          <w:szCs w:val="24"/>
          <w:lang w:val="en-US"/>
        </w:rPr>
        <w:t xml:space="preserve">final PCR products (amplicons), the technique </w:t>
      </w:r>
      <w:r w:rsidR="000D4D97" w:rsidRPr="00C11F21">
        <w:rPr>
          <w:rFonts w:ascii="Book Antiqua" w:hAnsi="Book Antiqua" w:cstheme="minorHAnsi"/>
          <w:sz w:val="24"/>
          <w:szCs w:val="24"/>
          <w:lang w:val="en-US"/>
        </w:rPr>
        <w:t xml:space="preserve">incorporated M13 universal adaptor sequences (forward and reverse), a unique identifier that enabled grouping of the sequences derived from each sample </w:t>
      </w:r>
      <w:r w:rsidR="004F4E6E" w:rsidRPr="00C11F21">
        <w:rPr>
          <w:rFonts w:ascii="Book Antiqua" w:hAnsi="Book Antiqua" w:cstheme="minorHAnsi" w:hint="eastAsia"/>
          <w:sz w:val="24"/>
          <w:szCs w:val="24"/>
          <w:lang w:val="en-US" w:eastAsia="zh-CN"/>
        </w:rPr>
        <w:t>[</w:t>
      </w:r>
      <w:r w:rsidR="000D4D97" w:rsidRPr="00C11F21">
        <w:rPr>
          <w:rFonts w:ascii="Book Antiqua" w:hAnsi="Book Antiqua" w:cstheme="minorHAnsi"/>
          <w:sz w:val="24"/>
          <w:szCs w:val="24"/>
          <w:lang w:val="en-US"/>
        </w:rPr>
        <w:t xml:space="preserve">multiplex identifier sequences </w:t>
      </w:r>
      <w:r w:rsidR="004F4E6E" w:rsidRPr="00C11F21">
        <w:rPr>
          <w:rFonts w:ascii="Book Antiqua" w:hAnsi="Book Antiqua" w:cstheme="minorHAnsi" w:hint="eastAsia"/>
          <w:sz w:val="24"/>
          <w:szCs w:val="24"/>
          <w:lang w:val="en-US" w:eastAsia="zh-CN"/>
        </w:rPr>
        <w:t>(</w:t>
      </w:r>
      <w:r w:rsidR="000D4D97" w:rsidRPr="00C11F21">
        <w:rPr>
          <w:rFonts w:ascii="Book Antiqua" w:hAnsi="Book Antiqua" w:cstheme="minorHAnsi"/>
          <w:sz w:val="24"/>
          <w:szCs w:val="24"/>
          <w:lang w:val="en-US"/>
        </w:rPr>
        <w:t>MID</w:t>
      </w:r>
      <w:r w:rsidR="004F4E6E" w:rsidRPr="00C11F21">
        <w:rPr>
          <w:rFonts w:ascii="Book Antiqua" w:hAnsi="Book Antiqua" w:cstheme="minorHAnsi"/>
          <w:sz w:val="24"/>
          <w:szCs w:val="24"/>
          <w:lang w:val="en-US"/>
        </w:rPr>
        <w:t>)</w:t>
      </w:r>
      <w:r w:rsidR="000D4D97" w:rsidRPr="00C11F21">
        <w:rPr>
          <w:rFonts w:ascii="Book Antiqua" w:hAnsi="Book Antiqua" w:cstheme="minorHAnsi"/>
          <w:sz w:val="24"/>
          <w:szCs w:val="24"/>
          <w:lang w:val="en-US"/>
        </w:rPr>
        <w:t>], and sequences A and B (adaptors for the elements of the UDPS system)</w:t>
      </w:r>
      <w:r w:rsidRPr="00C11F21">
        <w:rPr>
          <w:rFonts w:ascii="Book Antiqua" w:hAnsi="Book Antiqua" w:cstheme="minorHAnsi"/>
          <w:sz w:val="24"/>
          <w:szCs w:val="24"/>
          <w:lang w:val="en-US"/>
        </w:rPr>
        <w:t>.</w:t>
      </w:r>
      <w:r w:rsidRPr="00C11F21">
        <w:rPr>
          <w:rFonts w:ascii="Book Antiqua" w:hAnsi="Book Antiqua" w:cs="Arial"/>
          <w:sz w:val="24"/>
          <w:szCs w:val="24"/>
          <w:lang w:val="en-US"/>
        </w:rPr>
        <w:t xml:space="preserve"> </w:t>
      </w:r>
      <w:r w:rsidR="000D4D97" w:rsidRPr="00C11F21">
        <w:rPr>
          <w:rFonts w:ascii="Book Antiqua" w:hAnsi="Book Antiqua" w:cs="Arial"/>
          <w:sz w:val="24"/>
          <w:szCs w:val="24"/>
          <w:lang w:val="en-US"/>
        </w:rPr>
        <w:t xml:space="preserve">The amplicons </w:t>
      </w:r>
      <w:r w:rsidRPr="00C11F21">
        <w:rPr>
          <w:rFonts w:ascii="Book Antiqua" w:hAnsi="Book Antiqua" w:cs="Arial"/>
          <w:sz w:val="24"/>
          <w:szCs w:val="24"/>
          <w:lang w:val="en-US"/>
        </w:rPr>
        <w:t xml:space="preserve">were purified and pooled at equimolecular concentrations. The pool </w:t>
      </w:r>
      <w:r w:rsidR="0021210A" w:rsidRPr="00C11F21">
        <w:rPr>
          <w:rFonts w:ascii="Book Antiqua" w:hAnsi="Book Antiqua" w:cs="Arial"/>
          <w:sz w:val="24"/>
          <w:szCs w:val="24"/>
          <w:lang w:val="en-US"/>
        </w:rPr>
        <w:t xml:space="preserve">was </w:t>
      </w:r>
      <w:r w:rsidR="00334194" w:rsidRPr="00C11F21">
        <w:rPr>
          <w:rFonts w:ascii="Book Antiqua" w:hAnsi="Book Antiqua" w:cstheme="minorHAnsi"/>
          <w:sz w:val="24"/>
          <w:szCs w:val="24"/>
          <w:lang w:val="en-US"/>
        </w:rPr>
        <w:t>UDPS-</w:t>
      </w:r>
      <w:r w:rsidR="0021210A" w:rsidRPr="00C11F21">
        <w:rPr>
          <w:rFonts w:ascii="Book Antiqua" w:hAnsi="Book Antiqua" w:cs="Arial"/>
          <w:sz w:val="24"/>
          <w:szCs w:val="24"/>
          <w:lang w:val="en-US"/>
        </w:rPr>
        <w:t xml:space="preserve">analyzed </w:t>
      </w:r>
      <w:r w:rsidRPr="00C11F21">
        <w:rPr>
          <w:rFonts w:ascii="Book Antiqua" w:hAnsi="Book Antiqua" w:cstheme="minorHAnsi"/>
          <w:sz w:val="24"/>
          <w:szCs w:val="24"/>
          <w:lang w:val="en-US"/>
        </w:rPr>
        <w:t xml:space="preserve">following the manufacturer’s protocol. The sequencing data underwent a bioinformatics filtering procedure </w:t>
      </w:r>
      <w:r w:rsidRPr="00C11F21">
        <w:rPr>
          <w:rFonts w:ascii="Book Antiqua" w:hAnsi="Book Antiqua" w:cstheme="minorHAnsi"/>
          <w:sz w:val="24"/>
          <w:szCs w:val="24"/>
          <w:lang w:val="en-US"/>
        </w:rPr>
        <w:lastRenderedPageBreak/>
        <w:t xml:space="preserve">based on an in-house-developed </w:t>
      </w:r>
      <w:r w:rsidR="00EB570F" w:rsidRPr="00C11F21">
        <w:rPr>
          <w:rFonts w:ascii="Book Antiqua" w:hAnsi="Book Antiqua" w:cstheme="minorHAnsi"/>
          <w:sz w:val="24"/>
          <w:szCs w:val="24"/>
          <w:lang w:val="en-US"/>
        </w:rPr>
        <w:t>pipeline</w:t>
      </w:r>
      <w:r w:rsidR="004F4E6E" w:rsidRPr="00C11F21">
        <w:rPr>
          <w:rFonts w:ascii="Book Antiqua" w:hAnsi="Book Antiqua" w:cstheme="minorHAnsi"/>
          <w:sz w:val="24"/>
          <w:szCs w:val="24"/>
          <w:lang w:val="en-US"/>
        </w:rPr>
        <w:fldChar w:fldCharType="begin" w:fldLock="1"/>
      </w:r>
      <w:r w:rsidR="004F4E6E" w:rsidRPr="00C11F21">
        <w:rPr>
          <w:rFonts w:ascii="Book Antiqua" w:hAnsi="Book Antiqua" w:cstheme="minorHAnsi"/>
          <w:sz w:val="24"/>
          <w:szCs w:val="24"/>
          <w:lang w:val="en-US"/>
        </w:rPr>
        <w:instrText>ADDIN CSL_CITATION { "citationItems" : [ { "id" : "ITEM-1", "itemData" : { "DOI" : "10.1016/j.antiviral.2013.03.007", "ISSN" : "1872-9096", "PMID" : "23523552", "abstract" : "In this study, the reliability and reproducibility of viral quasispecies quantification by three ultra-deep pyrosequencing (UDPS) methods (FLX+, FLX, and Junior) were investigated and results compared with the conventional cloning technique. Hepatitis B virus (HBV) infection was selected as the model. The preCore/Core region, the least overlapped HBV region, was analyzed in samples from a chronic hepatitis B patient by cloning and by UDPS. After computation filtering of the UDPS results, samples A1 and A2 (FLX+) and sample B (FLX) yielded the same 20 polymorphic positions. Junior yielded 18 polymorphic positions that coincided with the FLX results. In contrast, 50 polymorphic positions were detected by cloning. Quasispecies complexity plotted on graphs showed superimposed patterns and the quantitative parameters were similar between FLX+, FLX, Junior, and the cloning sequences. Twenty-two haplotypes were detected by Junior, and 37, 40, and 39 were detected by FLX A1, A2, and B, respectively. These differences may be attributable to methodological differences between FLX and Junior. By cloning, 47 haplotypes were detected. Eight clones with insertions and deletions that induced de novo stop codons were not observed by UDPS because the UDPS filter discarded them. Our results indicate that UDPS is an optimal alternative to molecular cloning for quantitative study of the viral quasispecies. Nonetheless, specific mutations, such as insertions and deletions, were only detected by cloning. A filter should be designed to analyze cloning sequences, and UDPS filters should be improved to include the specific mutations.", "author" : [ { "dropping-particle" : "", "family" : "Ram\u00edrez", "given" : "Clara", "non-dropping-particle" : "", "parse-names" : false, "suffix" : "" }, { "dropping-particle" : "", "family" : "Gregori", "given" : "Josep", "non-dropping-particle" : "", "parse-names" : false, "suffix" : "" }, { "dropping-particle" : "", "family" : "Buti", "given" : "Maria", "non-dropping-particle" : "", "parse-names" : false, "suffix" : "" }, { "dropping-particle" : "", "family" : "Tabernero", "given" : "David", "non-dropping-particle" : "", "parse-names" : false, "suffix" : "" }, { "dropping-particle" : "", "family" : "Cam\u00f3s", "given" : "S\u00edlvia", "non-dropping-particle" : "", "parse-names" : false, "suffix" : "" }, { "dropping-particle" : "", "family" : "Casillas", "given" : "Rosario", "non-dropping-particle" : "", "parse-names" : false, "suffix" : "" }, { "dropping-particle" : "", "family" : "Quer", "given" : "Josep", "non-dropping-particle" : "", "parse-names" : false, "suffix" : "" }, { "dropping-particle" : "", "family" : "Esteban", "given" : "Rafael", "non-dropping-particle" : "", "parse-names" : false, "suffix" : "" }, { "dropping-particle" : "", "family" : "Homs", "given" : "Maria", "non-dropping-particle" : "", "parse-names" : false, "suffix" : "" }, { "dropping-particle" : "", "family" : "Rodriguez-Fr\u00edas", "given" : "Francisco", "non-dropping-particle" : "", "parse-names" : false, "suffix" : "" } ], "container-title" : "Antiviral research", "id" : "ITEM-1", "issue" : "2", "issued" : { "date-parts" : [ [ "2013", "5" ] ] }, "page" : "273-83", "title" : "A comparative study of ultra-deep pyrosequencing and cloning to quantitatively analyze the viral quasispecies using hepatitis B virus infection as a model.", "type" : "article-journal", "volume" : "98" }, "uris" : [ "http://www.mendeley.com/documents/?uuid=f8b4460a-9295-4a6a-81d9-32ec13390bde" ] } ], "mendeley" : { "formattedCitation" : "&lt;sup&gt;[28]&lt;/sup&gt;", "plainTextFormattedCitation" : "[28]", "previouslyFormattedCitation" : "&lt;sup&gt;[29]&lt;/sup&gt;" }, "properties" : {  }, "schema" : "https://github.com/citation-style-language/schema/raw/master/csl-citation.json" }</w:instrText>
      </w:r>
      <w:r w:rsidR="004F4E6E" w:rsidRPr="00C11F21">
        <w:rPr>
          <w:rFonts w:ascii="Book Antiqua" w:hAnsi="Book Antiqua" w:cstheme="minorHAnsi"/>
          <w:sz w:val="24"/>
          <w:szCs w:val="24"/>
          <w:lang w:val="en-US"/>
        </w:rPr>
        <w:fldChar w:fldCharType="separate"/>
      </w:r>
      <w:r w:rsidR="004F4E6E" w:rsidRPr="00C11F21">
        <w:rPr>
          <w:rFonts w:ascii="Book Antiqua" w:hAnsi="Book Antiqua" w:cstheme="minorHAnsi"/>
          <w:noProof/>
          <w:sz w:val="24"/>
          <w:szCs w:val="24"/>
          <w:vertAlign w:val="superscript"/>
          <w:lang w:val="en-US"/>
        </w:rPr>
        <w:t>[28]</w:t>
      </w:r>
      <w:r w:rsidR="004F4E6E" w:rsidRPr="00C11F21">
        <w:rPr>
          <w:rFonts w:ascii="Book Antiqua" w:hAnsi="Book Antiqua" w:cstheme="minorHAnsi"/>
          <w:sz w:val="24"/>
          <w:szCs w:val="24"/>
          <w:lang w:val="en-US"/>
        </w:rPr>
        <w:fldChar w:fldCharType="end"/>
      </w:r>
      <w:r w:rsidR="004A5182" w:rsidRPr="00C11F21">
        <w:rPr>
          <w:rFonts w:ascii="Book Antiqua" w:hAnsi="Book Antiqua" w:cstheme="minorHAnsi"/>
          <w:sz w:val="24"/>
          <w:szCs w:val="24"/>
          <w:lang w:val="en-US"/>
        </w:rPr>
        <w:t>,</w:t>
      </w:r>
      <w:r w:rsidR="004F4E6E" w:rsidRPr="00C11F21">
        <w:rPr>
          <w:rFonts w:ascii="Book Antiqua" w:hAnsi="Book Antiqua" w:cstheme="minorHAnsi" w:hint="eastAsia"/>
          <w:sz w:val="24"/>
          <w:szCs w:val="24"/>
          <w:lang w:val="en-US" w:eastAsia="zh-CN"/>
        </w:rPr>
        <w:t xml:space="preserve"> </w:t>
      </w:r>
      <w:r w:rsidR="00EB570F" w:rsidRPr="00C11F21">
        <w:rPr>
          <w:rFonts w:ascii="Book Antiqua" w:hAnsi="Book Antiqua" w:cstheme="minorHAnsi"/>
          <w:sz w:val="24"/>
          <w:szCs w:val="24"/>
          <w:lang w:val="en-US"/>
        </w:rPr>
        <w:t>with all computations done in the R environment and language</w:t>
      </w:r>
      <w:r w:rsidR="004F4E6E" w:rsidRPr="00C11F21">
        <w:rPr>
          <w:rFonts w:ascii="Book Antiqua" w:hAnsi="Book Antiqua" w:cstheme="minorHAnsi"/>
          <w:sz w:val="24"/>
          <w:szCs w:val="24"/>
          <w:lang w:val="en-US"/>
        </w:rPr>
        <w:fldChar w:fldCharType="begin" w:fldLock="1"/>
      </w:r>
      <w:r w:rsidR="004F4E6E" w:rsidRPr="00C11F21">
        <w:rPr>
          <w:rFonts w:ascii="Book Antiqua" w:hAnsi="Book Antiqua" w:cstheme="minorHAnsi"/>
          <w:sz w:val="24"/>
          <w:szCs w:val="24"/>
          <w:lang w:val="en-US"/>
        </w:rPr>
        <w:instrText>ADDIN CSL_CITATION { "citationItems" : [ { "id" : "ITEM-1", "itemData" : { "DOI" : "10.1038/sj.hdy.6800737", "ISBN" : "3900051070", "ISSN" : "16000706", "PMID" : "16106260", "abstract" : "R Development Core Team (2011). R: A language and environment for statistical computing. R Foundation for Statistical Computing, Vienna, Austria. ISBN 3-900051-07-0, URL http://www.R-project.org/.", "author" : [ { "dropping-particle" : "", "family" : "R Development Core Team", "given" : "", "non-dropping-particle" : "", "parse-names" : false, "suffix" : "" } ], "container-title" : "R Foundation for Statistical Computing Vienna Austria", "id" : "ITEM-1", "issued" : { "date-parts" : [ [ "2016" ] ] }, "page" : "{ISBN} 3-900051-07-0", "title" : "R: A Language and Environment for Statistical Computing", "type" : "article-journal", "volume" : "0" }, "uris" : [ "http://www.mendeley.com/documents/?uuid=80450ea6-8120-4158-977f-7f11a3556533" ] } ], "mendeley" : { "formattedCitation" : "&lt;sup&gt;[29]&lt;/sup&gt;", "plainTextFormattedCitation" : "[29]", "previouslyFormattedCitation" : "&lt;sup&gt;[30]&lt;/sup&gt;" }, "properties" : {  }, "schema" : "https://github.com/citation-style-language/schema/raw/master/csl-citation.json" }</w:instrText>
      </w:r>
      <w:r w:rsidR="004F4E6E" w:rsidRPr="00C11F21">
        <w:rPr>
          <w:rFonts w:ascii="Book Antiqua" w:hAnsi="Book Antiqua" w:cstheme="minorHAnsi"/>
          <w:sz w:val="24"/>
          <w:szCs w:val="24"/>
          <w:lang w:val="en-US"/>
        </w:rPr>
        <w:fldChar w:fldCharType="separate"/>
      </w:r>
      <w:r w:rsidR="004F4E6E" w:rsidRPr="00C11F21">
        <w:rPr>
          <w:rFonts w:ascii="Book Antiqua" w:hAnsi="Book Antiqua" w:cstheme="minorHAnsi"/>
          <w:noProof/>
          <w:sz w:val="24"/>
          <w:szCs w:val="24"/>
          <w:vertAlign w:val="superscript"/>
          <w:lang w:val="en-US"/>
        </w:rPr>
        <w:t>[29]</w:t>
      </w:r>
      <w:r w:rsidR="004F4E6E" w:rsidRPr="00C11F21">
        <w:rPr>
          <w:rFonts w:ascii="Book Antiqua" w:hAnsi="Book Antiqua" w:cstheme="minorHAnsi"/>
          <w:sz w:val="24"/>
          <w:szCs w:val="24"/>
          <w:lang w:val="en-US"/>
        </w:rPr>
        <w:fldChar w:fldCharType="end"/>
      </w:r>
      <w:r w:rsidR="00EB570F" w:rsidRPr="00C11F21">
        <w:rPr>
          <w:rFonts w:ascii="Book Antiqua" w:hAnsi="Book Antiqua" w:cstheme="minorHAnsi"/>
          <w:sz w:val="24"/>
          <w:szCs w:val="24"/>
          <w:lang w:val="en-US"/>
        </w:rPr>
        <w:t>.</w:t>
      </w:r>
      <w:r w:rsidR="004F4E6E" w:rsidRPr="00C11F21">
        <w:rPr>
          <w:rFonts w:ascii="Book Antiqua" w:hAnsi="Book Antiqua" w:cstheme="minorHAnsi" w:hint="eastAsia"/>
          <w:sz w:val="24"/>
          <w:szCs w:val="24"/>
          <w:lang w:val="en-US" w:eastAsia="zh-CN"/>
        </w:rPr>
        <w:t xml:space="preserve"> </w:t>
      </w:r>
      <w:r w:rsidRPr="00C11F21">
        <w:rPr>
          <w:rFonts w:ascii="Book Antiqua" w:hAnsi="Book Antiqua" w:cstheme="minorHAnsi"/>
          <w:sz w:val="24"/>
          <w:szCs w:val="24"/>
          <w:lang w:val="en-US"/>
        </w:rPr>
        <w:t>UDPS reads (sequences from each individual amplicon) were demultiplexed according to their MID sequence</w:t>
      </w:r>
      <w:r w:rsidR="00334194" w:rsidRPr="00C11F21">
        <w:rPr>
          <w:rFonts w:ascii="Book Antiqua" w:hAnsi="Book Antiqua" w:cstheme="minorHAnsi"/>
          <w:sz w:val="24"/>
          <w:szCs w:val="24"/>
          <w:lang w:val="en-US"/>
        </w:rPr>
        <w:t>,</w:t>
      </w:r>
      <w:r w:rsidRPr="00C11F21">
        <w:rPr>
          <w:rFonts w:ascii="Book Antiqua" w:hAnsi="Book Antiqua" w:cstheme="minorHAnsi"/>
          <w:sz w:val="24"/>
          <w:szCs w:val="24"/>
          <w:lang w:val="en-US"/>
        </w:rPr>
        <w:t xml:space="preserve"> and primers were trimmed. After a quality filter step, reads with the same nt sequence were collapsed into haplotypes, that is, unique sequences covering the full amplicon observed on the clean set of sequences</w:t>
      </w:r>
      <w:r w:rsidR="004F4E6E" w:rsidRPr="00C11F21">
        <w:rPr>
          <w:rFonts w:ascii="Book Antiqua" w:hAnsi="Book Antiqua" w:cstheme="minorHAnsi"/>
          <w:sz w:val="24"/>
          <w:szCs w:val="24"/>
          <w:lang w:val="en-US"/>
        </w:rPr>
        <w:fldChar w:fldCharType="begin" w:fldLock="1"/>
      </w:r>
      <w:r w:rsidR="004F4E6E" w:rsidRPr="00C11F21">
        <w:rPr>
          <w:rFonts w:ascii="Book Antiqua" w:hAnsi="Book Antiqua" w:cstheme="minorHAnsi"/>
          <w:sz w:val="24"/>
          <w:szCs w:val="24"/>
          <w:lang w:val="en-US"/>
        </w:rPr>
        <w:instrText>ADDIN CSL_CITATION { "citationItems" : [ { "id" : "ITEM-1", "itemData" : { "DOI" : "10.1016/j.virol.2016.03.017", "ISBN" : "0042-6822", "ISSN" : "1096-0341", "PMID" : "27060566", "abstract" : "Mutant spectrum dynamics (changes in the related mutants that compose viral populations) has a decisive impact on virus behavior. The several platforms of next generation sequencing (NGS) to study viral quasispecies offer a magnifying glass to study viral quasispecies complexity. Several parameters are available to quantify the complexity of mutant spectra, but they have limitations. Here we critically evaluate the information provided by several population diversity indices, and we propose the introduction of some new ones used in ecology. In particular we make a distinction between incidence, abundance and function measures of viral quasispecies composition. We suggest a multidimensional approach (complementary information contributed by adequately chosen indices), propose some guidelines, and illustrate the use of indices with a simple example. We apply the indices to three clinical samples of hepatitis C virus that display different population heterogeneity. Areas of virus biology in which population complexity plays a role are discussed.", "author" : [ { "dropping-particle" : "", "family" : "Gregori", "given" : "Josep", "non-dropping-particle" : "", "parse-names" : false, "suffix" : "" }, { "dropping-particle" : "", "family" : "Perales", "given" : "Celia", "non-dropping-particle" : "", "parse-names" : false, "suffix" : "" }, { "dropping-particle" : "", "family" : "Rodriguez-Frias", "given" : "Francisco", "non-dropping-particle" : "", "parse-names" : false, "suffix" : "" }, { "dropping-particle" : "", "family" : "Esteban", "given" : "Juan I.", "non-dropping-particle" : "", "parse-names" : false, "suffix" : "" }, { "dropping-particle" : "", "family" : "Quer", "given" : "Josep", "non-dropping-particle" : "", "parse-names" : false, "suffix" : "" }, { "dropping-particle" : "", "family" : "Domingo", "given" : "Esteban", "non-dropping-particle" : "", "parse-names" : false, "suffix" : "" } ], "container-title" : "Virology", "id" : "ITEM-1", "issued" : { "date-parts" : [ [ "2016" ] ] }, "page" : "227-237", "publisher" : "Elsevier", "title" : "Viral quasispecies complexity measures", "type" : "article-journal", "volume" : "493" }, "uris" : [ "http://www.mendeley.com/documents/?uuid=f8f4ff8c-f18c-43dc-a2af-e98d1614615b" ] } ], "mendeley" : { "formattedCitation" : "&lt;sup&gt;[30]&lt;/sup&gt;", "plainTextFormattedCitation" : "[30]", "previouslyFormattedCitation" : "&lt;sup&gt;[31]&lt;/sup&gt;" }, "properties" : {  }, "schema" : "https://github.com/citation-style-language/schema/raw/master/csl-citation.json" }</w:instrText>
      </w:r>
      <w:r w:rsidR="004F4E6E" w:rsidRPr="00C11F21">
        <w:rPr>
          <w:rFonts w:ascii="Book Antiqua" w:hAnsi="Book Antiqua" w:cstheme="minorHAnsi"/>
          <w:sz w:val="24"/>
          <w:szCs w:val="24"/>
          <w:lang w:val="en-US"/>
        </w:rPr>
        <w:fldChar w:fldCharType="separate"/>
      </w:r>
      <w:r w:rsidR="004F4E6E" w:rsidRPr="00C11F21">
        <w:rPr>
          <w:rFonts w:ascii="Book Antiqua" w:hAnsi="Book Antiqua" w:cstheme="minorHAnsi"/>
          <w:noProof/>
          <w:sz w:val="24"/>
          <w:szCs w:val="24"/>
          <w:vertAlign w:val="superscript"/>
          <w:lang w:val="en-US"/>
        </w:rPr>
        <w:t>[30]</w:t>
      </w:r>
      <w:r w:rsidR="004F4E6E" w:rsidRPr="00C11F21">
        <w:rPr>
          <w:rFonts w:ascii="Book Antiqua" w:hAnsi="Book Antiqua" w:cstheme="minorHAnsi"/>
          <w:sz w:val="24"/>
          <w:szCs w:val="24"/>
          <w:lang w:val="en-US"/>
        </w:rPr>
        <w:fldChar w:fldCharType="end"/>
      </w:r>
      <w:r w:rsidRPr="00C11F21">
        <w:rPr>
          <w:rFonts w:ascii="Book Antiqua" w:hAnsi="Book Antiqua" w:cstheme="minorHAnsi"/>
          <w:sz w:val="24"/>
          <w:szCs w:val="24"/>
          <w:lang w:val="en-US"/>
        </w:rPr>
        <w:t>.</w:t>
      </w:r>
      <w:r w:rsidR="004F4E6E" w:rsidRPr="00C11F21">
        <w:rPr>
          <w:rFonts w:ascii="Book Antiqua" w:hAnsi="Book Antiqua" w:cstheme="minorHAnsi" w:hint="eastAsia"/>
          <w:sz w:val="24"/>
          <w:szCs w:val="24"/>
          <w:lang w:val="en-US" w:eastAsia="zh-CN"/>
        </w:rPr>
        <w:t xml:space="preserve"> </w:t>
      </w:r>
      <w:r w:rsidRPr="00C11F21">
        <w:rPr>
          <w:rFonts w:ascii="Book Antiqua" w:hAnsi="Book Antiqua" w:cstheme="minorHAnsi"/>
          <w:sz w:val="24"/>
          <w:szCs w:val="24"/>
          <w:lang w:val="en-US"/>
        </w:rPr>
        <w:t>We then selected haplotypes covering the full amplicon and common to both the forward and reverse strands whose sequences were present in frequencies of &gt;</w:t>
      </w:r>
      <w:r w:rsidR="004F4E6E" w:rsidRPr="00C11F21">
        <w:rPr>
          <w:rFonts w:ascii="Book Antiqua" w:hAnsi="Book Antiqua" w:cstheme="minorHAnsi" w:hint="eastAsia"/>
          <w:sz w:val="24"/>
          <w:szCs w:val="24"/>
          <w:lang w:val="en-US" w:eastAsia="zh-CN"/>
        </w:rPr>
        <w:t xml:space="preserve"> </w:t>
      </w:r>
      <w:r w:rsidRPr="00C11F21">
        <w:rPr>
          <w:rFonts w:ascii="Book Antiqua" w:hAnsi="Book Antiqua" w:cstheme="minorHAnsi"/>
          <w:sz w:val="24"/>
          <w:szCs w:val="24"/>
          <w:lang w:val="en-US"/>
        </w:rPr>
        <w:t>0.25% of the complete set of sequences.</w:t>
      </w:r>
    </w:p>
    <w:p w14:paraId="56EA18A4" w14:textId="77777777" w:rsidR="005C659B" w:rsidRPr="00C11F21" w:rsidRDefault="005C659B" w:rsidP="00F33187">
      <w:pPr>
        <w:autoSpaceDE w:val="0"/>
        <w:autoSpaceDN w:val="0"/>
        <w:adjustRightInd w:val="0"/>
        <w:snapToGrid w:val="0"/>
        <w:spacing w:after="0" w:line="360" w:lineRule="auto"/>
        <w:jc w:val="both"/>
        <w:rPr>
          <w:rFonts w:ascii="Book Antiqua" w:hAnsi="Book Antiqua" w:cstheme="minorHAnsi"/>
          <w:sz w:val="24"/>
          <w:szCs w:val="24"/>
          <w:lang w:val="en-US"/>
        </w:rPr>
      </w:pPr>
    </w:p>
    <w:p w14:paraId="6DC0281D" w14:textId="77777777" w:rsidR="005C659B" w:rsidRPr="00C11F21" w:rsidRDefault="005C659B" w:rsidP="00F33187">
      <w:pPr>
        <w:snapToGrid w:val="0"/>
        <w:spacing w:after="0" w:line="360" w:lineRule="auto"/>
        <w:jc w:val="both"/>
        <w:rPr>
          <w:rFonts w:ascii="Book Antiqua" w:hAnsi="Book Antiqua" w:cstheme="minorHAnsi"/>
          <w:b/>
          <w:i/>
          <w:sz w:val="24"/>
          <w:szCs w:val="24"/>
          <w:lang w:val="en-US"/>
        </w:rPr>
      </w:pPr>
      <w:r w:rsidRPr="00C11F21">
        <w:rPr>
          <w:rFonts w:ascii="Book Antiqua" w:hAnsi="Book Antiqua" w:cstheme="minorHAnsi"/>
          <w:b/>
          <w:i/>
          <w:sz w:val="24"/>
          <w:szCs w:val="24"/>
          <w:lang w:val="en-US"/>
        </w:rPr>
        <w:t>Amino acid variability/conservation in the preS1 region</w:t>
      </w:r>
    </w:p>
    <w:p w14:paraId="7FCFC6E2" w14:textId="709ABFA5" w:rsidR="006E161A" w:rsidRPr="00C11F21" w:rsidRDefault="005C659B" w:rsidP="00F33187">
      <w:pPr>
        <w:widowControl w:val="0"/>
        <w:autoSpaceDE w:val="0"/>
        <w:autoSpaceDN w:val="0"/>
        <w:adjustRightInd w:val="0"/>
        <w:snapToGrid w:val="0"/>
        <w:spacing w:after="0" w:line="360" w:lineRule="auto"/>
        <w:jc w:val="both"/>
        <w:rPr>
          <w:rFonts w:ascii="Book Antiqua" w:hAnsi="Book Antiqua" w:cstheme="minorHAnsi"/>
          <w:sz w:val="24"/>
          <w:szCs w:val="24"/>
          <w:lang w:val="en-US" w:eastAsia="zh-CN"/>
        </w:rPr>
      </w:pPr>
      <w:r w:rsidRPr="00C11F21">
        <w:rPr>
          <w:rFonts w:ascii="Book Antiqua" w:hAnsi="Book Antiqua" w:cstheme="minorHAnsi"/>
          <w:sz w:val="24"/>
          <w:szCs w:val="24"/>
          <w:lang w:val="en-US"/>
        </w:rPr>
        <w:t xml:space="preserve">The variability/conservation of the </w:t>
      </w:r>
      <w:r w:rsidR="000A4FD6" w:rsidRPr="00C11F21">
        <w:rPr>
          <w:rFonts w:ascii="Book Antiqua" w:hAnsi="Book Antiqua" w:cstheme="minorHAnsi"/>
          <w:sz w:val="24"/>
          <w:szCs w:val="24"/>
          <w:lang w:val="en-US"/>
        </w:rPr>
        <w:t>aa</w:t>
      </w:r>
      <w:r w:rsidRPr="00C11F21">
        <w:rPr>
          <w:rFonts w:ascii="Book Antiqua" w:hAnsi="Book Antiqua" w:cstheme="minorHAnsi"/>
          <w:sz w:val="24"/>
          <w:szCs w:val="24"/>
          <w:lang w:val="en-US"/>
        </w:rPr>
        <w:t xml:space="preserve"> sequence in the </w:t>
      </w:r>
      <w:r w:rsidR="00CB0D37" w:rsidRPr="00C11F21">
        <w:rPr>
          <w:rFonts w:ascii="Book Antiqua" w:hAnsi="Book Antiqua" w:cstheme="minorHAnsi"/>
          <w:sz w:val="24"/>
          <w:szCs w:val="24"/>
          <w:lang w:val="en-US"/>
        </w:rPr>
        <w:t xml:space="preserve">NTCP-interacting domain </w:t>
      </w:r>
      <w:r w:rsidRPr="00C11F21">
        <w:rPr>
          <w:rFonts w:ascii="Book Antiqua" w:hAnsi="Book Antiqua" w:cstheme="minorHAnsi"/>
          <w:sz w:val="24"/>
          <w:szCs w:val="24"/>
          <w:lang w:val="en-US"/>
        </w:rPr>
        <w:t xml:space="preserve">was compared to that of </w:t>
      </w:r>
      <w:r w:rsidR="006E161A" w:rsidRPr="00C11F21">
        <w:rPr>
          <w:rFonts w:ascii="Book Antiqua" w:hAnsi="Book Antiqua" w:cstheme="minorHAnsi"/>
          <w:sz w:val="24"/>
          <w:szCs w:val="24"/>
          <w:lang w:val="en-US"/>
        </w:rPr>
        <w:t>a conserved domain</w:t>
      </w:r>
      <w:r w:rsidR="00774758" w:rsidRPr="00C11F21">
        <w:rPr>
          <w:rFonts w:ascii="Book Antiqua" w:hAnsi="Book Antiqua" w:cstheme="minorHAnsi"/>
          <w:sz w:val="24"/>
          <w:szCs w:val="24"/>
          <w:lang w:val="en-US"/>
        </w:rPr>
        <w:t xml:space="preserve"> </w:t>
      </w:r>
      <w:r w:rsidR="002B7485" w:rsidRPr="00C11F21">
        <w:rPr>
          <w:rFonts w:ascii="Book Antiqua" w:hAnsi="Book Antiqua" w:cstheme="minorHAnsi"/>
          <w:sz w:val="24"/>
          <w:szCs w:val="24"/>
          <w:lang w:val="en-US"/>
        </w:rPr>
        <w:t>with</w:t>
      </w:r>
      <w:r w:rsidR="00774758" w:rsidRPr="00C11F21">
        <w:rPr>
          <w:rFonts w:ascii="Book Antiqua" w:hAnsi="Book Antiqua" w:cstheme="minorHAnsi"/>
          <w:sz w:val="24"/>
          <w:szCs w:val="24"/>
          <w:lang w:val="en-US"/>
        </w:rPr>
        <w:t xml:space="preserve"> a pivotal function in virion morphogenesis</w:t>
      </w:r>
      <w:r w:rsidR="005B043F" w:rsidRPr="00C11F21">
        <w:rPr>
          <w:rFonts w:ascii="Book Antiqua" w:hAnsi="Book Antiqua" w:cstheme="minorHAnsi"/>
          <w:sz w:val="24"/>
          <w:szCs w:val="24"/>
          <w:lang w:val="en-US"/>
        </w:rPr>
        <w:fldChar w:fldCharType="begin" w:fldLock="1"/>
      </w:r>
      <w:r w:rsidR="005B043F" w:rsidRPr="00C11F21">
        <w:rPr>
          <w:rFonts w:ascii="Book Antiqua" w:hAnsi="Book Antiqua" w:cstheme="minorHAnsi"/>
          <w:sz w:val="24"/>
          <w:szCs w:val="24"/>
          <w:lang w:val="en-US"/>
        </w:rPr>
        <w:instrText>ADDIN CSL_CITATION { "citationItems" : [ { "id" : "ITEM-1", "itemData" : { "ISBN" : "0022-538X (Print)\\n0022-538X (Linking)", "ISSN" : "0022-538X", "PMID" : "9371594", "abstract" : "Envelopment of the hepatitis B virus (HBV) nucleocapsid depends on the large envelope protein L, which is expressed as a transmembrane polypeptide at the endoplasmic reticulum membrane. Previous studies demonstrated that the cytosolic exposure of the N-terminal pre-S domain (174 amino acids) of L was required for virion formation. N-terminal truncations of L up to Arg 103 were tolerated. To map sites in the remaining C-terminal part of pre-S important for virion morphogenesis, a series of 11 L mutants with linker substitutions between Asn 98 and Pro 171 was generated. The mutants formed stable proteins and were secreted in transfected cell cultures, probably as components of subviral hepatitis B surface antigen particles. All four constructs with mutations between Asn 98 and Thr 125 were unable to complement in trans the block in virion formation of an L-negative HBV genome in cotransfected HuH7 cells. These mutants had a transdominant negative effect on virus yield in cotransfections with the wild-type HBV genome. In contrast, all seven mutants with substitutions downstream of Ser 124 were able to envelop the nucleocapsid and to secrete HBV. The sequence between Arg 103 and Ser 124 is highly conserved among different HBV isolates and also between HBV and the woodchuck hepatitis virus. Point mutations in this region introducing alanine residues at conserved positions blocked virion formation, in contrast to mutations at nonconserved residues. These results demonstrate that the pre-S sequence between Arg 103 and Ser 124 has an important function in HBV morphogenesis.", "author" : [ { "dropping-particle" : "", "family" : "Bruss", "given" : "V", "non-dropping-particle" : "", "parse-names" : false, "suffix" : "" } ], "container-title" : "Journal of virology", "id" : "ITEM-1", "issue" : "12", "issued" : { "date-parts" : [ [ "1997", "12" ] ] }, "language" : "eng", "page" : "9350-9357", "publisher-place" : "UNITED STATES", "title" : "A short linear sequence in the pre-S domain of the large hepatitis B virus envelope protein required for virion formation.", "type" : "article-journal", "volume" : "71" }, "uris" : [ "http://www.mendeley.com/documents/?uuid=a1b1fa3b-cd1d-4a51-b398-e225ceee67ee" ] } ], "mendeley" : { "formattedCitation" : "&lt;sup&gt;[31]&lt;/sup&gt;", "plainTextFormattedCitation" : "[31]", "previouslyFormattedCitation" : "&lt;sup&gt;[26]&lt;/sup&gt;" }, "properties" : {  }, "schema" : "https://github.com/citation-style-language/schema/raw/master/csl-citation.json" }</w:instrText>
      </w:r>
      <w:r w:rsidR="005B043F" w:rsidRPr="00C11F21">
        <w:rPr>
          <w:rFonts w:ascii="Book Antiqua" w:hAnsi="Book Antiqua" w:cstheme="minorHAnsi"/>
          <w:sz w:val="24"/>
          <w:szCs w:val="24"/>
          <w:lang w:val="en-US"/>
        </w:rPr>
        <w:fldChar w:fldCharType="separate"/>
      </w:r>
      <w:r w:rsidR="005B043F" w:rsidRPr="00C11F21">
        <w:rPr>
          <w:rFonts w:ascii="Book Antiqua" w:hAnsi="Book Antiqua" w:cstheme="minorHAnsi"/>
          <w:noProof/>
          <w:sz w:val="24"/>
          <w:szCs w:val="24"/>
          <w:vertAlign w:val="superscript"/>
          <w:lang w:val="en-US"/>
        </w:rPr>
        <w:t>[31]</w:t>
      </w:r>
      <w:r w:rsidR="005B043F" w:rsidRPr="00C11F21">
        <w:rPr>
          <w:rFonts w:ascii="Book Antiqua" w:hAnsi="Book Antiqua" w:cstheme="minorHAnsi"/>
          <w:sz w:val="24"/>
          <w:szCs w:val="24"/>
          <w:lang w:val="en-US"/>
        </w:rPr>
        <w:fldChar w:fldCharType="end"/>
      </w:r>
      <w:r w:rsidR="00774758" w:rsidRPr="00C11F21">
        <w:rPr>
          <w:rFonts w:ascii="Book Antiqua" w:hAnsi="Book Antiqua" w:cstheme="minorHAnsi"/>
          <w:sz w:val="24"/>
          <w:szCs w:val="24"/>
          <w:lang w:val="en-US"/>
        </w:rPr>
        <w:t>.</w:t>
      </w:r>
      <w:r w:rsidR="006E161A" w:rsidRPr="00C11F21">
        <w:rPr>
          <w:rFonts w:ascii="Book Antiqua" w:hAnsi="Book Antiqua" w:cstheme="minorHAnsi"/>
          <w:sz w:val="24"/>
          <w:szCs w:val="24"/>
          <w:lang w:val="en-US"/>
        </w:rPr>
        <w:t xml:space="preserve"> This</w:t>
      </w:r>
      <w:r w:rsidR="00774758" w:rsidRPr="00C11F21">
        <w:rPr>
          <w:rFonts w:ascii="Book Antiqua" w:hAnsi="Book Antiqua" w:cstheme="minorHAnsi"/>
          <w:sz w:val="24"/>
          <w:szCs w:val="24"/>
          <w:lang w:val="en-US"/>
        </w:rPr>
        <w:t xml:space="preserve"> domain</w:t>
      </w:r>
      <w:r w:rsidR="006E161A" w:rsidRPr="00C11F21">
        <w:rPr>
          <w:rFonts w:ascii="Book Antiqua" w:hAnsi="Book Antiqua" w:cstheme="minorHAnsi"/>
          <w:sz w:val="24"/>
          <w:szCs w:val="24"/>
          <w:lang w:val="en-US"/>
        </w:rPr>
        <w:t xml:space="preserve">, also located in the preS1 C-terminal (Figure 1), was selected </w:t>
      </w:r>
      <w:r w:rsidR="00774758" w:rsidRPr="00C11F21">
        <w:rPr>
          <w:rFonts w:ascii="Book Antiqua" w:hAnsi="Book Antiqua" w:cstheme="minorHAnsi"/>
          <w:sz w:val="24"/>
          <w:szCs w:val="24"/>
          <w:lang w:val="en-US"/>
        </w:rPr>
        <w:t xml:space="preserve">for comparison purposes </w:t>
      </w:r>
      <w:r w:rsidR="006E161A" w:rsidRPr="00C11F21">
        <w:rPr>
          <w:rFonts w:ascii="Book Antiqua" w:hAnsi="Book Antiqua" w:cstheme="minorHAnsi"/>
          <w:sz w:val="24"/>
          <w:szCs w:val="24"/>
          <w:lang w:val="en-US"/>
        </w:rPr>
        <w:t xml:space="preserve">as a “sequence conservation control” </w:t>
      </w:r>
      <w:r w:rsidR="00774758" w:rsidRPr="00C11F21">
        <w:rPr>
          <w:rFonts w:ascii="Book Antiqua" w:hAnsi="Book Antiqua" w:cstheme="minorHAnsi"/>
          <w:sz w:val="24"/>
          <w:szCs w:val="24"/>
          <w:lang w:val="en-US"/>
        </w:rPr>
        <w:t>because of its</w:t>
      </w:r>
      <w:r w:rsidR="006E161A" w:rsidRPr="00C11F21">
        <w:rPr>
          <w:rFonts w:ascii="Book Antiqua" w:hAnsi="Book Antiqua" w:cstheme="minorHAnsi"/>
          <w:sz w:val="24"/>
          <w:szCs w:val="24"/>
          <w:lang w:val="en-US"/>
        </w:rPr>
        <w:t xml:space="preserve"> high degree of conservation in other orthohepadnaviruses</w:t>
      </w:r>
      <w:r w:rsidR="006E161A" w:rsidRPr="00C11F21">
        <w:rPr>
          <w:rFonts w:ascii="Book Antiqua" w:hAnsi="Book Antiqua" w:cstheme="minorHAnsi"/>
          <w:i/>
          <w:sz w:val="24"/>
          <w:szCs w:val="24"/>
          <w:lang w:val="en-US"/>
        </w:rPr>
        <w:t>,</w:t>
      </w:r>
      <w:r w:rsidR="006E161A" w:rsidRPr="00C11F21">
        <w:rPr>
          <w:rFonts w:ascii="Book Antiqua" w:hAnsi="Book Antiqua" w:cstheme="minorHAnsi"/>
          <w:sz w:val="24"/>
          <w:szCs w:val="24"/>
          <w:lang w:val="en-US"/>
        </w:rPr>
        <w:t xml:space="preserve"> such as woodchuck hepatitis virus</w:t>
      </w:r>
      <w:r w:rsidR="004F4E6E" w:rsidRPr="00C11F21">
        <w:rPr>
          <w:rFonts w:ascii="Book Antiqua" w:hAnsi="Book Antiqua" w:cstheme="minorHAnsi"/>
          <w:sz w:val="24"/>
          <w:szCs w:val="24"/>
          <w:lang w:val="en-US"/>
        </w:rPr>
        <w:fldChar w:fldCharType="begin" w:fldLock="1"/>
      </w:r>
      <w:r w:rsidR="004F4E6E" w:rsidRPr="00C11F21">
        <w:rPr>
          <w:rFonts w:ascii="Book Antiqua" w:hAnsi="Book Antiqua" w:cstheme="minorHAnsi"/>
          <w:sz w:val="24"/>
          <w:szCs w:val="24"/>
          <w:lang w:val="en-US"/>
        </w:rPr>
        <w:instrText>ADDIN CSL_CITATION { "citationItems" : [ { "id" : "ITEM-1", "itemData" : { "ISBN" : "0022-538X (Print)\\n0022-538X (Linking)", "ISSN" : "0022-538X", "PMID" : "9371594", "abstract" : "Envelopment of the hepatitis B virus (HBV) nucleocapsid depends on the large envelope protein L, which is expressed as a transmembrane polypeptide at the endoplasmic reticulum membrane. Previous studies demonstrated that the cytosolic exposure of the N-terminal pre-S domain (174 amino acids) of L was required for virion formation. N-terminal truncations of L up to Arg 103 were tolerated. To map sites in the remaining C-terminal part of pre-S important for virion morphogenesis, a series of 11 L mutants with linker substitutions between Asn 98 and Pro 171 was generated. The mutants formed stable proteins and were secreted in transfected cell cultures, probably as components of subviral hepatitis B surface antigen particles. All four constructs with mutations between Asn 98 and Thr 125 were unable to complement in trans the block in virion formation of an L-negative HBV genome in cotransfected HuH7 cells. These mutants had a transdominant negative effect on virus yield in cotransfections with the wild-type HBV genome. In contrast, all seven mutants with substitutions downstream of Ser 124 were able to envelop the nucleocapsid and to secrete HBV. The sequence between Arg 103 and Ser 124 is highly conserved among different HBV isolates and also between HBV and the woodchuck hepatitis virus. Point mutations in this region introducing alanine residues at conserved positions blocked virion formation, in contrast to mutations at nonconserved residues. These results demonstrate that the pre-S sequence between Arg 103 and Ser 124 has an important function in HBV morphogenesis.", "author" : [ { "dropping-particle" : "", "family" : "Bruss", "given" : "V", "non-dropping-particle" : "", "parse-names" : false, "suffix" : "" } ], "container-title" : "Journal of virology", "id" : "ITEM-1", "issue" : "12", "issued" : { "date-parts" : [ [ "1997", "12" ] ] }, "language" : "eng", "page" : "9350-9357", "publisher-place" : "UNITED STATES", "title" : "A short linear sequence in the pre-S domain of the large hepatitis B virus envelope protein required for virion formation.", "type" : "article-journal", "volume" : "71" }, "uris" : [ "http://www.mendeley.com/documents/?uuid=a1b1fa3b-cd1d-4a51-b398-e225ceee67ee" ] } ], "mendeley" : { "formattedCitation" : "&lt;sup&gt;[31]&lt;/sup&gt;", "plainTextFormattedCitation" : "[31]", "previouslyFormattedCitation" : "&lt;sup&gt;[26]&lt;/sup&gt;" }, "properties" : {  }, "schema" : "https://github.com/citation-style-language/schema/raw/master/csl-citation.json" }</w:instrText>
      </w:r>
      <w:r w:rsidR="004F4E6E" w:rsidRPr="00C11F21">
        <w:rPr>
          <w:rFonts w:ascii="Book Antiqua" w:hAnsi="Book Antiqua" w:cstheme="minorHAnsi"/>
          <w:sz w:val="24"/>
          <w:szCs w:val="24"/>
          <w:lang w:val="en-US"/>
        </w:rPr>
        <w:fldChar w:fldCharType="separate"/>
      </w:r>
      <w:r w:rsidR="004F4E6E" w:rsidRPr="00C11F21">
        <w:rPr>
          <w:rFonts w:ascii="Book Antiqua" w:hAnsi="Book Antiqua" w:cstheme="minorHAnsi"/>
          <w:noProof/>
          <w:sz w:val="24"/>
          <w:szCs w:val="24"/>
          <w:vertAlign w:val="superscript"/>
          <w:lang w:val="en-US"/>
        </w:rPr>
        <w:t>[31]</w:t>
      </w:r>
      <w:r w:rsidR="004F4E6E" w:rsidRPr="00C11F21">
        <w:rPr>
          <w:rFonts w:ascii="Book Antiqua" w:hAnsi="Book Antiqua" w:cstheme="minorHAnsi"/>
          <w:sz w:val="24"/>
          <w:szCs w:val="24"/>
          <w:lang w:val="en-US"/>
        </w:rPr>
        <w:fldChar w:fldCharType="end"/>
      </w:r>
      <w:r w:rsidR="006E161A" w:rsidRPr="00C11F21">
        <w:rPr>
          <w:rFonts w:ascii="Book Antiqua" w:hAnsi="Book Antiqua" w:cstheme="minorHAnsi"/>
          <w:sz w:val="24"/>
          <w:szCs w:val="24"/>
          <w:lang w:val="en-US"/>
        </w:rPr>
        <w:t>.</w:t>
      </w:r>
    </w:p>
    <w:p w14:paraId="610DD119" w14:textId="0B9A326C" w:rsidR="005C659B" w:rsidRPr="00C11F21" w:rsidRDefault="00B01C6D" w:rsidP="004F4E6E">
      <w:pPr>
        <w:snapToGrid w:val="0"/>
        <w:spacing w:after="0" w:line="360" w:lineRule="auto"/>
        <w:ind w:firstLineChars="100" w:firstLine="240"/>
        <w:jc w:val="both"/>
        <w:rPr>
          <w:rFonts w:ascii="Book Antiqua" w:hAnsi="Book Antiqua" w:cstheme="minorHAnsi"/>
          <w:sz w:val="24"/>
          <w:szCs w:val="24"/>
          <w:lang w:val="en-US"/>
        </w:rPr>
      </w:pPr>
      <w:r w:rsidRPr="00C11F21">
        <w:rPr>
          <w:rFonts w:ascii="Book Antiqua" w:hAnsi="Book Antiqua" w:cstheme="minorHAnsi"/>
          <w:sz w:val="24"/>
          <w:szCs w:val="24"/>
          <w:lang w:val="en-US"/>
        </w:rPr>
        <w:t xml:space="preserve">The </w:t>
      </w:r>
      <w:r w:rsidR="005C659B" w:rsidRPr="00C11F21">
        <w:rPr>
          <w:rFonts w:ascii="Book Antiqua" w:hAnsi="Book Antiqua" w:cstheme="minorHAnsi"/>
          <w:sz w:val="24"/>
          <w:szCs w:val="24"/>
          <w:lang w:val="en-US"/>
        </w:rPr>
        <w:t>NTCP</w:t>
      </w:r>
      <w:r w:rsidR="00DC4529" w:rsidRPr="00C11F21">
        <w:rPr>
          <w:rFonts w:ascii="Book Antiqua" w:hAnsi="Book Antiqua" w:cstheme="minorHAnsi"/>
          <w:sz w:val="24"/>
          <w:szCs w:val="24"/>
          <w:lang w:val="en-US"/>
        </w:rPr>
        <w:t>-</w:t>
      </w:r>
      <w:r w:rsidR="008E5ED0" w:rsidRPr="00C11F21">
        <w:rPr>
          <w:rFonts w:ascii="Book Antiqua" w:hAnsi="Book Antiqua" w:cstheme="minorHAnsi"/>
          <w:sz w:val="24"/>
          <w:szCs w:val="24"/>
          <w:lang w:val="en-US"/>
        </w:rPr>
        <w:t xml:space="preserve">interacting </w:t>
      </w:r>
      <w:r w:rsidR="00033CE6" w:rsidRPr="00C11F21">
        <w:rPr>
          <w:rFonts w:ascii="Book Antiqua" w:hAnsi="Book Antiqua" w:cstheme="minorHAnsi"/>
          <w:sz w:val="24"/>
          <w:szCs w:val="24"/>
          <w:lang w:val="en-US"/>
        </w:rPr>
        <w:t xml:space="preserve">domain </w:t>
      </w:r>
      <w:r w:rsidR="005C659B" w:rsidRPr="00C11F21">
        <w:rPr>
          <w:rFonts w:ascii="Book Antiqua" w:hAnsi="Book Antiqua" w:cstheme="minorHAnsi"/>
          <w:sz w:val="24"/>
          <w:szCs w:val="24"/>
          <w:lang w:val="en-US"/>
        </w:rPr>
        <w:t xml:space="preserve">includes 47 aa from the N-terminal end of the preS1 region (aa 13-59 in </w:t>
      </w:r>
      <w:r w:rsidR="00914AF4" w:rsidRPr="00C11F21">
        <w:rPr>
          <w:rFonts w:ascii="Book Antiqua" w:hAnsi="Book Antiqua" w:cstheme="minorHAnsi"/>
          <w:sz w:val="24"/>
          <w:szCs w:val="24"/>
          <w:lang w:val="en-US"/>
        </w:rPr>
        <w:t xml:space="preserve">HBV </w:t>
      </w:r>
      <w:r w:rsidR="005C659B" w:rsidRPr="00C11F21">
        <w:rPr>
          <w:rFonts w:ascii="Book Antiqua" w:hAnsi="Book Antiqua" w:cstheme="minorHAnsi"/>
          <w:sz w:val="24"/>
          <w:szCs w:val="24"/>
          <w:lang w:val="en-US"/>
        </w:rPr>
        <w:t xml:space="preserve">genotypes A, B, C, F and H, aa 2-48 in genotype D, and aa 12-58 in genotype E), whereas </w:t>
      </w:r>
      <w:r w:rsidRPr="00C11F21">
        <w:rPr>
          <w:rFonts w:ascii="Book Antiqua" w:hAnsi="Book Antiqua" w:cstheme="minorHAnsi"/>
          <w:sz w:val="24"/>
          <w:szCs w:val="24"/>
          <w:lang w:val="en-US"/>
        </w:rPr>
        <w:t xml:space="preserve">the </w:t>
      </w:r>
      <w:r w:rsidR="008E5ED0" w:rsidRPr="00C11F21">
        <w:rPr>
          <w:rFonts w:ascii="Book Antiqua" w:hAnsi="Book Antiqua" w:cstheme="minorHAnsi"/>
          <w:sz w:val="24"/>
          <w:szCs w:val="24"/>
          <w:lang w:val="en-US"/>
        </w:rPr>
        <w:t xml:space="preserve">virion morphogenesis </w:t>
      </w:r>
      <w:r w:rsidR="004F4C06" w:rsidRPr="00C11F21">
        <w:rPr>
          <w:rFonts w:ascii="Book Antiqua" w:hAnsi="Book Antiqua" w:cstheme="minorHAnsi"/>
          <w:sz w:val="24"/>
          <w:szCs w:val="24"/>
          <w:lang w:val="en-US"/>
        </w:rPr>
        <w:t>domain</w:t>
      </w:r>
      <w:r w:rsidR="005C659B" w:rsidRPr="00C11F21">
        <w:rPr>
          <w:rFonts w:ascii="Book Antiqua" w:hAnsi="Book Antiqua" w:cstheme="minorHAnsi"/>
          <w:sz w:val="24"/>
          <w:szCs w:val="24"/>
          <w:lang w:val="en-US"/>
        </w:rPr>
        <w:t xml:space="preserve"> includes 22 aa lying between the C-terminal end of preS1 and the first 5 aa from the N-terminal end of preS2 (aa 103-</w:t>
      </w:r>
      <w:r w:rsidR="005D64BD" w:rsidRPr="00C11F21">
        <w:rPr>
          <w:rFonts w:ascii="Book Antiqua" w:hAnsi="Book Antiqua" w:cstheme="minorHAnsi"/>
          <w:sz w:val="24"/>
          <w:szCs w:val="24"/>
          <w:lang w:val="en-US"/>
        </w:rPr>
        <w:t xml:space="preserve">124 </w:t>
      </w:r>
      <w:r w:rsidR="005C659B" w:rsidRPr="00C11F21">
        <w:rPr>
          <w:rFonts w:ascii="Book Antiqua" w:hAnsi="Book Antiqua" w:cstheme="minorHAnsi"/>
          <w:sz w:val="24"/>
          <w:szCs w:val="24"/>
          <w:lang w:val="en-US"/>
        </w:rPr>
        <w:t xml:space="preserve">in </w:t>
      </w:r>
      <w:r w:rsidR="00914AF4" w:rsidRPr="00C11F21">
        <w:rPr>
          <w:rFonts w:ascii="Book Antiqua" w:hAnsi="Book Antiqua" w:cstheme="minorHAnsi"/>
          <w:sz w:val="24"/>
          <w:szCs w:val="24"/>
          <w:lang w:val="en-US"/>
        </w:rPr>
        <w:t xml:space="preserve">HBV </w:t>
      </w:r>
      <w:r w:rsidR="005C659B" w:rsidRPr="00C11F21">
        <w:rPr>
          <w:rFonts w:ascii="Book Antiqua" w:hAnsi="Book Antiqua" w:cstheme="minorHAnsi"/>
          <w:sz w:val="24"/>
          <w:szCs w:val="24"/>
          <w:lang w:val="en-US"/>
        </w:rPr>
        <w:t>genotypes A, B, C, F and H, aa 92-103 in genotype D, and aa 102-123 in genotype E).</w:t>
      </w:r>
    </w:p>
    <w:p w14:paraId="6A1B95CE" w14:textId="358D0538" w:rsidR="005C659B" w:rsidRPr="00C11F21" w:rsidRDefault="005C659B" w:rsidP="004F4E6E">
      <w:pPr>
        <w:snapToGrid w:val="0"/>
        <w:spacing w:after="0" w:line="360" w:lineRule="auto"/>
        <w:ind w:firstLineChars="100" w:firstLine="240"/>
        <w:jc w:val="both"/>
        <w:rPr>
          <w:rFonts w:ascii="Book Antiqua" w:hAnsi="Book Antiqua" w:cstheme="minorHAnsi"/>
          <w:sz w:val="24"/>
          <w:szCs w:val="24"/>
          <w:lang w:val="en-US"/>
        </w:rPr>
      </w:pPr>
      <w:r w:rsidRPr="00C11F21">
        <w:rPr>
          <w:rFonts w:ascii="Book Antiqua" w:hAnsi="Book Antiqua" w:cstheme="minorHAnsi"/>
          <w:sz w:val="24"/>
          <w:szCs w:val="24"/>
          <w:lang w:val="en-US"/>
        </w:rPr>
        <w:t>The first step of this analysis was to classify the haplotypes from each patient according to their HBV genotype by phylogenetic analysis in order to d</w:t>
      </w:r>
      <w:r w:rsidR="00AC7D2B" w:rsidRPr="00C11F21">
        <w:rPr>
          <w:rFonts w:ascii="Book Antiqua" w:hAnsi="Book Antiqua" w:cstheme="minorHAnsi"/>
          <w:sz w:val="24"/>
          <w:szCs w:val="24"/>
          <w:lang w:val="en-US"/>
        </w:rPr>
        <w:t>ifferentiate</w:t>
      </w:r>
      <w:r w:rsidRPr="00C11F21">
        <w:rPr>
          <w:rFonts w:ascii="Book Antiqua" w:hAnsi="Book Antiqua" w:cstheme="minorHAnsi"/>
          <w:sz w:val="24"/>
          <w:szCs w:val="24"/>
          <w:lang w:val="en-US"/>
        </w:rPr>
        <w:t xml:space="preserve"> sequence variations from genotype-related polymorphisms. First, we selected 86 full-length HBV genome sequences representative of HBV genotypes A to H, obtained from GenBank (accession numbers in Supplementary Table 1) and extracted the region from nt 2837, 2838</w:t>
      </w:r>
      <w:r w:rsidR="006502F3" w:rsidRPr="00C11F21">
        <w:rPr>
          <w:rFonts w:ascii="Book Antiqua" w:hAnsi="Book Antiqua" w:cstheme="minorHAnsi"/>
          <w:sz w:val="24"/>
          <w:szCs w:val="24"/>
          <w:lang w:val="en-US"/>
        </w:rPr>
        <w:t>,</w:t>
      </w:r>
      <w:r w:rsidRPr="00C11F21">
        <w:rPr>
          <w:rFonts w:ascii="Book Antiqua" w:hAnsi="Book Antiqua" w:cstheme="minorHAnsi"/>
          <w:sz w:val="24"/>
          <w:szCs w:val="24"/>
          <w:lang w:val="en-US"/>
        </w:rPr>
        <w:t xml:space="preserve"> or 2844 (depending on </w:t>
      </w:r>
      <w:r w:rsidR="00602D72" w:rsidRPr="00C11F21">
        <w:rPr>
          <w:rFonts w:ascii="Book Antiqua" w:hAnsi="Book Antiqua" w:cstheme="minorHAnsi"/>
          <w:sz w:val="24"/>
          <w:szCs w:val="24"/>
          <w:lang w:val="en-US"/>
        </w:rPr>
        <w:t xml:space="preserve">viral </w:t>
      </w:r>
      <w:r w:rsidRPr="00C11F21">
        <w:rPr>
          <w:rFonts w:ascii="Book Antiqua" w:hAnsi="Book Antiqua" w:cstheme="minorHAnsi"/>
          <w:sz w:val="24"/>
          <w:szCs w:val="24"/>
          <w:lang w:val="en-US"/>
        </w:rPr>
        <w:t xml:space="preserve">genotype) to 56. We then determined the maximum genetic distances between sequences from the same </w:t>
      </w:r>
      <w:r w:rsidR="00602D72" w:rsidRPr="00C11F21">
        <w:rPr>
          <w:rFonts w:ascii="Book Antiqua" w:hAnsi="Book Antiqua" w:cstheme="minorHAnsi"/>
          <w:sz w:val="24"/>
          <w:szCs w:val="24"/>
          <w:lang w:val="en-US"/>
        </w:rPr>
        <w:t xml:space="preserve">HBV </w:t>
      </w:r>
      <w:r w:rsidRPr="00C11F21">
        <w:rPr>
          <w:rFonts w:ascii="Book Antiqua" w:hAnsi="Book Antiqua" w:cstheme="minorHAnsi"/>
          <w:sz w:val="24"/>
          <w:szCs w:val="24"/>
          <w:lang w:val="en-US"/>
        </w:rPr>
        <w:t xml:space="preserve">genotype in this region and </w:t>
      </w:r>
      <w:r w:rsidRPr="00C11F21">
        <w:rPr>
          <w:rFonts w:ascii="Book Antiqua" w:hAnsi="Book Antiqua" w:cstheme="minorHAnsi"/>
          <w:sz w:val="24"/>
          <w:szCs w:val="24"/>
          <w:lang w:val="en-US"/>
        </w:rPr>
        <w:lastRenderedPageBreak/>
        <w:t>the minimum genetic distances between sequences from different genotypes, in order to set a sequence identity threshold</w:t>
      </w:r>
      <w:r w:rsidR="00AC7D2B" w:rsidRPr="00C11F21">
        <w:rPr>
          <w:rFonts w:ascii="Book Antiqua" w:hAnsi="Book Antiqua" w:cstheme="minorHAnsi"/>
          <w:sz w:val="24"/>
          <w:szCs w:val="24"/>
          <w:lang w:val="en-US"/>
        </w:rPr>
        <w:t>.</w:t>
      </w:r>
      <w:r w:rsidRPr="00C11F21">
        <w:rPr>
          <w:rFonts w:ascii="Book Antiqua" w:hAnsi="Book Antiqua" w:cstheme="minorHAnsi"/>
          <w:sz w:val="24"/>
          <w:szCs w:val="24"/>
          <w:lang w:val="en-US"/>
        </w:rPr>
        <w:t xml:space="preserve"> The threshold was then used to cluster the individual haplotypes from each patient</w:t>
      </w:r>
      <w:r w:rsidR="00CA0B8C" w:rsidRPr="00C11F21">
        <w:rPr>
          <w:rFonts w:ascii="Book Antiqua" w:hAnsi="Book Antiqua" w:cstheme="minorHAnsi"/>
          <w:sz w:val="24"/>
          <w:szCs w:val="24"/>
          <w:lang w:val="en-US"/>
        </w:rPr>
        <w:t>;</w:t>
      </w:r>
      <w:r w:rsidRPr="00C11F21">
        <w:rPr>
          <w:rFonts w:ascii="Book Antiqua" w:hAnsi="Book Antiqua" w:cstheme="minorHAnsi"/>
          <w:sz w:val="24"/>
          <w:szCs w:val="24"/>
          <w:lang w:val="en-US"/>
        </w:rPr>
        <w:t xml:space="preserve"> sequences with an identity above the identity threshold were grouped together in the same cluster and their frequencies were added up. The master sequence </w:t>
      </w:r>
      <w:r w:rsidR="00E5146C" w:rsidRPr="00C11F21">
        <w:rPr>
          <w:rFonts w:ascii="Book Antiqua" w:hAnsi="Book Antiqua" w:cstheme="minorHAnsi"/>
          <w:sz w:val="24"/>
          <w:szCs w:val="24"/>
          <w:lang w:val="en-US"/>
        </w:rPr>
        <w:t xml:space="preserve">(the most abundant haplotype) </w:t>
      </w:r>
      <w:r w:rsidRPr="00C11F21">
        <w:rPr>
          <w:rFonts w:ascii="Book Antiqua" w:hAnsi="Book Antiqua" w:cstheme="minorHAnsi"/>
          <w:sz w:val="24"/>
          <w:szCs w:val="24"/>
          <w:lang w:val="en-US"/>
        </w:rPr>
        <w:t xml:space="preserve">from each cluster </w:t>
      </w:r>
      <w:r w:rsidR="005453C9" w:rsidRPr="00C11F21">
        <w:rPr>
          <w:rFonts w:ascii="Book Antiqua" w:hAnsi="Book Antiqua" w:cstheme="minorHAnsi"/>
          <w:sz w:val="24"/>
          <w:szCs w:val="24"/>
          <w:lang w:val="en-US"/>
        </w:rPr>
        <w:t>and</w:t>
      </w:r>
      <w:r w:rsidRPr="00C11F21">
        <w:rPr>
          <w:rFonts w:ascii="Book Antiqua" w:hAnsi="Book Antiqua" w:cstheme="minorHAnsi"/>
          <w:sz w:val="24"/>
          <w:szCs w:val="24"/>
          <w:lang w:val="en-US"/>
        </w:rPr>
        <w:t xml:space="preserve"> the sequences </w:t>
      </w:r>
      <w:r w:rsidR="00EE1A82" w:rsidRPr="00C11F21">
        <w:rPr>
          <w:rFonts w:ascii="Book Antiqua" w:hAnsi="Book Antiqua" w:cstheme="minorHAnsi"/>
          <w:sz w:val="24"/>
          <w:szCs w:val="24"/>
          <w:lang w:val="en-US"/>
        </w:rPr>
        <w:t xml:space="preserve">obtained </w:t>
      </w:r>
      <w:r w:rsidRPr="00C11F21">
        <w:rPr>
          <w:rFonts w:ascii="Book Antiqua" w:hAnsi="Book Antiqua" w:cstheme="minorHAnsi"/>
          <w:sz w:val="24"/>
          <w:szCs w:val="24"/>
          <w:lang w:val="en-US"/>
        </w:rPr>
        <w:t xml:space="preserve">from the 86 full-length </w:t>
      </w:r>
      <w:r w:rsidR="00A76D90" w:rsidRPr="00C11F21">
        <w:rPr>
          <w:rFonts w:ascii="Book Antiqua" w:hAnsi="Book Antiqua" w:cstheme="minorHAnsi"/>
          <w:sz w:val="24"/>
          <w:szCs w:val="24"/>
          <w:lang w:val="en-US"/>
        </w:rPr>
        <w:t>genome</w:t>
      </w:r>
      <w:r w:rsidR="00A575CC" w:rsidRPr="00C11F21">
        <w:rPr>
          <w:rFonts w:ascii="Book Antiqua" w:hAnsi="Book Antiqua" w:cstheme="minorHAnsi"/>
          <w:sz w:val="24"/>
          <w:szCs w:val="24"/>
          <w:lang w:val="en-US"/>
        </w:rPr>
        <w:t>s</w:t>
      </w:r>
      <w:r w:rsidR="00A76D90" w:rsidRPr="00C11F21">
        <w:rPr>
          <w:rFonts w:ascii="Book Antiqua" w:hAnsi="Book Antiqua" w:cstheme="minorHAnsi"/>
          <w:sz w:val="24"/>
          <w:szCs w:val="24"/>
          <w:lang w:val="en-US"/>
        </w:rPr>
        <w:t xml:space="preserve"> then underwent</w:t>
      </w:r>
      <w:r w:rsidR="00EE1A82" w:rsidRPr="00C11F21">
        <w:rPr>
          <w:rFonts w:ascii="Book Antiqua" w:hAnsi="Book Antiqua" w:cstheme="minorHAnsi"/>
          <w:sz w:val="24"/>
          <w:szCs w:val="24"/>
          <w:lang w:val="en-US"/>
        </w:rPr>
        <w:t xml:space="preserve"> </w:t>
      </w:r>
      <w:r w:rsidR="005453C9" w:rsidRPr="00C11F21">
        <w:rPr>
          <w:rFonts w:ascii="Book Antiqua" w:hAnsi="Book Antiqua" w:cstheme="minorHAnsi"/>
          <w:sz w:val="24"/>
          <w:szCs w:val="24"/>
          <w:lang w:val="en-US"/>
        </w:rPr>
        <w:t>phylogenetic analysis</w:t>
      </w:r>
      <w:r w:rsidR="00EE1A82" w:rsidRPr="00C11F21">
        <w:rPr>
          <w:rFonts w:ascii="Book Antiqua" w:hAnsi="Book Antiqua" w:cstheme="minorHAnsi"/>
          <w:sz w:val="24"/>
          <w:szCs w:val="24"/>
          <w:lang w:val="en-US"/>
        </w:rPr>
        <w:t xml:space="preserve"> </w:t>
      </w:r>
      <w:r w:rsidR="00F95577" w:rsidRPr="00C11F21">
        <w:rPr>
          <w:rFonts w:ascii="Book Antiqua" w:hAnsi="Book Antiqua" w:cstheme="minorHAnsi"/>
          <w:sz w:val="24"/>
          <w:szCs w:val="24"/>
          <w:lang w:val="en-US"/>
        </w:rPr>
        <w:t xml:space="preserve">to determine </w:t>
      </w:r>
      <w:r w:rsidR="005453C9" w:rsidRPr="00C11F21">
        <w:rPr>
          <w:rFonts w:ascii="Book Antiqua" w:hAnsi="Book Antiqua" w:cstheme="minorHAnsi"/>
          <w:sz w:val="24"/>
          <w:szCs w:val="24"/>
          <w:lang w:val="en-US"/>
        </w:rPr>
        <w:t>the</w:t>
      </w:r>
      <w:r w:rsidR="00F95577" w:rsidRPr="00C11F21">
        <w:rPr>
          <w:rFonts w:ascii="Book Antiqua" w:hAnsi="Book Antiqua" w:cstheme="minorHAnsi"/>
          <w:sz w:val="24"/>
          <w:szCs w:val="24"/>
          <w:lang w:val="en-US"/>
        </w:rPr>
        <w:t xml:space="preserve"> HBV genotype</w:t>
      </w:r>
      <w:r w:rsidR="00E5146C" w:rsidRPr="00C11F21">
        <w:rPr>
          <w:rFonts w:ascii="Book Antiqua" w:hAnsi="Book Antiqua" w:cstheme="minorHAnsi"/>
          <w:sz w:val="24"/>
          <w:szCs w:val="24"/>
          <w:lang w:val="en-US"/>
        </w:rPr>
        <w:t xml:space="preserve">. </w:t>
      </w:r>
      <w:r w:rsidR="00BD43BC" w:rsidRPr="00C11F21">
        <w:rPr>
          <w:rFonts w:ascii="Book Antiqua" w:hAnsi="Book Antiqua" w:cstheme="minorHAnsi"/>
          <w:sz w:val="24"/>
          <w:szCs w:val="24"/>
          <w:lang w:val="en-US"/>
        </w:rPr>
        <w:t>Genetic distances between master sequences and the remaining sequences in their clusters were below the minimum distance between sequences from different genotypes; thus, all the sequences in the cluster were considered to belong to the same HBV genotype as the master sequence.</w:t>
      </w:r>
      <w:r w:rsidRPr="00C11F21">
        <w:rPr>
          <w:rFonts w:ascii="Book Antiqua" w:hAnsi="Book Antiqua" w:cstheme="minorHAnsi"/>
          <w:sz w:val="24"/>
          <w:szCs w:val="24"/>
          <w:lang w:val="en-US"/>
        </w:rPr>
        <w:t xml:space="preserve"> </w:t>
      </w:r>
      <w:r w:rsidR="006B18F0" w:rsidRPr="00C11F21">
        <w:rPr>
          <w:rFonts w:ascii="Book Antiqua" w:hAnsi="Book Antiqua" w:cstheme="minorHAnsi"/>
          <w:sz w:val="24"/>
          <w:szCs w:val="24"/>
          <w:lang w:val="en-US"/>
        </w:rPr>
        <w:t>A</w:t>
      </w:r>
      <w:r w:rsidRPr="00C11F21">
        <w:rPr>
          <w:rFonts w:ascii="Book Antiqua" w:hAnsi="Book Antiqua" w:cstheme="minorHAnsi"/>
          <w:sz w:val="24"/>
          <w:szCs w:val="24"/>
          <w:lang w:val="en-US"/>
        </w:rPr>
        <w:t xml:space="preserve">ll individual haplotypes were </w:t>
      </w:r>
      <w:r w:rsidR="006B18F0" w:rsidRPr="00C11F21">
        <w:rPr>
          <w:rFonts w:ascii="Book Antiqua" w:hAnsi="Book Antiqua" w:cstheme="minorHAnsi"/>
          <w:sz w:val="24"/>
          <w:szCs w:val="24"/>
          <w:lang w:val="en-US"/>
        </w:rPr>
        <w:t xml:space="preserve">then </w:t>
      </w:r>
      <w:r w:rsidRPr="00C11F21">
        <w:rPr>
          <w:rFonts w:ascii="Book Antiqua" w:hAnsi="Book Antiqua" w:cstheme="minorHAnsi"/>
          <w:sz w:val="24"/>
          <w:szCs w:val="24"/>
          <w:lang w:val="en-US"/>
        </w:rPr>
        <w:t>separated in</w:t>
      </w:r>
      <w:r w:rsidR="006B18F0" w:rsidRPr="00C11F21">
        <w:rPr>
          <w:rFonts w:ascii="Book Antiqua" w:hAnsi="Book Antiqua" w:cstheme="minorHAnsi"/>
          <w:sz w:val="24"/>
          <w:szCs w:val="24"/>
          <w:lang w:val="en-US"/>
        </w:rPr>
        <w:t>to</w:t>
      </w:r>
      <w:r w:rsidRPr="00C11F21">
        <w:rPr>
          <w:rFonts w:ascii="Book Antiqua" w:hAnsi="Book Antiqua" w:cstheme="minorHAnsi"/>
          <w:sz w:val="24"/>
          <w:szCs w:val="24"/>
          <w:lang w:val="en-US"/>
        </w:rPr>
        <w:t xml:space="preserve"> different fasta files according to the genotype assigned to each of them and translated into aa sequences. The aa haplotypes with the same sequence were recollapsed and their frequencies were updated.</w:t>
      </w:r>
    </w:p>
    <w:p w14:paraId="3F4EE4FD" w14:textId="77777777" w:rsidR="006502F3" w:rsidRPr="00C11F21" w:rsidRDefault="005C659B" w:rsidP="004F4E6E">
      <w:pPr>
        <w:snapToGrid w:val="0"/>
        <w:spacing w:after="0" w:line="360" w:lineRule="auto"/>
        <w:ind w:firstLineChars="100" w:firstLine="240"/>
        <w:jc w:val="both"/>
        <w:rPr>
          <w:rFonts w:ascii="Book Antiqua" w:hAnsi="Book Antiqua" w:cstheme="minorHAnsi"/>
          <w:sz w:val="24"/>
          <w:szCs w:val="24"/>
          <w:lang w:val="en-US"/>
        </w:rPr>
      </w:pPr>
      <w:r w:rsidRPr="00C11F21">
        <w:rPr>
          <w:rFonts w:ascii="Book Antiqua" w:hAnsi="Book Antiqua" w:cstheme="minorHAnsi"/>
          <w:sz w:val="24"/>
          <w:szCs w:val="24"/>
          <w:lang w:val="en-US"/>
        </w:rPr>
        <w:t xml:space="preserve">The multiple alignments of aa haplotypes obtained were used to </w:t>
      </w:r>
      <w:r w:rsidR="006306D9" w:rsidRPr="00C11F21">
        <w:rPr>
          <w:rFonts w:ascii="Book Antiqua" w:hAnsi="Book Antiqua" w:cstheme="minorHAnsi"/>
          <w:sz w:val="24"/>
          <w:szCs w:val="24"/>
          <w:lang w:val="en-US"/>
        </w:rPr>
        <w:t>detect point mutations, each of which was considered a separate variant, and to determine their abundance in the two regions studied.</w:t>
      </w:r>
    </w:p>
    <w:p w14:paraId="50B39FFE" w14:textId="70A7B49E" w:rsidR="005C659B" w:rsidRPr="00C11F21" w:rsidRDefault="005C659B" w:rsidP="004F4E6E">
      <w:pPr>
        <w:snapToGrid w:val="0"/>
        <w:spacing w:after="0" w:line="360" w:lineRule="auto"/>
        <w:ind w:firstLineChars="100" w:firstLine="240"/>
        <w:jc w:val="both"/>
        <w:rPr>
          <w:rFonts w:ascii="Book Antiqua" w:hAnsi="Book Antiqua" w:cstheme="minorHAnsi"/>
          <w:sz w:val="24"/>
          <w:szCs w:val="24"/>
          <w:lang w:val="en-US"/>
        </w:rPr>
      </w:pPr>
      <w:r w:rsidRPr="00C11F21">
        <w:rPr>
          <w:rFonts w:ascii="Book Antiqua" w:hAnsi="Book Antiqua" w:cstheme="minorHAnsi"/>
          <w:sz w:val="24"/>
          <w:szCs w:val="24"/>
          <w:lang w:val="en-US"/>
        </w:rPr>
        <w:t xml:space="preserve">Finally, an overall image of aa conservation/variation in preS1 for each </w:t>
      </w:r>
      <w:r w:rsidR="00914AF4" w:rsidRPr="00C11F21">
        <w:rPr>
          <w:rFonts w:ascii="Book Antiqua" w:hAnsi="Book Antiqua" w:cstheme="minorHAnsi"/>
          <w:sz w:val="24"/>
          <w:szCs w:val="24"/>
          <w:lang w:val="en-US"/>
        </w:rPr>
        <w:t>HBV</w:t>
      </w:r>
      <w:r w:rsidR="00602D72" w:rsidRPr="00C11F21">
        <w:rPr>
          <w:rFonts w:ascii="Book Antiqua" w:hAnsi="Book Antiqua" w:cstheme="minorHAnsi"/>
          <w:sz w:val="24"/>
          <w:szCs w:val="24"/>
          <w:lang w:val="en-US"/>
        </w:rPr>
        <w:t xml:space="preserve"> </w:t>
      </w:r>
      <w:r w:rsidRPr="00C11F21">
        <w:rPr>
          <w:rFonts w:ascii="Book Antiqua" w:hAnsi="Book Antiqua" w:cstheme="minorHAnsi"/>
          <w:sz w:val="24"/>
          <w:szCs w:val="24"/>
          <w:lang w:val="en-US"/>
        </w:rPr>
        <w:t xml:space="preserve">genotype was obtained by calculating the information content (IC) of each position. The IC of an aa position is related to the number of binary decisions (number of questions with a yes/no answer) required to find the correct aa in a given position </w:t>
      </w:r>
      <w:r w:rsidR="006502F3" w:rsidRPr="00C11F21">
        <w:rPr>
          <w:rFonts w:ascii="Book Antiqua" w:hAnsi="Book Antiqua" w:cstheme="minorHAnsi"/>
          <w:sz w:val="24"/>
          <w:szCs w:val="24"/>
          <w:lang w:val="en-US"/>
        </w:rPr>
        <w:t xml:space="preserve">among a set of 20 possibilities per position </w:t>
      </w:r>
      <w:r w:rsidRPr="00C11F21">
        <w:rPr>
          <w:rFonts w:ascii="Book Antiqua" w:hAnsi="Book Antiqua" w:cstheme="minorHAnsi"/>
          <w:sz w:val="24"/>
          <w:szCs w:val="24"/>
          <w:lang w:val="en-US"/>
        </w:rPr>
        <w:t xml:space="preserve">in the multiple alignment of haplotypes. For example, if the probabilities of finding any of the 20 aa </w:t>
      </w:r>
      <m:oMath>
        <m:r>
          <w:rPr>
            <w:rFonts w:ascii="Cambria Math" w:hAnsi="Cambria Math" w:cstheme="minorHAnsi"/>
            <w:sz w:val="24"/>
            <w:szCs w:val="24"/>
            <w:lang w:val="en-US"/>
          </w:rPr>
          <m:t>(</m:t>
        </m:r>
        <m:sSub>
          <m:sSubPr>
            <m:ctrlPr>
              <w:rPr>
                <w:rFonts w:ascii="Cambria Math" w:hAnsi="Cambria Math" w:cstheme="minorHAnsi"/>
                <w:i/>
                <w:sz w:val="24"/>
                <w:szCs w:val="24"/>
                <w:lang w:val="en-US"/>
              </w:rPr>
            </m:ctrlPr>
          </m:sSubPr>
          <m:e>
            <m:r>
              <w:rPr>
                <w:rFonts w:ascii="Cambria Math" w:hAnsi="Cambria Math" w:cstheme="minorHAnsi"/>
                <w:sz w:val="24"/>
                <w:szCs w:val="24"/>
                <w:lang w:val="en-US"/>
              </w:rPr>
              <m:t>p</m:t>
            </m:r>
          </m:e>
          <m:sub>
            <m:r>
              <w:rPr>
                <w:rFonts w:ascii="Cambria Math" w:hAnsi="Cambria Math" w:cstheme="minorHAnsi"/>
                <w:sz w:val="24"/>
                <w:szCs w:val="24"/>
                <w:lang w:val="en-US"/>
              </w:rPr>
              <m:t>a</m:t>
            </m:r>
          </m:sub>
        </m:sSub>
        <m:r>
          <w:rPr>
            <w:rFonts w:ascii="Cambria Math" w:hAnsi="Cambria Math" w:cstheme="minorHAnsi"/>
            <w:sz w:val="24"/>
            <w:szCs w:val="24"/>
            <w:lang w:val="en-US"/>
          </w:rPr>
          <m:t>)</m:t>
        </m:r>
      </m:oMath>
      <w:r w:rsidRPr="00C11F21">
        <w:rPr>
          <w:rFonts w:ascii="Book Antiqua" w:hAnsi="Book Antiqua" w:cstheme="minorHAnsi"/>
          <w:sz w:val="24"/>
          <w:szCs w:val="24"/>
          <w:lang w:val="en-US"/>
        </w:rPr>
        <w:t xml:space="preserve"> were equal in a given position, the information content would be </w:t>
      </w:r>
      <m:oMath>
        <m:func>
          <m:funcPr>
            <m:ctrlPr>
              <w:rPr>
                <w:rFonts w:ascii="Cambria Math" w:hAnsi="Cambria Math" w:cstheme="minorHAnsi"/>
                <w:i/>
                <w:sz w:val="24"/>
                <w:szCs w:val="24"/>
                <w:lang w:val="en-US"/>
              </w:rPr>
            </m:ctrlPr>
          </m:funcPr>
          <m:fName>
            <m:sSub>
              <m:sSubPr>
                <m:ctrlPr>
                  <w:rPr>
                    <w:rFonts w:ascii="Cambria Math" w:hAnsi="Cambria Math" w:cstheme="minorHAnsi"/>
                    <w:i/>
                    <w:sz w:val="24"/>
                    <w:szCs w:val="24"/>
                    <w:lang w:val="en-US"/>
                  </w:rPr>
                </m:ctrlPr>
              </m:sSubPr>
              <m:e>
                <m:r>
                  <m:rPr>
                    <m:sty m:val="p"/>
                  </m:rPr>
                  <w:rPr>
                    <w:rFonts w:ascii="Cambria Math" w:hAnsi="Cambria Math" w:cstheme="minorHAnsi"/>
                    <w:sz w:val="24"/>
                    <w:szCs w:val="24"/>
                    <w:lang w:val="en-US"/>
                  </w:rPr>
                  <m:t xml:space="preserve"> log</m:t>
                </m:r>
              </m:e>
              <m:sub>
                <m:r>
                  <w:rPr>
                    <w:rFonts w:ascii="Cambria Math" w:hAnsi="Cambria Math" w:cstheme="minorHAnsi"/>
                    <w:sz w:val="24"/>
                    <w:szCs w:val="24"/>
                    <w:lang w:val="en-US"/>
                  </w:rPr>
                  <m:t>2</m:t>
                </m:r>
              </m:sub>
            </m:sSub>
          </m:fName>
          <m:e>
            <m:d>
              <m:dPr>
                <m:ctrlPr>
                  <w:rPr>
                    <w:rFonts w:ascii="Cambria Math" w:hAnsi="Cambria Math" w:cstheme="minorHAnsi"/>
                    <w:i/>
                    <w:sz w:val="24"/>
                    <w:szCs w:val="24"/>
                    <w:lang w:val="en-US"/>
                  </w:rPr>
                </m:ctrlPr>
              </m:dPr>
              <m:e>
                <m:r>
                  <w:rPr>
                    <w:rFonts w:ascii="Cambria Math" w:hAnsi="Cambria Math" w:cstheme="minorHAnsi"/>
                    <w:sz w:val="24"/>
                    <w:szCs w:val="24"/>
                    <w:lang w:val="en-US"/>
                  </w:rPr>
                  <m:t>20</m:t>
                </m:r>
              </m:e>
            </m:d>
            <m:r>
              <w:rPr>
                <w:rFonts w:ascii="Cambria Math" w:hAnsi="Cambria Math" w:cstheme="minorHAnsi"/>
                <w:sz w:val="24"/>
                <w:szCs w:val="24"/>
                <w:lang w:val="en-US"/>
              </w:rPr>
              <m:t>=</m:t>
            </m:r>
            <m:r>
              <m:rPr>
                <m:nor/>
              </m:rPr>
              <w:rPr>
                <w:rFonts w:ascii="Book Antiqua" w:hAnsi="Book Antiqua" w:cstheme="minorHAnsi"/>
                <w:sz w:val="24"/>
                <w:szCs w:val="24"/>
                <w:lang w:val="en-US"/>
              </w:rPr>
              <m:t>4.322</m:t>
            </m:r>
          </m:e>
        </m:func>
      </m:oMath>
      <w:r w:rsidRPr="00C11F21">
        <w:rPr>
          <w:rFonts w:ascii="Book Antiqua" w:hAnsi="Book Antiqua" w:cstheme="minorHAnsi"/>
          <w:sz w:val="24"/>
          <w:szCs w:val="24"/>
          <w:lang w:val="en-US"/>
        </w:rPr>
        <w:t>. However, since the different aa have different unknown probabilities of occurring in each position of the multiple alignment, an uncertainty measure,</w:t>
      </w:r>
      <m:oMath>
        <m:r>
          <w:rPr>
            <w:rFonts w:ascii="Cambria Math" w:hAnsi="Cambria Math" w:cstheme="minorHAnsi"/>
            <w:sz w:val="24"/>
            <w:szCs w:val="24"/>
            <w:lang w:val="en-US"/>
          </w:rPr>
          <m:t xml:space="preserve"> -</m:t>
        </m:r>
        <m:nary>
          <m:naryPr>
            <m:chr m:val="∑"/>
            <m:limLoc m:val="undOvr"/>
            <m:supHide m:val="1"/>
            <m:ctrlPr>
              <w:rPr>
                <w:rFonts w:ascii="Cambria Math" w:hAnsi="Cambria Math" w:cstheme="minorHAnsi"/>
                <w:i/>
                <w:sz w:val="24"/>
                <w:szCs w:val="24"/>
                <w:lang w:val="en-US"/>
              </w:rPr>
            </m:ctrlPr>
          </m:naryPr>
          <m:sub>
            <m:r>
              <w:rPr>
                <w:rFonts w:ascii="Cambria Math" w:hAnsi="Cambria Math" w:cstheme="minorHAnsi"/>
                <w:sz w:val="24"/>
                <w:szCs w:val="24"/>
                <w:lang w:val="en-US"/>
              </w:rPr>
              <m:t>a∈aa</m:t>
            </m:r>
          </m:sub>
          <m:sup/>
          <m:e>
            <m:sSub>
              <m:sSubPr>
                <m:ctrlPr>
                  <w:rPr>
                    <w:rFonts w:ascii="Cambria Math" w:hAnsi="Cambria Math" w:cstheme="minorHAnsi"/>
                    <w:i/>
                    <w:sz w:val="24"/>
                    <w:szCs w:val="24"/>
                    <w:lang w:val="en-US"/>
                  </w:rPr>
                </m:ctrlPr>
              </m:sSubPr>
              <m:e>
                <m:r>
                  <w:rPr>
                    <w:rFonts w:ascii="Cambria Math" w:hAnsi="Cambria Math" w:cstheme="minorHAnsi"/>
                    <w:sz w:val="24"/>
                    <w:szCs w:val="24"/>
                    <w:lang w:val="en-US"/>
                  </w:rPr>
                  <m:t>p</m:t>
                </m:r>
              </m:e>
              <m:sub>
                <m:r>
                  <w:rPr>
                    <w:rFonts w:ascii="Cambria Math" w:hAnsi="Cambria Math" w:cstheme="minorHAnsi"/>
                    <w:sz w:val="24"/>
                    <w:szCs w:val="24"/>
                    <w:lang w:val="en-US"/>
                  </w:rPr>
                  <m:t>a</m:t>
                </m:r>
              </m:sub>
            </m:sSub>
          </m:e>
        </m:nary>
        <m:func>
          <m:funcPr>
            <m:ctrlPr>
              <w:rPr>
                <w:rFonts w:ascii="Cambria Math" w:hAnsi="Cambria Math" w:cstheme="minorHAnsi"/>
                <w:i/>
                <w:sz w:val="24"/>
                <w:szCs w:val="24"/>
                <w:lang w:val="en-US"/>
              </w:rPr>
            </m:ctrlPr>
          </m:funcPr>
          <m:fName>
            <m:sSub>
              <m:sSubPr>
                <m:ctrlPr>
                  <w:rPr>
                    <w:rFonts w:ascii="Cambria Math" w:hAnsi="Cambria Math" w:cstheme="minorHAnsi"/>
                    <w:i/>
                    <w:sz w:val="24"/>
                    <w:szCs w:val="24"/>
                    <w:lang w:val="en-US"/>
                  </w:rPr>
                </m:ctrlPr>
              </m:sSubPr>
              <m:e>
                <m:r>
                  <m:rPr>
                    <m:sty m:val="p"/>
                  </m:rPr>
                  <w:rPr>
                    <w:rFonts w:ascii="Cambria Math" w:hAnsi="Cambria Math" w:cstheme="minorHAnsi"/>
                    <w:sz w:val="24"/>
                    <w:szCs w:val="24"/>
                    <w:lang w:val="en-US"/>
                  </w:rPr>
                  <m:t>log</m:t>
                </m:r>
              </m:e>
              <m:sub>
                <m:r>
                  <w:rPr>
                    <w:rFonts w:ascii="Cambria Math" w:hAnsi="Cambria Math" w:cstheme="minorHAnsi"/>
                    <w:sz w:val="24"/>
                    <w:szCs w:val="24"/>
                    <w:lang w:val="en-US"/>
                  </w:rPr>
                  <m:t>2</m:t>
                </m:r>
              </m:sub>
            </m:sSub>
          </m:fName>
          <m:e>
            <m:d>
              <m:dPr>
                <m:ctrlPr>
                  <w:rPr>
                    <w:rFonts w:ascii="Cambria Math" w:hAnsi="Cambria Math" w:cstheme="minorHAnsi"/>
                    <w:i/>
                    <w:sz w:val="24"/>
                    <w:szCs w:val="24"/>
                    <w:lang w:val="en-US"/>
                  </w:rPr>
                </m:ctrlPr>
              </m:dPr>
              <m:e>
                <m:sSub>
                  <m:sSubPr>
                    <m:ctrlPr>
                      <w:rPr>
                        <w:rFonts w:ascii="Cambria Math" w:hAnsi="Cambria Math" w:cstheme="minorHAnsi"/>
                        <w:i/>
                        <w:sz w:val="24"/>
                        <w:szCs w:val="24"/>
                        <w:lang w:val="en-US"/>
                      </w:rPr>
                    </m:ctrlPr>
                  </m:sSubPr>
                  <m:e>
                    <m:r>
                      <w:rPr>
                        <w:rFonts w:ascii="Cambria Math" w:hAnsi="Cambria Math" w:cstheme="minorHAnsi"/>
                        <w:sz w:val="24"/>
                        <w:szCs w:val="24"/>
                        <w:lang w:val="en-US"/>
                      </w:rPr>
                      <m:t>p</m:t>
                    </m:r>
                  </m:e>
                  <m:sub>
                    <m:r>
                      <w:rPr>
                        <w:rFonts w:ascii="Cambria Math" w:hAnsi="Cambria Math" w:cstheme="minorHAnsi"/>
                        <w:sz w:val="24"/>
                        <w:szCs w:val="24"/>
                        <w:lang w:val="en-US"/>
                      </w:rPr>
                      <m:t>a</m:t>
                    </m:r>
                  </m:sub>
                </m:sSub>
              </m:e>
            </m:d>
          </m:e>
        </m:func>
      </m:oMath>
      <w:r w:rsidR="006326CD" w:rsidRPr="00C11F21">
        <w:rPr>
          <w:rFonts w:ascii="Book Antiqua" w:hAnsi="Book Antiqua" w:cstheme="minorHAnsi"/>
          <w:sz w:val="24"/>
          <w:szCs w:val="24"/>
          <w:lang w:val="en-US"/>
        </w:rPr>
        <w:fldChar w:fldCharType="begin" w:fldLock="1"/>
      </w:r>
      <w:r w:rsidR="0092490D" w:rsidRPr="00C11F21">
        <w:rPr>
          <w:rFonts w:ascii="Book Antiqua" w:hAnsi="Book Antiqua" w:cstheme="minorHAnsi"/>
          <w:sz w:val="24"/>
          <w:szCs w:val="24"/>
          <w:lang w:val="en-US"/>
        </w:rPr>
        <w:instrText>ADDIN CSL_CITATION { "citationItems" : [ { "id" : "ITEM-1", "itemData" : { "DOI" : "10.1006/jtbi.1997.0540", "ISBN" : "0022-5193 (Print)", "ISSN" : "0022-5193", "PMID" : "9446751", "abstract" : "Related genetic sequences having a common function can be described by Shannon's information measure and depicted graphically by a sequence logo. Though useful for many purposes, sequence logos only show the average sequence conservation, and inferring the conservation for individual sequences is difficult. This limitation is overcome by the individual information ( R i) technique described here. The method begins by generating a weight matrix from the frequencies of each nucleotide or amino acid at each position of the aligned sequences. This matrix is then applied to the sequences themselves to determine the sequence conservation of each individual sequence. The matrix is unique because the average of these assignments is the total sequence conservation, ad there is only one way to construct such a matrix. For binding sites on polynucleotides, the weight matrix has a natural cut off that distinguishes functional sequences from other sequences. R i values are on an absolute scale measured in bits of information so the conservation of different biological functions can be compared with one another. The matrix can be used to rank-order the sequences, to search for new sequences, to compare sequences to other quantitative data such as binding energy or distance between binding sites, to distinguish mutations from polymorphisms, to design sequences of a given strength, and to detect errors in databases. The R i method has been used to identify previously undescribed but experimentally verified DNA binding sites. The individual information distribution was determined for E. coli ribosome binding sites, bacterial Fis binding sites, and human donor and acceptor splice junctions, among others. The distributions demonstrate clearly that the consensus sequence is highly unusual, and hence is a poor method to describe naturally occurring binding sites.", "author" : [ { "dropping-particle" : "", "family" : "Schneider", "given" : "T D", "non-dropping-particle" : "", "parse-names" : false, "suffix" : "" } ], "container-title" : "Journal of theoretical biology", "id" : "ITEM-1", "issue" : "4", "issued" : { "date-parts" : [ [ "1997" ] ] }, "page" : "427-441", "title" : "Information content of individual genetic sequences.", "type" : "article-journal", "volume" : "189" }, "uris" : [ "http://www.mendeley.com/documents/?uuid=a5a450ff-5d39-4b47-add1-13f5acaf7e60" ] } ], "mendeley" : { "formattedCitation" : "&lt;sup&gt;[32]&lt;/sup&gt;", "plainTextFormattedCitation" : "[32]", "previouslyFormattedCitation" : "&lt;sup&gt;[32]&lt;/sup&gt;" }, "properties" : {  }, "schema" : "https://github.com/citation-style-language/schema/raw/master/csl-citation.json" }</w:instrText>
      </w:r>
      <w:r w:rsidR="006326CD" w:rsidRPr="00C11F21">
        <w:rPr>
          <w:rFonts w:ascii="Book Antiqua" w:hAnsi="Book Antiqua" w:cstheme="minorHAnsi"/>
          <w:sz w:val="24"/>
          <w:szCs w:val="24"/>
          <w:lang w:val="en-US"/>
        </w:rPr>
        <w:fldChar w:fldCharType="separate"/>
      </w:r>
      <w:r w:rsidR="00FE4AFC" w:rsidRPr="00C11F21">
        <w:rPr>
          <w:rFonts w:ascii="Book Antiqua" w:hAnsi="Book Antiqua" w:cstheme="minorHAnsi"/>
          <w:noProof/>
          <w:sz w:val="24"/>
          <w:szCs w:val="24"/>
          <w:vertAlign w:val="superscript"/>
          <w:lang w:val="en-US"/>
        </w:rPr>
        <w:t>[32]</w:t>
      </w:r>
      <w:r w:rsidR="006326CD" w:rsidRPr="00C11F21">
        <w:rPr>
          <w:rFonts w:ascii="Book Antiqua" w:hAnsi="Book Antiqua" w:cstheme="minorHAnsi"/>
          <w:sz w:val="24"/>
          <w:szCs w:val="24"/>
          <w:lang w:val="en-US"/>
        </w:rPr>
        <w:fldChar w:fldCharType="end"/>
      </w:r>
      <w:r w:rsidR="004F4E6E" w:rsidRPr="00C11F21">
        <w:rPr>
          <w:rFonts w:ascii="Book Antiqua" w:hAnsi="Book Antiqua" w:cstheme="minorHAnsi" w:hint="eastAsia"/>
          <w:sz w:val="24"/>
          <w:szCs w:val="24"/>
          <w:lang w:val="en-US" w:eastAsia="zh-CN"/>
        </w:rPr>
        <w:t>,</w:t>
      </w:r>
      <w:r w:rsidRPr="00C11F21">
        <w:rPr>
          <w:rFonts w:ascii="Book Antiqua" w:hAnsi="Book Antiqua" w:cstheme="minorHAnsi"/>
          <w:sz w:val="24"/>
          <w:szCs w:val="24"/>
          <w:lang w:val="en-US"/>
        </w:rPr>
        <w:t xml:space="preserve"> also known as “entropy”, must be added to the IC calculation. Thus the IC of each aa position was calculated using the following </w:t>
      </w:r>
      <w:r w:rsidR="00D30C41" w:rsidRPr="00C11F21">
        <w:rPr>
          <w:rFonts w:ascii="Book Antiqua" w:hAnsi="Book Antiqua" w:cstheme="minorHAnsi"/>
          <w:sz w:val="24"/>
          <w:szCs w:val="24"/>
          <w:lang w:val="en-US"/>
        </w:rPr>
        <w:t>equation</w:t>
      </w:r>
      <w:r w:rsidRPr="00C11F21">
        <w:rPr>
          <w:rFonts w:ascii="Book Antiqua" w:hAnsi="Book Antiqua" w:cstheme="minorHAnsi"/>
          <w:sz w:val="24"/>
          <w:szCs w:val="24"/>
          <w:lang w:val="en-US"/>
        </w:rPr>
        <w:t>:</w:t>
      </w:r>
    </w:p>
    <w:p w14:paraId="160DA433" w14:textId="77777777" w:rsidR="005C659B" w:rsidRPr="00C11F21" w:rsidRDefault="00100B79" w:rsidP="00F33187">
      <w:pPr>
        <w:snapToGrid w:val="0"/>
        <w:spacing w:after="0" w:line="360" w:lineRule="auto"/>
        <w:jc w:val="both"/>
        <w:rPr>
          <w:rFonts w:ascii="Book Antiqua" w:hAnsi="Book Antiqua" w:cstheme="minorHAnsi"/>
          <w:sz w:val="24"/>
          <w:szCs w:val="24"/>
          <w:lang w:val="en-US"/>
        </w:rPr>
      </w:pPr>
      <m:oMathPara>
        <m:oMath>
          <m:sSub>
            <m:sSubPr>
              <m:ctrlPr>
                <w:rPr>
                  <w:rFonts w:ascii="Cambria Math" w:hAnsi="Cambria Math" w:cstheme="minorHAnsi"/>
                  <w:sz w:val="24"/>
                  <w:szCs w:val="24"/>
                  <w:lang w:val="en-US"/>
                </w:rPr>
              </m:ctrlPr>
            </m:sSubPr>
            <m:e>
              <m:r>
                <w:rPr>
                  <w:rFonts w:ascii="Cambria Math" w:hAnsi="Cambria Math" w:cstheme="minorHAnsi"/>
                  <w:sz w:val="24"/>
                  <w:szCs w:val="24"/>
                  <w:lang w:val="en-US"/>
                </w:rPr>
                <m:t>IC</m:t>
              </m:r>
            </m:e>
            <m:sub>
              <m:r>
                <w:rPr>
                  <w:rFonts w:ascii="Cambria Math" w:hAnsi="Cambria Math" w:cstheme="minorHAnsi"/>
                  <w:sz w:val="24"/>
                  <w:szCs w:val="24"/>
                  <w:lang w:val="en-US"/>
                </w:rPr>
                <m:t>aa</m:t>
              </m:r>
            </m:sub>
          </m:sSub>
          <m:r>
            <m:rPr>
              <m:nor/>
            </m:rPr>
            <w:rPr>
              <w:rFonts w:ascii="Book Antiqua" w:hAnsi="Book Antiqua" w:cstheme="minorHAnsi"/>
              <w:sz w:val="24"/>
              <w:szCs w:val="24"/>
              <w:lang w:val="en-US"/>
            </w:rPr>
            <m:t xml:space="preserve"> (Site) = </m:t>
          </m:r>
          <m:func>
            <m:funcPr>
              <m:ctrlPr>
                <w:rPr>
                  <w:rFonts w:ascii="Cambria Math" w:hAnsi="Cambria Math" w:cstheme="minorHAnsi"/>
                  <w:i/>
                  <w:sz w:val="24"/>
                  <w:szCs w:val="24"/>
                  <w:lang w:val="en-US"/>
                </w:rPr>
              </m:ctrlPr>
            </m:funcPr>
            <m:fName>
              <m:sSub>
                <m:sSubPr>
                  <m:ctrlPr>
                    <w:rPr>
                      <w:rFonts w:ascii="Cambria Math" w:hAnsi="Cambria Math" w:cstheme="minorHAnsi"/>
                      <w:i/>
                      <w:sz w:val="24"/>
                      <w:szCs w:val="24"/>
                      <w:lang w:val="en-US"/>
                    </w:rPr>
                  </m:ctrlPr>
                </m:sSubPr>
                <m:e>
                  <m:r>
                    <m:rPr>
                      <m:sty m:val="p"/>
                    </m:rPr>
                    <w:rPr>
                      <w:rFonts w:ascii="Cambria Math" w:hAnsi="Cambria Math" w:cstheme="minorHAnsi"/>
                      <w:sz w:val="24"/>
                      <w:szCs w:val="24"/>
                      <w:lang w:val="en-US"/>
                    </w:rPr>
                    <m:t>log</m:t>
                  </m:r>
                </m:e>
                <m:sub>
                  <m:r>
                    <w:rPr>
                      <w:rFonts w:ascii="Cambria Math" w:hAnsi="Cambria Math" w:cstheme="minorHAnsi"/>
                      <w:sz w:val="24"/>
                      <w:szCs w:val="24"/>
                      <w:lang w:val="en-US"/>
                    </w:rPr>
                    <m:t>2</m:t>
                  </m:r>
                </m:sub>
              </m:sSub>
            </m:fName>
            <m:e>
              <m:r>
                <w:rPr>
                  <w:rFonts w:ascii="Cambria Math" w:hAnsi="Cambria Math" w:cstheme="minorHAnsi"/>
                  <w:sz w:val="24"/>
                  <w:szCs w:val="24"/>
                  <w:lang w:val="en-US"/>
                </w:rPr>
                <m:t>(20)</m:t>
              </m:r>
            </m:e>
          </m:func>
          <m:r>
            <w:rPr>
              <w:rFonts w:ascii="Cambria Math" w:hAnsi="Cambria Math" w:cstheme="minorHAnsi"/>
              <w:sz w:val="24"/>
              <w:szCs w:val="24"/>
              <w:lang w:val="en-US"/>
            </w:rPr>
            <m:t>-</m:t>
          </m:r>
          <m:nary>
            <m:naryPr>
              <m:chr m:val="∑"/>
              <m:limLoc m:val="undOvr"/>
              <m:supHide m:val="1"/>
              <m:ctrlPr>
                <w:rPr>
                  <w:rFonts w:ascii="Cambria Math" w:hAnsi="Cambria Math" w:cstheme="minorHAnsi"/>
                  <w:i/>
                  <w:sz w:val="24"/>
                  <w:szCs w:val="24"/>
                  <w:lang w:val="en-US"/>
                </w:rPr>
              </m:ctrlPr>
            </m:naryPr>
            <m:sub>
              <m:r>
                <w:rPr>
                  <w:rFonts w:ascii="Cambria Math" w:hAnsi="Cambria Math" w:cstheme="minorHAnsi"/>
                  <w:sz w:val="24"/>
                  <w:szCs w:val="24"/>
                  <w:lang w:val="en-US"/>
                </w:rPr>
                <m:t>a∈aa</m:t>
              </m:r>
            </m:sub>
            <m:sup/>
            <m:e>
              <m:sSub>
                <m:sSubPr>
                  <m:ctrlPr>
                    <w:rPr>
                      <w:rFonts w:ascii="Cambria Math" w:hAnsi="Cambria Math" w:cstheme="minorHAnsi"/>
                      <w:i/>
                      <w:sz w:val="24"/>
                      <w:szCs w:val="24"/>
                      <w:lang w:val="en-US"/>
                    </w:rPr>
                  </m:ctrlPr>
                </m:sSubPr>
                <m:e>
                  <m:r>
                    <w:rPr>
                      <w:rFonts w:ascii="Cambria Math" w:hAnsi="Cambria Math" w:cstheme="minorHAnsi"/>
                      <w:sz w:val="24"/>
                      <w:szCs w:val="24"/>
                      <w:lang w:val="en-US"/>
                    </w:rPr>
                    <m:t>p</m:t>
                  </m:r>
                </m:e>
                <m:sub>
                  <m:r>
                    <w:rPr>
                      <w:rFonts w:ascii="Cambria Math" w:hAnsi="Cambria Math" w:cstheme="minorHAnsi"/>
                      <w:sz w:val="24"/>
                      <w:szCs w:val="24"/>
                      <w:lang w:val="en-US"/>
                    </w:rPr>
                    <m:t>a</m:t>
                  </m:r>
                </m:sub>
              </m:sSub>
            </m:e>
          </m:nary>
          <m:func>
            <m:funcPr>
              <m:ctrlPr>
                <w:rPr>
                  <w:rFonts w:ascii="Cambria Math" w:hAnsi="Cambria Math" w:cstheme="minorHAnsi"/>
                  <w:i/>
                  <w:sz w:val="24"/>
                  <w:szCs w:val="24"/>
                  <w:lang w:val="en-US"/>
                </w:rPr>
              </m:ctrlPr>
            </m:funcPr>
            <m:fName>
              <m:sSub>
                <m:sSubPr>
                  <m:ctrlPr>
                    <w:rPr>
                      <w:rFonts w:ascii="Cambria Math" w:hAnsi="Cambria Math" w:cstheme="minorHAnsi"/>
                      <w:i/>
                      <w:sz w:val="24"/>
                      <w:szCs w:val="24"/>
                      <w:lang w:val="en-US"/>
                    </w:rPr>
                  </m:ctrlPr>
                </m:sSubPr>
                <m:e>
                  <m:r>
                    <m:rPr>
                      <m:sty m:val="p"/>
                    </m:rPr>
                    <w:rPr>
                      <w:rFonts w:ascii="Cambria Math" w:hAnsi="Cambria Math" w:cstheme="minorHAnsi"/>
                      <w:sz w:val="24"/>
                      <w:szCs w:val="24"/>
                      <w:lang w:val="en-US"/>
                    </w:rPr>
                    <m:t>log</m:t>
                  </m:r>
                </m:e>
                <m:sub>
                  <m:r>
                    <w:rPr>
                      <w:rFonts w:ascii="Cambria Math" w:hAnsi="Cambria Math" w:cstheme="minorHAnsi"/>
                      <w:sz w:val="24"/>
                      <w:szCs w:val="24"/>
                      <w:lang w:val="en-US"/>
                    </w:rPr>
                    <m:t>2</m:t>
                  </m:r>
                </m:sub>
              </m:sSub>
            </m:fName>
            <m:e>
              <m:r>
                <w:rPr>
                  <w:rFonts w:ascii="Cambria Math" w:hAnsi="Cambria Math" w:cstheme="minorHAnsi"/>
                  <w:sz w:val="24"/>
                  <w:szCs w:val="24"/>
                  <w:lang w:val="en-US"/>
                </w:rPr>
                <m:t>(</m:t>
              </m:r>
              <m:sSub>
                <m:sSubPr>
                  <m:ctrlPr>
                    <w:rPr>
                      <w:rFonts w:ascii="Cambria Math" w:hAnsi="Cambria Math" w:cstheme="minorHAnsi"/>
                      <w:i/>
                      <w:sz w:val="24"/>
                      <w:szCs w:val="24"/>
                      <w:lang w:val="en-US"/>
                    </w:rPr>
                  </m:ctrlPr>
                </m:sSubPr>
                <m:e>
                  <m:r>
                    <w:rPr>
                      <w:rFonts w:ascii="Cambria Math" w:hAnsi="Cambria Math" w:cstheme="minorHAnsi"/>
                      <w:sz w:val="24"/>
                      <w:szCs w:val="24"/>
                      <w:lang w:val="en-US"/>
                    </w:rPr>
                    <m:t>p</m:t>
                  </m:r>
                </m:e>
                <m:sub>
                  <m:r>
                    <w:rPr>
                      <w:rFonts w:ascii="Cambria Math" w:hAnsi="Cambria Math" w:cstheme="minorHAnsi"/>
                      <w:sz w:val="24"/>
                      <w:szCs w:val="24"/>
                      <w:lang w:val="en-US"/>
                    </w:rPr>
                    <m:t>a</m:t>
                  </m:r>
                </m:sub>
              </m:sSub>
              <m:r>
                <w:rPr>
                  <w:rFonts w:ascii="Cambria Math" w:hAnsi="Cambria Math" w:cstheme="minorHAnsi"/>
                  <w:sz w:val="24"/>
                  <w:szCs w:val="24"/>
                  <w:lang w:val="en-US"/>
                </w:rPr>
                <m:t>)</m:t>
              </m:r>
            </m:e>
          </m:func>
        </m:oMath>
      </m:oMathPara>
    </w:p>
    <w:p w14:paraId="2460F299" w14:textId="7A51ACC6" w:rsidR="005C659B" w:rsidRPr="00C11F21" w:rsidRDefault="00D66587" w:rsidP="00F33187">
      <w:pPr>
        <w:snapToGrid w:val="0"/>
        <w:spacing w:after="0" w:line="360" w:lineRule="auto"/>
        <w:jc w:val="both"/>
        <w:rPr>
          <w:rFonts w:ascii="Book Antiqua" w:hAnsi="Book Antiqua" w:cstheme="minorHAnsi"/>
          <w:sz w:val="24"/>
          <w:szCs w:val="24"/>
          <w:lang w:val="en-US"/>
        </w:rPr>
      </w:pPr>
      <w:r w:rsidRPr="00C11F21">
        <w:rPr>
          <w:rFonts w:ascii="Book Antiqua" w:hAnsi="Book Antiqua" w:cstheme="minorHAnsi"/>
          <w:sz w:val="24"/>
          <w:szCs w:val="24"/>
          <w:lang w:val="en-US"/>
        </w:rPr>
        <w:t>If</w:t>
      </w:r>
      <w:r w:rsidR="005C659B" w:rsidRPr="00C11F21">
        <w:rPr>
          <w:rFonts w:ascii="Book Antiqua" w:hAnsi="Book Antiqua" w:cstheme="minorHAnsi"/>
          <w:sz w:val="24"/>
          <w:szCs w:val="24"/>
          <w:lang w:val="en-US"/>
        </w:rPr>
        <w:t xml:space="preserve"> only one aa were found in a given position from the multiple alignment (maximum conservation), there would be no uncertainty in that position and the probability of finding that aa would </w:t>
      </w:r>
      <w:r w:rsidR="00E53C94" w:rsidRPr="00C11F21">
        <w:rPr>
          <w:rFonts w:ascii="Book Antiqua" w:hAnsi="Book Antiqua" w:cstheme="minorHAnsi"/>
          <w:sz w:val="24"/>
          <w:szCs w:val="24"/>
          <w:lang w:val="en-US"/>
        </w:rPr>
        <w:t xml:space="preserve">be </w:t>
      </w:r>
      <m:oMath>
        <m:f>
          <m:fPr>
            <m:type m:val="skw"/>
            <m:ctrlPr>
              <w:rPr>
                <w:rFonts w:ascii="Cambria Math" w:hAnsi="Cambria Math" w:cstheme="minorHAnsi"/>
                <w:i/>
                <w:sz w:val="24"/>
                <w:szCs w:val="24"/>
                <w:lang w:val="en-US"/>
              </w:rPr>
            </m:ctrlPr>
          </m:fPr>
          <m:num>
            <m:r>
              <w:rPr>
                <w:rFonts w:ascii="Cambria Math" w:hAnsi="Cambria Math" w:cstheme="minorHAnsi"/>
                <w:sz w:val="24"/>
                <w:szCs w:val="24"/>
                <w:lang w:val="en-US"/>
              </w:rPr>
              <m:t>20</m:t>
            </m:r>
          </m:num>
          <m:den>
            <m:r>
              <w:rPr>
                <w:rFonts w:ascii="Cambria Math" w:hAnsi="Cambria Math" w:cstheme="minorHAnsi"/>
                <w:sz w:val="24"/>
                <w:szCs w:val="24"/>
                <w:lang w:val="en-US"/>
              </w:rPr>
              <m:t>20</m:t>
            </m:r>
          </m:den>
        </m:f>
      </m:oMath>
      <w:r w:rsidR="00E53C94" w:rsidRPr="00C11F21">
        <w:rPr>
          <w:rFonts w:ascii="Book Antiqua" w:hAnsi="Book Antiqua" w:cstheme="minorHAnsi"/>
          <w:sz w:val="24"/>
          <w:szCs w:val="24"/>
          <w:lang w:val="en-US"/>
        </w:rPr>
        <w:t xml:space="preserve"> thus</w:t>
      </w:r>
      <w:r w:rsidR="005C659B" w:rsidRPr="00C11F21">
        <w:rPr>
          <w:rFonts w:ascii="Book Antiqua" w:hAnsi="Book Antiqua" w:cstheme="minorHAnsi"/>
          <w:sz w:val="24"/>
          <w:szCs w:val="24"/>
          <w:lang w:val="en-US"/>
        </w:rPr>
        <w:t xml:space="preserve"> </w:t>
      </w:r>
      <m:oMath>
        <m:r>
          <w:rPr>
            <w:rFonts w:ascii="Cambria Math" w:hAnsi="Cambria Math" w:cstheme="minorHAnsi"/>
            <w:sz w:val="24"/>
            <w:szCs w:val="24"/>
            <w:lang w:val="en-US"/>
          </w:rPr>
          <m:t>-</m:t>
        </m:r>
        <m:nary>
          <m:naryPr>
            <m:chr m:val="∑"/>
            <m:limLoc m:val="undOvr"/>
            <m:supHide m:val="1"/>
            <m:ctrlPr>
              <w:rPr>
                <w:rFonts w:ascii="Cambria Math" w:hAnsi="Cambria Math" w:cstheme="minorHAnsi"/>
                <w:i/>
                <w:sz w:val="24"/>
                <w:szCs w:val="24"/>
                <w:lang w:val="en-US"/>
              </w:rPr>
            </m:ctrlPr>
          </m:naryPr>
          <m:sub>
            <m:r>
              <w:rPr>
                <w:rFonts w:ascii="Cambria Math" w:hAnsi="Cambria Math" w:cstheme="minorHAnsi"/>
                <w:sz w:val="24"/>
                <w:szCs w:val="24"/>
                <w:lang w:val="en-US"/>
              </w:rPr>
              <m:t>a∈aa</m:t>
            </m:r>
          </m:sub>
          <m:sup/>
          <m:e>
            <m:sSub>
              <m:sSubPr>
                <m:ctrlPr>
                  <w:rPr>
                    <w:rFonts w:ascii="Cambria Math" w:hAnsi="Cambria Math" w:cstheme="minorHAnsi"/>
                    <w:i/>
                    <w:sz w:val="24"/>
                    <w:szCs w:val="24"/>
                    <w:lang w:val="en-US"/>
                  </w:rPr>
                </m:ctrlPr>
              </m:sSubPr>
              <m:e>
                <m:r>
                  <w:rPr>
                    <w:rFonts w:ascii="Cambria Math" w:hAnsi="Cambria Math" w:cstheme="minorHAnsi"/>
                    <w:sz w:val="24"/>
                    <w:szCs w:val="24"/>
                    <w:lang w:val="en-US"/>
                  </w:rPr>
                  <m:t>p</m:t>
                </m:r>
              </m:e>
              <m:sub>
                <m:r>
                  <w:rPr>
                    <w:rFonts w:ascii="Cambria Math" w:hAnsi="Cambria Math" w:cstheme="minorHAnsi"/>
                    <w:sz w:val="24"/>
                    <w:szCs w:val="24"/>
                    <w:lang w:val="en-US"/>
                  </w:rPr>
                  <m:t>a</m:t>
                </m:r>
              </m:sub>
            </m:sSub>
          </m:e>
        </m:nary>
        <m:func>
          <m:funcPr>
            <m:ctrlPr>
              <w:rPr>
                <w:rFonts w:ascii="Cambria Math" w:hAnsi="Cambria Math" w:cstheme="minorHAnsi"/>
                <w:i/>
                <w:sz w:val="24"/>
                <w:szCs w:val="24"/>
                <w:lang w:val="en-US"/>
              </w:rPr>
            </m:ctrlPr>
          </m:funcPr>
          <m:fName>
            <m:sSub>
              <m:sSubPr>
                <m:ctrlPr>
                  <w:rPr>
                    <w:rFonts w:ascii="Cambria Math" w:hAnsi="Cambria Math" w:cstheme="minorHAnsi"/>
                    <w:i/>
                    <w:sz w:val="24"/>
                    <w:szCs w:val="24"/>
                    <w:lang w:val="en-US"/>
                  </w:rPr>
                </m:ctrlPr>
              </m:sSubPr>
              <m:e>
                <m:r>
                  <m:rPr>
                    <m:sty m:val="p"/>
                  </m:rPr>
                  <w:rPr>
                    <w:rFonts w:ascii="Cambria Math" w:hAnsi="Cambria Math" w:cstheme="minorHAnsi"/>
                    <w:sz w:val="24"/>
                    <w:szCs w:val="24"/>
                    <w:lang w:val="en-US"/>
                  </w:rPr>
                  <m:t>log</m:t>
                </m:r>
              </m:e>
              <m:sub>
                <m:r>
                  <w:rPr>
                    <w:rFonts w:ascii="Cambria Math" w:hAnsi="Cambria Math" w:cstheme="minorHAnsi"/>
                    <w:sz w:val="24"/>
                    <w:szCs w:val="24"/>
                    <w:lang w:val="en-US"/>
                  </w:rPr>
                  <m:t>2</m:t>
                </m:r>
              </m:sub>
            </m:sSub>
          </m:fName>
          <m:e>
            <m:r>
              <w:rPr>
                <w:rFonts w:ascii="Cambria Math" w:hAnsi="Cambria Math" w:cstheme="minorHAnsi"/>
                <w:sz w:val="24"/>
                <w:szCs w:val="24"/>
                <w:lang w:val="en-US"/>
              </w:rPr>
              <m:t>(</m:t>
            </m:r>
            <m:sSub>
              <m:sSubPr>
                <m:ctrlPr>
                  <w:rPr>
                    <w:rFonts w:ascii="Cambria Math" w:hAnsi="Cambria Math" w:cstheme="minorHAnsi"/>
                    <w:i/>
                    <w:sz w:val="24"/>
                    <w:szCs w:val="24"/>
                    <w:lang w:val="en-US"/>
                  </w:rPr>
                </m:ctrlPr>
              </m:sSubPr>
              <m:e>
                <m:r>
                  <w:rPr>
                    <w:rFonts w:ascii="Cambria Math" w:hAnsi="Cambria Math" w:cstheme="minorHAnsi"/>
                    <w:sz w:val="24"/>
                    <w:szCs w:val="24"/>
                    <w:lang w:val="en-US"/>
                  </w:rPr>
                  <m:t>p</m:t>
                </m:r>
              </m:e>
              <m:sub>
                <m:r>
                  <w:rPr>
                    <w:rFonts w:ascii="Cambria Math" w:hAnsi="Cambria Math" w:cstheme="minorHAnsi"/>
                    <w:sz w:val="24"/>
                    <w:szCs w:val="24"/>
                    <w:lang w:val="en-US"/>
                  </w:rPr>
                  <m:t>a</m:t>
                </m:r>
              </m:sub>
            </m:sSub>
            <m:r>
              <w:rPr>
                <w:rFonts w:ascii="Cambria Math" w:hAnsi="Cambria Math" w:cstheme="minorHAnsi"/>
                <w:sz w:val="24"/>
                <w:szCs w:val="24"/>
                <w:lang w:val="en-US"/>
              </w:rPr>
              <m:t>)=</m:t>
            </m:r>
            <m:r>
              <m:rPr>
                <m:nor/>
              </m:rPr>
              <w:rPr>
                <w:rFonts w:ascii="Book Antiqua" w:hAnsi="Book Antiqua" w:cstheme="minorHAnsi"/>
                <w:sz w:val="24"/>
                <w:szCs w:val="24"/>
                <w:lang w:val="en-US"/>
              </w:rPr>
              <m:t>0</m:t>
            </m:r>
          </m:e>
        </m:func>
      </m:oMath>
      <w:r w:rsidR="005C659B" w:rsidRPr="00C11F21">
        <w:rPr>
          <w:rFonts w:ascii="Book Antiqua" w:hAnsi="Book Antiqua" w:cstheme="minorHAnsi"/>
          <w:sz w:val="24"/>
          <w:szCs w:val="24"/>
          <w:lang w:val="en-US"/>
        </w:rPr>
        <w:t xml:space="preserve"> and </w:t>
      </w:r>
      <m:oMath>
        <m:func>
          <m:funcPr>
            <m:ctrlPr>
              <w:rPr>
                <w:rFonts w:ascii="Cambria Math" w:hAnsi="Cambria Math" w:cstheme="minorHAnsi"/>
                <w:i/>
                <w:sz w:val="24"/>
                <w:szCs w:val="24"/>
                <w:lang w:val="en-US"/>
              </w:rPr>
            </m:ctrlPr>
          </m:funcPr>
          <m:fName>
            <m:sSub>
              <m:sSubPr>
                <m:ctrlPr>
                  <w:rPr>
                    <w:rFonts w:ascii="Cambria Math" w:hAnsi="Cambria Math" w:cstheme="minorHAnsi"/>
                    <w:i/>
                    <w:sz w:val="24"/>
                    <w:szCs w:val="24"/>
                    <w:lang w:val="en-US"/>
                  </w:rPr>
                </m:ctrlPr>
              </m:sSubPr>
              <m:e>
                <m:r>
                  <m:rPr>
                    <m:sty m:val="p"/>
                  </m:rPr>
                  <w:rPr>
                    <w:rFonts w:ascii="Cambria Math" w:hAnsi="Cambria Math" w:cstheme="minorHAnsi"/>
                    <w:sz w:val="24"/>
                    <w:szCs w:val="24"/>
                    <w:lang w:val="en-US"/>
                  </w:rPr>
                  <m:t xml:space="preserve"> </m:t>
                </m:r>
                <m:sSub>
                  <m:sSubPr>
                    <m:ctrlPr>
                      <w:rPr>
                        <w:rFonts w:ascii="Cambria Math" w:hAnsi="Cambria Math" w:cstheme="minorHAnsi"/>
                        <w:i/>
                        <w:sz w:val="24"/>
                        <w:szCs w:val="24"/>
                        <w:lang w:val="en-US"/>
                      </w:rPr>
                    </m:ctrlPr>
                  </m:sSubPr>
                  <m:e>
                    <m:r>
                      <w:rPr>
                        <w:rFonts w:ascii="Cambria Math" w:hAnsi="Cambria Math" w:cstheme="minorHAnsi"/>
                        <w:sz w:val="24"/>
                        <w:szCs w:val="24"/>
                        <w:lang w:val="en-US"/>
                      </w:rPr>
                      <m:t>IC</m:t>
                    </m:r>
                  </m:e>
                  <m:sub>
                    <m:r>
                      <w:rPr>
                        <w:rFonts w:ascii="Cambria Math" w:hAnsi="Cambria Math" w:cstheme="minorHAnsi"/>
                        <w:sz w:val="24"/>
                        <w:szCs w:val="24"/>
                        <w:lang w:val="en-US"/>
                      </w:rPr>
                      <m:t>aa</m:t>
                    </m:r>
                    <m:r>
                      <m:rPr>
                        <m:nor/>
                      </m:rPr>
                      <w:rPr>
                        <w:rFonts w:ascii="Book Antiqua" w:hAnsi="Book Antiqua" w:cstheme="minorHAnsi"/>
                        <w:sz w:val="24"/>
                        <w:szCs w:val="24"/>
                        <w:lang w:val="en-US"/>
                      </w:rPr>
                      <m:t xml:space="preserve">  </m:t>
                    </m:r>
                  </m:sub>
                </m:sSub>
                <m:r>
                  <m:rPr>
                    <m:nor/>
                  </m:rPr>
                  <w:rPr>
                    <w:rFonts w:ascii="Book Antiqua" w:hAnsi="Book Antiqua" w:cstheme="minorHAnsi"/>
                    <w:sz w:val="24"/>
                    <w:szCs w:val="24"/>
                    <w:lang w:val="en-US"/>
                  </w:rPr>
                  <m:t xml:space="preserve">= </m:t>
                </m:r>
                <m:r>
                  <m:rPr>
                    <m:sty m:val="p"/>
                  </m:rPr>
                  <w:rPr>
                    <w:rFonts w:ascii="Cambria Math" w:hAnsi="Cambria Math" w:cstheme="minorHAnsi"/>
                    <w:sz w:val="24"/>
                    <w:szCs w:val="24"/>
                    <w:lang w:val="en-US"/>
                  </w:rPr>
                  <m:t>log</m:t>
                </m:r>
              </m:e>
              <m:sub>
                <m:r>
                  <w:rPr>
                    <w:rFonts w:ascii="Cambria Math" w:hAnsi="Cambria Math" w:cstheme="minorHAnsi"/>
                    <w:sz w:val="24"/>
                    <w:szCs w:val="24"/>
                    <w:lang w:val="en-US"/>
                  </w:rPr>
                  <m:t>2</m:t>
                </m:r>
              </m:sub>
            </m:sSub>
          </m:fName>
          <m:e>
            <m:d>
              <m:dPr>
                <m:ctrlPr>
                  <w:rPr>
                    <w:rFonts w:ascii="Cambria Math" w:hAnsi="Cambria Math" w:cstheme="minorHAnsi"/>
                    <w:i/>
                    <w:sz w:val="24"/>
                    <w:szCs w:val="24"/>
                    <w:lang w:val="en-US"/>
                  </w:rPr>
                </m:ctrlPr>
              </m:dPr>
              <m:e>
                <m:r>
                  <w:rPr>
                    <w:rFonts w:ascii="Cambria Math" w:hAnsi="Cambria Math" w:cstheme="minorHAnsi"/>
                    <w:sz w:val="24"/>
                    <w:szCs w:val="24"/>
                    <w:lang w:val="en-US"/>
                  </w:rPr>
                  <m:t>20</m:t>
                </m:r>
              </m:e>
            </m:d>
            <m:r>
              <w:rPr>
                <w:rFonts w:ascii="Cambria Math" w:hAnsi="Cambria Math" w:cstheme="minorHAnsi"/>
                <w:sz w:val="24"/>
                <w:szCs w:val="24"/>
                <w:lang w:val="en-US"/>
              </w:rPr>
              <m:t>-</m:t>
            </m:r>
            <m:r>
              <m:rPr>
                <m:nor/>
              </m:rPr>
              <w:rPr>
                <w:rFonts w:ascii="Book Antiqua" w:hAnsi="Book Antiqua" w:cstheme="minorHAnsi"/>
                <w:sz w:val="24"/>
                <w:szCs w:val="24"/>
                <w:lang w:val="en-US"/>
              </w:rPr>
              <m:t>0</m:t>
            </m:r>
            <m:r>
              <w:rPr>
                <w:rFonts w:ascii="Cambria Math" w:hAnsi="Cambria Math" w:cstheme="minorHAnsi"/>
                <w:sz w:val="24"/>
                <w:szCs w:val="24"/>
                <w:lang w:val="en-US"/>
              </w:rPr>
              <m:t>=</m:t>
            </m:r>
            <m:r>
              <m:rPr>
                <m:nor/>
              </m:rPr>
              <w:rPr>
                <w:rFonts w:ascii="Book Antiqua" w:hAnsi="Book Antiqua" w:cstheme="minorHAnsi"/>
                <w:sz w:val="24"/>
                <w:szCs w:val="24"/>
                <w:lang w:val="en-US"/>
              </w:rPr>
              <m:t>4.322</m:t>
            </m:r>
          </m:e>
        </m:func>
      </m:oMath>
      <w:r w:rsidR="005C659B" w:rsidRPr="00C11F21">
        <w:rPr>
          <w:rFonts w:ascii="Book Antiqua" w:hAnsi="Book Antiqua" w:cstheme="minorHAnsi"/>
          <w:sz w:val="24"/>
          <w:szCs w:val="24"/>
          <w:lang w:val="en-US"/>
        </w:rPr>
        <w:t xml:space="preserve">. On the other hand, if </w:t>
      </w:r>
      <w:r w:rsidR="006502F3" w:rsidRPr="00C11F21">
        <w:rPr>
          <w:rFonts w:ascii="Book Antiqua" w:hAnsi="Book Antiqua" w:cstheme="minorHAnsi"/>
          <w:sz w:val="24"/>
          <w:szCs w:val="24"/>
          <w:lang w:val="en-US"/>
        </w:rPr>
        <w:t xml:space="preserve">all </w:t>
      </w:r>
      <w:r w:rsidR="005C659B" w:rsidRPr="00C11F21">
        <w:rPr>
          <w:rFonts w:ascii="Book Antiqua" w:hAnsi="Book Antiqua" w:cstheme="minorHAnsi"/>
          <w:sz w:val="24"/>
          <w:szCs w:val="24"/>
          <w:lang w:val="en-US"/>
        </w:rPr>
        <w:t xml:space="preserve">aa had an equal possibility of occurring at a given position (maximum variability), the degree of uncertainty of that position would be </w:t>
      </w:r>
      <w:r w:rsidR="000B56A0" w:rsidRPr="00C11F21">
        <w:rPr>
          <w:rFonts w:ascii="Book Antiqua" w:hAnsi="Book Antiqua" w:cstheme="minorHAnsi"/>
          <w:sz w:val="24"/>
          <w:szCs w:val="24"/>
          <w:lang w:val="en-US"/>
        </w:rPr>
        <w:t xml:space="preserve">the </w:t>
      </w:r>
      <w:r w:rsidR="005C659B" w:rsidRPr="00C11F21">
        <w:rPr>
          <w:rFonts w:ascii="Book Antiqua" w:hAnsi="Book Antiqua" w:cstheme="minorHAnsi"/>
          <w:sz w:val="24"/>
          <w:szCs w:val="24"/>
          <w:lang w:val="en-US"/>
        </w:rPr>
        <w:t xml:space="preserve">highest and the probability of finding any aa in that position would be </w:t>
      </w:r>
      <m:oMath>
        <m:f>
          <m:fPr>
            <m:type m:val="skw"/>
            <m:ctrlPr>
              <w:rPr>
                <w:rFonts w:ascii="Cambria Math" w:hAnsi="Cambria Math" w:cstheme="minorHAnsi"/>
                <w:i/>
                <w:sz w:val="24"/>
                <w:szCs w:val="24"/>
                <w:lang w:val="en-US"/>
              </w:rPr>
            </m:ctrlPr>
          </m:fPr>
          <m:num>
            <m:r>
              <w:rPr>
                <w:rFonts w:ascii="Cambria Math" w:hAnsi="Cambria Math" w:cstheme="minorHAnsi"/>
                <w:sz w:val="24"/>
                <w:szCs w:val="24"/>
                <w:lang w:val="en-US"/>
              </w:rPr>
              <m:t>1</m:t>
            </m:r>
          </m:num>
          <m:den>
            <m:r>
              <w:rPr>
                <w:rFonts w:ascii="Cambria Math" w:hAnsi="Cambria Math" w:cstheme="minorHAnsi"/>
                <w:sz w:val="24"/>
                <w:szCs w:val="24"/>
                <w:lang w:val="en-US"/>
              </w:rPr>
              <m:t>20</m:t>
            </m:r>
          </m:den>
        </m:f>
      </m:oMath>
      <w:r w:rsidR="00306349" w:rsidRPr="00C11F21">
        <w:rPr>
          <w:rFonts w:ascii="Book Antiqua" w:hAnsi="Book Antiqua" w:cstheme="minorHAnsi"/>
          <w:sz w:val="24"/>
          <w:szCs w:val="24"/>
          <w:lang w:val="en-US"/>
        </w:rPr>
        <w:t xml:space="preserve"> thus</w:t>
      </w:r>
      <w:r w:rsidR="005C659B" w:rsidRPr="00C11F21">
        <w:rPr>
          <w:rFonts w:ascii="Book Antiqua" w:hAnsi="Book Antiqua" w:cstheme="minorHAnsi"/>
          <w:sz w:val="24"/>
          <w:szCs w:val="24"/>
          <w:lang w:val="en-US"/>
        </w:rPr>
        <w:t xml:space="preserve"> </w:t>
      </w:r>
      <m:oMath>
        <m:r>
          <w:rPr>
            <w:rFonts w:ascii="Cambria Math" w:hAnsi="Cambria Math" w:cstheme="minorHAnsi"/>
            <w:sz w:val="24"/>
            <w:szCs w:val="24"/>
            <w:lang w:val="en-US"/>
          </w:rPr>
          <m:t>-</m:t>
        </m:r>
        <m:nary>
          <m:naryPr>
            <m:chr m:val="∑"/>
            <m:limLoc m:val="undOvr"/>
            <m:supHide m:val="1"/>
            <m:ctrlPr>
              <w:rPr>
                <w:rFonts w:ascii="Cambria Math" w:hAnsi="Cambria Math" w:cstheme="minorHAnsi"/>
                <w:i/>
                <w:sz w:val="24"/>
                <w:szCs w:val="24"/>
                <w:lang w:val="en-US"/>
              </w:rPr>
            </m:ctrlPr>
          </m:naryPr>
          <m:sub>
            <m:r>
              <w:rPr>
                <w:rFonts w:ascii="Cambria Math" w:hAnsi="Cambria Math" w:cstheme="minorHAnsi"/>
                <w:sz w:val="24"/>
                <w:szCs w:val="24"/>
                <w:lang w:val="en-US"/>
              </w:rPr>
              <m:t>a∈aa</m:t>
            </m:r>
          </m:sub>
          <m:sup/>
          <m:e>
            <m:sSub>
              <m:sSubPr>
                <m:ctrlPr>
                  <w:rPr>
                    <w:rFonts w:ascii="Cambria Math" w:hAnsi="Cambria Math" w:cstheme="minorHAnsi"/>
                    <w:i/>
                    <w:sz w:val="24"/>
                    <w:szCs w:val="24"/>
                    <w:lang w:val="en-US"/>
                  </w:rPr>
                </m:ctrlPr>
              </m:sSubPr>
              <m:e>
                <m:r>
                  <w:rPr>
                    <w:rFonts w:ascii="Cambria Math" w:hAnsi="Cambria Math" w:cstheme="minorHAnsi"/>
                    <w:sz w:val="24"/>
                    <w:szCs w:val="24"/>
                    <w:lang w:val="en-US"/>
                  </w:rPr>
                  <m:t>p</m:t>
                </m:r>
              </m:e>
              <m:sub>
                <m:r>
                  <w:rPr>
                    <w:rFonts w:ascii="Cambria Math" w:hAnsi="Cambria Math" w:cstheme="minorHAnsi"/>
                    <w:sz w:val="24"/>
                    <w:szCs w:val="24"/>
                    <w:lang w:val="en-US"/>
                  </w:rPr>
                  <m:t>a</m:t>
                </m:r>
              </m:sub>
            </m:sSub>
          </m:e>
        </m:nary>
        <m:func>
          <m:funcPr>
            <m:ctrlPr>
              <w:rPr>
                <w:rFonts w:ascii="Cambria Math" w:hAnsi="Cambria Math" w:cstheme="minorHAnsi"/>
                <w:i/>
                <w:sz w:val="24"/>
                <w:szCs w:val="24"/>
                <w:lang w:val="en-US"/>
              </w:rPr>
            </m:ctrlPr>
          </m:funcPr>
          <m:fName>
            <m:sSub>
              <m:sSubPr>
                <m:ctrlPr>
                  <w:rPr>
                    <w:rFonts w:ascii="Cambria Math" w:hAnsi="Cambria Math" w:cstheme="minorHAnsi"/>
                    <w:i/>
                    <w:sz w:val="24"/>
                    <w:szCs w:val="24"/>
                    <w:lang w:val="en-US"/>
                  </w:rPr>
                </m:ctrlPr>
              </m:sSubPr>
              <m:e>
                <m:r>
                  <m:rPr>
                    <m:sty m:val="p"/>
                  </m:rPr>
                  <w:rPr>
                    <w:rFonts w:ascii="Cambria Math" w:hAnsi="Cambria Math" w:cstheme="minorHAnsi"/>
                    <w:sz w:val="24"/>
                    <w:szCs w:val="24"/>
                    <w:lang w:val="en-US"/>
                  </w:rPr>
                  <m:t>log</m:t>
                </m:r>
              </m:e>
              <m:sub>
                <m:r>
                  <w:rPr>
                    <w:rFonts w:ascii="Cambria Math" w:hAnsi="Cambria Math" w:cstheme="minorHAnsi"/>
                    <w:sz w:val="24"/>
                    <w:szCs w:val="24"/>
                    <w:lang w:val="en-US"/>
                  </w:rPr>
                  <m:t>2</m:t>
                </m:r>
              </m:sub>
            </m:sSub>
          </m:fName>
          <m:e>
            <m:r>
              <w:rPr>
                <w:rFonts w:ascii="Cambria Math" w:hAnsi="Cambria Math" w:cstheme="minorHAnsi"/>
                <w:sz w:val="24"/>
                <w:szCs w:val="24"/>
                <w:lang w:val="en-US"/>
              </w:rPr>
              <m:t>(</m:t>
            </m:r>
            <m:sSub>
              <m:sSubPr>
                <m:ctrlPr>
                  <w:rPr>
                    <w:rFonts w:ascii="Cambria Math" w:hAnsi="Cambria Math" w:cstheme="minorHAnsi"/>
                    <w:i/>
                    <w:sz w:val="24"/>
                    <w:szCs w:val="24"/>
                    <w:lang w:val="en-US"/>
                  </w:rPr>
                </m:ctrlPr>
              </m:sSubPr>
              <m:e>
                <m:r>
                  <w:rPr>
                    <w:rFonts w:ascii="Cambria Math" w:hAnsi="Cambria Math" w:cstheme="minorHAnsi"/>
                    <w:sz w:val="24"/>
                    <w:szCs w:val="24"/>
                    <w:lang w:val="en-US"/>
                  </w:rPr>
                  <m:t>p</m:t>
                </m:r>
              </m:e>
              <m:sub>
                <m:r>
                  <w:rPr>
                    <w:rFonts w:ascii="Cambria Math" w:hAnsi="Cambria Math" w:cstheme="minorHAnsi"/>
                    <w:sz w:val="24"/>
                    <w:szCs w:val="24"/>
                    <w:lang w:val="en-US"/>
                  </w:rPr>
                  <m:t>a</m:t>
                </m:r>
              </m:sub>
            </m:sSub>
            <m:r>
              <w:rPr>
                <w:rFonts w:ascii="Cambria Math" w:hAnsi="Cambria Math" w:cstheme="minorHAnsi"/>
                <w:sz w:val="24"/>
                <w:szCs w:val="24"/>
                <w:lang w:val="en-US"/>
              </w:rPr>
              <m:t>)=</m:t>
            </m:r>
            <m:r>
              <m:rPr>
                <m:nor/>
              </m:rPr>
              <w:rPr>
                <w:rFonts w:ascii="Book Antiqua" w:hAnsi="Book Antiqua" w:cstheme="minorHAnsi"/>
                <w:sz w:val="24"/>
                <w:szCs w:val="24"/>
                <w:lang w:val="en-US"/>
              </w:rPr>
              <m:t>4.322</m:t>
            </m:r>
          </m:e>
        </m:func>
      </m:oMath>
      <w:r w:rsidR="005C659B" w:rsidRPr="00C11F21">
        <w:rPr>
          <w:rFonts w:ascii="Book Antiqua" w:hAnsi="Book Antiqua" w:cstheme="minorHAnsi"/>
          <w:sz w:val="24"/>
          <w:szCs w:val="24"/>
          <w:lang w:val="en-US"/>
        </w:rPr>
        <w:t xml:space="preserve"> and </w:t>
      </w:r>
      <m:oMath>
        <m:func>
          <m:funcPr>
            <m:ctrlPr>
              <w:rPr>
                <w:rFonts w:ascii="Cambria Math" w:hAnsi="Cambria Math" w:cstheme="minorHAnsi"/>
                <w:i/>
                <w:sz w:val="24"/>
                <w:szCs w:val="24"/>
                <w:lang w:val="en-US"/>
              </w:rPr>
            </m:ctrlPr>
          </m:funcPr>
          <m:fName>
            <m:sSub>
              <m:sSubPr>
                <m:ctrlPr>
                  <w:rPr>
                    <w:rFonts w:ascii="Cambria Math" w:hAnsi="Cambria Math" w:cstheme="minorHAnsi"/>
                    <w:i/>
                    <w:sz w:val="24"/>
                    <w:szCs w:val="24"/>
                    <w:lang w:val="en-US"/>
                  </w:rPr>
                </m:ctrlPr>
              </m:sSubPr>
              <m:e>
                <m:r>
                  <m:rPr>
                    <m:sty m:val="p"/>
                  </m:rPr>
                  <w:rPr>
                    <w:rFonts w:ascii="Cambria Math" w:hAnsi="Cambria Math" w:cstheme="minorHAnsi"/>
                    <w:sz w:val="24"/>
                    <w:szCs w:val="24"/>
                    <w:lang w:val="en-US"/>
                  </w:rPr>
                  <m:t xml:space="preserve"> </m:t>
                </m:r>
                <m:sSub>
                  <m:sSubPr>
                    <m:ctrlPr>
                      <w:rPr>
                        <w:rFonts w:ascii="Cambria Math" w:hAnsi="Cambria Math" w:cstheme="minorHAnsi"/>
                        <w:i/>
                        <w:sz w:val="24"/>
                        <w:szCs w:val="24"/>
                        <w:lang w:val="en-US"/>
                      </w:rPr>
                    </m:ctrlPr>
                  </m:sSubPr>
                  <m:e>
                    <m:r>
                      <w:rPr>
                        <w:rFonts w:ascii="Cambria Math" w:hAnsi="Cambria Math" w:cstheme="minorHAnsi"/>
                        <w:sz w:val="24"/>
                        <w:szCs w:val="24"/>
                        <w:lang w:val="en-US"/>
                      </w:rPr>
                      <m:t>IC</m:t>
                    </m:r>
                  </m:e>
                  <m:sub>
                    <m:r>
                      <w:rPr>
                        <w:rFonts w:ascii="Cambria Math" w:hAnsi="Cambria Math" w:cstheme="minorHAnsi"/>
                        <w:sz w:val="24"/>
                        <w:szCs w:val="24"/>
                        <w:lang w:val="en-US"/>
                      </w:rPr>
                      <m:t>aa</m:t>
                    </m:r>
                    <m:r>
                      <m:rPr>
                        <m:nor/>
                      </m:rPr>
                      <w:rPr>
                        <w:rFonts w:ascii="Book Antiqua" w:hAnsi="Book Antiqua" w:cstheme="minorHAnsi"/>
                        <w:sz w:val="24"/>
                        <w:szCs w:val="24"/>
                        <w:lang w:val="en-US"/>
                      </w:rPr>
                      <m:t xml:space="preserve">  </m:t>
                    </m:r>
                  </m:sub>
                </m:sSub>
                <m:r>
                  <m:rPr>
                    <m:nor/>
                  </m:rPr>
                  <w:rPr>
                    <w:rFonts w:ascii="Book Antiqua" w:hAnsi="Book Antiqua" w:cstheme="minorHAnsi"/>
                    <w:sz w:val="24"/>
                    <w:szCs w:val="24"/>
                    <w:lang w:val="en-US"/>
                  </w:rPr>
                  <m:t xml:space="preserve">= </m:t>
                </m:r>
                <m:r>
                  <m:rPr>
                    <m:sty m:val="p"/>
                  </m:rPr>
                  <w:rPr>
                    <w:rFonts w:ascii="Cambria Math" w:hAnsi="Cambria Math" w:cstheme="minorHAnsi"/>
                    <w:sz w:val="24"/>
                    <w:szCs w:val="24"/>
                    <w:lang w:val="en-US"/>
                  </w:rPr>
                  <m:t>log</m:t>
                </m:r>
              </m:e>
              <m:sub>
                <m:r>
                  <w:rPr>
                    <w:rFonts w:ascii="Cambria Math" w:hAnsi="Cambria Math" w:cstheme="minorHAnsi"/>
                    <w:sz w:val="24"/>
                    <w:szCs w:val="24"/>
                    <w:lang w:val="en-US"/>
                  </w:rPr>
                  <m:t>2</m:t>
                </m:r>
              </m:sub>
            </m:sSub>
          </m:fName>
          <m:e>
            <m:d>
              <m:dPr>
                <m:ctrlPr>
                  <w:rPr>
                    <w:rFonts w:ascii="Cambria Math" w:hAnsi="Cambria Math" w:cstheme="minorHAnsi"/>
                    <w:i/>
                    <w:sz w:val="24"/>
                    <w:szCs w:val="24"/>
                    <w:lang w:val="en-US"/>
                  </w:rPr>
                </m:ctrlPr>
              </m:dPr>
              <m:e>
                <m:r>
                  <w:rPr>
                    <w:rFonts w:ascii="Cambria Math" w:hAnsi="Cambria Math" w:cstheme="minorHAnsi"/>
                    <w:sz w:val="24"/>
                    <w:szCs w:val="24"/>
                    <w:lang w:val="en-US"/>
                  </w:rPr>
                  <m:t>20</m:t>
                </m:r>
              </m:e>
            </m:d>
            <m:r>
              <w:rPr>
                <w:rFonts w:ascii="Cambria Math" w:hAnsi="Cambria Math" w:cstheme="minorHAnsi"/>
                <w:sz w:val="24"/>
                <w:szCs w:val="24"/>
                <w:lang w:val="en-US"/>
              </w:rPr>
              <m:t>-</m:t>
            </m:r>
            <m:r>
              <m:rPr>
                <m:nor/>
              </m:rPr>
              <w:rPr>
                <w:rFonts w:ascii="Book Antiqua" w:hAnsi="Book Antiqua" w:cstheme="minorHAnsi"/>
                <w:sz w:val="24"/>
                <w:szCs w:val="24"/>
                <w:lang w:val="en-US"/>
              </w:rPr>
              <m:t>4.322</m:t>
            </m:r>
            <m:r>
              <w:rPr>
                <w:rFonts w:ascii="Cambria Math" w:hAnsi="Cambria Math" w:cstheme="minorHAnsi"/>
                <w:sz w:val="24"/>
                <w:szCs w:val="24"/>
                <w:lang w:val="en-US"/>
              </w:rPr>
              <m:t>=0</m:t>
            </m:r>
          </m:e>
        </m:func>
      </m:oMath>
      <w:r w:rsidR="005C659B" w:rsidRPr="00C11F21">
        <w:rPr>
          <w:rFonts w:ascii="Book Antiqua" w:hAnsi="Book Antiqua" w:cstheme="minorHAnsi"/>
          <w:sz w:val="24"/>
          <w:szCs w:val="24"/>
          <w:lang w:val="en-US"/>
        </w:rPr>
        <w:t>.</w:t>
      </w:r>
      <w:r w:rsidR="004F4E6E" w:rsidRPr="00C11F21">
        <w:rPr>
          <w:rFonts w:ascii="Book Antiqua" w:hAnsi="Book Antiqua" w:cstheme="minorHAnsi" w:hint="eastAsia"/>
          <w:sz w:val="24"/>
          <w:szCs w:val="24"/>
          <w:lang w:val="en-US" w:eastAsia="zh-CN"/>
        </w:rPr>
        <w:t xml:space="preserve"> </w:t>
      </w:r>
      <w:r w:rsidR="005C659B" w:rsidRPr="00C11F21">
        <w:rPr>
          <w:rFonts w:ascii="Book Antiqua" w:hAnsi="Book Antiqua" w:cstheme="minorHAnsi"/>
          <w:sz w:val="24"/>
          <w:szCs w:val="24"/>
          <w:lang w:val="en-US"/>
        </w:rPr>
        <w:t xml:space="preserve">These calculations in the </w:t>
      </w:r>
      <w:r w:rsidR="007555DF" w:rsidRPr="00C11F21">
        <w:rPr>
          <w:rFonts w:ascii="Book Antiqua" w:hAnsi="Book Antiqua" w:cstheme="minorHAnsi"/>
          <w:sz w:val="24"/>
          <w:szCs w:val="24"/>
          <w:lang w:val="en-US"/>
        </w:rPr>
        <w:t xml:space="preserve">regions of </w:t>
      </w:r>
      <w:r w:rsidR="005C659B" w:rsidRPr="00C11F21">
        <w:rPr>
          <w:rFonts w:ascii="Book Antiqua" w:hAnsi="Book Antiqua" w:cstheme="minorHAnsi"/>
          <w:sz w:val="24"/>
          <w:szCs w:val="24"/>
          <w:lang w:val="en-US"/>
        </w:rPr>
        <w:t xml:space="preserve">NTCP </w:t>
      </w:r>
      <w:r w:rsidR="007555DF" w:rsidRPr="00C11F21">
        <w:rPr>
          <w:rFonts w:ascii="Book Antiqua" w:hAnsi="Book Antiqua" w:cstheme="minorHAnsi"/>
          <w:sz w:val="24"/>
          <w:szCs w:val="24"/>
          <w:lang w:val="en-US"/>
        </w:rPr>
        <w:t xml:space="preserve">interaction (47 aa) </w:t>
      </w:r>
      <w:r w:rsidR="005C659B" w:rsidRPr="00C11F21">
        <w:rPr>
          <w:rFonts w:ascii="Book Antiqua" w:hAnsi="Book Antiqua" w:cstheme="minorHAnsi"/>
          <w:sz w:val="24"/>
          <w:szCs w:val="24"/>
          <w:lang w:val="en-US"/>
        </w:rPr>
        <w:t xml:space="preserve">and </w:t>
      </w:r>
      <w:r w:rsidR="007555DF" w:rsidRPr="00C11F21">
        <w:rPr>
          <w:rFonts w:ascii="Book Antiqua" w:hAnsi="Book Antiqua" w:cstheme="minorHAnsi"/>
          <w:sz w:val="24"/>
          <w:szCs w:val="24"/>
          <w:lang w:val="en-US"/>
        </w:rPr>
        <w:t>virion morphogenesis (</w:t>
      </w:r>
      <w:r w:rsidR="005C659B" w:rsidRPr="00C11F21">
        <w:rPr>
          <w:rFonts w:ascii="Book Antiqua" w:hAnsi="Book Antiqua" w:cstheme="minorHAnsi"/>
          <w:sz w:val="24"/>
          <w:szCs w:val="24"/>
          <w:lang w:val="en-US"/>
        </w:rPr>
        <w:t>22 aa</w:t>
      </w:r>
      <w:r w:rsidR="007555DF" w:rsidRPr="00C11F21">
        <w:rPr>
          <w:rFonts w:ascii="Book Antiqua" w:hAnsi="Book Antiqua" w:cstheme="minorHAnsi"/>
          <w:sz w:val="24"/>
          <w:szCs w:val="24"/>
          <w:lang w:val="en-US"/>
        </w:rPr>
        <w:t>)</w:t>
      </w:r>
      <w:r w:rsidRPr="00C11F21">
        <w:rPr>
          <w:rFonts w:ascii="Book Antiqua" w:hAnsi="Book Antiqua" w:cstheme="minorHAnsi"/>
          <w:sz w:val="24"/>
          <w:szCs w:val="24"/>
          <w:lang w:val="en-US"/>
        </w:rPr>
        <w:t xml:space="preserve"> </w:t>
      </w:r>
      <w:r w:rsidR="005C659B" w:rsidRPr="00C11F21">
        <w:rPr>
          <w:rFonts w:ascii="Book Antiqua" w:hAnsi="Book Antiqua" w:cstheme="minorHAnsi"/>
          <w:sz w:val="24"/>
          <w:szCs w:val="24"/>
          <w:lang w:val="en-US"/>
        </w:rPr>
        <w:t>were also represented as sequence logos created using the R language package, motifStack</w:t>
      </w:r>
      <w:r w:rsidR="005B043F" w:rsidRPr="00C11F21">
        <w:rPr>
          <w:rFonts w:ascii="Book Antiqua" w:hAnsi="Book Antiqua" w:cstheme="minorHAnsi"/>
          <w:sz w:val="24"/>
          <w:szCs w:val="24"/>
          <w:lang w:val="en-US"/>
        </w:rPr>
        <w:fldChar w:fldCharType="begin" w:fldLock="1"/>
      </w:r>
      <w:r w:rsidR="005B043F" w:rsidRPr="00C11F21">
        <w:rPr>
          <w:rFonts w:ascii="Book Antiqua" w:hAnsi="Book Antiqua" w:cstheme="minorHAnsi"/>
          <w:sz w:val="24"/>
          <w:szCs w:val="24"/>
          <w:lang w:val="en-US"/>
        </w:rPr>
        <w:instrText>ADDIN CSL_CITATION { "citationItems" : [ { "id" : "ITEM-1", "itemData" : { "author" : [ { "dropping-particle" : "", "family" : "Ou", "given" : "Jianhong", "non-dropping-particle" : "", "parse-names" : false, "suffix" : "" }, { "dropping-particle" : "", "family" : "Zhu", "given" : "Lihua Julie", "non-dropping-particle" : "", "parse-names" : false, "suffix" : "" } ], "id" : "ITEM-1", "issued" : { "date-parts" : [ [ "2015" ] ] }, "title" : "motifStack: Plot stacked logos for single or multiple DNA, RNA and amino acid sequence. R package version 1.14.0.", "type" : "article" }, "uris" : [ "http://www.mendeley.com/documents/?uuid=50ffbaef-58a8-4604-a3d5-55a8ed6a1f6c", "http://www.mendeley.com/documents/?uuid=9539ca6c-3d2f-4c05-bf28-0fd836b2abc1" ] } ], "mendeley" : { "formattedCitation" : "&lt;sup&gt;[33]&lt;/sup&gt;", "plainTextFormattedCitation" : "[33]", "previouslyFormattedCitation" : "&lt;sup&gt;[33]&lt;/sup&gt;" }, "properties" : {  }, "schema" : "https://github.com/citation-style-language/schema/raw/master/csl-citation.json" }</w:instrText>
      </w:r>
      <w:r w:rsidR="005B043F" w:rsidRPr="00C11F21">
        <w:rPr>
          <w:rFonts w:ascii="Book Antiqua" w:hAnsi="Book Antiqua" w:cstheme="minorHAnsi"/>
          <w:sz w:val="24"/>
          <w:szCs w:val="24"/>
          <w:lang w:val="en-US"/>
        </w:rPr>
        <w:fldChar w:fldCharType="separate"/>
      </w:r>
      <w:r w:rsidR="005B043F" w:rsidRPr="00C11F21">
        <w:rPr>
          <w:rFonts w:ascii="Book Antiqua" w:hAnsi="Book Antiqua" w:cstheme="minorHAnsi"/>
          <w:noProof/>
          <w:sz w:val="24"/>
          <w:szCs w:val="24"/>
          <w:vertAlign w:val="superscript"/>
          <w:lang w:val="en-US"/>
        </w:rPr>
        <w:t>[33]</w:t>
      </w:r>
      <w:r w:rsidR="005B043F" w:rsidRPr="00C11F21">
        <w:rPr>
          <w:rFonts w:ascii="Book Antiqua" w:hAnsi="Book Antiqua" w:cstheme="minorHAnsi"/>
          <w:sz w:val="24"/>
          <w:szCs w:val="24"/>
          <w:lang w:val="en-US"/>
        </w:rPr>
        <w:fldChar w:fldCharType="end"/>
      </w:r>
      <w:r w:rsidR="005C659B" w:rsidRPr="00C11F21">
        <w:rPr>
          <w:rFonts w:ascii="Book Antiqua" w:hAnsi="Book Antiqua" w:cstheme="minorHAnsi"/>
          <w:sz w:val="24"/>
          <w:szCs w:val="24"/>
          <w:lang w:val="en-US"/>
        </w:rPr>
        <w:t>.</w:t>
      </w:r>
      <w:r w:rsidR="005B043F" w:rsidRPr="00C11F21">
        <w:rPr>
          <w:rFonts w:ascii="Book Antiqua" w:hAnsi="Book Antiqua" w:cstheme="minorHAnsi"/>
          <w:sz w:val="24"/>
          <w:szCs w:val="24"/>
          <w:lang w:val="en-US"/>
        </w:rPr>
        <w:t xml:space="preserve"> </w:t>
      </w:r>
    </w:p>
    <w:p w14:paraId="3647A8A8" w14:textId="6A769B21" w:rsidR="00996052" w:rsidRPr="00C11F21" w:rsidRDefault="00996052" w:rsidP="004F4E6E">
      <w:pPr>
        <w:autoSpaceDE w:val="0"/>
        <w:autoSpaceDN w:val="0"/>
        <w:adjustRightInd w:val="0"/>
        <w:snapToGrid w:val="0"/>
        <w:spacing w:after="0" w:line="360" w:lineRule="auto"/>
        <w:ind w:firstLineChars="100" w:firstLine="240"/>
        <w:jc w:val="both"/>
        <w:rPr>
          <w:rFonts w:ascii="Book Antiqua" w:hAnsi="Book Antiqua" w:cstheme="minorHAnsi"/>
          <w:sz w:val="24"/>
          <w:szCs w:val="24"/>
          <w:lang w:val="en-US"/>
        </w:rPr>
      </w:pPr>
      <w:r w:rsidRPr="00C11F21">
        <w:rPr>
          <w:rFonts w:ascii="Book Antiqua" w:hAnsi="Book Antiqua" w:cstheme="minorHAnsi"/>
          <w:sz w:val="24"/>
          <w:szCs w:val="24"/>
          <w:lang w:val="en-US"/>
        </w:rPr>
        <w:t xml:space="preserve">The statistical and </w:t>
      </w:r>
      <w:r w:rsidR="009B4B31" w:rsidRPr="00C11F21">
        <w:rPr>
          <w:rFonts w:ascii="Book Antiqua" w:hAnsi="Book Antiqua" w:cstheme="minorHAnsi"/>
          <w:sz w:val="24"/>
          <w:szCs w:val="24"/>
          <w:lang w:val="en-US"/>
        </w:rPr>
        <w:t>bioinformatics</w:t>
      </w:r>
      <w:r w:rsidRPr="00C11F21">
        <w:rPr>
          <w:rFonts w:ascii="Book Antiqua" w:hAnsi="Book Antiqua" w:cstheme="minorHAnsi"/>
          <w:sz w:val="24"/>
          <w:szCs w:val="24"/>
          <w:lang w:val="en-US"/>
        </w:rPr>
        <w:t xml:space="preserve"> methods </w:t>
      </w:r>
      <w:r w:rsidR="00774758" w:rsidRPr="00C11F21">
        <w:rPr>
          <w:rFonts w:ascii="Book Antiqua" w:hAnsi="Book Antiqua" w:cstheme="minorHAnsi"/>
          <w:sz w:val="24"/>
          <w:szCs w:val="24"/>
          <w:lang w:val="en-US"/>
        </w:rPr>
        <w:t>used in</w:t>
      </w:r>
      <w:r w:rsidRPr="00C11F21">
        <w:rPr>
          <w:rFonts w:ascii="Book Antiqua" w:hAnsi="Book Antiqua" w:cstheme="minorHAnsi"/>
          <w:sz w:val="24"/>
          <w:szCs w:val="24"/>
          <w:lang w:val="en-US"/>
        </w:rPr>
        <w:t xml:space="preserve"> this study were reviewed by Dr. Josep Gregori from the </w:t>
      </w:r>
      <w:r w:rsidR="00C038AD" w:rsidRPr="00C11F21">
        <w:rPr>
          <w:rFonts w:ascii="Book Antiqua" w:hAnsi="Book Antiqua" w:cstheme="minorHAnsi"/>
          <w:sz w:val="24"/>
          <w:szCs w:val="24"/>
          <w:lang w:val="en-US"/>
        </w:rPr>
        <w:t>l</w:t>
      </w:r>
      <w:r w:rsidRPr="00C11F21">
        <w:rPr>
          <w:rFonts w:ascii="Book Antiqua" w:hAnsi="Book Antiqua" w:cstheme="minorHAnsi"/>
          <w:sz w:val="24"/>
          <w:szCs w:val="24"/>
          <w:lang w:val="en-US"/>
        </w:rPr>
        <w:t xml:space="preserve">iver </w:t>
      </w:r>
      <w:r w:rsidR="00C038AD" w:rsidRPr="00C11F21">
        <w:rPr>
          <w:rFonts w:ascii="Book Antiqua" w:hAnsi="Book Antiqua" w:cstheme="minorHAnsi"/>
          <w:sz w:val="24"/>
          <w:szCs w:val="24"/>
          <w:lang w:val="en-US"/>
        </w:rPr>
        <w:t>d</w:t>
      </w:r>
      <w:r w:rsidRPr="00C11F21">
        <w:rPr>
          <w:rFonts w:ascii="Book Antiqua" w:hAnsi="Book Antiqua" w:cstheme="minorHAnsi"/>
          <w:sz w:val="24"/>
          <w:szCs w:val="24"/>
          <w:lang w:val="en-US"/>
        </w:rPr>
        <w:t>isease</w:t>
      </w:r>
      <w:r w:rsidR="00774758" w:rsidRPr="00C11F21">
        <w:rPr>
          <w:rFonts w:ascii="Book Antiqua" w:hAnsi="Book Antiqua" w:cstheme="minorHAnsi"/>
          <w:sz w:val="24"/>
          <w:szCs w:val="24"/>
          <w:lang w:val="en-US"/>
        </w:rPr>
        <w:t xml:space="preserve">-viral hepatitis </w:t>
      </w:r>
      <w:r w:rsidR="00C038AD" w:rsidRPr="00C11F21">
        <w:rPr>
          <w:rFonts w:ascii="Book Antiqua" w:hAnsi="Book Antiqua" w:cstheme="minorHAnsi"/>
          <w:sz w:val="24"/>
          <w:szCs w:val="24"/>
          <w:lang w:val="en-US"/>
        </w:rPr>
        <w:t>l</w:t>
      </w:r>
      <w:r w:rsidRPr="00C11F21">
        <w:rPr>
          <w:rFonts w:ascii="Book Antiqua" w:hAnsi="Book Antiqua" w:cstheme="minorHAnsi"/>
          <w:sz w:val="24"/>
          <w:szCs w:val="24"/>
          <w:lang w:val="en-US"/>
        </w:rPr>
        <w:t xml:space="preserve">aboratory </w:t>
      </w:r>
      <w:r w:rsidR="00C038AD" w:rsidRPr="00C11F21">
        <w:rPr>
          <w:rFonts w:ascii="Book Antiqua" w:hAnsi="Book Antiqua" w:cstheme="minorHAnsi"/>
          <w:sz w:val="24"/>
          <w:szCs w:val="24"/>
          <w:lang w:val="en-US"/>
        </w:rPr>
        <w:t>(</w:t>
      </w:r>
      <w:r w:rsidRPr="00C11F21">
        <w:rPr>
          <w:rFonts w:ascii="Book Antiqua" w:hAnsi="Book Antiqua" w:cstheme="minorHAnsi"/>
          <w:sz w:val="24"/>
          <w:szCs w:val="24"/>
          <w:lang w:val="en-US"/>
        </w:rPr>
        <w:t>Vall d’Hebron Institut Recerca-Hospital Universitari Vall d’Hebron</w:t>
      </w:r>
      <w:r w:rsidR="00C038AD" w:rsidRPr="00C11F21">
        <w:rPr>
          <w:rFonts w:ascii="Book Antiqua" w:hAnsi="Book Antiqua" w:cstheme="minorHAnsi"/>
          <w:sz w:val="24"/>
          <w:szCs w:val="24"/>
          <w:lang w:val="en-US"/>
        </w:rPr>
        <w:t>)</w:t>
      </w:r>
      <w:r w:rsidRPr="00C11F21">
        <w:rPr>
          <w:rFonts w:ascii="Book Antiqua" w:hAnsi="Book Antiqua" w:cstheme="minorHAnsi"/>
          <w:sz w:val="24"/>
          <w:szCs w:val="24"/>
          <w:lang w:val="en-US"/>
        </w:rPr>
        <w:t>,</w:t>
      </w:r>
      <w:r w:rsidR="00C038AD" w:rsidRPr="00C11F21">
        <w:rPr>
          <w:rFonts w:ascii="Book Antiqua" w:hAnsi="Book Antiqua" w:cstheme="minorHAnsi"/>
          <w:sz w:val="24"/>
          <w:szCs w:val="24"/>
          <w:lang w:val="en-US"/>
        </w:rPr>
        <w:t xml:space="preserve"> CIBERehd and </w:t>
      </w:r>
      <w:r w:rsidRPr="00C11F21">
        <w:rPr>
          <w:rFonts w:ascii="Book Antiqua" w:hAnsi="Book Antiqua" w:cstheme="minorHAnsi"/>
          <w:sz w:val="24"/>
          <w:szCs w:val="24"/>
          <w:lang w:val="en-US"/>
        </w:rPr>
        <w:t>Roche Diagnostics SL</w:t>
      </w:r>
      <w:r w:rsidR="00C038AD" w:rsidRPr="00C11F21">
        <w:rPr>
          <w:rFonts w:ascii="Book Antiqua" w:hAnsi="Book Antiqua" w:cstheme="minorHAnsi"/>
          <w:sz w:val="24"/>
          <w:szCs w:val="24"/>
          <w:lang w:val="en-US"/>
        </w:rPr>
        <w:t>.</w:t>
      </w:r>
    </w:p>
    <w:p w14:paraId="761DFD09" w14:textId="77777777" w:rsidR="00E9029A" w:rsidRPr="00C11F21" w:rsidRDefault="00E9029A" w:rsidP="00F33187">
      <w:pPr>
        <w:snapToGrid w:val="0"/>
        <w:spacing w:after="0" w:line="360" w:lineRule="auto"/>
        <w:jc w:val="both"/>
        <w:rPr>
          <w:rFonts w:ascii="Book Antiqua" w:hAnsi="Book Antiqua" w:cstheme="minorHAnsi"/>
          <w:sz w:val="24"/>
          <w:szCs w:val="24"/>
          <w:lang w:val="en-US"/>
        </w:rPr>
      </w:pPr>
    </w:p>
    <w:p w14:paraId="77813176" w14:textId="77777777" w:rsidR="00C27D45" w:rsidRPr="00C11F21" w:rsidRDefault="00C27D45" w:rsidP="00F33187">
      <w:pPr>
        <w:snapToGrid w:val="0"/>
        <w:spacing w:after="0" w:line="360" w:lineRule="auto"/>
        <w:jc w:val="both"/>
        <w:rPr>
          <w:rFonts w:ascii="Book Antiqua" w:hAnsi="Book Antiqua" w:cstheme="minorHAnsi"/>
          <w:b/>
          <w:i/>
          <w:sz w:val="24"/>
          <w:szCs w:val="24"/>
          <w:lang w:val="en-US"/>
        </w:rPr>
      </w:pPr>
      <w:r w:rsidRPr="00C11F21">
        <w:rPr>
          <w:rFonts w:ascii="Book Antiqua" w:hAnsi="Book Antiqua" w:cstheme="minorHAnsi"/>
          <w:b/>
          <w:i/>
          <w:sz w:val="24"/>
          <w:szCs w:val="24"/>
          <w:lang w:val="en-US"/>
        </w:rPr>
        <w:t>Determination of the SLC10A1 gene rs2296651 (S267F) polymorphism</w:t>
      </w:r>
    </w:p>
    <w:p w14:paraId="32536AFD" w14:textId="370B26A9" w:rsidR="00C27D45" w:rsidRPr="00C11F21" w:rsidRDefault="00C27D45" w:rsidP="00F33187">
      <w:pPr>
        <w:snapToGrid w:val="0"/>
        <w:spacing w:after="0" w:line="360" w:lineRule="auto"/>
        <w:jc w:val="both"/>
        <w:rPr>
          <w:rFonts w:ascii="Book Antiqua" w:hAnsi="Book Antiqua" w:cstheme="minorHAnsi"/>
          <w:sz w:val="24"/>
          <w:szCs w:val="24"/>
          <w:lang w:val="en-US"/>
        </w:rPr>
      </w:pPr>
      <w:r w:rsidRPr="00C11F21">
        <w:rPr>
          <w:rFonts w:ascii="Book Antiqua" w:hAnsi="Book Antiqua" w:cstheme="minorHAnsi"/>
          <w:sz w:val="24"/>
          <w:szCs w:val="24"/>
          <w:lang w:val="en-US"/>
        </w:rPr>
        <w:t xml:space="preserve">The rs2296651 SNP in </w:t>
      </w:r>
      <w:r w:rsidR="00C51675" w:rsidRPr="00C11F21">
        <w:rPr>
          <w:rFonts w:ascii="Book Antiqua" w:hAnsi="Book Antiqua" w:cstheme="minorHAnsi"/>
          <w:sz w:val="24"/>
          <w:szCs w:val="24"/>
          <w:lang w:val="en-US"/>
        </w:rPr>
        <w:t xml:space="preserve">the </w:t>
      </w:r>
      <w:r w:rsidRPr="00C11F21">
        <w:rPr>
          <w:rFonts w:ascii="Book Antiqua" w:hAnsi="Book Antiqua" w:cstheme="minorHAnsi"/>
          <w:i/>
          <w:sz w:val="24"/>
          <w:szCs w:val="24"/>
          <w:lang w:val="en-US"/>
        </w:rPr>
        <w:t>SLC10A1</w:t>
      </w:r>
      <w:r w:rsidR="00963BB9" w:rsidRPr="00C11F21">
        <w:rPr>
          <w:rFonts w:ascii="Book Antiqua" w:hAnsi="Book Antiqua" w:cstheme="minorHAnsi"/>
          <w:sz w:val="24"/>
          <w:szCs w:val="24"/>
          <w:lang w:val="en-US"/>
        </w:rPr>
        <w:t xml:space="preserve"> gene</w:t>
      </w:r>
      <w:r w:rsidRPr="00C11F21">
        <w:rPr>
          <w:rFonts w:ascii="Book Antiqua" w:hAnsi="Book Antiqua" w:cstheme="minorHAnsi"/>
          <w:sz w:val="24"/>
          <w:szCs w:val="24"/>
          <w:lang w:val="en-US"/>
        </w:rPr>
        <w:t xml:space="preserve">, causing the NTCP S267F variant, was determined using a new in-house </w:t>
      </w:r>
      <w:r w:rsidR="003F1AAA" w:rsidRPr="00C11F21">
        <w:rPr>
          <w:rFonts w:ascii="Book Antiqua" w:hAnsi="Book Antiqua" w:cstheme="minorHAnsi"/>
          <w:sz w:val="24"/>
          <w:szCs w:val="24"/>
          <w:lang w:val="en-US"/>
        </w:rPr>
        <w:t xml:space="preserve">developed </w:t>
      </w:r>
      <w:r w:rsidRPr="00C11F21">
        <w:rPr>
          <w:rFonts w:ascii="Book Antiqua" w:hAnsi="Book Antiqua" w:cstheme="minorHAnsi"/>
          <w:sz w:val="24"/>
          <w:szCs w:val="24"/>
          <w:lang w:val="en-US"/>
        </w:rPr>
        <w:t xml:space="preserve">real-time PCR method based on fluorescence resonance energy transfer (FRET) probes, on the LightCycler 2.0 analyzer (Roche Diagnostics, </w:t>
      </w:r>
      <w:r w:rsidR="00963BB9" w:rsidRPr="00C11F21">
        <w:rPr>
          <w:rFonts w:ascii="Book Antiqua" w:hAnsi="Book Antiqua" w:cstheme="minorHAnsi"/>
          <w:sz w:val="24"/>
          <w:szCs w:val="24"/>
          <w:lang w:val="en-US"/>
        </w:rPr>
        <w:t>Rotkreuz, Switzerland</w:t>
      </w:r>
      <w:r w:rsidRPr="00C11F21">
        <w:rPr>
          <w:rFonts w:ascii="Book Antiqua" w:hAnsi="Book Antiqua" w:cstheme="minorHAnsi"/>
          <w:sz w:val="24"/>
          <w:szCs w:val="24"/>
          <w:lang w:val="en-US"/>
        </w:rPr>
        <w:t xml:space="preserve">). PCR primers were designed to flank a 111-bp region of </w:t>
      </w:r>
      <w:r w:rsidRPr="00C11F21">
        <w:rPr>
          <w:rFonts w:ascii="Book Antiqua" w:hAnsi="Book Antiqua" w:cstheme="minorHAnsi"/>
          <w:i/>
          <w:sz w:val="24"/>
          <w:szCs w:val="24"/>
          <w:lang w:val="en-US"/>
        </w:rPr>
        <w:t>SLC10A1</w:t>
      </w:r>
      <w:r w:rsidRPr="00C11F21">
        <w:rPr>
          <w:rFonts w:ascii="Book Antiqua" w:hAnsi="Book Antiqua" w:cstheme="minorHAnsi"/>
          <w:sz w:val="24"/>
          <w:szCs w:val="24"/>
          <w:lang w:val="en-US"/>
        </w:rPr>
        <w:t>, including the SNP. The results obtained by this method were validated by direct sequencing (</w:t>
      </w:r>
      <w:r w:rsidRPr="00C11F21" w:rsidDel="002C5566">
        <w:rPr>
          <w:rFonts w:ascii="Book Antiqua" w:hAnsi="Book Antiqua" w:cstheme="minorHAnsi"/>
          <w:sz w:val="24"/>
          <w:szCs w:val="24"/>
          <w:lang w:val="en-US"/>
        </w:rPr>
        <w:t xml:space="preserve">Sanger </w:t>
      </w:r>
      <w:r w:rsidRPr="00C11F21">
        <w:rPr>
          <w:rFonts w:ascii="Book Antiqua" w:hAnsi="Book Antiqua" w:cstheme="minorHAnsi"/>
          <w:sz w:val="24"/>
          <w:szCs w:val="24"/>
          <w:lang w:val="en-US"/>
        </w:rPr>
        <w:t>method)</w:t>
      </w:r>
      <w:r w:rsidRPr="00C11F21" w:rsidDel="002C5566">
        <w:rPr>
          <w:rFonts w:ascii="Book Antiqua" w:hAnsi="Book Antiqua" w:cstheme="minorHAnsi"/>
          <w:sz w:val="24"/>
          <w:szCs w:val="24"/>
          <w:lang w:val="en-US"/>
        </w:rPr>
        <w:t xml:space="preserve"> in genomic DNA extracted from blood in 18 samples from </w:t>
      </w:r>
      <w:r w:rsidRPr="00C11F21">
        <w:rPr>
          <w:rFonts w:ascii="Book Antiqua" w:hAnsi="Book Antiqua" w:cstheme="minorHAnsi"/>
          <w:sz w:val="24"/>
          <w:szCs w:val="24"/>
          <w:lang w:val="en-US"/>
        </w:rPr>
        <w:t>the 3 groups:</w:t>
      </w:r>
      <w:r w:rsidRPr="00C11F21" w:rsidDel="002C5566">
        <w:rPr>
          <w:rFonts w:ascii="Book Antiqua" w:hAnsi="Book Antiqua" w:cstheme="minorHAnsi"/>
          <w:sz w:val="24"/>
          <w:szCs w:val="24"/>
          <w:lang w:val="en-US"/>
        </w:rPr>
        <w:t xml:space="preserve"> A (12), B (4)</w:t>
      </w:r>
      <w:r w:rsidRPr="00C11F21">
        <w:rPr>
          <w:rFonts w:ascii="Book Antiqua" w:hAnsi="Book Antiqua" w:cstheme="minorHAnsi"/>
          <w:sz w:val="24"/>
          <w:szCs w:val="24"/>
          <w:lang w:val="en-US"/>
        </w:rPr>
        <w:t>,</w:t>
      </w:r>
      <w:r w:rsidRPr="00C11F21" w:rsidDel="002C5566">
        <w:rPr>
          <w:rFonts w:ascii="Book Antiqua" w:hAnsi="Book Antiqua" w:cstheme="minorHAnsi"/>
          <w:sz w:val="24"/>
          <w:szCs w:val="24"/>
          <w:lang w:val="en-US"/>
        </w:rPr>
        <w:t xml:space="preserve"> and C (2).</w:t>
      </w:r>
      <w:r w:rsidRPr="00C11F21">
        <w:rPr>
          <w:rFonts w:ascii="Book Antiqua" w:hAnsi="Book Antiqua" w:cstheme="minorHAnsi"/>
          <w:sz w:val="24"/>
          <w:szCs w:val="24"/>
          <w:lang w:val="en-US"/>
        </w:rPr>
        <w:t xml:space="preserve"> A detailed explanation of the rs2296651 detection procedure by both real-time PCR and Sanger sequencing is provided in the Supplementary Materials and Methods (Supplementary Protocol </w:t>
      </w:r>
      <w:r w:rsidR="0004489F" w:rsidRPr="00C11F21">
        <w:rPr>
          <w:rFonts w:ascii="Book Antiqua" w:hAnsi="Book Antiqua" w:cstheme="minorHAnsi"/>
          <w:sz w:val="24"/>
          <w:szCs w:val="24"/>
          <w:lang w:val="en-US"/>
        </w:rPr>
        <w:t>2</w:t>
      </w:r>
      <w:r w:rsidRPr="00C11F21">
        <w:rPr>
          <w:rFonts w:ascii="Book Antiqua" w:hAnsi="Book Antiqua" w:cstheme="minorHAnsi"/>
          <w:sz w:val="24"/>
          <w:szCs w:val="24"/>
          <w:lang w:val="en-US"/>
        </w:rPr>
        <w:t>).</w:t>
      </w:r>
    </w:p>
    <w:p w14:paraId="453C2DC6" w14:textId="77777777" w:rsidR="005C659B" w:rsidRPr="00C11F21" w:rsidRDefault="005C659B" w:rsidP="00F33187">
      <w:pPr>
        <w:snapToGrid w:val="0"/>
        <w:spacing w:after="0" w:line="360" w:lineRule="auto"/>
        <w:jc w:val="both"/>
        <w:rPr>
          <w:rFonts w:ascii="Book Antiqua" w:hAnsi="Book Antiqua" w:cstheme="minorHAnsi"/>
          <w:b/>
          <w:sz w:val="24"/>
          <w:szCs w:val="24"/>
          <w:lang w:val="en-US"/>
        </w:rPr>
      </w:pPr>
    </w:p>
    <w:p w14:paraId="30B4D1CF" w14:textId="77777777" w:rsidR="005C659B" w:rsidRPr="00C11F21" w:rsidRDefault="005C659B" w:rsidP="00F33187">
      <w:pPr>
        <w:snapToGrid w:val="0"/>
        <w:spacing w:after="0" w:line="360" w:lineRule="auto"/>
        <w:jc w:val="both"/>
        <w:rPr>
          <w:rFonts w:ascii="Book Antiqua" w:hAnsi="Book Antiqua" w:cstheme="minorHAnsi"/>
          <w:b/>
          <w:sz w:val="24"/>
          <w:szCs w:val="24"/>
          <w:lang w:val="en-US"/>
        </w:rPr>
      </w:pPr>
      <w:r w:rsidRPr="00C11F21">
        <w:rPr>
          <w:rFonts w:ascii="Book Antiqua" w:hAnsi="Book Antiqua" w:cstheme="minorHAnsi"/>
          <w:b/>
          <w:sz w:val="24"/>
          <w:szCs w:val="24"/>
          <w:lang w:val="en-US"/>
        </w:rPr>
        <w:t>RESULTS</w:t>
      </w:r>
    </w:p>
    <w:p w14:paraId="23E1B39D" w14:textId="77777777" w:rsidR="005C659B" w:rsidRPr="00C11F21" w:rsidRDefault="005C659B" w:rsidP="00F33187">
      <w:pPr>
        <w:snapToGrid w:val="0"/>
        <w:spacing w:after="0" w:line="360" w:lineRule="auto"/>
        <w:jc w:val="both"/>
        <w:rPr>
          <w:rFonts w:ascii="Book Antiqua" w:hAnsi="Book Antiqua" w:cstheme="minorHAnsi"/>
          <w:i/>
          <w:sz w:val="24"/>
          <w:szCs w:val="24"/>
          <w:lang w:val="en-US"/>
        </w:rPr>
      </w:pPr>
      <w:r w:rsidRPr="00C11F21">
        <w:rPr>
          <w:rFonts w:ascii="Book Antiqua" w:hAnsi="Book Antiqua" w:cstheme="minorHAnsi"/>
          <w:b/>
          <w:i/>
          <w:sz w:val="24"/>
          <w:szCs w:val="24"/>
          <w:lang w:val="en-US"/>
        </w:rPr>
        <w:lastRenderedPageBreak/>
        <w:t xml:space="preserve">Identity threshold between sequences </w:t>
      </w:r>
      <w:r w:rsidR="00AC7D2B" w:rsidRPr="00C11F21">
        <w:rPr>
          <w:rFonts w:ascii="Book Antiqua" w:hAnsi="Book Antiqua" w:cstheme="minorHAnsi"/>
          <w:b/>
          <w:i/>
          <w:sz w:val="24"/>
          <w:szCs w:val="24"/>
          <w:lang w:val="en-US"/>
        </w:rPr>
        <w:t>of</w:t>
      </w:r>
      <w:r w:rsidRPr="00C11F21">
        <w:rPr>
          <w:rFonts w:ascii="Book Antiqua" w:hAnsi="Book Antiqua" w:cstheme="minorHAnsi"/>
          <w:b/>
          <w:i/>
          <w:sz w:val="24"/>
          <w:szCs w:val="24"/>
          <w:lang w:val="en-US"/>
        </w:rPr>
        <w:t xml:space="preserve"> the same HBV genotype in reference sequences from the region studied</w:t>
      </w:r>
    </w:p>
    <w:p w14:paraId="24B45778" w14:textId="6F642ADB" w:rsidR="005C659B" w:rsidRPr="00C11F21" w:rsidRDefault="005C659B" w:rsidP="00F33187">
      <w:pPr>
        <w:snapToGrid w:val="0"/>
        <w:spacing w:after="0" w:line="360" w:lineRule="auto"/>
        <w:jc w:val="both"/>
        <w:rPr>
          <w:rFonts w:ascii="Book Antiqua" w:hAnsi="Book Antiqua" w:cstheme="minorHAnsi"/>
          <w:sz w:val="24"/>
          <w:szCs w:val="24"/>
          <w:lang w:val="en-US"/>
        </w:rPr>
      </w:pPr>
      <w:r w:rsidRPr="00C11F21">
        <w:rPr>
          <w:rFonts w:ascii="Book Antiqua" w:hAnsi="Book Antiqua" w:cstheme="minorHAnsi"/>
          <w:sz w:val="24"/>
          <w:szCs w:val="24"/>
          <w:lang w:val="en-US"/>
        </w:rPr>
        <w:t>In the regions from nt 2837, 2838</w:t>
      </w:r>
      <w:r w:rsidR="00C51675" w:rsidRPr="00C11F21">
        <w:rPr>
          <w:rFonts w:ascii="Book Antiqua" w:hAnsi="Book Antiqua" w:cstheme="minorHAnsi"/>
          <w:sz w:val="24"/>
          <w:szCs w:val="24"/>
          <w:lang w:val="en-US"/>
        </w:rPr>
        <w:t>,</w:t>
      </w:r>
      <w:r w:rsidRPr="00C11F21">
        <w:rPr>
          <w:rFonts w:ascii="Book Antiqua" w:hAnsi="Book Antiqua" w:cstheme="minorHAnsi"/>
          <w:sz w:val="24"/>
          <w:szCs w:val="24"/>
          <w:lang w:val="en-US"/>
        </w:rPr>
        <w:t xml:space="preserve"> or 2844 (depending on </w:t>
      </w:r>
      <w:r w:rsidR="00602D72" w:rsidRPr="00C11F21">
        <w:rPr>
          <w:rFonts w:ascii="Book Antiqua" w:hAnsi="Book Antiqua" w:cstheme="minorHAnsi"/>
          <w:sz w:val="24"/>
          <w:szCs w:val="24"/>
          <w:lang w:val="en-US"/>
        </w:rPr>
        <w:t xml:space="preserve">viral </w:t>
      </w:r>
      <w:r w:rsidRPr="00C11F21">
        <w:rPr>
          <w:rFonts w:ascii="Book Antiqua" w:hAnsi="Book Antiqua" w:cstheme="minorHAnsi"/>
          <w:sz w:val="24"/>
          <w:szCs w:val="24"/>
          <w:lang w:val="en-US"/>
        </w:rPr>
        <w:t xml:space="preserve">genotype) to 56, extracted from the 86 full-length HBV genome sequences representative of genotypes A to H, analysis of the maximum genetic distance in each genotype and the minimum genetic distance between different genotypes (data not shown) resulted in </w:t>
      </w:r>
      <w:r w:rsidR="007A1B9A" w:rsidRPr="00C11F21">
        <w:rPr>
          <w:rFonts w:ascii="Book Antiqua" w:hAnsi="Book Antiqua" w:cstheme="minorHAnsi"/>
          <w:sz w:val="24"/>
          <w:szCs w:val="24"/>
          <w:lang w:val="en-US"/>
        </w:rPr>
        <w:t>a</w:t>
      </w:r>
      <w:r w:rsidRPr="00C11F21">
        <w:rPr>
          <w:rFonts w:ascii="Book Antiqua" w:hAnsi="Book Antiqua" w:cstheme="minorHAnsi"/>
          <w:sz w:val="24"/>
          <w:szCs w:val="24"/>
          <w:lang w:val="en-US"/>
        </w:rPr>
        <w:t xml:space="preserve"> </w:t>
      </w:r>
      <w:r w:rsidR="007A1B9A" w:rsidRPr="00C11F21">
        <w:rPr>
          <w:rFonts w:ascii="Book Antiqua" w:hAnsi="Book Antiqua" w:cstheme="minorHAnsi"/>
          <w:sz w:val="24"/>
          <w:szCs w:val="24"/>
          <w:lang w:val="en-US"/>
        </w:rPr>
        <w:t xml:space="preserve">sequence </w:t>
      </w:r>
      <w:r w:rsidRPr="00C11F21">
        <w:rPr>
          <w:rFonts w:ascii="Book Antiqua" w:hAnsi="Book Antiqua" w:cstheme="minorHAnsi"/>
          <w:sz w:val="24"/>
          <w:szCs w:val="24"/>
          <w:lang w:val="en-US"/>
        </w:rPr>
        <w:t xml:space="preserve">identity threshold between genotypes of 95%. Therefore, for each patient, haplotypes with a sequence identity </w:t>
      </w:r>
      <w:r w:rsidR="00F1300B" w:rsidRPr="00C11F21">
        <w:rPr>
          <w:rFonts w:ascii="Book Antiqua" w:hAnsi="Book Antiqua" w:cstheme="minorHAnsi"/>
          <w:sz w:val="24"/>
          <w:szCs w:val="24"/>
          <w:lang w:val="en-US"/>
        </w:rPr>
        <w:t>&gt;</w:t>
      </w:r>
      <w:r w:rsidR="004F4E6E" w:rsidRPr="00C11F21">
        <w:rPr>
          <w:rFonts w:ascii="Book Antiqua" w:hAnsi="Book Antiqua" w:cstheme="minorHAnsi" w:hint="eastAsia"/>
          <w:sz w:val="24"/>
          <w:szCs w:val="24"/>
          <w:lang w:val="en-US" w:eastAsia="zh-CN"/>
        </w:rPr>
        <w:t xml:space="preserve"> </w:t>
      </w:r>
      <w:r w:rsidRPr="00C11F21">
        <w:rPr>
          <w:rFonts w:ascii="Book Antiqua" w:hAnsi="Book Antiqua" w:cstheme="minorHAnsi"/>
          <w:sz w:val="24"/>
          <w:szCs w:val="24"/>
          <w:lang w:val="en-US"/>
        </w:rPr>
        <w:t>95% were clustered together, and the master sequence from each cluster was included in the phylogenetic analysis to determine the HBV genotype.</w:t>
      </w:r>
    </w:p>
    <w:p w14:paraId="358C4A5F" w14:textId="77777777" w:rsidR="0063056A" w:rsidRPr="00C11F21" w:rsidRDefault="0063056A" w:rsidP="00F33187">
      <w:pPr>
        <w:snapToGrid w:val="0"/>
        <w:spacing w:after="0" w:line="360" w:lineRule="auto"/>
        <w:jc w:val="both"/>
        <w:rPr>
          <w:rFonts w:ascii="Book Antiqua" w:hAnsi="Book Antiqua" w:cstheme="minorHAnsi"/>
          <w:sz w:val="24"/>
          <w:szCs w:val="24"/>
          <w:lang w:val="en-US"/>
        </w:rPr>
      </w:pPr>
    </w:p>
    <w:p w14:paraId="620DE5B1" w14:textId="77777777" w:rsidR="005C659B" w:rsidRPr="00C11F21" w:rsidRDefault="005C659B" w:rsidP="00F33187">
      <w:pPr>
        <w:snapToGrid w:val="0"/>
        <w:spacing w:after="0" w:line="360" w:lineRule="auto"/>
        <w:jc w:val="both"/>
        <w:rPr>
          <w:rFonts w:ascii="Book Antiqua" w:hAnsi="Book Antiqua" w:cstheme="minorHAnsi"/>
          <w:b/>
          <w:i/>
          <w:sz w:val="24"/>
          <w:szCs w:val="24"/>
          <w:lang w:val="en-US"/>
        </w:rPr>
      </w:pPr>
      <w:r w:rsidRPr="00C11F21">
        <w:rPr>
          <w:rFonts w:ascii="Book Antiqua" w:hAnsi="Book Antiqua" w:cstheme="minorHAnsi"/>
          <w:b/>
          <w:i/>
          <w:sz w:val="24"/>
          <w:szCs w:val="24"/>
          <w:lang w:val="en-US"/>
        </w:rPr>
        <w:t>preS1 variability and/or conservation</w:t>
      </w:r>
    </w:p>
    <w:p w14:paraId="4A31A692" w14:textId="61230E65" w:rsidR="005C659B" w:rsidRPr="00C11F21" w:rsidRDefault="00D66BD5" w:rsidP="00F33187">
      <w:pPr>
        <w:snapToGrid w:val="0"/>
        <w:spacing w:after="0" w:line="360" w:lineRule="auto"/>
        <w:jc w:val="both"/>
        <w:rPr>
          <w:rFonts w:ascii="Book Antiqua" w:hAnsi="Book Antiqua" w:cstheme="minorHAnsi"/>
          <w:sz w:val="24"/>
          <w:szCs w:val="24"/>
          <w:lang w:val="en-US"/>
        </w:rPr>
      </w:pPr>
      <w:r w:rsidRPr="00C11F21">
        <w:rPr>
          <w:rFonts w:ascii="Book Antiqua" w:hAnsi="Book Antiqua" w:cstheme="minorHAnsi"/>
          <w:sz w:val="24"/>
          <w:szCs w:val="24"/>
          <w:shd w:val="clear" w:color="auto" w:fill="FFFFFF"/>
          <w:lang w:val="en-US"/>
        </w:rPr>
        <w:t>T</w:t>
      </w:r>
      <w:r w:rsidR="005C659B" w:rsidRPr="00C11F21">
        <w:rPr>
          <w:rFonts w:ascii="Book Antiqua" w:hAnsi="Book Antiqua" w:cstheme="minorHAnsi"/>
          <w:sz w:val="24"/>
          <w:szCs w:val="24"/>
          <w:shd w:val="clear" w:color="auto" w:fill="FFFFFF"/>
          <w:lang w:val="en-US"/>
        </w:rPr>
        <w:t>he</w:t>
      </w:r>
      <w:r w:rsidR="005C659B" w:rsidRPr="00C11F21">
        <w:rPr>
          <w:rFonts w:ascii="Book Antiqua" w:hAnsi="Book Antiqua" w:cstheme="minorHAnsi"/>
          <w:sz w:val="24"/>
          <w:szCs w:val="24"/>
          <w:lang w:val="en-US"/>
        </w:rPr>
        <w:t xml:space="preserve"> </w:t>
      </w:r>
      <w:r w:rsidR="00842C00" w:rsidRPr="00C11F21">
        <w:rPr>
          <w:rFonts w:ascii="Book Antiqua" w:hAnsi="Book Antiqua" w:cstheme="minorHAnsi"/>
          <w:sz w:val="24"/>
          <w:szCs w:val="24"/>
          <w:lang w:val="en-US"/>
        </w:rPr>
        <w:t>NTCP-interacting domain</w:t>
      </w:r>
      <w:r w:rsidR="00842C00" w:rsidRPr="00C11F21" w:rsidDel="00842C00">
        <w:rPr>
          <w:rFonts w:ascii="Book Antiqua" w:hAnsi="Book Antiqua" w:cstheme="minorHAnsi"/>
          <w:sz w:val="24"/>
          <w:szCs w:val="24"/>
          <w:lang w:val="en-US"/>
        </w:rPr>
        <w:t xml:space="preserve"> </w:t>
      </w:r>
      <w:r w:rsidR="007555DF" w:rsidRPr="00C11F21">
        <w:rPr>
          <w:rFonts w:ascii="Book Antiqua" w:hAnsi="Book Antiqua" w:cstheme="minorHAnsi"/>
          <w:sz w:val="24"/>
          <w:szCs w:val="24"/>
          <w:lang w:val="en-US"/>
        </w:rPr>
        <w:t>(47</w:t>
      </w:r>
      <w:r w:rsidR="004F4E6E" w:rsidRPr="00C11F21">
        <w:rPr>
          <w:rFonts w:ascii="Book Antiqua" w:hAnsi="Book Antiqua" w:cstheme="minorHAnsi" w:hint="eastAsia"/>
          <w:sz w:val="24"/>
          <w:szCs w:val="24"/>
          <w:lang w:val="en-US" w:eastAsia="zh-CN"/>
        </w:rPr>
        <w:t xml:space="preserve"> </w:t>
      </w:r>
      <w:r w:rsidR="007555DF" w:rsidRPr="00C11F21">
        <w:rPr>
          <w:rFonts w:ascii="Book Antiqua" w:hAnsi="Book Antiqua" w:cstheme="minorHAnsi"/>
          <w:sz w:val="24"/>
          <w:szCs w:val="24"/>
          <w:lang w:val="en-US"/>
        </w:rPr>
        <w:t xml:space="preserve">aa) and virion morphogenesis </w:t>
      </w:r>
      <w:r w:rsidR="00842C00" w:rsidRPr="00C11F21">
        <w:rPr>
          <w:rFonts w:ascii="Book Antiqua" w:hAnsi="Book Antiqua" w:cstheme="minorHAnsi"/>
          <w:sz w:val="24"/>
          <w:szCs w:val="24"/>
          <w:lang w:val="en-US"/>
        </w:rPr>
        <w:t xml:space="preserve">domain </w:t>
      </w:r>
      <w:r w:rsidR="007555DF" w:rsidRPr="00C11F21">
        <w:rPr>
          <w:rFonts w:ascii="Book Antiqua" w:hAnsi="Book Antiqua" w:cstheme="minorHAnsi"/>
          <w:sz w:val="24"/>
          <w:szCs w:val="24"/>
          <w:lang w:val="en-US"/>
        </w:rPr>
        <w:t>(22 aa)</w:t>
      </w:r>
      <w:r w:rsidRPr="00C11F21">
        <w:rPr>
          <w:rFonts w:ascii="Book Antiqua" w:hAnsi="Book Antiqua" w:cstheme="minorHAnsi"/>
          <w:sz w:val="24"/>
          <w:szCs w:val="24"/>
          <w:lang w:val="en-US"/>
        </w:rPr>
        <w:t xml:space="preserve"> were analyzed</w:t>
      </w:r>
      <w:r w:rsidRPr="00C11F21">
        <w:rPr>
          <w:rFonts w:ascii="Book Antiqua" w:hAnsi="Book Antiqua" w:cstheme="minorHAnsi"/>
          <w:sz w:val="24"/>
          <w:szCs w:val="24"/>
          <w:shd w:val="clear" w:color="auto" w:fill="FFFFFF"/>
          <w:lang w:val="en-US"/>
        </w:rPr>
        <w:t xml:space="preserve"> </w:t>
      </w:r>
      <w:r w:rsidR="00D062AA" w:rsidRPr="00C11F21">
        <w:rPr>
          <w:rFonts w:ascii="Book Antiqua" w:hAnsi="Book Antiqua" w:cstheme="minorHAnsi"/>
          <w:sz w:val="24"/>
          <w:szCs w:val="24"/>
          <w:shd w:val="clear" w:color="auto" w:fill="FFFFFF"/>
          <w:lang w:val="en-US"/>
        </w:rPr>
        <w:t>i</w:t>
      </w:r>
      <w:r w:rsidRPr="00C11F21">
        <w:rPr>
          <w:rFonts w:ascii="Book Antiqua" w:hAnsi="Book Antiqua" w:cstheme="minorHAnsi"/>
          <w:sz w:val="24"/>
          <w:szCs w:val="24"/>
          <w:shd w:val="clear" w:color="auto" w:fill="FFFFFF"/>
          <w:lang w:val="en-US"/>
        </w:rPr>
        <w:t xml:space="preserve">n the 18 patients in group </w:t>
      </w:r>
      <w:r w:rsidR="00EA38E2" w:rsidRPr="00C11F21">
        <w:rPr>
          <w:rFonts w:ascii="Book Antiqua" w:hAnsi="Book Antiqua" w:cstheme="minorHAnsi"/>
          <w:sz w:val="24"/>
          <w:szCs w:val="24"/>
          <w:shd w:val="clear" w:color="auto" w:fill="FFFFFF"/>
          <w:lang w:val="en-US"/>
        </w:rPr>
        <w:t>A</w:t>
      </w:r>
      <w:r w:rsidRPr="00C11F21">
        <w:rPr>
          <w:rFonts w:ascii="Book Antiqua" w:hAnsi="Book Antiqua" w:cstheme="minorHAnsi"/>
          <w:sz w:val="24"/>
          <w:szCs w:val="24"/>
          <w:shd w:val="clear" w:color="auto" w:fill="FFFFFF"/>
          <w:lang w:val="en-US"/>
        </w:rPr>
        <w:t xml:space="preserve"> </w:t>
      </w:r>
      <w:r w:rsidRPr="00C11F21">
        <w:rPr>
          <w:rFonts w:ascii="Book Antiqua" w:hAnsi="Book Antiqua" w:cstheme="minorHAnsi"/>
          <w:sz w:val="24"/>
          <w:szCs w:val="24"/>
          <w:lang w:val="en-US"/>
        </w:rPr>
        <w:t>with viremia levels &gt;</w:t>
      </w:r>
      <w:r w:rsidR="004F4E6E" w:rsidRPr="00C11F21">
        <w:rPr>
          <w:rFonts w:ascii="Book Antiqua" w:hAnsi="Book Antiqua" w:cstheme="minorHAnsi" w:hint="eastAsia"/>
          <w:sz w:val="24"/>
          <w:szCs w:val="24"/>
          <w:lang w:val="en-US" w:eastAsia="zh-CN"/>
        </w:rPr>
        <w:t xml:space="preserve"> </w:t>
      </w:r>
      <w:r w:rsidRPr="00C11F21">
        <w:rPr>
          <w:rFonts w:ascii="Book Antiqua" w:hAnsi="Book Antiqua" w:cstheme="minorHAnsi"/>
          <w:sz w:val="24"/>
          <w:szCs w:val="24"/>
          <w:lang w:val="en-US"/>
        </w:rPr>
        <w:t>4 logIU/mL</w:t>
      </w:r>
      <w:r w:rsidRPr="00C11F21">
        <w:rPr>
          <w:rFonts w:ascii="Book Antiqua" w:hAnsi="Book Antiqua" w:cstheme="minorHAnsi"/>
          <w:sz w:val="24"/>
          <w:szCs w:val="24"/>
          <w:shd w:val="clear" w:color="auto" w:fill="FFFFFF"/>
          <w:lang w:val="en-US"/>
        </w:rPr>
        <w:t>.</w:t>
      </w:r>
      <w:r w:rsidR="005C659B" w:rsidRPr="00C11F21">
        <w:rPr>
          <w:rFonts w:ascii="Book Antiqua" w:hAnsi="Book Antiqua" w:cstheme="minorHAnsi"/>
          <w:sz w:val="24"/>
          <w:szCs w:val="24"/>
          <w:shd w:val="clear" w:color="auto" w:fill="FFFFFF"/>
          <w:lang w:val="en-US"/>
        </w:rPr>
        <w:t xml:space="preserve"> </w:t>
      </w:r>
      <w:r w:rsidR="004F4E6E" w:rsidRPr="00C11F21">
        <w:rPr>
          <w:rFonts w:ascii="Book Antiqua" w:hAnsi="Book Antiqua" w:cstheme="minorHAnsi"/>
          <w:sz w:val="24"/>
          <w:szCs w:val="24"/>
          <w:lang w:val="en-US"/>
        </w:rPr>
        <w:t>In total, 118</w:t>
      </w:r>
      <w:r w:rsidR="005C659B" w:rsidRPr="00C11F21">
        <w:rPr>
          <w:rFonts w:ascii="Book Antiqua" w:hAnsi="Book Antiqua" w:cstheme="minorHAnsi"/>
          <w:sz w:val="24"/>
          <w:szCs w:val="24"/>
          <w:lang w:val="en-US"/>
        </w:rPr>
        <w:t>779 quality-filtered sequences were obtained from the samples, and a median of 5546 (1903</w:t>
      </w:r>
      <w:r w:rsidR="00E93AA1" w:rsidRPr="00C11F21">
        <w:rPr>
          <w:rFonts w:ascii="Book Antiqua" w:hAnsi="Book Antiqua" w:cstheme="minorHAnsi"/>
          <w:sz w:val="24"/>
          <w:szCs w:val="24"/>
          <w:lang w:val="en-US"/>
        </w:rPr>
        <w:t xml:space="preserve"> </w:t>
      </w:r>
      <w:r w:rsidR="00E06268" w:rsidRPr="00C11F21">
        <w:rPr>
          <w:rFonts w:ascii="Book Antiqua" w:hAnsi="Book Antiqua" w:cstheme="minorHAnsi"/>
          <w:sz w:val="24"/>
          <w:szCs w:val="24"/>
          <w:lang w:val="en-US"/>
        </w:rPr>
        <w:t xml:space="preserve">to </w:t>
      </w:r>
      <w:r w:rsidR="005C659B" w:rsidRPr="00C11F21">
        <w:rPr>
          <w:rFonts w:ascii="Book Antiqua" w:hAnsi="Book Antiqua" w:cstheme="minorHAnsi"/>
          <w:sz w:val="24"/>
          <w:szCs w:val="24"/>
          <w:lang w:val="en-US"/>
        </w:rPr>
        <w:t>13126</w:t>
      </w:r>
      <w:r w:rsidR="00781716" w:rsidRPr="00C11F21">
        <w:rPr>
          <w:rFonts w:ascii="Book Antiqua" w:hAnsi="Book Antiqua" w:cstheme="minorHAnsi"/>
          <w:sz w:val="24"/>
          <w:szCs w:val="24"/>
          <w:lang w:val="en-US"/>
        </w:rPr>
        <w:t>, interquartile range</w:t>
      </w:r>
      <w:r w:rsidR="007A1B9A" w:rsidRPr="00C11F21">
        <w:rPr>
          <w:rFonts w:ascii="Book Antiqua" w:hAnsi="Book Antiqua" w:cstheme="minorHAnsi"/>
          <w:sz w:val="24"/>
          <w:szCs w:val="24"/>
          <w:lang w:val="en-US"/>
        </w:rPr>
        <w:t>,</w:t>
      </w:r>
      <w:r w:rsidR="00781716" w:rsidRPr="00C11F21">
        <w:rPr>
          <w:rFonts w:ascii="Book Antiqua" w:hAnsi="Book Antiqua" w:cstheme="minorHAnsi"/>
          <w:sz w:val="24"/>
          <w:szCs w:val="24"/>
          <w:lang w:val="en-US"/>
        </w:rPr>
        <w:t xml:space="preserve"> </w:t>
      </w:r>
      <w:r w:rsidR="00E06268" w:rsidRPr="00C11F21">
        <w:rPr>
          <w:rFonts w:ascii="Book Antiqua" w:hAnsi="Book Antiqua" w:cstheme="minorHAnsi"/>
          <w:sz w:val="24"/>
          <w:szCs w:val="24"/>
          <w:lang w:val="en-US"/>
        </w:rPr>
        <w:t>3585</w:t>
      </w:r>
      <w:r w:rsidR="005C659B" w:rsidRPr="00C11F21">
        <w:rPr>
          <w:rFonts w:ascii="Book Antiqua" w:hAnsi="Book Antiqua" w:cstheme="minorHAnsi"/>
          <w:sz w:val="24"/>
          <w:szCs w:val="24"/>
          <w:lang w:val="en-US"/>
        </w:rPr>
        <w:t xml:space="preserve">) sequences containing </w:t>
      </w:r>
      <w:r w:rsidR="00EE2B93" w:rsidRPr="00C11F21">
        <w:rPr>
          <w:rFonts w:ascii="Book Antiqua" w:hAnsi="Book Antiqua" w:cstheme="minorHAnsi"/>
          <w:sz w:val="24"/>
          <w:szCs w:val="24"/>
          <w:lang w:val="en-US"/>
        </w:rPr>
        <w:t xml:space="preserve">both </w:t>
      </w:r>
      <w:r w:rsidR="00033CE6" w:rsidRPr="00C11F21">
        <w:rPr>
          <w:rFonts w:ascii="Book Antiqua" w:hAnsi="Book Antiqua" w:cstheme="minorHAnsi"/>
          <w:sz w:val="24"/>
          <w:szCs w:val="24"/>
          <w:lang w:val="en-US"/>
        </w:rPr>
        <w:t>domains</w:t>
      </w:r>
      <w:r w:rsidR="005C659B" w:rsidRPr="00C11F21">
        <w:rPr>
          <w:rFonts w:ascii="Book Antiqua" w:hAnsi="Book Antiqua" w:cstheme="minorHAnsi"/>
          <w:sz w:val="24"/>
          <w:szCs w:val="24"/>
          <w:lang w:val="en-US"/>
        </w:rPr>
        <w:t xml:space="preserve"> were analyzed per sample.</w:t>
      </w:r>
    </w:p>
    <w:p w14:paraId="6DCFFEC3" w14:textId="24E46B02" w:rsidR="00EB44CB" w:rsidRPr="00C11F21" w:rsidRDefault="005C659B" w:rsidP="004F4E6E">
      <w:pPr>
        <w:snapToGrid w:val="0"/>
        <w:spacing w:after="0" w:line="360" w:lineRule="auto"/>
        <w:ind w:firstLineChars="100" w:firstLine="240"/>
        <w:jc w:val="both"/>
        <w:rPr>
          <w:rFonts w:ascii="Book Antiqua" w:hAnsi="Book Antiqua" w:cstheme="minorHAnsi"/>
          <w:sz w:val="24"/>
          <w:szCs w:val="24"/>
          <w:lang w:val="en-US"/>
        </w:rPr>
      </w:pPr>
      <w:r w:rsidRPr="00C11F21">
        <w:rPr>
          <w:rFonts w:ascii="Book Antiqua" w:hAnsi="Book Antiqua" w:cstheme="minorHAnsi"/>
          <w:sz w:val="24"/>
          <w:szCs w:val="24"/>
          <w:lang w:val="en-US"/>
        </w:rPr>
        <w:t>In general,</w:t>
      </w:r>
      <w:r w:rsidR="004F4E6E" w:rsidRPr="00C11F21">
        <w:rPr>
          <w:rFonts w:ascii="Book Antiqua" w:hAnsi="Book Antiqua" w:cstheme="minorHAnsi" w:hint="eastAsia"/>
          <w:sz w:val="24"/>
          <w:szCs w:val="24"/>
          <w:lang w:val="en-US" w:eastAsia="zh-CN"/>
        </w:rPr>
        <w:t xml:space="preserve"> </w:t>
      </w:r>
      <w:r w:rsidR="00DC4529" w:rsidRPr="00C11F21">
        <w:rPr>
          <w:rFonts w:ascii="Book Antiqua" w:hAnsi="Book Antiqua" w:cstheme="minorHAnsi"/>
          <w:sz w:val="24"/>
          <w:szCs w:val="24"/>
          <w:lang w:val="en-US"/>
        </w:rPr>
        <w:t>aa residues from the NTCP-</w:t>
      </w:r>
      <w:r w:rsidR="002D008B" w:rsidRPr="00C11F21">
        <w:rPr>
          <w:rFonts w:ascii="Book Antiqua" w:hAnsi="Book Antiqua" w:cstheme="minorHAnsi"/>
          <w:sz w:val="24"/>
          <w:szCs w:val="24"/>
          <w:lang w:val="en-US"/>
        </w:rPr>
        <w:t xml:space="preserve">interacting </w:t>
      </w:r>
      <w:r w:rsidR="00033CE6" w:rsidRPr="00C11F21">
        <w:rPr>
          <w:rFonts w:ascii="Book Antiqua" w:hAnsi="Book Antiqua" w:cstheme="minorHAnsi"/>
          <w:sz w:val="24"/>
          <w:szCs w:val="24"/>
          <w:lang w:val="en-US"/>
        </w:rPr>
        <w:t>domain</w:t>
      </w:r>
      <w:r w:rsidRPr="00C11F21">
        <w:rPr>
          <w:rFonts w:ascii="Book Antiqua" w:hAnsi="Book Antiqua" w:cstheme="minorHAnsi"/>
          <w:sz w:val="24"/>
          <w:szCs w:val="24"/>
          <w:lang w:val="en-US"/>
        </w:rPr>
        <w:t xml:space="preserve"> were conserved within each </w:t>
      </w:r>
      <w:r w:rsidR="00602D72" w:rsidRPr="00C11F21">
        <w:rPr>
          <w:rFonts w:ascii="Book Antiqua" w:hAnsi="Book Antiqua" w:cstheme="minorHAnsi"/>
          <w:sz w:val="24"/>
          <w:szCs w:val="24"/>
          <w:lang w:val="en-US"/>
        </w:rPr>
        <w:t xml:space="preserve">HBV </w:t>
      </w:r>
      <w:r w:rsidRPr="00C11F21">
        <w:rPr>
          <w:rFonts w:ascii="Book Antiqua" w:hAnsi="Book Antiqua" w:cstheme="minorHAnsi"/>
          <w:sz w:val="24"/>
          <w:szCs w:val="24"/>
          <w:lang w:val="en-US"/>
        </w:rPr>
        <w:t>genotype</w:t>
      </w:r>
      <w:r w:rsidR="00761FB4" w:rsidRPr="00C11F21">
        <w:rPr>
          <w:rFonts w:ascii="Book Antiqua" w:hAnsi="Book Antiqua" w:cstheme="minorHAnsi"/>
          <w:sz w:val="24"/>
          <w:szCs w:val="24"/>
          <w:lang w:val="en-US"/>
        </w:rPr>
        <w:t xml:space="preserve"> among </w:t>
      </w:r>
      <w:r w:rsidR="00C70DF0" w:rsidRPr="00C11F21">
        <w:rPr>
          <w:rFonts w:ascii="Book Antiqua" w:hAnsi="Book Antiqua" w:cstheme="minorHAnsi"/>
          <w:sz w:val="24"/>
          <w:szCs w:val="24"/>
          <w:lang w:val="en-US"/>
        </w:rPr>
        <w:t xml:space="preserve">the </w:t>
      </w:r>
      <w:r w:rsidR="00761FB4" w:rsidRPr="00C11F21">
        <w:rPr>
          <w:rFonts w:ascii="Book Antiqua" w:hAnsi="Book Antiqua" w:cstheme="minorHAnsi"/>
          <w:sz w:val="24"/>
          <w:szCs w:val="24"/>
          <w:lang w:val="en-US"/>
        </w:rPr>
        <w:t>different viral genomes examined</w:t>
      </w:r>
      <w:r w:rsidR="00C70DF0" w:rsidRPr="00C11F21">
        <w:rPr>
          <w:rFonts w:ascii="Book Antiqua" w:hAnsi="Book Antiqua" w:cstheme="minorHAnsi"/>
          <w:sz w:val="24"/>
          <w:szCs w:val="24"/>
          <w:lang w:val="en-US"/>
        </w:rPr>
        <w:t>.</w:t>
      </w:r>
      <w:r w:rsidRPr="00C11F21">
        <w:rPr>
          <w:rFonts w:ascii="Book Antiqua" w:hAnsi="Book Antiqua" w:cstheme="minorHAnsi"/>
          <w:sz w:val="24"/>
          <w:szCs w:val="24"/>
          <w:lang w:val="en-US"/>
        </w:rPr>
        <w:t xml:space="preserve"> </w:t>
      </w:r>
      <w:r w:rsidR="00C70DF0" w:rsidRPr="00C11F21">
        <w:rPr>
          <w:rFonts w:ascii="Book Antiqua" w:hAnsi="Book Antiqua" w:cstheme="minorHAnsi"/>
          <w:sz w:val="24"/>
          <w:szCs w:val="24"/>
          <w:lang w:val="en-US"/>
        </w:rPr>
        <w:t>O</w:t>
      </w:r>
      <w:r w:rsidRPr="00C11F21">
        <w:rPr>
          <w:rFonts w:ascii="Book Antiqua" w:hAnsi="Book Antiqua" w:cstheme="minorHAnsi"/>
          <w:sz w:val="24"/>
          <w:szCs w:val="24"/>
          <w:lang w:val="en-US"/>
        </w:rPr>
        <w:t xml:space="preserve">nly </w:t>
      </w:r>
      <w:r w:rsidR="003D3880" w:rsidRPr="00C11F21">
        <w:rPr>
          <w:rFonts w:ascii="Book Antiqua" w:hAnsi="Book Antiqua" w:cstheme="minorHAnsi"/>
          <w:sz w:val="24"/>
          <w:szCs w:val="24"/>
          <w:lang w:val="en-US"/>
        </w:rPr>
        <w:t xml:space="preserve">12 </w:t>
      </w:r>
      <w:r w:rsidRPr="00C11F21">
        <w:rPr>
          <w:rFonts w:ascii="Book Antiqua" w:hAnsi="Book Antiqua" w:cstheme="minorHAnsi"/>
          <w:sz w:val="24"/>
          <w:szCs w:val="24"/>
          <w:lang w:val="en-US"/>
        </w:rPr>
        <w:t>of 47 (</w:t>
      </w:r>
      <w:r w:rsidR="003D3880" w:rsidRPr="00C11F21">
        <w:rPr>
          <w:rFonts w:ascii="Book Antiqua" w:hAnsi="Book Antiqua" w:cstheme="minorHAnsi"/>
          <w:sz w:val="24"/>
          <w:szCs w:val="24"/>
          <w:lang w:val="en-US"/>
        </w:rPr>
        <w:t>25.5</w:t>
      </w:r>
      <w:r w:rsidRPr="00C11F21">
        <w:rPr>
          <w:rFonts w:ascii="Book Antiqua" w:hAnsi="Book Antiqua" w:cstheme="minorHAnsi"/>
          <w:sz w:val="24"/>
          <w:szCs w:val="24"/>
          <w:lang w:val="en-US"/>
        </w:rPr>
        <w:t>%) aa positions showed genotype-unrelated changes occurring at &gt;</w:t>
      </w:r>
      <w:r w:rsidR="004F4E6E" w:rsidRPr="00C11F21">
        <w:rPr>
          <w:rFonts w:ascii="Book Antiqua" w:hAnsi="Book Antiqua" w:cstheme="minorHAnsi" w:hint="eastAsia"/>
          <w:sz w:val="24"/>
          <w:szCs w:val="24"/>
          <w:lang w:val="en-US" w:eastAsia="zh-CN"/>
        </w:rPr>
        <w:t xml:space="preserve"> </w:t>
      </w:r>
      <w:r w:rsidRPr="00C11F21">
        <w:rPr>
          <w:rFonts w:ascii="Book Antiqua" w:hAnsi="Book Antiqua" w:cstheme="minorHAnsi"/>
          <w:sz w:val="24"/>
          <w:szCs w:val="24"/>
          <w:lang w:val="en-US"/>
        </w:rPr>
        <w:t>1% of the HBV quasispecies</w:t>
      </w:r>
      <w:r w:rsidR="00F35344" w:rsidRPr="00C11F21">
        <w:rPr>
          <w:rFonts w:ascii="Book Antiqua" w:hAnsi="Book Antiqua" w:cstheme="minorHAnsi"/>
          <w:sz w:val="24"/>
          <w:szCs w:val="24"/>
          <w:lang w:val="en-US"/>
        </w:rPr>
        <w:t xml:space="preserve">, </w:t>
      </w:r>
      <w:r w:rsidR="0098424D" w:rsidRPr="00C11F21">
        <w:rPr>
          <w:rFonts w:ascii="Book Antiqua" w:hAnsi="Book Antiqua" w:cstheme="minorHAnsi"/>
          <w:sz w:val="24"/>
          <w:szCs w:val="24"/>
          <w:lang w:val="en-US"/>
        </w:rPr>
        <w:t>a s</w:t>
      </w:r>
      <w:r w:rsidR="002D662B" w:rsidRPr="00C11F21">
        <w:rPr>
          <w:rFonts w:ascii="Book Antiqua" w:hAnsi="Book Antiqua" w:cstheme="minorHAnsi"/>
          <w:sz w:val="24"/>
          <w:szCs w:val="24"/>
          <w:lang w:val="en-US"/>
        </w:rPr>
        <w:t>omewhat</w:t>
      </w:r>
      <w:r w:rsidR="0098424D" w:rsidRPr="00C11F21">
        <w:rPr>
          <w:rFonts w:ascii="Book Antiqua" w:hAnsi="Book Antiqua" w:cstheme="minorHAnsi"/>
          <w:sz w:val="24"/>
          <w:szCs w:val="24"/>
          <w:lang w:val="en-US"/>
        </w:rPr>
        <w:t xml:space="preserve"> lower percentage than</w:t>
      </w:r>
      <w:r w:rsidR="008131BE" w:rsidRPr="00C11F21">
        <w:rPr>
          <w:rFonts w:ascii="Book Antiqua" w:hAnsi="Book Antiqua" w:cstheme="minorHAnsi"/>
          <w:sz w:val="24"/>
          <w:szCs w:val="24"/>
          <w:lang w:val="en-US"/>
        </w:rPr>
        <w:t xml:space="preserve"> </w:t>
      </w:r>
      <w:r w:rsidR="00CE79B6" w:rsidRPr="00C11F21">
        <w:rPr>
          <w:rFonts w:ascii="Book Antiqua" w:hAnsi="Book Antiqua" w:cstheme="minorHAnsi"/>
          <w:sz w:val="24"/>
          <w:szCs w:val="24"/>
          <w:lang w:val="en-US"/>
        </w:rPr>
        <w:t xml:space="preserve">in </w:t>
      </w:r>
      <w:r w:rsidR="00F35344" w:rsidRPr="00C11F21">
        <w:rPr>
          <w:rFonts w:ascii="Book Antiqua" w:hAnsi="Book Antiqua" w:cstheme="minorHAnsi"/>
          <w:sz w:val="24"/>
          <w:szCs w:val="24"/>
          <w:lang w:val="en-US"/>
        </w:rPr>
        <w:t xml:space="preserve">the virion morphogenesis </w:t>
      </w:r>
      <w:r w:rsidR="003C5B60" w:rsidRPr="00C11F21">
        <w:rPr>
          <w:rFonts w:ascii="Book Antiqua" w:hAnsi="Book Antiqua" w:cstheme="minorHAnsi"/>
          <w:sz w:val="24"/>
          <w:szCs w:val="24"/>
          <w:lang w:val="en-US"/>
        </w:rPr>
        <w:t>domain</w:t>
      </w:r>
      <w:r w:rsidR="00F35344" w:rsidRPr="00C11F21">
        <w:rPr>
          <w:rFonts w:ascii="Book Antiqua" w:hAnsi="Book Antiqua" w:cstheme="minorHAnsi"/>
          <w:sz w:val="24"/>
          <w:szCs w:val="24"/>
          <w:lang w:val="en-US"/>
        </w:rPr>
        <w:t xml:space="preserve"> </w:t>
      </w:r>
      <w:r w:rsidR="00DA6222" w:rsidRPr="00C11F21">
        <w:rPr>
          <w:rFonts w:ascii="Book Antiqua" w:hAnsi="Book Antiqua" w:cstheme="minorHAnsi"/>
          <w:sz w:val="24"/>
          <w:szCs w:val="24"/>
          <w:lang w:val="en-US"/>
        </w:rPr>
        <w:t>(7 of 22</w:t>
      </w:r>
      <w:r w:rsidR="0098424D" w:rsidRPr="00C11F21">
        <w:rPr>
          <w:rFonts w:ascii="Book Antiqua" w:hAnsi="Book Antiqua" w:cstheme="minorHAnsi"/>
          <w:sz w:val="24"/>
          <w:szCs w:val="24"/>
          <w:lang w:val="en-US"/>
        </w:rPr>
        <w:t xml:space="preserve"> aa positions</w:t>
      </w:r>
      <w:r w:rsidR="00DA6222" w:rsidRPr="00C11F21">
        <w:rPr>
          <w:rFonts w:ascii="Book Antiqua" w:hAnsi="Book Antiqua" w:cstheme="minorHAnsi"/>
          <w:sz w:val="24"/>
          <w:szCs w:val="24"/>
          <w:lang w:val="en-US"/>
        </w:rPr>
        <w:t>, 31.8%</w:t>
      </w:r>
      <w:r w:rsidR="0098424D" w:rsidRPr="00C11F21">
        <w:rPr>
          <w:rFonts w:ascii="Book Antiqua" w:hAnsi="Book Antiqua" w:cstheme="minorHAnsi"/>
          <w:sz w:val="24"/>
          <w:szCs w:val="24"/>
          <w:lang w:val="en-US"/>
        </w:rPr>
        <w:t xml:space="preserve"> with genotype-unrelated changes</w:t>
      </w:r>
      <w:r w:rsidR="008131BE" w:rsidRPr="00C11F21">
        <w:rPr>
          <w:rFonts w:ascii="Book Antiqua" w:hAnsi="Book Antiqua" w:cstheme="minorHAnsi"/>
          <w:sz w:val="24"/>
          <w:szCs w:val="24"/>
          <w:lang w:val="en-US"/>
        </w:rPr>
        <w:t>)</w:t>
      </w:r>
      <w:r w:rsidR="00332BEA" w:rsidRPr="00C11F21">
        <w:rPr>
          <w:rFonts w:ascii="Book Antiqua" w:hAnsi="Book Antiqua" w:cstheme="minorHAnsi"/>
          <w:sz w:val="24"/>
          <w:szCs w:val="24"/>
          <w:lang w:val="en-US"/>
        </w:rPr>
        <w:t xml:space="preserve"> (Figure 2</w:t>
      </w:r>
      <w:r w:rsidR="00477454" w:rsidRPr="00C11F21">
        <w:rPr>
          <w:rFonts w:ascii="Book Antiqua" w:hAnsi="Book Antiqua" w:cstheme="minorHAnsi"/>
          <w:sz w:val="24"/>
          <w:szCs w:val="24"/>
          <w:lang w:val="en-US"/>
        </w:rPr>
        <w:t>B</w:t>
      </w:r>
      <w:r w:rsidR="00332BEA" w:rsidRPr="00C11F21">
        <w:rPr>
          <w:rFonts w:ascii="Book Antiqua" w:hAnsi="Book Antiqua" w:cstheme="minorHAnsi"/>
          <w:sz w:val="24"/>
          <w:szCs w:val="24"/>
          <w:lang w:val="en-US"/>
        </w:rPr>
        <w:t>)</w:t>
      </w:r>
      <w:r w:rsidR="008131BE" w:rsidRPr="00C11F21">
        <w:rPr>
          <w:rFonts w:ascii="Book Antiqua" w:hAnsi="Book Antiqua" w:cstheme="minorHAnsi"/>
          <w:sz w:val="24"/>
          <w:szCs w:val="24"/>
          <w:lang w:val="en-US"/>
        </w:rPr>
        <w:t>.</w:t>
      </w:r>
      <w:r w:rsidR="007263B2" w:rsidRPr="00C11F21">
        <w:rPr>
          <w:rFonts w:ascii="Book Antiqua" w:hAnsi="Book Antiqua" w:cstheme="minorHAnsi"/>
          <w:sz w:val="24"/>
          <w:szCs w:val="24"/>
          <w:lang w:val="en-US"/>
        </w:rPr>
        <w:t xml:space="preserve"> </w:t>
      </w:r>
      <w:r w:rsidR="00064245" w:rsidRPr="00C11F21">
        <w:rPr>
          <w:rFonts w:ascii="Book Antiqua" w:hAnsi="Book Antiqua" w:cstheme="minorHAnsi"/>
          <w:sz w:val="24"/>
          <w:szCs w:val="24"/>
          <w:lang w:val="en-US"/>
        </w:rPr>
        <w:t xml:space="preserve">Interestingly, </w:t>
      </w:r>
      <w:r w:rsidR="00332BEA" w:rsidRPr="00C11F21">
        <w:rPr>
          <w:rFonts w:ascii="Book Antiqua" w:hAnsi="Book Antiqua" w:cstheme="minorHAnsi"/>
          <w:sz w:val="24"/>
          <w:szCs w:val="24"/>
          <w:lang w:val="en-US"/>
        </w:rPr>
        <w:t>a</w:t>
      </w:r>
      <w:r w:rsidR="00586C6A" w:rsidRPr="00C11F21">
        <w:rPr>
          <w:rFonts w:ascii="Book Antiqua" w:hAnsi="Book Antiqua" w:cstheme="minorHAnsi"/>
          <w:sz w:val="24"/>
          <w:szCs w:val="24"/>
          <w:lang w:val="en-US"/>
        </w:rPr>
        <w:t xml:space="preserve">ccording to </w:t>
      </w:r>
      <w:r w:rsidR="00C51675" w:rsidRPr="00C11F21">
        <w:rPr>
          <w:rFonts w:ascii="Book Antiqua" w:hAnsi="Book Antiqua" w:cstheme="minorHAnsi"/>
          <w:sz w:val="24"/>
          <w:szCs w:val="24"/>
          <w:lang w:val="en-US"/>
        </w:rPr>
        <w:t xml:space="preserve">the </w:t>
      </w:r>
      <w:r w:rsidR="00586C6A" w:rsidRPr="00C11F21">
        <w:rPr>
          <w:rFonts w:ascii="Book Antiqua" w:hAnsi="Book Antiqua" w:cstheme="minorHAnsi"/>
          <w:sz w:val="24"/>
          <w:szCs w:val="24"/>
          <w:lang w:val="en-US"/>
        </w:rPr>
        <w:t xml:space="preserve">consensus sequences </w:t>
      </w:r>
      <w:r w:rsidR="00332BEA" w:rsidRPr="00C11F21">
        <w:rPr>
          <w:rFonts w:ascii="Book Antiqua" w:hAnsi="Book Antiqua" w:cstheme="minorHAnsi"/>
          <w:sz w:val="24"/>
          <w:szCs w:val="24"/>
          <w:lang w:val="en-US"/>
        </w:rPr>
        <w:t xml:space="preserve">of </w:t>
      </w:r>
      <w:r w:rsidR="00602D72" w:rsidRPr="00C11F21">
        <w:rPr>
          <w:rFonts w:ascii="Book Antiqua" w:hAnsi="Book Antiqua" w:cstheme="minorHAnsi"/>
          <w:sz w:val="24"/>
          <w:szCs w:val="24"/>
          <w:lang w:val="en-US"/>
        </w:rPr>
        <w:t xml:space="preserve">HBV </w:t>
      </w:r>
      <w:r w:rsidR="00586C6A" w:rsidRPr="00C11F21">
        <w:rPr>
          <w:rFonts w:ascii="Book Antiqua" w:hAnsi="Book Antiqua" w:cstheme="minorHAnsi"/>
          <w:sz w:val="24"/>
          <w:szCs w:val="24"/>
          <w:lang w:val="en-US"/>
        </w:rPr>
        <w:t xml:space="preserve">genotypes A to H of </w:t>
      </w:r>
      <w:r w:rsidR="00332BEA" w:rsidRPr="00C11F21">
        <w:rPr>
          <w:rFonts w:ascii="Book Antiqua" w:hAnsi="Book Antiqua" w:cstheme="minorHAnsi"/>
          <w:sz w:val="24"/>
          <w:szCs w:val="24"/>
          <w:lang w:val="en-US"/>
        </w:rPr>
        <w:t>both domains</w:t>
      </w:r>
      <w:r w:rsidR="00586C6A" w:rsidRPr="00C11F21">
        <w:rPr>
          <w:rFonts w:ascii="Book Antiqua" w:hAnsi="Book Antiqua" w:cstheme="minorHAnsi"/>
          <w:sz w:val="24"/>
          <w:szCs w:val="24"/>
          <w:lang w:val="en-US"/>
        </w:rPr>
        <w:t>,</w:t>
      </w:r>
      <w:r w:rsidR="00332BEA" w:rsidRPr="00C11F21">
        <w:rPr>
          <w:rFonts w:ascii="Book Antiqua" w:hAnsi="Book Antiqua" w:cstheme="minorHAnsi"/>
          <w:sz w:val="24"/>
          <w:szCs w:val="24"/>
          <w:lang w:val="en-US"/>
        </w:rPr>
        <w:t xml:space="preserve"> obtained from the 86 full-length HBV genome sequences from GenBank, </w:t>
      </w:r>
      <w:r w:rsidR="00064245" w:rsidRPr="00C11F21">
        <w:rPr>
          <w:rFonts w:ascii="Book Antiqua" w:hAnsi="Book Antiqua" w:cstheme="minorHAnsi"/>
          <w:sz w:val="24"/>
          <w:szCs w:val="24"/>
          <w:lang w:val="en-US"/>
        </w:rPr>
        <w:t xml:space="preserve">the virion morphogenesis </w:t>
      </w:r>
      <w:r w:rsidR="00AC515D" w:rsidRPr="00C11F21">
        <w:rPr>
          <w:rFonts w:ascii="Book Antiqua" w:hAnsi="Book Antiqua" w:cstheme="minorHAnsi"/>
          <w:sz w:val="24"/>
          <w:szCs w:val="24"/>
          <w:lang w:val="en-US"/>
        </w:rPr>
        <w:t>domain</w:t>
      </w:r>
      <w:r w:rsidR="00064245" w:rsidRPr="00C11F21">
        <w:rPr>
          <w:rFonts w:ascii="Book Antiqua" w:hAnsi="Book Antiqua" w:cstheme="minorHAnsi"/>
          <w:sz w:val="24"/>
          <w:szCs w:val="24"/>
          <w:lang w:val="en-US"/>
        </w:rPr>
        <w:t xml:space="preserve"> </w:t>
      </w:r>
      <w:r w:rsidR="00332BEA" w:rsidRPr="00C11F21">
        <w:rPr>
          <w:rFonts w:ascii="Book Antiqua" w:hAnsi="Book Antiqua" w:cstheme="minorHAnsi"/>
          <w:sz w:val="24"/>
          <w:szCs w:val="24"/>
          <w:lang w:val="en-US"/>
        </w:rPr>
        <w:t>ha</w:t>
      </w:r>
      <w:r w:rsidR="00C51675" w:rsidRPr="00C11F21">
        <w:rPr>
          <w:rFonts w:ascii="Book Antiqua" w:hAnsi="Book Antiqua" w:cstheme="minorHAnsi"/>
          <w:sz w:val="24"/>
          <w:szCs w:val="24"/>
          <w:lang w:val="en-US"/>
        </w:rPr>
        <w:t>d</w:t>
      </w:r>
      <w:r w:rsidR="00064245" w:rsidRPr="00C11F21">
        <w:rPr>
          <w:rFonts w:ascii="Book Antiqua" w:hAnsi="Book Antiqua" w:cstheme="minorHAnsi"/>
          <w:sz w:val="24"/>
          <w:szCs w:val="24"/>
          <w:lang w:val="en-US"/>
        </w:rPr>
        <w:t xml:space="preserve"> a lower percentage of aa positions with genotype-associated changes (vir</w:t>
      </w:r>
      <w:r w:rsidR="00DC4529" w:rsidRPr="00C11F21">
        <w:rPr>
          <w:rFonts w:ascii="Book Antiqua" w:hAnsi="Book Antiqua" w:cstheme="minorHAnsi"/>
          <w:sz w:val="24"/>
          <w:szCs w:val="24"/>
          <w:lang w:val="en-US"/>
        </w:rPr>
        <w:t>al polymorphisms) than the NTCP-</w:t>
      </w:r>
      <w:r w:rsidR="00064245" w:rsidRPr="00C11F21">
        <w:rPr>
          <w:rFonts w:ascii="Book Antiqua" w:hAnsi="Book Antiqua" w:cstheme="minorHAnsi"/>
          <w:sz w:val="24"/>
          <w:szCs w:val="24"/>
          <w:lang w:val="en-US"/>
        </w:rPr>
        <w:t xml:space="preserve">interacting domain (6 of 22, 27.3% </w:t>
      </w:r>
      <w:r w:rsidR="00064245" w:rsidRPr="00C11F21">
        <w:rPr>
          <w:rFonts w:ascii="Book Antiqua" w:hAnsi="Book Antiqua" w:cstheme="minorHAnsi"/>
          <w:i/>
          <w:sz w:val="24"/>
          <w:szCs w:val="24"/>
          <w:lang w:val="en-US"/>
        </w:rPr>
        <w:t>vs</w:t>
      </w:r>
      <w:r w:rsidR="004F4E6E" w:rsidRPr="00C11F21">
        <w:rPr>
          <w:rFonts w:ascii="Book Antiqua" w:hAnsi="Book Antiqua" w:cstheme="minorHAnsi" w:hint="eastAsia"/>
          <w:sz w:val="24"/>
          <w:szCs w:val="24"/>
          <w:lang w:val="en-US" w:eastAsia="zh-CN"/>
        </w:rPr>
        <w:t xml:space="preserve"> </w:t>
      </w:r>
      <w:r w:rsidR="00064245" w:rsidRPr="00C11F21">
        <w:rPr>
          <w:rFonts w:ascii="Book Antiqua" w:hAnsi="Book Antiqua" w:cstheme="minorHAnsi"/>
          <w:sz w:val="24"/>
          <w:szCs w:val="24"/>
          <w:lang w:val="en-US"/>
        </w:rPr>
        <w:t>16 of 47, 34%, respectively) (Figure 2</w:t>
      </w:r>
      <w:r w:rsidR="00332BEA" w:rsidRPr="00C11F21">
        <w:rPr>
          <w:rFonts w:ascii="Book Antiqua" w:hAnsi="Book Antiqua" w:cstheme="minorHAnsi"/>
          <w:sz w:val="24"/>
          <w:szCs w:val="24"/>
          <w:lang w:val="en-US"/>
        </w:rPr>
        <w:t>A</w:t>
      </w:r>
      <w:r w:rsidR="00064245" w:rsidRPr="00C11F21">
        <w:rPr>
          <w:rFonts w:ascii="Book Antiqua" w:hAnsi="Book Antiqua" w:cstheme="minorHAnsi"/>
          <w:sz w:val="24"/>
          <w:szCs w:val="24"/>
          <w:lang w:val="en-US"/>
        </w:rPr>
        <w:t xml:space="preserve">). </w:t>
      </w:r>
      <w:r w:rsidR="00F635BF" w:rsidRPr="00C11F21">
        <w:rPr>
          <w:rFonts w:ascii="Book Antiqua" w:hAnsi="Book Antiqua" w:cstheme="minorHAnsi"/>
          <w:sz w:val="24"/>
          <w:szCs w:val="24"/>
          <w:lang w:val="en-US"/>
        </w:rPr>
        <w:t xml:space="preserve">On analysis </w:t>
      </w:r>
      <w:r w:rsidR="00A76D90" w:rsidRPr="00C11F21">
        <w:rPr>
          <w:rFonts w:ascii="Book Antiqua" w:hAnsi="Book Antiqua" w:cstheme="minorHAnsi"/>
          <w:sz w:val="24"/>
          <w:szCs w:val="24"/>
          <w:lang w:val="en-US"/>
        </w:rPr>
        <w:t xml:space="preserve">of </w:t>
      </w:r>
      <w:r w:rsidR="00EB44CB" w:rsidRPr="00C11F21">
        <w:rPr>
          <w:rFonts w:ascii="Book Antiqua" w:hAnsi="Book Antiqua" w:cstheme="minorHAnsi"/>
          <w:sz w:val="24"/>
          <w:szCs w:val="24"/>
          <w:lang w:val="en-US"/>
        </w:rPr>
        <w:t xml:space="preserve">conservation </w:t>
      </w:r>
      <w:r w:rsidR="00F635BF" w:rsidRPr="00C11F21">
        <w:rPr>
          <w:rFonts w:ascii="Book Antiqua" w:hAnsi="Book Antiqua" w:cstheme="minorHAnsi"/>
          <w:sz w:val="24"/>
          <w:szCs w:val="24"/>
          <w:lang w:val="en-US"/>
        </w:rPr>
        <w:t>throughout</w:t>
      </w:r>
      <w:r w:rsidR="00EB44CB" w:rsidRPr="00C11F21">
        <w:rPr>
          <w:rFonts w:ascii="Book Antiqua" w:hAnsi="Book Antiqua" w:cstheme="minorHAnsi"/>
          <w:sz w:val="24"/>
          <w:szCs w:val="24"/>
          <w:lang w:val="en-US"/>
        </w:rPr>
        <w:t xml:space="preserve"> </w:t>
      </w:r>
      <w:r w:rsidR="00C51675" w:rsidRPr="00C11F21">
        <w:rPr>
          <w:rFonts w:ascii="Book Antiqua" w:hAnsi="Book Antiqua" w:cstheme="minorHAnsi"/>
          <w:sz w:val="24"/>
          <w:szCs w:val="24"/>
          <w:lang w:val="en-US"/>
        </w:rPr>
        <w:t xml:space="preserve">the </w:t>
      </w:r>
      <w:r w:rsidR="00DC4529" w:rsidRPr="00C11F21">
        <w:rPr>
          <w:rFonts w:ascii="Book Antiqua" w:hAnsi="Book Antiqua" w:cstheme="minorHAnsi"/>
          <w:sz w:val="24"/>
          <w:szCs w:val="24"/>
          <w:lang w:val="en-US"/>
        </w:rPr>
        <w:t>NTCP-</w:t>
      </w:r>
      <w:r w:rsidR="00064245" w:rsidRPr="00C11F21">
        <w:rPr>
          <w:rFonts w:ascii="Book Antiqua" w:hAnsi="Book Antiqua" w:cstheme="minorHAnsi"/>
          <w:sz w:val="24"/>
          <w:szCs w:val="24"/>
          <w:lang w:val="en-US"/>
        </w:rPr>
        <w:t>interacting domain</w:t>
      </w:r>
      <w:r w:rsidR="00C51675" w:rsidRPr="00C11F21">
        <w:rPr>
          <w:rFonts w:ascii="Book Antiqua" w:hAnsi="Book Antiqua" w:cstheme="minorHAnsi"/>
          <w:sz w:val="24"/>
          <w:szCs w:val="24"/>
          <w:lang w:val="en-US"/>
        </w:rPr>
        <w:t>,</w:t>
      </w:r>
      <w:r w:rsidR="00064245" w:rsidRPr="00C11F21">
        <w:rPr>
          <w:rFonts w:ascii="Book Antiqua" w:hAnsi="Book Antiqua" w:cstheme="minorHAnsi"/>
          <w:sz w:val="24"/>
          <w:szCs w:val="24"/>
          <w:lang w:val="en-US"/>
        </w:rPr>
        <w:t xml:space="preserve"> we observed a high degree of conservation between aa positions 2 to 21 (</w:t>
      </w:r>
      <w:r w:rsidR="000443ED" w:rsidRPr="00C11F21">
        <w:rPr>
          <w:rFonts w:ascii="Book Antiqua" w:hAnsi="Book Antiqua" w:cstheme="minorHAnsi"/>
          <w:sz w:val="24"/>
          <w:szCs w:val="24"/>
          <w:lang w:val="en-US"/>
        </w:rPr>
        <w:t xml:space="preserve">viral </w:t>
      </w:r>
      <w:r w:rsidR="00064245" w:rsidRPr="00C11F21">
        <w:rPr>
          <w:rFonts w:ascii="Book Antiqua" w:hAnsi="Book Antiqua" w:cstheme="minorHAnsi"/>
          <w:sz w:val="24"/>
          <w:szCs w:val="24"/>
          <w:lang w:val="en-US"/>
        </w:rPr>
        <w:t xml:space="preserve">genotype D numeration), in which no aa changes in proportions greater than 1% were found, except </w:t>
      </w:r>
      <w:r w:rsidR="006B18F0" w:rsidRPr="00C11F21">
        <w:rPr>
          <w:rFonts w:ascii="Book Antiqua" w:hAnsi="Book Antiqua" w:cstheme="minorHAnsi"/>
          <w:sz w:val="24"/>
          <w:szCs w:val="24"/>
          <w:lang w:val="en-US"/>
        </w:rPr>
        <w:t>in</w:t>
      </w:r>
      <w:r w:rsidR="00064245" w:rsidRPr="00C11F21">
        <w:rPr>
          <w:rFonts w:ascii="Book Antiqua" w:hAnsi="Book Antiqua" w:cstheme="minorHAnsi"/>
          <w:sz w:val="24"/>
          <w:szCs w:val="24"/>
          <w:lang w:val="en-US"/>
        </w:rPr>
        <w:t xml:space="preserve"> </w:t>
      </w:r>
      <w:r w:rsidR="007D5D0F" w:rsidRPr="00C11F21">
        <w:rPr>
          <w:rFonts w:ascii="Book Antiqua" w:hAnsi="Book Antiqua" w:cstheme="minorHAnsi"/>
          <w:sz w:val="24"/>
          <w:szCs w:val="24"/>
          <w:lang w:val="en-US"/>
        </w:rPr>
        <w:t xml:space="preserve">one genotype E patient who </w:t>
      </w:r>
      <w:r w:rsidR="007D5D0F" w:rsidRPr="00C11F21">
        <w:rPr>
          <w:rFonts w:ascii="Book Antiqua" w:hAnsi="Book Antiqua" w:cstheme="minorHAnsi"/>
          <w:sz w:val="24"/>
          <w:szCs w:val="24"/>
          <w:lang w:val="en-US"/>
        </w:rPr>
        <w:lastRenderedPageBreak/>
        <w:t xml:space="preserve">showed </w:t>
      </w:r>
      <w:r w:rsidR="00A42874" w:rsidRPr="00C11F21">
        <w:rPr>
          <w:rFonts w:ascii="Book Antiqua" w:hAnsi="Book Antiqua" w:cstheme="minorHAnsi"/>
          <w:sz w:val="24"/>
          <w:szCs w:val="24"/>
          <w:lang w:val="en-US"/>
        </w:rPr>
        <w:t xml:space="preserve">the H5Q </w:t>
      </w:r>
      <w:r w:rsidR="00F71D94" w:rsidRPr="00C11F21">
        <w:rPr>
          <w:rFonts w:ascii="Book Antiqua" w:hAnsi="Book Antiqua" w:cstheme="minorHAnsi"/>
          <w:sz w:val="24"/>
          <w:szCs w:val="24"/>
          <w:lang w:val="en-US"/>
        </w:rPr>
        <w:t xml:space="preserve">variant in </w:t>
      </w:r>
      <w:r w:rsidR="007D5D0F" w:rsidRPr="00C11F21">
        <w:rPr>
          <w:rFonts w:ascii="Book Antiqua" w:hAnsi="Book Antiqua" w:cstheme="minorHAnsi"/>
          <w:sz w:val="24"/>
          <w:szCs w:val="24"/>
          <w:lang w:val="en-US"/>
        </w:rPr>
        <w:t xml:space="preserve">11.8% </w:t>
      </w:r>
      <w:r w:rsidR="00F71D94" w:rsidRPr="00C11F21">
        <w:rPr>
          <w:rFonts w:ascii="Book Antiqua" w:hAnsi="Book Antiqua" w:cstheme="minorHAnsi"/>
          <w:sz w:val="24"/>
          <w:szCs w:val="24"/>
          <w:lang w:val="en-US"/>
        </w:rPr>
        <w:t xml:space="preserve">of haplotypes </w:t>
      </w:r>
      <w:r w:rsidR="007D5D0F" w:rsidRPr="00C11F21">
        <w:rPr>
          <w:rFonts w:ascii="Book Antiqua" w:hAnsi="Book Antiqua" w:cstheme="minorHAnsi"/>
          <w:sz w:val="24"/>
          <w:szCs w:val="24"/>
          <w:lang w:val="en-US"/>
        </w:rPr>
        <w:t>(</w:t>
      </w:r>
      <w:r w:rsidR="00F71D94" w:rsidRPr="00C11F21">
        <w:rPr>
          <w:rFonts w:ascii="Book Antiqua" w:hAnsi="Book Antiqua" w:cstheme="minorHAnsi"/>
          <w:sz w:val="24"/>
          <w:szCs w:val="24"/>
          <w:lang w:val="en-US"/>
        </w:rPr>
        <w:t xml:space="preserve">representing </w:t>
      </w:r>
      <w:r w:rsidR="007D5D0F" w:rsidRPr="00C11F21">
        <w:rPr>
          <w:rFonts w:ascii="Book Antiqua" w:hAnsi="Book Antiqua" w:cstheme="minorHAnsi"/>
          <w:sz w:val="24"/>
          <w:szCs w:val="24"/>
          <w:lang w:val="en-US"/>
        </w:rPr>
        <w:t xml:space="preserve">5.9% </w:t>
      </w:r>
      <w:r w:rsidR="00A42874" w:rsidRPr="00C11F21">
        <w:rPr>
          <w:rFonts w:ascii="Book Antiqua" w:hAnsi="Book Antiqua" w:cstheme="minorHAnsi"/>
          <w:sz w:val="24"/>
          <w:szCs w:val="24"/>
          <w:lang w:val="en-US"/>
        </w:rPr>
        <w:t xml:space="preserve">of </w:t>
      </w:r>
      <w:r w:rsidR="00F635BF" w:rsidRPr="00C11F21">
        <w:rPr>
          <w:rFonts w:ascii="Book Antiqua" w:hAnsi="Book Antiqua" w:cstheme="minorHAnsi"/>
          <w:sz w:val="24"/>
          <w:szCs w:val="24"/>
          <w:lang w:val="en-US"/>
        </w:rPr>
        <w:t>all</w:t>
      </w:r>
      <w:r w:rsidR="00F71D94" w:rsidRPr="00C11F21">
        <w:rPr>
          <w:rFonts w:ascii="Book Antiqua" w:hAnsi="Book Antiqua" w:cstheme="minorHAnsi"/>
          <w:sz w:val="24"/>
          <w:szCs w:val="24"/>
          <w:lang w:val="en-US"/>
        </w:rPr>
        <w:t xml:space="preserve"> </w:t>
      </w:r>
      <w:r w:rsidR="007D5D0F" w:rsidRPr="00C11F21">
        <w:rPr>
          <w:rFonts w:ascii="Book Antiqua" w:hAnsi="Book Antiqua" w:cstheme="minorHAnsi"/>
          <w:sz w:val="24"/>
          <w:szCs w:val="24"/>
          <w:lang w:val="en-US"/>
        </w:rPr>
        <w:t xml:space="preserve">genotype E </w:t>
      </w:r>
      <w:r w:rsidR="00A42874" w:rsidRPr="00C11F21">
        <w:rPr>
          <w:rFonts w:ascii="Book Antiqua" w:hAnsi="Book Antiqua" w:cstheme="minorHAnsi"/>
          <w:sz w:val="24"/>
          <w:szCs w:val="24"/>
          <w:lang w:val="en-US"/>
        </w:rPr>
        <w:t>haplotypes</w:t>
      </w:r>
      <w:r w:rsidR="005F70E1" w:rsidRPr="00C11F21">
        <w:rPr>
          <w:rFonts w:ascii="Book Antiqua" w:hAnsi="Book Antiqua" w:cstheme="minorHAnsi"/>
          <w:sz w:val="24"/>
          <w:szCs w:val="24"/>
          <w:lang w:val="en-US"/>
        </w:rPr>
        <w:t xml:space="preserve"> obtained</w:t>
      </w:r>
      <w:r w:rsidR="007D5D0F" w:rsidRPr="00C11F21">
        <w:rPr>
          <w:rFonts w:ascii="Book Antiqua" w:hAnsi="Book Antiqua" w:cstheme="minorHAnsi"/>
          <w:sz w:val="24"/>
          <w:szCs w:val="24"/>
          <w:lang w:val="en-US"/>
        </w:rPr>
        <w:t>)</w:t>
      </w:r>
      <w:r w:rsidR="00A42874" w:rsidRPr="00C11F21">
        <w:rPr>
          <w:rFonts w:ascii="Book Antiqua" w:hAnsi="Book Antiqua" w:cstheme="minorHAnsi"/>
          <w:sz w:val="24"/>
          <w:szCs w:val="24"/>
          <w:lang w:val="en-US"/>
        </w:rPr>
        <w:t xml:space="preserve"> (Supplementary </w:t>
      </w:r>
      <w:r w:rsidR="00C51675" w:rsidRPr="00C11F21">
        <w:rPr>
          <w:rFonts w:ascii="Book Antiqua" w:hAnsi="Book Antiqua" w:cstheme="minorHAnsi"/>
          <w:sz w:val="24"/>
          <w:szCs w:val="24"/>
          <w:lang w:val="en-US"/>
        </w:rPr>
        <w:t>T</w:t>
      </w:r>
      <w:r w:rsidR="00A42874" w:rsidRPr="00C11F21">
        <w:rPr>
          <w:rFonts w:ascii="Book Antiqua" w:hAnsi="Book Antiqua" w:cstheme="minorHAnsi"/>
          <w:sz w:val="24"/>
          <w:szCs w:val="24"/>
          <w:lang w:val="en-US"/>
        </w:rPr>
        <w:t xml:space="preserve">able 2). </w:t>
      </w:r>
      <w:r w:rsidR="00761FB4" w:rsidRPr="00C11F21">
        <w:rPr>
          <w:rFonts w:ascii="Book Antiqua" w:hAnsi="Book Antiqua" w:cstheme="minorHAnsi"/>
          <w:sz w:val="24"/>
          <w:szCs w:val="24"/>
          <w:lang w:val="en-US"/>
        </w:rPr>
        <w:t>C</w:t>
      </w:r>
      <w:r w:rsidR="00064245" w:rsidRPr="00C11F21">
        <w:rPr>
          <w:rFonts w:ascii="Book Antiqua" w:hAnsi="Book Antiqua" w:cstheme="minorHAnsi"/>
          <w:sz w:val="24"/>
          <w:szCs w:val="24"/>
          <w:lang w:val="en-US"/>
        </w:rPr>
        <w:t>onservation was especially relevant between aa 9 and 21</w:t>
      </w:r>
      <w:r w:rsidR="00A42874" w:rsidRPr="00C11F21">
        <w:rPr>
          <w:rFonts w:ascii="Book Antiqua" w:hAnsi="Book Antiqua" w:cstheme="minorHAnsi"/>
          <w:sz w:val="24"/>
          <w:szCs w:val="24"/>
          <w:lang w:val="en-US"/>
        </w:rPr>
        <w:t>:</w:t>
      </w:r>
      <w:r w:rsidR="00064245" w:rsidRPr="00C11F21">
        <w:rPr>
          <w:rFonts w:ascii="Book Antiqua" w:hAnsi="Book Antiqua" w:cstheme="minorHAnsi"/>
          <w:sz w:val="24"/>
          <w:szCs w:val="24"/>
          <w:lang w:val="en-US"/>
        </w:rPr>
        <w:t xml:space="preserve"> very few changes were seen within each </w:t>
      </w:r>
      <w:r w:rsidR="000443ED" w:rsidRPr="00C11F21">
        <w:rPr>
          <w:rFonts w:ascii="Book Antiqua" w:hAnsi="Book Antiqua" w:cstheme="minorHAnsi"/>
          <w:sz w:val="24"/>
          <w:szCs w:val="24"/>
          <w:lang w:val="en-US"/>
        </w:rPr>
        <w:t xml:space="preserve">HBV </w:t>
      </w:r>
      <w:r w:rsidR="00064245" w:rsidRPr="00C11F21">
        <w:rPr>
          <w:rFonts w:ascii="Book Antiqua" w:hAnsi="Book Antiqua" w:cstheme="minorHAnsi"/>
          <w:sz w:val="24"/>
          <w:szCs w:val="24"/>
          <w:lang w:val="en-US"/>
        </w:rPr>
        <w:t>genotype (none at &gt;</w:t>
      </w:r>
      <w:r w:rsidR="004F4E6E" w:rsidRPr="00C11F21">
        <w:rPr>
          <w:rFonts w:ascii="Book Antiqua" w:hAnsi="Book Antiqua" w:cstheme="minorHAnsi" w:hint="eastAsia"/>
          <w:sz w:val="24"/>
          <w:szCs w:val="24"/>
          <w:lang w:val="en-US" w:eastAsia="zh-CN"/>
        </w:rPr>
        <w:t xml:space="preserve"> </w:t>
      </w:r>
      <w:r w:rsidR="00064245" w:rsidRPr="00C11F21">
        <w:rPr>
          <w:rFonts w:ascii="Book Antiqua" w:hAnsi="Book Antiqua" w:cstheme="minorHAnsi"/>
          <w:sz w:val="24"/>
          <w:szCs w:val="24"/>
          <w:lang w:val="en-US"/>
        </w:rPr>
        <w:t>1%) and wild-type aa were the same in the different genotypes (Figures</w:t>
      </w:r>
      <w:r w:rsidR="004F4E6E" w:rsidRPr="00C11F21">
        <w:rPr>
          <w:rFonts w:ascii="Book Antiqua" w:hAnsi="Book Antiqua" w:cstheme="minorHAnsi" w:hint="eastAsia"/>
          <w:sz w:val="24"/>
          <w:szCs w:val="24"/>
          <w:lang w:val="en-US" w:eastAsia="zh-CN"/>
        </w:rPr>
        <w:t xml:space="preserve">  </w:t>
      </w:r>
      <w:r w:rsidR="00477454" w:rsidRPr="00C11F21">
        <w:rPr>
          <w:rFonts w:ascii="Book Antiqua" w:hAnsi="Book Antiqua" w:cstheme="minorHAnsi"/>
          <w:sz w:val="24"/>
          <w:szCs w:val="24"/>
          <w:lang w:val="en-US"/>
        </w:rPr>
        <w:t>2</w:t>
      </w:r>
      <w:r w:rsidR="00064245" w:rsidRPr="00C11F21">
        <w:rPr>
          <w:rFonts w:ascii="Book Antiqua" w:hAnsi="Book Antiqua" w:cstheme="minorHAnsi"/>
          <w:sz w:val="24"/>
          <w:szCs w:val="24"/>
          <w:lang w:val="en-US"/>
        </w:rPr>
        <w:t xml:space="preserve"> and </w:t>
      </w:r>
      <w:r w:rsidR="00477454" w:rsidRPr="00C11F21">
        <w:rPr>
          <w:rFonts w:ascii="Book Antiqua" w:hAnsi="Book Antiqua" w:cstheme="minorHAnsi"/>
          <w:sz w:val="24"/>
          <w:szCs w:val="24"/>
          <w:lang w:val="en-US"/>
        </w:rPr>
        <w:t>3</w:t>
      </w:r>
      <w:r w:rsidR="00064245" w:rsidRPr="00C11F21">
        <w:rPr>
          <w:rFonts w:ascii="Book Antiqua" w:hAnsi="Book Antiqua" w:cstheme="minorHAnsi"/>
          <w:sz w:val="24"/>
          <w:szCs w:val="24"/>
          <w:lang w:val="en-US"/>
        </w:rPr>
        <w:t>).</w:t>
      </w:r>
    </w:p>
    <w:p w14:paraId="5F6D62DE" w14:textId="6B36DDCD" w:rsidR="006E31DB" w:rsidRPr="00C11F21" w:rsidRDefault="00246816" w:rsidP="004F4E6E">
      <w:pPr>
        <w:snapToGrid w:val="0"/>
        <w:spacing w:after="0" w:line="360" w:lineRule="auto"/>
        <w:ind w:firstLineChars="100" w:firstLine="240"/>
        <w:jc w:val="both"/>
        <w:rPr>
          <w:rFonts w:ascii="Book Antiqua" w:hAnsi="Book Antiqua" w:cstheme="minorHAnsi"/>
          <w:sz w:val="24"/>
          <w:szCs w:val="24"/>
          <w:lang w:val="en-US"/>
        </w:rPr>
      </w:pPr>
      <w:r w:rsidRPr="00C11F21">
        <w:rPr>
          <w:rFonts w:ascii="Book Antiqua" w:hAnsi="Book Antiqua" w:cstheme="minorHAnsi"/>
          <w:sz w:val="24"/>
          <w:szCs w:val="24"/>
          <w:lang w:val="en-US"/>
        </w:rPr>
        <w:t>According to t</w:t>
      </w:r>
      <w:r w:rsidR="005C659B" w:rsidRPr="00C11F21">
        <w:rPr>
          <w:rFonts w:ascii="Book Antiqua" w:hAnsi="Book Antiqua" w:cstheme="minorHAnsi"/>
          <w:sz w:val="24"/>
          <w:szCs w:val="24"/>
          <w:lang w:val="en-US"/>
        </w:rPr>
        <w:t>he sequence logos layout</w:t>
      </w:r>
      <w:r w:rsidR="00C51675" w:rsidRPr="00C11F21">
        <w:rPr>
          <w:rFonts w:ascii="Book Antiqua" w:hAnsi="Book Antiqua" w:cstheme="minorHAnsi"/>
          <w:sz w:val="24"/>
          <w:szCs w:val="24"/>
          <w:lang w:val="en-US"/>
        </w:rPr>
        <w:t>, w</w:t>
      </w:r>
      <w:r w:rsidR="008E2879" w:rsidRPr="00C11F21">
        <w:rPr>
          <w:rFonts w:ascii="Book Antiqua" w:hAnsi="Book Antiqua" w:cstheme="minorHAnsi"/>
          <w:sz w:val="24"/>
          <w:szCs w:val="24"/>
          <w:lang w:val="en-US"/>
        </w:rPr>
        <w:t xml:space="preserve">hich shows </w:t>
      </w:r>
      <w:r w:rsidR="005C659B" w:rsidRPr="00C11F21">
        <w:rPr>
          <w:rFonts w:ascii="Book Antiqua" w:hAnsi="Book Antiqua" w:cstheme="minorHAnsi"/>
          <w:sz w:val="24"/>
          <w:szCs w:val="24"/>
          <w:lang w:val="en-US"/>
        </w:rPr>
        <w:t>the IC analysis for each aa position</w:t>
      </w:r>
      <w:r w:rsidR="002563A2" w:rsidRPr="00C11F21">
        <w:rPr>
          <w:rFonts w:ascii="Book Antiqua" w:hAnsi="Book Antiqua" w:cstheme="minorHAnsi"/>
          <w:sz w:val="24"/>
          <w:szCs w:val="24"/>
          <w:lang w:val="en-US"/>
        </w:rPr>
        <w:t>,</w:t>
      </w:r>
      <w:r w:rsidR="005C659B" w:rsidRPr="00C11F21">
        <w:rPr>
          <w:rFonts w:ascii="Book Antiqua" w:hAnsi="Book Antiqua" w:cstheme="minorHAnsi"/>
          <w:sz w:val="24"/>
          <w:szCs w:val="24"/>
          <w:lang w:val="en-US"/>
        </w:rPr>
        <w:t xml:space="preserve"> </w:t>
      </w:r>
      <w:r w:rsidR="00914AF4" w:rsidRPr="00C11F21">
        <w:rPr>
          <w:rFonts w:ascii="Book Antiqua" w:hAnsi="Book Antiqua" w:cstheme="minorHAnsi"/>
          <w:sz w:val="24"/>
          <w:szCs w:val="24"/>
          <w:lang w:val="en-US"/>
        </w:rPr>
        <w:t xml:space="preserve">HBV </w:t>
      </w:r>
      <w:r w:rsidRPr="00C11F21">
        <w:rPr>
          <w:rFonts w:ascii="Book Antiqua" w:hAnsi="Book Antiqua" w:cstheme="minorHAnsi"/>
          <w:sz w:val="24"/>
          <w:szCs w:val="24"/>
          <w:lang w:val="en-US"/>
        </w:rPr>
        <w:t>g</w:t>
      </w:r>
      <w:r w:rsidR="005C659B" w:rsidRPr="00C11F21">
        <w:rPr>
          <w:rFonts w:ascii="Book Antiqua" w:hAnsi="Book Antiqua" w:cstheme="minorHAnsi"/>
          <w:sz w:val="24"/>
          <w:szCs w:val="24"/>
          <w:lang w:val="en-US"/>
        </w:rPr>
        <w:t>enotype C displayed the highest level of cons</w:t>
      </w:r>
      <w:r w:rsidR="00DC4529" w:rsidRPr="00C11F21">
        <w:rPr>
          <w:rFonts w:ascii="Book Antiqua" w:hAnsi="Book Antiqua" w:cstheme="minorHAnsi"/>
          <w:sz w:val="24"/>
          <w:szCs w:val="24"/>
          <w:lang w:val="en-US"/>
        </w:rPr>
        <w:t>ervation: unaltered in the NTCP-</w:t>
      </w:r>
      <w:r w:rsidR="005C659B" w:rsidRPr="00C11F21">
        <w:rPr>
          <w:rFonts w:ascii="Book Antiqua" w:hAnsi="Book Antiqua" w:cstheme="minorHAnsi"/>
          <w:sz w:val="24"/>
          <w:szCs w:val="24"/>
          <w:lang w:val="en-US"/>
        </w:rPr>
        <w:t xml:space="preserve">interacting </w:t>
      </w:r>
      <w:r w:rsidR="00033CE6" w:rsidRPr="00C11F21">
        <w:rPr>
          <w:rFonts w:ascii="Book Antiqua" w:hAnsi="Book Antiqua" w:cstheme="minorHAnsi"/>
          <w:sz w:val="24"/>
          <w:szCs w:val="24"/>
          <w:lang w:val="en-US"/>
        </w:rPr>
        <w:t xml:space="preserve">domain </w:t>
      </w:r>
      <w:r w:rsidR="005C659B" w:rsidRPr="00C11F21">
        <w:rPr>
          <w:rFonts w:ascii="Book Antiqua" w:hAnsi="Book Antiqua" w:cstheme="minorHAnsi"/>
          <w:sz w:val="24"/>
          <w:szCs w:val="24"/>
          <w:lang w:val="en-US"/>
        </w:rPr>
        <w:t xml:space="preserve">and only 1 aa change at position 124 in </w:t>
      </w:r>
      <w:r w:rsidR="00D61DEB" w:rsidRPr="00C11F21">
        <w:rPr>
          <w:rFonts w:ascii="Book Antiqua" w:hAnsi="Book Antiqua" w:cstheme="minorHAnsi"/>
          <w:sz w:val="24"/>
          <w:szCs w:val="24"/>
          <w:lang w:val="en-US"/>
        </w:rPr>
        <w:t>the vir</w:t>
      </w:r>
      <w:r w:rsidR="004F557A" w:rsidRPr="00C11F21">
        <w:rPr>
          <w:rFonts w:ascii="Book Antiqua" w:hAnsi="Book Antiqua" w:cstheme="minorHAnsi"/>
          <w:sz w:val="24"/>
          <w:szCs w:val="24"/>
          <w:lang w:val="en-US"/>
        </w:rPr>
        <w:t>ion</w:t>
      </w:r>
      <w:r w:rsidR="00D61DEB" w:rsidRPr="00C11F21">
        <w:rPr>
          <w:rFonts w:ascii="Book Antiqua" w:hAnsi="Book Antiqua" w:cstheme="minorHAnsi"/>
          <w:sz w:val="24"/>
          <w:szCs w:val="24"/>
          <w:lang w:val="en-US"/>
        </w:rPr>
        <w:t xml:space="preserve"> morphogenesis </w:t>
      </w:r>
      <w:r w:rsidR="006D328D" w:rsidRPr="00C11F21">
        <w:rPr>
          <w:rFonts w:ascii="Book Antiqua" w:hAnsi="Book Antiqua" w:cstheme="minorHAnsi"/>
          <w:sz w:val="24"/>
          <w:szCs w:val="24"/>
          <w:lang w:val="en-US"/>
        </w:rPr>
        <w:t>domain</w:t>
      </w:r>
      <w:r w:rsidR="005C659B" w:rsidRPr="00C11F21">
        <w:rPr>
          <w:rFonts w:ascii="Book Antiqua" w:hAnsi="Book Antiqua" w:cstheme="minorHAnsi"/>
          <w:sz w:val="24"/>
          <w:szCs w:val="24"/>
          <w:lang w:val="en-US"/>
        </w:rPr>
        <w:t xml:space="preserve"> (112 according to </w:t>
      </w:r>
      <w:r w:rsidR="00914AF4" w:rsidRPr="00C11F21">
        <w:rPr>
          <w:rFonts w:ascii="Book Antiqua" w:hAnsi="Book Antiqua" w:cstheme="minorHAnsi"/>
          <w:sz w:val="24"/>
          <w:szCs w:val="24"/>
          <w:lang w:val="en-US"/>
        </w:rPr>
        <w:t xml:space="preserve">viral </w:t>
      </w:r>
      <w:r w:rsidR="005C659B" w:rsidRPr="00C11F21">
        <w:rPr>
          <w:rFonts w:ascii="Book Antiqua" w:hAnsi="Book Antiqua" w:cstheme="minorHAnsi"/>
          <w:sz w:val="24"/>
          <w:szCs w:val="24"/>
          <w:lang w:val="en-US"/>
        </w:rPr>
        <w:t>genotype D numeration)</w:t>
      </w:r>
      <w:r w:rsidR="006D328D" w:rsidRPr="00C11F21">
        <w:rPr>
          <w:rFonts w:ascii="Book Antiqua" w:hAnsi="Book Antiqua" w:cstheme="minorHAnsi"/>
          <w:sz w:val="24"/>
          <w:szCs w:val="24"/>
          <w:lang w:val="en-US"/>
        </w:rPr>
        <w:t>,</w:t>
      </w:r>
      <w:r w:rsidR="005C659B" w:rsidRPr="00C11F21">
        <w:rPr>
          <w:rFonts w:ascii="Book Antiqua" w:hAnsi="Book Antiqua" w:cstheme="minorHAnsi"/>
          <w:sz w:val="24"/>
          <w:szCs w:val="24"/>
          <w:lang w:val="en-US"/>
        </w:rPr>
        <w:t xml:space="preserve"> in the 4 patients included. </w:t>
      </w:r>
      <w:r w:rsidR="00914AF4" w:rsidRPr="00C11F21">
        <w:rPr>
          <w:rFonts w:ascii="Book Antiqua" w:hAnsi="Book Antiqua" w:cstheme="minorHAnsi"/>
          <w:sz w:val="24"/>
          <w:szCs w:val="24"/>
          <w:lang w:val="en-US"/>
        </w:rPr>
        <w:t>HBV g</w:t>
      </w:r>
      <w:r w:rsidR="005C659B" w:rsidRPr="00C11F21">
        <w:rPr>
          <w:rFonts w:ascii="Book Antiqua" w:hAnsi="Book Antiqua" w:cstheme="minorHAnsi"/>
          <w:sz w:val="24"/>
          <w:szCs w:val="24"/>
          <w:lang w:val="en-US"/>
        </w:rPr>
        <w:t>enotype E showed the highest variability</w:t>
      </w:r>
      <w:r w:rsidR="00C51675" w:rsidRPr="00C11F21">
        <w:rPr>
          <w:rFonts w:ascii="Book Antiqua" w:hAnsi="Book Antiqua" w:cstheme="minorHAnsi"/>
          <w:sz w:val="24"/>
          <w:szCs w:val="24"/>
          <w:lang w:val="en-US"/>
        </w:rPr>
        <w:t>,</w:t>
      </w:r>
      <w:r w:rsidR="005C659B" w:rsidRPr="00C11F21">
        <w:rPr>
          <w:rFonts w:ascii="Book Antiqua" w:hAnsi="Book Antiqua" w:cstheme="minorHAnsi"/>
          <w:sz w:val="24"/>
          <w:szCs w:val="24"/>
          <w:lang w:val="en-US"/>
        </w:rPr>
        <w:t xml:space="preserve"> </w:t>
      </w:r>
      <w:r w:rsidR="00DA6222" w:rsidRPr="00C11F21">
        <w:rPr>
          <w:rFonts w:ascii="Book Antiqua" w:hAnsi="Book Antiqua" w:cstheme="minorHAnsi"/>
          <w:sz w:val="24"/>
          <w:szCs w:val="24"/>
          <w:lang w:val="en-US"/>
        </w:rPr>
        <w:t>a</w:t>
      </w:r>
      <w:r w:rsidR="008E2879" w:rsidRPr="00C11F21">
        <w:rPr>
          <w:rFonts w:ascii="Book Antiqua" w:hAnsi="Book Antiqua" w:cstheme="minorHAnsi"/>
          <w:sz w:val="24"/>
          <w:szCs w:val="24"/>
          <w:lang w:val="en-US"/>
        </w:rPr>
        <w:t>lthough</w:t>
      </w:r>
      <w:r w:rsidR="00F824E9" w:rsidRPr="00C11F21">
        <w:rPr>
          <w:rFonts w:ascii="Book Antiqua" w:hAnsi="Book Antiqua" w:cstheme="minorHAnsi"/>
          <w:sz w:val="24"/>
          <w:szCs w:val="24"/>
          <w:lang w:val="en-US"/>
        </w:rPr>
        <w:t xml:space="preserve"> it </w:t>
      </w:r>
      <w:r w:rsidR="00C51675" w:rsidRPr="00C11F21">
        <w:rPr>
          <w:rFonts w:ascii="Book Antiqua" w:hAnsi="Book Antiqua" w:cstheme="minorHAnsi"/>
          <w:sz w:val="24"/>
          <w:szCs w:val="24"/>
          <w:lang w:val="en-US"/>
        </w:rPr>
        <w:t>should be remembered</w:t>
      </w:r>
      <w:r w:rsidR="00F824E9" w:rsidRPr="00C11F21">
        <w:rPr>
          <w:rFonts w:ascii="Book Antiqua" w:hAnsi="Book Antiqua" w:cstheme="minorHAnsi"/>
          <w:sz w:val="24"/>
          <w:szCs w:val="24"/>
          <w:lang w:val="en-US"/>
        </w:rPr>
        <w:t xml:space="preserve"> that</w:t>
      </w:r>
      <w:r w:rsidR="00DA6222" w:rsidRPr="00C11F21">
        <w:rPr>
          <w:rFonts w:ascii="Book Antiqua" w:hAnsi="Book Antiqua" w:cstheme="minorHAnsi"/>
          <w:sz w:val="24"/>
          <w:szCs w:val="24"/>
          <w:lang w:val="en-US"/>
        </w:rPr>
        <w:t xml:space="preserve"> only 2 patients </w:t>
      </w:r>
      <w:r w:rsidR="00C51675" w:rsidRPr="00C11F21">
        <w:rPr>
          <w:rFonts w:ascii="Book Antiqua" w:hAnsi="Book Antiqua" w:cstheme="minorHAnsi"/>
          <w:sz w:val="24"/>
          <w:szCs w:val="24"/>
          <w:lang w:val="en-US"/>
        </w:rPr>
        <w:t>had</w:t>
      </w:r>
      <w:r w:rsidR="008E2879" w:rsidRPr="00C11F21">
        <w:rPr>
          <w:rFonts w:ascii="Book Antiqua" w:hAnsi="Book Antiqua" w:cstheme="minorHAnsi"/>
          <w:sz w:val="24"/>
          <w:szCs w:val="24"/>
          <w:lang w:val="en-US"/>
        </w:rPr>
        <w:t xml:space="preserve"> this</w:t>
      </w:r>
      <w:r w:rsidR="00DA6222" w:rsidRPr="00C11F21">
        <w:rPr>
          <w:rFonts w:ascii="Book Antiqua" w:hAnsi="Book Antiqua" w:cstheme="minorHAnsi"/>
          <w:sz w:val="24"/>
          <w:szCs w:val="24"/>
          <w:lang w:val="en-US"/>
        </w:rPr>
        <w:t xml:space="preserve"> genotype</w:t>
      </w:r>
      <w:r w:rsidR="005C659B" w:rsidRPr="00C11F21">
        <w:rPr>
          <w:rFonts w:ascii="Book Antiqua" w:hAnsi="Book Antiqua" w:cstheme="minorHAnsi"/>
          <w:sz w:val="24"/>
          <w:szCs w:val="24"/>
          <w:lang w:val="en-US"/>
        </w:rPr>
        <w:t xml:space="preserve"> (Supplementary Figure 1). </w:t>
      </w:r>
      <w:r w:rsidR="00914AF4" w:rsidRPr="00C11F21">
        <w:rPr>
          <w:rFonts w:ascii="Book Antiqua" w:hAnsi="Book Antiqua" w:cstheme="minorHAnsi"/>
          <w:sz w:val="24"/>
          <w:szCs w:val="24"/>
          <w:lang w:val="en-US"/>
        </w:rPr>
        <w:t>HBV g</w:t>
      </w:r>
      <w:r w:rsidR="005C659B" w:rsidRPr="00C11F21">
        <w:rPr>
          <w:rFonts w:ascii="Book Antiqua" w:hAnsi="Book Antiqua" w:cstheme="minorHAnsi"/>
          <w:sz w:val="24"/>
          <w:szCs w:val="24"/>
          <w:lang w:val="en-US"/>
        </w:rPr>
        <w:t>enotypes D and A (the most prevalent in our area</w:t>
      </w:r>
      <w:r w:rsidR="006E03D3" w:rsidRPr="00C11F21">
        <w:rPr>
          <w:rFonts w:ascii="Book Antiqua" w:hAnsi="Book Antiqua" w:cstheme="minorHAnsi"/>
          <w:sz w:val="24"/>
          <w:szCs w:val="24"/>
          <w:lang w:val="en-US"/>
        </w:rPr>
        <w:t>)</w:t>
      </w:r>
      <w:r w:rsidR="006326CD" w:rsidRPr="00C11F21">
        <w:rPr>
          <w:rFonts w:ascii="Book Antiqua" w:hAnsi="Book Antiqua" w:cstheme="minorHAnsi"/>
          <w:sz w:val="24"/>
          <w:szCs w:val="24"/>
          <w:lang w:val="en-US"/>
        </w:rPr>
        <w:fldChar w:fldCharType="begin" w:fldLock="1"/>
      </w:r>
      <w:r w:rsidR="0092490D" w:rsidRPr="00C11F21">
        <w:rPr>
          <w:rFonts w:ascii="Book Antiqua" w:hAnsi="Book Antiqua" w:cstheme="minorHAnsi"/>
          <w:sz w:val="24"/>
          <w:szCs w:val="24"/>
          <w:lang w:val="en-US"/>
        </w:rPr>
        <w:instrText>ADDIN CSL_CITATION { "citationItems" : [ { "id" : "ITEM-1", "itemData" : { "DOI" : "10.1053/gast.2002.37041", "ISSN" : "0016-5085", "PMID" : "12454842", "abstract" : "BACKGROUND &amp; AIMS: The aim of this study was to investigate if the variable outcome of chronic hepatitis B may be related to hepatitis B virus (HBV) genotype.\n\nMETHODS: The clinical and virologic events observed over prolonged follow-up in 258 Spanish patients with chronic hepatitis B infected with different genotypes of HBV were compared.\n\nRESULTS: The prevalence of genotype A, D, and F was 52%, 35%, and 7%, respectively. Concomitant sustained biochemical remission and clearance of HBV DNA occurred at a higher rate in genotype A- than in genotype D- (log-rank, 14.2; P = 0.002) or genotype F-infected patients (log-rank, 4.2; P = 0.03). The rate of hepatitis B surface antigen (HBsAg) clearance was higher in genotype A than in genotype D hepatitis (log-rank, 4.6; P = 0.03). Sustained remission and clearance of HBsAg were associated with infection with genotype A by Cox regression analysis. Seroconversion to antibody to hepatitis B e antigen (anti-HBe) was unrelated to HBV genotype, but the rate of sustained remission after seroconversion was higher in genotype A than in genotype D hepatitis both in patients who seroconverted to anti-HBe during follow-up (log-rank, 4.5; P = 0.03) and in patients with positive anti-HBe at baseline (log-rank, 6.66; P = 0.009). Death related to liver disease was more frequent in genotype F than in genotype A (P = 0.02) or genotype D (P = 0.002) hepatitis.\n\nCONCLUSIONS: The long-term outcome of chronic hepatitis B is different in patients infected with HBV genotype A, D, or F.", "author" : [ { "dropping-particle" : "", "family" : "S\u00e1nchez-Tapias", "given" : "Jos\u00e9 M", "non-dropping-particle" : "", "parse-names" : false, "suffix" : "" }, { "dropping-particle" : "", "family" : "Costa", "given" : "Josep", "non-dropping-particle" : "", "parse-names" : false, "suffix" : "" }, { "dropping-particle" : "", "family" : "Mas", "given" : "Antoni", "non-dropping-particle" : "", "parse-names" : false, "suffix" : "" }, { "dropping-particle" : "", "family" : "Bruguera", "given" : "Miquel", "non-dropping-particle" : "", "parse-names" : false, "suffix" : "" }, { "dropping-particle" : "", "family" : "Rod\u00e9s", "given" : "Juan", "non-dropping-particle" : "", "parse-names" : false, "suffix" : "" } ], "container-title" : "Gastroenterology", "id" : "ITEM-1", "issue" : "6", "issued" : { "date-parts" : [ [ "2002", "12" ] ] }, "page" : "1848-56", "title" : "Influence of hepatitis B virus genotype on the long-term outcome of chronic hepatitis B in western patients.", "type" : "article-journal", "volume" : "123" }, "uris" : [ "http://www.mendeley.com/documents/?uuid=efec11fa-c799-4ec6-a9da-cc96ec55b640", "http://www.mendeley.com/documents/?uuid=ca5632d2-b7f2-4d1c-87bf-55c07018b925" ] } ], "mendeley" : { "formattedCitation" : "&lt;sup&gt;[34]&lt;/sup&gt;", "plainTextFormattedCitation" : "[34]", "previouslyFormattedCitation" : "&lt;sup&gt;[34]&lt;/sup&gt;" }, "properties" : {  }, "schema" : "https://github.com/citation-style-language/schema/raw/master/csl-citation.json" }</w:instrText>
      </w:r>
      <w:r w:rsidR="006326CD" w:rsidRPr="00C11F21">
        <w:rPr>
          <w:rFonts w:ascii="Book Antiqua" w:hAnsi="Book Antiqua" w:cstheme="minorHAnsi"/>
          <w:sz w:val="24"/>
          <w:szCs w:val="24"/>
          <w:lang w:val="en-US"/>
        </w:rPr>
        <w:fldChar w:fldCharType="separate"/>
      </w:r>
      <w:r w:rsidR="00FE4AFC" w:rsidRPr="00C11F21">
        <w:rPr>
          <w:rFonts w:ascii="Book Antiqua" w:hAnsi="Book Antiqua" w:cstheme="minorHAnsi"/>
          <w:noProof/>
          <w:sz w:val="24"/>
          <w:szCs w:val="24"/>
          <w:vertAlign w:val="superscript"/>
          <w:lang w:val="en-US"/>
        </w:rPr>
        <w:t>[34]</w:t>
      </w:r>
      <w:r w:rsidR="006326CD" w:rsidRPr="00C11F21">
        <w:rPr>
          <w:rFonts w:ascii="Book Antiqua" w:hAnsi="Book Antiqua" w:cstheme="minorHAnsi"/>
          <w:sz w:val="24"/>
          <w:szCs w:val="24"/>
          <w:lang w:val="en-US"/>
        </w:rPr>
        <w:fldChar w:fldCharType="end"/>
      </w:r>
      <w:r w:rsidR="005C659B" w:rsidRPr="00C11F21">
        <w:rPr>
          <w:rFonts w:ascii="Book Antiqua" w:hAnsi="Book Antiqua" w:cstheme="minorHAnsi"/>
          <w:sz w:val="24"/>
          <w:szCs w:val="24"/>
          <w:lang w:val="en-US"/>
        </w:rPr>
        <w:t xml:space="preserve"> showed moderate variability, with aa 28, 103</w:t>
      </w:r>
      <w:r w:rsidR="00C51675" w:rsidRPr="00C11F21">
        <w:rPr>
          <w:rFonts w:ascii="Book Antiqua" w:hAnsi="Book Antiqua" w:cstheme="minorHAnsi"/>
          <w:sz w:val="24"/>
          <w:szCs w:val="24"/>
          <w:lang w:val="en-US"/>
        </w:rPr>
        <w:t>,</w:t>
      </w:r>
      <w:r w:rsidR="005C659B" w:rsidRPr="00C11F21">
        <w:rPr>
          <w:rFonts w:ascii="Book Antiqua" w:hAnsi="Book Antiqua" w:cstheme="minorHAnsi"/>
          <w:sz w:val="24"/>
          <w:szCs w:val="24"/>
          <w:lang w:val="en-US"/>
        </w:rPr>
        <w:t xml:space="preserve"> and 109 being </w:t>
      </w:r>
      <w:r w:rsidR="006E31DB" w:rsidRPr="00C11F21">
        <w:rPr>
          <w:rFonts w:ascii="Book Antiqua" w:hAnsi="Book Antiqua" w:cstheme="minorHAnsi"/>
          <w:sz w:val="24"/>
          <w:szCs w:val="24"/>
          <w:lang w:val="en-US"/>
        </w:rPr>
        <w:t>particularly</w:t>
      </w:r>
      <w:r w:rsidR="005C659B" w:rsidRPr="00C11F21">
        <w:rPr>
          <w:rFonts w:ascii="Book Antiqua" w:hAnsi="Book Antiqua" w:cstheme="minorHAnsi"/>
          <w:sz w:val="24"/>
          <w:szCs w:val="24"/>
          <w:lang w:val="en-US"/>
        </w:rPr>
        <w:t xml:space="preserve"> variable in genotype D, and aa 54 and 120 (43 and 109 according to genotype D numeration, respectively) </w:t>
      </w:r>
      <w:r w:rsidR="006E31DB" w:rsidRPr="00C11F21">
        <w:rPr>
          <w:rFonts w:ascii="Book Antiqua" w:hAnsi="Book Antiqua" w:cstheme="minorHAnsi"/>
          <w:sz w:val="24"/>
          <w:szCs w:val="24"/>
          <w:lang w:val="en-US"/>
        </w:rPr>
        <w:t>particularly</w:t>
      </w:r>
      <w:r w:rsidR="005C659B" w:rsidRPr="00C11F21">
        <w:rPr>
          <w:rFonts w:ascii="Book Antiqua" w:hAnsi="Book Antiqua" w:cstheme="minorHAnsi"/>
          <w:sz w:val="24"/>
          <w:szCs w:val="24"/>
          <w:lang w:val="en-US"/>
        </w:rPr>
        <w:t xml:space="preserve"> variable in genotype A (Supplementary Figure 1). </w:t>
      </w:r>
    </w:p>
    <w:p w14:paraId="0276CB60" w14:textId="7422BD13" w:rsidR="001273BB" w:rsidRPr="00C11F21" w:rsidRDefault="005C659B" w:rsidP="004F4E6E">
      <w:pPr>
        <w:snapToGrid w:val="0"/>
        <w:spacing w:after="0" w:line="360" w:lineRule="auto"/>
        <w:ind w:firstLineChars="100" w:firstLine="240"/>
        <w:jc w:val="both"/>
        <w:rPr>
          <w:rFonts w:ascii="Book Antiqua" w:hAnsi="Book Antiqua" w:cstheme="minorHAnsi"/>
          <w:sz w:val="24"/>
          <w:szCs w:val="24"/>
          <w:lang w:val="en-US"/>
        </w:rPr>
      </w:pPr>
      <w:r w:rsidRPr="00C11F21">
        <w:rPr>
          <w:rFonts w:ascii="Book Antiqua" w:hAnsi="Book Antiqua" w:cstheme="minorHAnsi"/>
          <w:sz w:val="24"/>
          <w:szCs w:val="24"/>
          <w:lang w:val="en-US"/>
        </w:rPr>
        <w:t xml:space="preserve">Of note, the sequence logos, including all haplotypes </w:t>
      </w:r>
      <w:r w:rsidR="00035FF4" w:rsidRPr="00C11F21">
        <w:rPr>
          <w:rFonts w:ascii="Book Antiqua" w:hAnsi="Book Antiqua" w:cstheme="minorHAnsi"/>
          <w:sz w:val="24"/>
          <w:szCs w:val="24"/>
          <w:lang w:val="en-US"/>
        </w:rPr>
        <w:t xml:space="preserve">regardless of </w:t>
      </w:r>
      <w:r w:rsidR="00914AF4" w:rsidRPr="00C11F21">
        <w:rPr>
          <w:rFonts w:ascii="Book Antiqua" w:hAnsi="Book Antiqua" w:cstheme="minorHAnsi"/>
          <w:sz w:val="24"/>
          <w:szCs w:val="24"/>
          <w:lang w:val="en-US"/>
        </w:rPr>
        <w:t xml:space="preserve">viral </w:t>
      </w:r>
      <w:r w:rsidR="00035FF4" w:rsidRPr="00C11F21">
        <w:rPr>
          <w:rFonts w:ascii="Book Antiqua" w:hAnsi="Book Antiqua" w:cstheme="minorHAnsi"/>
          <w:sz w:val="24"/>
          <w:szCs w:val="24"/>
          <w:lang w:val="en-US"/>
        </w:rPr>
        <w:t>genotype (Figure 3</w:t>
      </w:r>
      <w:r w:rsidRPr="00C11F21">
        <w:rPr>
          <w:rFonts w:ascii="Book Antiqua" w:hAnsi="Book Antiqua" w:cstheme="minorHAnsi"/>
          <w:sz w:val="24"/>
          <w:szCs w:val="24"/>
          <w:lang w:val="en-US"/>
        </w:rPr>
        <w:t xml:space="preserve">) also indicated that proline (P) residues were highly conserved. Nonetheless, the P residue at position 30 </w:t>
      </w:r>
      <w:r w:rsidR="006B18F0" w:rsidRPr="00C11F21">
        <w:rPr>
          <w:rFonts w:ascii="Book Antiqua" w:hAnsi="Book Antiqua" w:cstheme="minorHAnsi"/>
          <w:sz w:val="24"/>
          <w:szCs w:val="24"/>
          <w:lang w:val="en-US"/>
        </w:rPr>
        <w:t>of</w:t>
      </w:r>
      <w:r w:rsidR="006E31DB" w:rsidRPr="00C11F21">
        <w:rPr>
          <w:rFonts w:ascii="Book Antiqua" w:hAnsi="Book Antiqua" w:cstheme="minorHAnsi"/>
          <w:sz w:val="24"/>
          <w:szCs w:val="24"/>
          <w:lang w:val="en-US"/>
        </w:rPr>
        <w:t xml:space="preserve"> </w:t>
      </w:r>
      <w:r w:rsidR="00C86A6F" w:rsidRPr="00C11F21">
        <w:rPr>
          <w:rFonts w:ascii="Book Antiqua" w:hAnsi="Book Antiqua" w:cstheme="minorHAnsi"/>
          <w:sz w:val="24"/>
          <w:szCs w:val="24"/>
          <w:lang w:val="en-US"/>
        </w:rPr>
        <w:t xml:space="preserve">the </w:t>
      </w:r>
      <w:r w:rsidR="00362152" w:rsidRPr="00C11F21">
        <w:rPr>
          <w:rFonts w:ascii="Book Antiqua" w:hAnsi="Book Antiqua" w:cstheme="minorHAnsi"/>
          <w:sz w:val="24"/>
          <w:szCs w:val="24"/>
          <w:lang w:val="en-US"/>
        </w:rPr>
        <w:t>NTCP-</w:t>
      </w:r>
      <w:r w:rsidR="008F2AA9" w:rsidRPr="00C11F21">
        <w:rPr>
          <w:rFonts w:ascii="Book Antiqua" w:hAnsi="Book Antiqua" w:cstheme="minorHAnsi"/>
          <w:sz w:val="24"/>
          <w:szCs w:val="24"/>
          <w:lang w:val="en-US"/>
        </w:rPr>
        <w:t xml:space="preserve">interacting </w:t>
      </w:r>
      <w:r w:rsidR="00033CE6" w:rsidRPr="00C11F21">
        <w:rPr>
          <w:rFonts w:ascii="Book Antiqua" w:hAnsi="Book Antiqua" w:cstheme="minorHAnsi"/>
          <w:sz w:val="24"/>
          <w:szCs w:val="24"/>
          <w:lang w:val="en-US"/>
        </w:rPr>
        <w:t>domain</w:t>
      </w:r>
      <w:r w:rsidR="008F2AA9" w:rsidRPr="00C11F21">
        <w:rPr>
          <w:rFonts w:ascii="Book Antiqua" w:hAnsi="Book Antiqua" w:cstheme="minorHAnsi"/>
          <w:sz w:val="24"/>
          <w:szCs w:val="24"/>
          <w:lang w:val="en-US"/>
        </w:rPr>
        <w:t xml:space="preserve"> </w:t>
      </w:r>
      <w:r w:rsidRPr="00C11F21">
        <w:rPr>
          <w:rFonts w:ascii="Book Antiqua" w:hAnsi="Book Antiqua" w:cstheme="minorHAnsi"/>
          <w:sz w:val="24"/>
          <w:szCs w:val="24"/>
          <w:lang w:val="en-US"/>
        </w:rPr>
        <w:t xml:space="preserve">showed a change to lysine (K) in </w:t>
      </w:r>
      <w:r w:rsidR="00914AF4" w:rsidRPr="00C11F21">
        <w:rPr>
          <w:rFonts w:ascii="Book Antiqua" w:hAnsi="Book Antiqua" w:cstheme="minorHAnsi"/>
          <w:sz w:val="24"/>
          <w:szCs w:val="24"/>
          <w:lang w:val="en-US"/>
        </w:rPr>
        <w:t xml:space="preserve">HBV </w:t>
      </w:r>
      <w:r w:rsidRPr="00C11F21">
        <w:rPr>
          <w:rFonts w:ascii="Book Antiqua" w:hAnsi="Book Antiqua" w:cstheme="minorHAnsi"/>
          <w:sz w:val="24"/>
          <w:szCs w:val="24"/>
          <w:lang w:val="en-US"/>
        </w:rPr>
        <w:t xml:space="preserve">genotype F and </w:t>
      </w:r>
      <w:r w:rsidR="006B46D4" w:rsidRPr="00C11F21">
        <w:rPr>
          <w:rFonts w:ascii="Book Antiqua" w:hAnsi="Book Antiqua" w:cstheme="minorHAnsi"/>
          <w:sz w:val="24"/>
          <w:szCs w:val="24"/>
          <w:lang w:val="en-US"/>
        </w:rPr>
        <w:t xml:space="preserve">to </w:t>
      </w:r>
      <w:r w:rsidRPr="00C11F21">
        <w:rPr>
          <w:rFonts w:ascii="Book Antiqua" w:hAnsi="Book Antiqua" w:cstheme="minorHAnsi"/>
          <w:sz w:val="24"/>
          <w:szCs w:val="24"/>
          <w:lang w:val="en-US"/>
        </w:rPr>
        <w:t xml:space="preserve">threonine (T) in genotype H, and the P residue in position 36 changed to T in genotype E. Furthermore, there was a notable complete preservation of the five P residues located in </w:t>
      </w:r>
      <w:r w:rsidR="00C86A6F" w:rsidRPr="00C11F21">
        <w:rPr>
          <w:rFonts w:ascii="Book Antiqua" w:hAnsi="Book Antiqua" w:cstheme="minorHAnsi"/>
          <w:sz w:val="24"/>
          <w:szCs w:val="24"/>
          <w:lang w:val="en-US"/>
        </w:rPr>
        <w:t xml:space="preserve">the </w:t>
      </w:r>
      <w:r w:rsidR="008F2AA9" w:rsidRPr="00C11F21">
        <w:rPr>
          <w:rFonts w:ascii="Book Antiqua" w:hAnsi="Book Antiqua" w:cstheme="minorHAnsi"/>
          <w:sz w:val="24"/>
          <w:szCs w:val="24"/>
          <w:lang w:val="en-US"/>
        </w:rPr>
        <w:t xml:space="preserve">virion morphogenesis </w:t>
      </w:r>
      <w:r w:rsidR="00477454" w:rsidRPr="00C11F21">
        <w:rPr>
          <w:rFonts w:ascii="Book Antiqua" w:hAnsi="Book Antiqua" w:cstheme="minorHAnsi"/>
          <w:sz w:val="24"/>
          <w:szCs w:val="24"/>
          <w:lang w:val="en-US"/>
        </w:rPr>
        <w:t>domain</w:t>
      </w:r>
      <w:r w:rsidRPr="00C11F21">
        <w:rPr>
          <w:rFonts w:ascii="Book Antiqua" w:hAnsi="Book Antiqua" w:cstheme="minorHAnsi"/>
          <w:sz w:val="24"/>
          <w:szCs w:val="24"/>
          <w:lang w:val="en-US"/>
        </w:rPr>
        <w:t xml:space="preserve">. Interestingly, serine residues (S) in this </w:t>
      </w:r>
      <w:r w:rsidR="00477454" w:rsidRPr="00C11F21">
        <w:rPr>
          <w:rFonts w:ascii="Book Antiqua" w:hAnsi="Book Antiqua" w:cstheme="minorHAnsi"/>
          <w:sz w:val="24"/>
          <w:szCs w:val="24"/>
          <w:lang w:val="en-US"/>
        </w:rPr>
        <w:t>domain</w:t>
      </w:r>
      <w:r w:rsidRPr="00C11F21">
        <w:rPr>
          <w:rFonts w:ascii="Book Antiqua" w:hAnsi="Book Antiqua" w:cstheme="minorHAnsi"/>
          <w:sz w:val="24"/>
          <w:szCs w:val="24"/>
          <w:lang w:val="en-US"/>
        </w:rPr>
        <w:t xml:space="preserve"> showed changes to T (positions 109 and 124 in</w:t>
      </w:r>
      <w:r w:rsidR="00914AF4" w:rsidRPr="00C11F21">
        <w:rPr>
          <w:rFonts w:ascii="Book Antiqua" w:hAnsi="Book Antiqua" w:cstheme="minorHAnsi"/>
          <w:sz w:val="24"/>
          <w:szCs w:val="24"/>
          <w:lang w:val="en-US"/>
        </w:rPr>
        <w:t xml:space="preserve"> HBV</w:t>
      </w:r>
      <w:r w:rsidRPr="00C11F21">
        <w:rPr>
          <w:rFonts w:ascii="Book Antiqua" w:hAnsi="Book Antiqua" w:cstheme="minorHAnsi"/>
          <w:sz w:val="24"/>
          <w:szCs w:val="24"/>
          <w:lang w:val="en-US"/>
        </w:rPr>
        <w:t xml:space="preserve"> genotype B and positions 98 and 113 in genotype D) or tyrosine (Y) (position 123 in </w:t>
      </w:r>
      <w:r w:rsidR="00914AF4" w:rsidRPr="00C11F21">
        <w:rPr>
          <w:rFonts w:ascii="Book Antiqua" w:hAnsi="Book Antiqua" w:cstheme="minorHAnsi"/>
          <w:sz w:val="24"/>
          <w:szCs w:val="24"/>
          <w:lang w:val="en-US"/>
        </w:rPr>
        <w:t xml:space="preserve">HBV </w:t>
      </w:r>
      <w:r w:rsidRPr="00C11F21">
        <w:rPr>
          <w:rFonts w:ascii="Book Antiqua" w:hAnsi="Book Antiqua" w:cstheme="minorHAnsi"/>
          <w:sz w:val="24"/>
          <w:szCs w:val="24"/>
          <w:lang w:val="en-US"/>
        </w:rPr>
        <w:t>genotype E and position 113 in genotype D)</w:t>
      </w:r>
      <w:r w:rsidR="00035FF4" w:rsidRPr="00C11F21">
        <w:rPr>
          <w:rFonts w:ascii="Book Antiqua" w:hAnsi="Book Antiqua" w:cstheme="minorHAnsi"/>
          <w:sz w:val="24"/>
          <w:szCs w:val="24"/>
          <w:lang w:val="en-US"/>
        </w:rPr>
        <w:t xml:space="preserve"> (Figure 3</w:t>
      </w:r>
      <w:r w:rsidR="00361F05" w:rsidRPr="00C11F21">
        <w:rPr>
          <w:rFonts w:ascii="Book Antiqua" w:hAnsi="Book Antiqua" w:cstheme="minorHAnsi"/>
          <w:sz w:val="24"/>
          <w:szCs w:val="24"/>
          <w:lang w:val="en-US"/>
        </w:rPr>
        <w:t xml:space="preserve"> and Supplementary Figure 1</w:t>
      </w:r>
      <w:r w:rsidRPr="00C11F21">
        <w:rPr>
          <w:rFonts w:ascii="Book Antiqua" w:hAnsi="Book Antiqua" w:cstheme="minorHAnsi"/>
          <w:sz w:val="24"/>
          <w:szCs w:val="24"/>
          <w:lang w:val="en-US"/>
        </w:rPr>
        <w:t xml:space="preserve">); </w:t>
      </w:r>
      <w:r w:rsidR="005C18A3" w:rsidRPr="00C11F21">
        <w:rPr>
          <w:rFonts w:ascii="Book Antiqua" w:hAnsi="Book Antiqua" w:cstheme="minorHAnsi"/>
          <w:sz w:val="24"/>
          <w:szCs w:val="24"/>
          <w:lang w:val="en-US"/>
        </w:rPr>
        <w:t>all of the</w:t>
      </w:r>
      <w:r w:rsidR="001322D0" w:rsidRPr="00C11F21">
        <w:rPr>
          <w:rFonts w:ascii="Book Antiqua" w:hAnsi="Book Antiqua" w:cstheme="minorHAnsi"/>
          <w:sz w:val="24"/>
          <w:szCs w:val="24"/>
          <w:lang w:val="en-US"/>
        </w:rPr>
        <w:t xml:space="preserve">se have </w:t>
      </w:r>
      <w:r w:rsidR="00D60F3C" w:rsidRPr="00C11F21">
        <w:rPr>
          <w:rFonts w:ascii="Book Antiqua" w:hAnsi="Book Antiqua" w:cstheme="minorHAnsi"/>
          <w:sz w:val="24"/>
          <w:szCs w:val="24"/>
          <w:lang w:val="en-US"/>
        </w:rPr>
        <w:t xml:space="preserve">similar physicochemical characteristics, </w:t>
      </w:r>
      <w:r w:rsidR="007307B0" w:rsidRPr="00C11F21">
        <w:rPr>
          <w:rFonts w:ascii="Book Antiqua" w:hAnsi="Book Antiqua" w:cstheme="minorHAnsi"/>
          <w:sz w:val="24"/>
          <w:szCs w:val="24"/>
          <w:lang w:val="en-US"/>
        </w:rPr>
        <w:t>being</w:t>
      </w:r>
      <w:r w:rsidRPr="00C11F21">
        <w:rPr>
          <w:rFonts w:ascii="Book Antiqua" w:hAnsi="Book Antiqua" w:cstheme="minorHAnsi"/>
          <w:sz w:val="24"/>
          <w:szCs w:val="24"/>
          <w:lang w:val="en-US"/>
        </w:rPr>
        <w:t xml:space="preserve"> the </w:t>
      </w:r>
      <w:r w:rsidR="00F635BF" w:rsidRPr="00C11F21">
        <w:rPr>
          <w:rFonts w:ascii="Book Antiqua" w:hAnsi="Book Antiqua" w:cstheme="minorHAnsi"/>
          <w:sz w:val="24"/>
          <w:szCs w:val="24"/>
          <w:lang w:val="en-US"/>
        </w:rPr>
        <w:t>residues</w:t>
      </w:r>
      <w:r w:rsidRPr="00C11F21">
        <w:rPr>
          <w:rFonts w:ascii="Book Antiqua" w:hAnsi="Book Antiqua" w:cstheme="minorHAnsi"/>
          <w:sz w:val="24"/>
          <w:szCs w:val="24"/>
          <w:lang w:val="en-US"/>
        </w:rPr>
        <w:t xml:space="preserve"> most commonly phosphorylated</w:t>
      </w:r>
      <w:r w:rsidR="004F4E6E" w:rsidRPr="00C11F21">
        <w:rPr>
          <w:rFonts w:ascii="Book Antiqua" w:hAnsi="Book Antiqua" w:cstheme="minorHAnsi"/>
          <w:sz w:val="24"/>
          <w:szCs w:val="24"/>
          <w:lang w:val="en-US"/>
        </w:rPr>
        <w:fldChar w:fldCharType="begin" w:fldLock="1"/>
      </w:r>
      <w:r w:rsidR="004F4E6E" w:rsidRPr="00C11F21">
        <w:rPr>
          <w:rFonts w:ascii="Book Antiqua" w:hAnsi="Book Antiqua" w:cstheme="minorHAnsi"/>
          <w:sz w:val="24"/>
          <w:szCs w:val="24"/>
          <w:lang w:val="en-US"/>
        </w:rPr>
        <w:instrText>ADDIN CSL_CITATION { "citationItems" : [ { "id" : "ITEM-1", "itemData" : { "DOI" : "10.1098/rstb.2012.0013", "ISBN" : "1471-2970 (Electronic)\\n0962-8436 (Linking)", "ISSN" : "0962-8436, 1471-2970", "PMID" : "22889903", "abstract" : "The advantageous chemical properties of the phosphate ester linkage were exploited early in evolution to generate the phosphate diester linkages that join neighbouring bases in RNA and DNA (Westheimer 1987 Science 235, 1173\u20131178). Following the fixation of the genetic code, another use for phosphate ester modification was found, namely reversible phosphorylation of the three hydroxyamino acids, serine, threonine and tyrosine, in proteins. During the course of evolution, phosphorylation emerged as one of the most prominent types of post-translational modification, because of its versatility and ready reversibility. Phosphoamino acids generated by protein phosphorylation act as new chemical entities that do not resemble any natural amino acid, and thereby provide a means of diversifying the chemical nature of protein surfaces. A protein-linked phosphate group can form hydrogen bonds or salt bridges either intra- or intermolecularly, creating stronger hydrogen bonds with arginine than either aspartate or glutamate. The unique size of the ionic shell and charge properties of covalently attached phosphate allow specific and inducible recognition of phosphoproteins by phosphospecific-binding domains in other proteins, thus promoting inducible protein\u2013protein interaction. In this manner, phosphorylation serves as a switch that allows signal transduction networks to transmit signals in response to extracellular stimuli.", "author" : [ { "dropping-particle" : "", "family" : "Hunter", "given" : "Tony", "non-dropping-particle" : "", "parse-names" : false, "suffix" : "" } ], "container-title" : "Philosophical Transactions of the Royal Society B: Biological Sciences", "id" : "ITEM-1", "issue" : "1602", "issued" : { "date-parts" : [ [ "2012" ] ] }, "page" : "2513-2516", "title" : "Why nature chose phosphate to modify proteins", "type" : "article-journal", "volume" : "367" }, "uris" : [ "http://www.mendeley.com/documents/?uuid=6df1596c-3aa0-4087-8657-ef348dc88e28", "http://www.mendeley.com/documents/?uuid=0f0ee72d-fd66-457c-bf9e-c7f7eb66a359" ] } ], "mendeley" : { "formattedCitation" : "&lt;sup&gt;[35]&lt;/sup&gt;", "plainTextFormattedCitation" : "[35]", "previouslyFormattedCitation" : "&lt;sup&gt;[35]&lt;/sup&gt;" }, "properties" : {  }, "schema" : "https://github.com/citation-style-language/schema/raw/master/csl-citation.json" }</w:instrText>
      </w:r>
      <w:r w:rsidR="004F4E6E" w:rsidRPr="00C11F21">
        <w:rPr>
          <w:rFonts w:ascii="Book Antiqua" w:hAnsi="Book Antiqua" w:cstheme="minorHAnsi"/>
          <w:sz w:val="24"/>
          <w:szCs w:val="24"/>
          <w:lang w:val="en-US"/>
        </w:rPr>
        <w:fldChar w:fldCharType="separate"/>
      </w:r>
      <w:r w:rsidR="004F4E6E" w:rsidRPr="00C11F21">
        <w:rPr>
          <w:rFonts w:ascii="Book Antiqua" w:hAnsi="Book Antiqua" w:cstheme="minorHAnsi"/>
          <w:noProof/>
          <w:sz w:val="24"/>
          <w:szCs w:val="24"/>
          <w:vertAlign w:val="superscript"/>
          <w:lang w:val="en-US"/>
        </w:rPr>
        <w:t>[35]</w:t>
      </w:r>
      <w:r w:rsidR="004F4E6E" w:rsidRPr="00C11F21">
        <w:rPr>
          <w:rFonts w:ascii="Book Antiqua" w:hAnsi="Book Antiqua" w:cstheme="minorHAnsi"/>
          <w:sz w:val="24"/>
          <w:szCs w:val="24"/>
          <w:lang w:val="en-US"/>
        </w:rPr>
        <w:fldChar w:fldCharType="end"/>
      </w:r>
      <w:r w:rsidRPr="00C11F21">
        <w:rPr>
          <w:rFonts w:ascii="Book Antiqua" w:hAnsi="Book Antiqua" w:cstheme="minorHAnsi"/>
          <w:sz w:val="24"/>
          <w:szCs w:val="24"/>
          <w:lang w:val="en-US"/>
        </w:rPr>
        <w:t xml:space="preserve">. </w:t>
      </w:r>
      <w:r w:rsidR="00A23252" w:rsidRPr="00C11F21">
        <w:rPr>
          <w:rFonts w:ascii="Book Antiqua" w:hAnsi="Book Antiqua" w:cstheme="minorHAnsi"/>
          <w:sz w:val="24"/>
          <w:szCs w:val="24"/>
          <w:lang w:val="en-US"/>
        </w:rPr>
        <w:t>In general, t</w:t>
      </w:r>
      <w:r w:rsidR="0098616B" w:rsidRPr="00C11F21">
        <w:rPr>
          <w:rFonts w:ascii="Book Antiqua" w:hAnsi="Book Antiqua" w:cstheme="minorHAnsi"/>
          <w:sz w:val="24"/>
          <w:szCs w:val="24"/>
          <w:lang w:val="en-US"/>
        </w:rPr>
        <w:t xml:space="preserve">he S residues </w:t>
      </w:r>
      <w:r w:rsidR="0041431D" w:rsidRPr="00C11F21">
        <w:rPr>
          <w:rFonts w:ascii="Book Antiqua" w:hAnsi="Book Antiqua" w:cstheme="minorHAnsi"/>
          <w:sz w:val="24"/>
          <w:szCs w:val="24"/>
          <w:lang w:val="en-US"/>
        </w:rPr>
        <w:t>o</w:t>
      </w:r>
      <w:r w:rsidR="0098616B" w:rsidRPr="00C11F21">
        <w:rPr>
          <w:rFonts w:ascii="Book Antiqua" w:hAnsi="Book Antiqua" w:cstheme="minorHAnsi"/>
          <w:sz w:val="24"/>
          <w:szCs w:val="24"/>
          <w:lang w:val="en-US"/>
        </w:rPr>
        <w:t xml:space="preserve">f </w:t>
      </w:r>
      <w:r w:rsidR="00C86A6F" w:rsidRPr="00C11F21">
        <w:rPr>
          <w:rFonts w:ascii="Book Antiqua" w:hAnsi="Book Antiqua" w:cstheme="minorHAnsi"/>
          <w:sz w:val="24"/>
          <w:szCs w:val="24"/>
          <w:lang w:val="en-US"/>
        </w:rPr>
        <w:t xml:space="preserve">the </w:t>
      </w:r>
      <w:r w:rsidR="00DC4529" w:rsidRPr="00C11F21">
        <w:rPr>
          <w:rFonts w:ascii="Book Antiqua" w:hAnsi="Book Antiqua" w:cstheme="minorHAnsi"/>
          <w:sz w:val="24"/>
          <w:szCs w:val="24"/>
          <w:lang w:val="en-US"/>
        </w:rPr>
        <w:t>NTCP-</w:t>
      </w:r>
      <w:r w:rsidR="0098616B" w:rsidRPr="00C11F21">
        <w:rPr>
          <w:rFonts w:ascii="Book Antiqua" w:hAnsi="Book Antiqua" w:cstheme="minorHAnsi"/>
          <w:sz w:val="24"/>
          <w:szCs w:val="24"/>
          <w:lang w:val="en-US"/>
        </w:rPr>
        <w:t xml:space="preserve">interacting </w:t>
      </w:r>
      <w:r w:rsidR="00A7412D" w:rsidRPr="00C11F21">
        <w:rPr>
          <w:rFonts w:ascii="Book Antiqua" w:hAnsi="Book Antiqua" w:cstheme="minorHAnsi"/>
          <w:sz w:val="24"/>
          <w:szCs w:val="24"/>
          <w:lang w:val="en-US"/>
        </w:rPr>
        <w:t>domain</w:t>
      </w:r>
      <w:r w:rsidR="0098616B" w:rsidRPr="00C11F21">
        <w:rPr>
          <w:rFonts w:ascii="Book Antiqua" w:hAnsi="Book Antiqua" w:cstheme="minorHAnsi"/>
          <w:sz w:val="24"/>
          <w:szCs w:val="24"/>
          <w:lang w:val="en-US"/>
        </w:rPr>
        <w:t xml:space="preserve"> </w:t>
      </w:r>
      <w:r w:rsidR="00A23252" w:rsidRPr="00C11F21">
        <w:rPr>
          <w:rFonts w:ascii="Book Antiqua" w:hAnsi="Book Antiqua" w:cstheme="minorHAnsi"/>
          <w:sz w:val="24"/>
          <w:szCs w:val="24"/>
          <w:lang w:val="en-US"/>
        </w:rPr>
        <w:t>were conserved</w:t>
      </w:r>
      <w:r w:rsidR="0098616B" w:rsidRPr="00C11F21">
        <w:rPr>
          <w:rFonts w:ascii="Book Antiqua" w:hAnsi="Book Antiqua" w:cstheme="minorHAnsi"/>
          <w:sz w:val="24"/>
          <w:szCs w:val="24"/>
          <w:lang w:val="en-US"/>
        </w:rPr>
        <w:t xml:space="preserve"> within each </w:t>
      </w:r>
      <w:r w:rsidR="00914AF4" w:rsidRPr="00C11F21">
        <w:rPr>
          <w:rFonts w:ascii="Book Antiqua" w:hAnsi="Book Antiqua" w:cstheme="minorHAnsi"/>
          <w:sz w:val="24"/>
          <w:szCs w:val="24"/>
          <w:lang w:val="en-US"/>
        </w:rPr>
        <w:t xml:space="preserve">viral </w:t>
      </w:r>
      <w:r w:rsidR="0098616B" w:rsidRPr="00C11F21">
        <w:rPr>
          <w:rFonts w:ascii="Book Antiqua" w:hAnsi="Book Antiqua" w:cstheme="minorHAnsi"/>
          <w:sz w:val="24"/>
          <w:szCs w:val="24"/>
          <w:lang w:val="en-US"/>
        </w:rPr>
        <w:t xml:space="preserve">genotype, </w:t>
      </w:r>
      <w:r w:rsidR="00063B84" w:rsidRPr="00C11F21">
        <w:rPr>
          <w:rFonts w:ascii="Book Antiqua" w:hAnsi="Book Antiqua" w:cstheme="minorHAnsi"/>
          <w:sz w:val="24"/>
          <w:szCs w:val="24"/>
          <w:lang w:val="en-US"/>
        </w:rPr>
        <w:t>but</w:t>
      </w:r>
      <w:r w:rsidR="0098616B" w:rsidRPr="00C11F21">
        <w:rPr>
          <w:rFonts w:ascii="Book Antiqua" w:hAnsi="Book Antiqua" w:cstheme="minorHAnsi"/>
          <w:sz w:val="24"/>
          <w:szCs w:val="24"/>
          <w:lang w:val="en-US"/>
        </w:rPr>
        <w:t xml:space="preserve"> </w:t>
      </w:r>
      <w:r w:rsidR="009224F1" w:rsidRPr="00C11F21">
        <w:rPr>
          <w:rFonts w:ascii="Book Antiqua" w:hAnsi="Book Antiqua" w:cstheme="minorHAnsi"/>
          <w:sz w:val="24"/>
          <w:szCs w:val="24"/>
          <w:lang w:val="en-US"/>
        </w:rPr>
        <w:t xml:space="preserve">different aa were </w:t>
      </w:r>
      <w:r w:rsidR="001322D0" w:rsidRPr="00C11F21">
        <w:rPr>
          <w:rFonts w:ascii="Book Antiqua" w:hAnsi="Book Antiqua" w:cstheme="minorHAnsi"/>
          <w:sz w:val="24"/>
          <w:szCs w:val="24"/>
          <w:lang w:val="en-US"/>
        </w:rPr>
        <w:t xml:space="preserve">sometimes </w:t>
      </w:r>
      <w:r w:rsidR="009224F1" w:rsidRPr="00C11F21">
        <w:rPr>
          <w:rFonts w:ascii="Book Antiqua" w:hAnsi="Book Antiqua" w:cstheme="minorHAnsi"/>
          <w:sz w:val="24"/>
          <w:szCs w:val="24"/>
          <w:lang w:val="en-US"/>
        </w:rPr>
        <w:t xml:space="preserve">seen in </w:t>
      </w:r>
      <w:r w:rsidR="00063B84" w:rsidRPr="00C11F21">
        <w:rPr>
          <w:rFonts w:ascii="Book Antiqua" w:hAnsi="Book Antiqua" w:cstheme="minorHAnsi"/>
          <w:sz w:val="24"/>
          <w:szCs w:val="24"/>
          <w:lang w:val="en-US"/>
        </w:rPr>
        <w:t>th</w:t>
      </w:r>
      <w:r w:rsidR="00DA6222" w:rsidRPr="00C11F21">
        <w:rPr>
          <w:rFonts w:ascii="Book Antiqua" w:hAnsi="Book Antiqua" w:cstheme="minorHAnsi"/>
          <w:sz w:val="24"/>
          <w:szCs w:val="24"/>
          <w:lang w:val="en-US"/>
        </w:rPr>
        <w:t xml:space="preserve">is </w:t>
      </w:r>
      <w:r w:rsidR="00063B84" w:rsidRPr="00C11F21">
        <w:rPr>
          <w:rFonts w:ascii="Book Antiqua" w:hAnsi="Book Antiqua" w:cstheme="minorHAnsi"/>
          <w:sz w:val="24"/>
          <w:szCs w:val="24"/>
          <w:lang w:val="en-US"/>
        </w:rPr>
        <w:t xml:space="preserve">position </w:t>
      </w:r>
      <w:r w:rsidR="009224F1" w:rsidRPr="00C11F21">
        <w:rPr>
          <w:rFonts w:ascii="Book Antiqua" w:hAnsi="Book Antiqua" w:cstheme="minorHAnsi"/>
          <w:sz w:val="24"/>
          <w:szCs w:val="24"/>
          <w:lang w:val="en-US"/>
        </w:rPr>
        <w:t xml:space="preserve">between the </w:t>
      </w:r>
      <w:r w:rsidR="0098616B" w:rsidRPr="00C11F21">
        <w:rPr>
          <w:rFonts w:ascii="Book Antiqua" w:hAnsi="Book Antiqua" w:cstheme="minorHAnsi"/>
          <w:sz w:val="24"/>
          <w:szCs w:val="24"/>
          <w:lang w:val="en-US"/>
        </w:rPr>
        <w:t xml:space="preserve">different genotypes (Supplementary </w:t>
      </w:r>
      <w:r w:rsidR="00CF390C" w:rsidRPr="00C11F21">
        <w:rPr>
          <w:rFonts w:ascii="Book Antiqua" w:hAnsi="Book Antiqua" w:cstheme="minorHAnsi"/>
          <w:sz w:val="24"/>
          <w:szCs w:val="24"/>
          <w:lang w:val="en-US"/>
        </w:rPr>
        <w:t>F</w:t>
      </w:r>
      <w:r w:rsidR="0098616B" w:rsidRPr="00C11F21">
        <w:rPr>
          <w:rFonts w:ascii="Book Antiqua" w:hAnsi="Book Antiqua" w:cstheme="minorHAnsi"/>
          <w:sz w:val="24"/>
          <w:szCs w:val="24"/>
          <w:lang w:val="en-US"/>
        </w:rPr>
        <w:t>igure 1).</w:t>
      </w:r>
    </w:p>
    <w:p w14:paraId="2264C47E" w14:textId="511E1DBB" w:rsidR="005C659B" w:rsidRPr="00C11F21" w:rsidRDefault="00EA68E3" w:rsidP="004F4E6E">
      <w:pPr>
        <w:snapToGrid w:val="0"/>
        <w:spacing w:after="0" w:line="360" w:lineRule="auto"/>
        <w:ind w:firstLineChars="100" w:firstLine="240"/>
        <w:jc w:val="both"/>
        <w:rPr>
          <w:rFonts w:ascii="Book Antiqua" w:hAnsi="Book Antiqua" w:cstheme="minorHAnsi"/>
          <w:sz w:val="24"/>
          <w:szCs w:val="24"/>
          <w:lang w:val="en-US"/>
        </w:rPr>
      </w:pPr>
      <w:r w:rsidRPr="00C11F21">
        <w:rPr>
          <w:rFonts w:ascii="Book Antiqua" w:hAnsi="Book Antiqua" w:cstheme="minorHAnsi"/>
          <w:sz w:val="24"/>
          <w:szCs w:val="24"/>
          <w:lang w:val="en-US"/>
        </w:rPr>
        <w:lastRenderedPageBreak/>
        <w:t>O</w:t>
      </w:r>
      <w:r w:rsidR="006B46D4" w:rsidRPr="00C11F21">
        <w:rPr>
          <w:rFonts w:ascii="Book Antiqua" w:hAnsi="Book Antiqua" w:cstheme="minorHAnsi"/>
          <w:sz w:val="24"/>
          <w:szCs w:val="24"/>
          <w:lang w:val="en-US"/>
        </w:rPr>
        <w:t xml:space="preserve">f note, </w:t>
      </w:r>
      <w:r w:rsidR="00D66BD5" w:rsidRPr="00C11F21">
        <w:rPr>
          <w:rFonts w:ascii="Book Antiqua" w:hAnsi="Book Antiqua" w:cstheme="minorHAnsi"/>
          <w:sz w:val="24"/>
          <w:szCs w:val="24"/>
          <w:lang w:val="en-US"/>
        </w:rPr>
        <w:t>4</w:t>
      </w:r>
      <w:r w:rsidR="006B46D4" w:rsidRPr="00C11F21">
        <w:rPr>
          <w:rFonts w:ascii="Book Antiqua" w:hAnsi="Book Antiqua" w:cstheme="minorHAnsi"/>
          <w:sz w:val="24"/>
          <w:szCs w:val="24"/>
          <w:lang w:val="en-US"/>
        </w:rPr>
        <w:t xml:space="preserve"> of our patients, harboring haplotypes classified into</w:t>
      </w:r>
      <w:r w:rsidR="00914AF4" w:rsidRPr="00C11F21">
        <w:rPr>
          <w:rFonts w:ascii="Book Antiqua" w:hAnsi="Book Antiqua" w:cstheme="minorHAnsi"/>
          <w:sz w:val="24"/>
          <w:szCs w:val="24"/>
          <w:lang w:val="en-US"/>
        </w:rPr>
        <w:t xml:space="preserve"> HBV</w:t>
      </w:r>
      <w:r w:rsidR="006B46D4" w:rsidRPr="00C11F21">
        <w:rPr>
          <w:rFonts w:ascii="Book Antiqua" w:hAnsi="Book Antiqua" w:cstheme="minorHAnsi"/>
          <w:sz w:val="24"/>
          <w:szCs w:val="24"/>
          <w:lang w:val="en-US"/>
        </w:rPr>
        <w:t xml:space="preserve"> genotypes A, D, E and H, showed a significant percentage of changes in the preS2 initial methionine residue (position 109 in genotype D)</w:t>
      </w:r>
      <w:r w:rsidRPr="00C11F21">
        <w:rPr>
          <w:rFonts w:ascii="Book Antiqua" w:hAnsi="Book Antiqua" w:cstheme="minorHAnsi"/>
          <w:sz w:val="24"/>
          <w:szCs w:val="24"/>
          <w:lang w:val="en-US"/>
        </w:rPr>
        <w:t xml:space="preserve"> </w:t>
      </w:r>
      <w:r w:rsidR="00D2624F" w:rsidRPr="00C11F21">
        <w:rPr>
          <w:rFonts w:ascii="Book Antiqua" w:hAnsi="Book Antiqua" w:cstheme="minorHAnsi"/>
          <w:sz w:val="24"/>
          <w:szCs w:val="24"/>
          <w:lang w:val="en-US"/>
        </w:rPr>
        <w:t>(Supplementary Table 2</w:t>
      </w:r>
      <w:r w:rsidR="00BC1BB0" w:rsidRPr="00C11F21">
        <w:rPr>
          <w:rFonts w:ascii="Book Antiqua" w:hAnsi="Book Antiqua" w:cstheme="minorHAnsi"/>
          <w:sz w:val="24"/>
          <w:szCs w:val="24"/>
          <w:lang w:val="en-US"/>
        </w:rPr>
        <w:t xml:space="preserve"> and</w:t>
      </w:r>
      <w:r w:rsidR="00477454" w:rsidRPr="00C11F21">
        <w:rPr>
          <w:rFonts w:ascii="Book Antiqua" w:hAnsi="Book Antiqua" w:cstheme="minorHAnsi"/>
          <w:sz w:val="24"/>
          <w:szCs w:val="24"/>
          <w:lang w:val="en-US"/>
        </w:rPr>
        <w:t xml:space="preserve"> Supplementary Figure 1</w:t>
      </w:r>
      <w:r w:rsidR="00D2624F" w:rsidRPr="00C11F21">
        <w:rPr>
          <w:rFonts w:ascii="Book Antiqua" w:hAnsi="Book Antiqua" w:cstheme="minorHAnsi"/>
          <w:sz w:val="24"/>
          <w:szCs w:val="24"/>
          <w:lang w:val="en-US"/>
        </w:rPr>
        <w:t>)</w:t>
      </w:r>
      <w:r w:rsidR="007D1507" w:rsidRPr="00C11F21">
        <w:rPr>
          <w:rFonts w:ascii="Book Antiqua" w:hAnsi="Book Antiqua" w:cstheme="minorHAnsi"/>
          <w:sz w:val="24"/>
          <w:szCs w:val="24"/>
          <w:lang w:val="en-US"/>
        </w:rPr>
        <w:t xml:space="preserve">. </w:t>
      </w:r>
      <w:r w:rsidR="006B46D4" w:rsidRPr="00C11F21">
        <w:rPr>
          <w:rFonts w:ascii="Book Antiqua" w:hAnsi="Book Antiqua" w:cstheme="minorHAnsi"/>
          <w:sz w:val="24"/>
          <w:szCs w:val="24"/>
          <w:lang w:val="en-US"/>
        </w:rPr>
        <w:t>Other relevant aa changes</w:t>
      </w:r>
      <w:r w:rsidR="006B46D4" w:rsidRPr="00C11F21">
        <w:rPr>
          <w:rFonts w:ascii="Book Antiqua" w:hAnsi="Book Antiqua" w:cs="Arial"/>
          <w:sz w:val="24"/>
          <w:szCs w:val="24"/>
          <w:lang w:val="en-US"/>
        </w:rPr>
        <w:t xml:space="preserve"> in the </w:t>
      </w:r>
      <w:r w:rsidR="00DC4529" w:rsidRPr="00C11F21">
        <w:rPr>
          <w:rFonts w:ascii="Book Antiqua" w:hAnsi="Book Antiqua" w:cstheme="minorHAnsi"/>
          <w:sz w:val="24"/>
          <w:szCs w:val="24"/>
          <w:lang w:val="en-US"/>
        </w:rPr>
        <w:t>NTCP-</w:t>
      </w:r>
      <w:r w:rsidR="006B46D4" w:rsidRPr="00C11F21">
        <w:rPr>
          <w:rFonts w:ascii="Book Antiqua" w:hAnsi="Book Antiqua" w:cstheme="minorHAnsi"/>
          <w:sz w:val="24"/>
          <w:szCs w:val="24"/>
          <w:lang w:val="en-US"/>
        </w:rPr>
        <w:t>interacting and virion morphogenesis domains</w:t>
      </w:r>
      <w:r w:rsidR="00CE0FBD" w:rsidRPr="00C11F21">
        <w:rPr>
          <w:rFonts w:ascii="Book Antiqua" w:hAnsi="Book Antiqua" w:cstheme="minorHAnsi"/>
          <w:sz w:val="24"/>
          <w:szCs w:val="24"/>
          <w:lang w:val="en-US"/>
        </w:rPr>
        <w:t xml:space="preserve"> of the patients and their frequencies</w:t>
      </w:r>
      <w:r w:rsidR="005C659B" w:rsidRPr="00C11F21">
        <w:rPr>
          <w:rFonts w:ascii="Book Antiqua" w:hAnsi="Book Antiqua" w:cstheme="minorHAnsi"/>
          <w:sz w:val="24"/>
          <w:szCs w:val="24"/>
          <w:lang w:val="en-US"/>
        </w:rPr>
        <w:t xml:space="preserve"> </w:t>
      </w:r>
      <w:r w:rsidR="00CE0FBD" w:rsidRPr="00C11F21">
        <w:rPr>
          <w:rFonts w:ascii="Book Antiqua" w:hAnsi="Book Antiqua" w:cstheme="minorHAnsi"/>
          <w:sz w:val="24"/>
          <w:szCs w:val="24"/>
          <w:lang w:val="en-US"/>
        </w:rPr>
        <w:t xml:space="preserve">are </w:t>
      </w:r>
      <w:r w:rsidR="005C659B" w:rsidRPr="00C11F21">
        <w:rPr>
          <w:rFonts w:ascii="Book Antiqua" w:hAnsi="Book Antiqua" w:cstheme="minorHAnsi"/>
          <w:sz w:val="24"/>
          <w:szCs w:val="24"/>
          <w:lang w:val="en-US"/>
        </w:rPr>
        <w:t>shown in Supplementary T</w:t>
      </w:r>
      <w:r w:rsidR="005C659B" w:rsidRPr="00C11F21" w:rsidDel="001C242A">
        <w:rPr>
          <w:rFonts w:ascii="Book Antiqua" w:hAnsi="Book Antiqua" w:cstheme="minorHAnsi"/>
          <w:sz w:val="24"/>
          <w:szCs w:val="24"/>
          <w:lang w:val="en-US"/>
        </w:rPr>
        <w:t xml:space="preserve">able </w:t>
      </w:r>
      <w:r w:rsidR="005C659B" w:rsidRPr="00C11F21">
        <w:rPr>
          <w:rFonts w:ascii="Book Antiqua" w:hAnsi="Book Antiqua" w:cstheme="minorHAnsi"/>
          <w:sz w:val="24"/>
          <w:szCs w:val="24"/>
          <w:lang w:val="en-US"/>
        </w:rPr>
        <w:t>2</w:t>
      </w:r>
      <w:r w:rsidR="005C659B" w:rsidRPr="00C11F21" w:rsidDel="001C242A">
        <w:rPr>
          <w:rFonts w:ascii="Book Antiqua" w:hAnsi="Book Antiqua" w:cstheme="minorHAnsi"/>
          <w:sz w:val="24"/>
          <w:szCs w:val="24"/>
          <w:lang w:val="en-US"/>
        </w:rPr>
        <w:t xml:space="preserve">. </w:t>
      </w:r>
    </w:p>
    <w:p w14:paraId="48C1E48B" w14:textId="77777777" w:rsidR="005E7DA6" w:rsidRPr="00C11F21" w:rsidRDefault="005E7DA6" w:rsidP="00F33187">
      <w:pPr>
        <w:snapToGrid w:val="0"/>
        <w:spacing w:after="0" w:line="360" w:lineRule="auto"/>
        <w:jc w:val="both"/>
        <w:rPr>
          <w:rFonts w:ascii="Book Antiqua" w:hAnsi="Book Antiqua" w:cstheme="minorHAnsi"/>
          <w:sz w:val="24"/>
          <w:szCs w:val="24"/>
          <w:lang w:val="en-US"/>
        </w:rPr>
      </w:pPr>
    </w:p>
    <w:p w14:paraId="0ED2EC79" w14:textId="77777777" w:rsidR="002E7C97" w:rsidRPr="00C11F21" w:rsidRDefault="002E7C97" w:rsidP="00F33187">
      <w:pPr>
        <w:snapToGrid w:val="0"/>
        <w:spacing w:after="0" w:line="360" w:lineRule="auto"/>
        <w:jc w:val="both"/>
        <w:rPr>
          <w:rFonts w:ascii="Book Antiqua" w:hAnsi="Book Antiqua" w:cstheme="minorHAnsi"/>
          <w:b/>
          <w:i/>
          <w:sz w:val="24"/>
          <w:szCs w:val="24"/>
          <w:lang w:val="en-US"/>
        </w:rPr>
      </w:pPr>
      <w:r w:rsidRPr="00C11F21">
        <w:rPr>
          <w:rFonts w:ascii="Book Antiqua" w:hAnsi="Book Antiqua" w:cstheme="minorHAnsi"/>
          <w:b/>
          <w:i/>
          <w:sz w:val="24"/>
          <w:szCs w:val="24"/>
          <w:lang w:val="en-US"/>
        </w:rPr>
        <w:t xml:space="preserve">SLC10A1 gene rs2296651 (S267F) polymorphism </w:t>
      </w:r>
    </w:p>
    <w:p w14:paraId="4CC68824" w14:textId="0B6766D4" w:rsidR="002E7C97" w:rsidRPr="00C11F21" w:rsidRDefault="002E7C97" w:rsidP="00F33187">
      <w:pPr>
        <w:snapToGrid w:val="0"/>
        <w:spacing w:after="0" w:line="360" w:lineRule="auto"/>
        <w:jc w:val="both"/>
        <w:rPr>
          <w:rFonts w:ascii="Book Antiqua" w:hAnsi="Book Antiqua" w:cstheme="minorHAnsi"/>
          <w:sz w:val="24"/>
          <w:szCs w:val="24"/>
          <w:lang w:val="en-US"/>
        </w:rPr>
      </w:pPr>
      <w:r w:rsidRPr="00C11F21">
        <w:rPr>
          <w:rFonts w:ascii="Book Antiqua" w:hAnsi="Book Antiqua" w:cstheme="minorHAnsi"/>
          <w:sz w:val="24"/>
          <w:szCs w:val="24"/>
          <w:lang w:val="en-US"/>
        </w:rPr>
        <w:t>The</w:t>
      </w:r>
      <w:r w:rsidRPr="00C11F21">
        <w:rPr>
          <w:rFonts w:ascii="Book Antiqua" w:hAnsi="Book Antiqua" w:cstheme="minorHAnsi"/>
          <w:i/>
          <w:sz w:val="24"/>
          <w:szCs w:val="24"/>
          <w:lang w:val="en-US"/>
        </w:rPr>
        <w:t xml:space="preserve"> SLC10A1</w:t>
      </w:r>
      <w:r w:rsidRPr="00C11F21">
        <w:rPr>
          <w:rFonts w:ascii="Book Antiqua" w:hAnsi="Book Antiqua" w:cstheme="minorHAnsi"/>
          <w:sz w:val="24"/>
          <w:szCs w:val="24"/>
          <w:lang w:val="en-US"/>
        </w:rPr>
        <w:t xml:space="preserve"> gene rs2296651 SNP (S267F) was determined in all 246 </w:t>
      </w:r>
      <w:r w:rsidR="00D66BD5" w:rsidRPr="00C11F21">
        <w:rPr>
          <w:rFonts w:ascii="Book Antiqua" w:hAnsi="Book Antiqua" w:cstheme="minorHAnsi"/>
          <w:sz w:val="24"/>
          <w:szCs w:val="24"/>
          <w:lang w:val="en-US"/>
        </w:rPr>
        <w:t>individuals</w:t>
      </w:r>
      <w:r w:rsidRPr="00C11F21">
        <w:rPr>
          <w:rFonts w:ascii="Book Antiqua" w:hAnsi="Book Antiqua" w:cstheme="minorHAnsi"/>
          <w:sz w:val="24"/>
          <w:szCs w:val="24"/>
          <w:lang w:val="en-US"/>
        </w:rPr>
        <w:t xml:space="preserve"> recruited (95.53% Caucasian, 2% Asian, and 2.47% Sub-Saharan), which constituted a representative population of patients from the outpatient clinic of our hospital. None of them presented the SNP. </w:t>
      </w:r>
      <w:r w:rsidR="00A7412D" w:rsidRPr="00C11F21">
        <w:rPr>
          <w:rFonts w:ascii="Book Antiqua" w:hAnsi="Book Antiqua" w:cstheme="minorHAnsi"/>
          <w:sz w:val="24"/>
          <w:szCs w:val="24"/>
          <w:lang w:val="en-US"/>
        </w:rPr>
        <w:t>R</w:t>
      </w:r>
      <w:r w:rsidRPr="00C11F21">
        <w:rPr>
          <w:rFonts w:ascii="Book Antiqua" w:hAnsi="Book Antiqua" w:cstheme="minorHAnsi"/>
          <w:sz w:val="24"/>
          <w:szCs w:val="24"/>
          <w:lang w:val="en-US"/>
        </w:rPr>
        <w:t>e</w:t>
      </w:r>
      <w:r w:rsidR="00A7412D" w:rsidRPr="00C11F21">
        <w:rPr>
          <w:rFonts w:ascii="Book Antiqua" w:hAnsi="Book Antiqua" w:cstheme="minorHAnsi"/>
          <w:sz w:val="24"/>
          <w:szCs w:val="24"/>
          <w:lang w:val="en-US"/>
        </w:rPr>
        <w:t xml:space="preserve">al-time PCR results </w:t>
      </w:r>
      <w:r w:rsidRPr="00C11F21">
        <w:rPr>
          <w:rFonts w:ascii="Book Antiqua" w:hAnsi="Book Antiqua" w:cstheme="minorHAnsi"/>
          <w:sz w:val="24"/>
          <w:szCs w:val="24"/>
          <w:lang w:val="en-US"/>
        </w:rPr>
        <w:t>were also confirmed by direct sequencing</w:t>
      </w:r>
      <w:r w:rsidR="00A7412D" w:rsidRPr="00C11F21">
        <w:rPr>
          <w:rFonts w:ascii="Book Antiqua" w:hAnsi="Book Antiqua" w:cstheme="minorHAnsi"/>
          <w:sz w:val="24"/>
          <w:szCs w:val="24"/>
          <w:lang w:val="en-US"/>
        </w:rPr>
        <w:t xml:space="preserve"> in 18 blood samples from the 3 groups:</w:t>
      </w:r>
      <w:r w:rsidR="00A7412D" w:rsidRPr="00C11F21" w:rsidDel="002C5566">
        <w:rPr>
          <w:rFonts w:ascii="Book Antiqua" w:hAnsi="Book Antiqua" w:cstheme="minorHAnsi"/>
          <w:sz w:val="24"/>
          <w:szCs w:val="24"/>
          <w:lang w:val="en-US"/>
        </w:rPr>
        <w:t xml:space="preserve"> A (12), B (4)</w:t>
      </w:r>
      <w:r w:rsidR="00A7412D" w:rsidRPr="00C11F21">
        <w:rPr>
          <w:rFonts w:ascii="Book Antiqua" w:hAnsi="Book Antiqua" w:cstheme="minorHAnsi"/>
          <w:sz w:val="24"/>
          <w:szCs w:val="24"/>
          <w:lang w:val="en-US"/>
        </w:rPr>
        <w:t>,</w:t>
      </w:r>
      <w:r w:rsidR="00A7412D" w:rsidRPr="00C11F21" w:rsidDel="002C5566">
        <w:rPr>
          <w:rFonts w:ascii="Book Antiqua" w:hAnsi="Book Antiqua" w:cstheme="minorHAnsi"/>
          <w:sz w:val="24"/>
          <w:szCs w:val="24"/>
          <w:lang w:val="en-US"/>
        </w:rPr>
        <w:t xml:space="preserve"> and C (2).</w:t>
      </w:r>
    </w:p>
    <w:p w14:paraId="7761B108" w14:textId="77777777" w:rsidR="005C659B" w:rsidRPr="00C11F21" w:rsidDel="001C242A" w:rsidRDefault="005C659B" w:rsidP="00F33187">
      <w:pPr>
        <w:snapToGrid w:val="0"/>
        <w:spacing w:after="0" w:line="360" w:lineRule="auto"/>
        <w:jc w:val="both"/>
        <w:rPr>
          <w:rFonts w:ascii="Book Antiqua" w:hAnsi="Book Antiqua" w:cstheme="minorHAnsi"/>
          <w:sz w:val="24"/>
          <w:szCs w:val="24"/>
          <w:lang w:val="en-US"/>
        </w:rPr>
      </w:pPr>
    </w:p>
    <w:p w14:paraId="79D16595" w14:textId="77777777" w:rsidR="005C659B" w:rsidRPr="00C11F21" w:rsidRDefault="005C659B" w:rsidP="00F33187">
      <w:pPr>
        <w:snapToGrid w:val="0"/>
        <w:spacing w:after="0" w:line="360" w:lineRule="auto"/>
        <w:jc w:val="both"/>
        <w:rPr>
          <w:rFonts w:ascii="Book Antiqua" w:hAnsi="Book Antiqua" w:cstheme="minorHAnsi"/>
          <w:b/>
          <w:sz w:val="24"/>
          <w:szCs w:val="24"/>
          <w:lang w:val="en-US"/>
        </w:rPr>
      </w:pPr>
      <w:r w:rsidRPr="00C11F21">
        <w:rPr>
          <w:rFonts w:ascii="Book Antiqua" w:hAnsi="Book Antiqua" w:cstheme="minorHAnsi"/>
          <w:b/>
          <w:sz w:val="24"/>
          <w:szCs w:val="24"/>
          <w:lang w:val="en-US"/>
        </w:rPr>
        <w:t>DISCUSSION</w:t>
      </w:r>
    </w:p>
    <w:p w14:paraId="7132F1B3" w14:textId="1BF900F7" w:rsidR="005C659B" w:rsidRPr="00C11F21" w:rsidRDefault="005C659B" w:rsidP="00F33187">
      <w:pPr>
        <w:autoSpaceDE w:val="0"/>
        <w:autoSpaceDN w:val="0"/>
        <w:adjustRightInd w:val="0"/>
        <w:snapToGrid w:val="0"/>
        <w:spacing w:after="0" w:line="360" w:lineRule="auto"/>
        <w:jc w:val="both"/>
        <w:rPr>
          <w:rFonts w:ascii="Book Antiqua" w:hAnsi="Book Antiqua" w:cstheme="minorHAnsi"/>
          <w:sz w:val="24"/>
          <w:szCs w:val="24"/>
          <w:lang w:val="en-US"/>
        </w:rPr>
      </w:pPr>
      <w:r w:rsidRPr="00C11F21">
        <w:rPr>
          <w:rFonts w:ascii="Book Antiqua" w:hAnsi="Book Antiqua" w:cstheme="minorHAnsi"/>
          <w:sz w:val="24"/>
          <w:szCs w:val="24"/>
          <w:lang w:val="en-US"/>
        </w:rPr>
        <w:t xml:space="preserve">Since it was first identified as </w:t>
      </w:r>
      <w:r w:rsidR="004137C2" w:rsidRPr="00C11F21">
        <w:rPr>
          <w:rFonts w:ascii="Book Antiqua" w:hAnsi="Book Antiqua" w:cstheme="minorHAnsi"/>
          <w:sz w:val="24"/>
          <w:szCs w:val="24"/>
          <w:lang w:val="en-US"/>
        </w:rPr>
        <w:t>a</w:t>
      </w:r>
      <w:r w:rsidRPr="00C11F21">
        <w:rPr>
          <w:rFonts w:ascii="Book Antiqua" w:hAnsi="Book Antiqua" w:cstheme="minorHAnsi"/>
          <w:sz w:val="24"/>
          <w:szCs w:val="24"/>
          <w:lang w:val="en-US"/>
        </w:rPr>
        <w:t xml:space="preserve"> specific receptor enabling </w:t>
      </w:r>
      <w:r w:rsidR="007F1218" w:rsidRPr="00C11F21">
        <w:rPr>
          <w:rFonts w:ascii="Book Antiqua" w:hAnsi="Book Antiqua" w:cstheme="minorHAnsi"/>
          <w:sz w:val="24"/>
          <w:szCs w:val="24"/>
          <w:lang w:val="en-US"/>
        </w:rPr>
        <w:t xml:space="preserve">HBV </w:t>
      </w:r>
      <w:r w:rsidRPr="00C11F21">
        <w:rPr>
          <w:rFonts w:ascii="Book Antiqua" w:hAnsi="Book Antiqua" w:cstheme="minorHAnsi"/>
          <w:sz w:val="24"/>
          <w:szCs w:val="24"/>
          <w:lang w:val="en-US"/>
        </w:rPr>
        <w:t xml:space="preserve">entry into human hepatocytes, the NTCP bile salt transporter has gained significant attention as a target </w:t>
      </w:r>
      <w:r w:rsidR="00A72AFA" w:rsidRPr="00C11F21">
        <w:rPr>
          <w:rFonts w:ascii="Book Antiqua" w:hAnsi="Book Antiqua" w:cstheme="minorHAnsi"/>
          <w:sz w:val="24"/>
          <w:szCs w:val="24"/>
          <w:lang w:val="en-US"/>
        </w:rPr>
        <w:t>in</w:t>
      </w:r>
      <w:r w:rsidRPr="00C11F21">
        <w:rPr>
          <w:rFonts w:ascii="Book Antiqua" w:hAnsi="Book Antiqua" w:cstheme="minorHAnsi"/>
          <w:sz w:val="24"/>
          <w:szCs w:val="24"/>
          <w:lang w:val="en-US"/>
        </w:rPr>
        <w:t xml:space="preserve"> </w:t>
      </w:r>
      <w:r w:rsidR="0010405A" w:rsidRPr="00C11F21">
        <w:rPr>
          <w:rFonts w:ascii="Book Antiqua" w:hAnsi="Book Antiqua" w:cstheme="minorHAnsi"/>
          <w:sz w:val="24"/>
          <w:szCs w:val="24"/>
          <w:lang w:val="en-US"/>
        </w:rPr>
        <w:t xml:space="preserve">antiviral therapy for </w:t>
      </w:r>
      <w:r w:rsidR="00A72AFA" w:rsidRPr="00C11F21">
        <w:rPr>
          <w:rFonts w:ascii="Book Antiqua" w:hAnsi="Book Antiqua" w:cstheme="minorHAnsi"/>
          <w:sz w:val="24"/>
          <w:szCs w:val="24"/>
          <w:lang w:val="en-US"/>
        </w:rPr>
        <w:t>HBV and HDV</w:t>
      </w:r>
      <w:r w:rsidR="00CE4F7E" w:rsidRPr="00C11F21">
        <w:rPr>
          <w:rFonts w:ascii="Book Antiqua" w:hAnsi="Book Antiqua" w:cstheme="minorHAnsi"/>
          <w:sz w:val="24"/>
          <w:szCs w:val="24"/>
          <w:lang w:val="en-US"/>
        </w:rPr>
        <w:t xml:space="preserve"> (which share the same entry mechanism)</w:t>
      </w:r>
      <w:r w:rsidR="004F4E6E" w:rsidRPr="00C11F21">
        <w:rPr>
          <w:rFonts w:ascii="Book Antiqua" w:hAnsi="Book Antiqua" w:cstheme="minorHAnsi"/>
          <w:sz w:val="24"/>
          <w:szCs w:val="24"/>
          <w:lang w:val="en-US"/>
        </w:rPr>
        <w:fldChar w:fldCharType="begin" w:fldLock="1"/>
      </w:r>
      <w:r w:rsidR="004F4E6E" w:rsidRPr="00C11F21">
        <w:rPr>
          <w:rFonts w:ascii="Book Antiqua" w:hAnsi="Book Antiqua" w:cstheme="minorHAnsi"/>
          <w:sz w:val="24"/>
          <w:szCs w:val="24"/>
          <w:lang w:val="en-US"/>
        </w:rPr>
        <w:instrText>ADDIN CSL_CITATION { "citationItems" : [ { "id" : "ITEM-1", "itemData" : { "DOI" : "10.7554/eLife.00049", "ISBN" : "2050-084X (Electronic)", "ISSN" : "2050-084X", "PMID" : "23150796", "abstract" : "Human hepatitis B virus (HBV) infection and HBV-related diseases remain a major public health problem. Individuals coinfected with its satellite hepatitis D virus (HDV) have more severe disease. Cellular entry of both viruses is mediated by HBV envelope proteins. The pre-S1 domain of the large envelope protein is a key determinant for receptor(s) binding. However, the identity of the receptor(s) is unknown. Here, by using near zero distance photo-cross-linking and tandem affinity purification, we revealed that the receptor-binding region of pre-S1 specifically interacts with sodium taurocholate cotransporting polypeptide (NTCP), a multiple transmembrane transporter predominantly expressed in the liver. Silencing NTCP inhibited HBV and HDV infection, while exogenous NTCP expression rendered nonsusceptible hepatocarcinoma cells susceptible to these viral infections. Moreover, replacing amino acids 157-165 of nonfunctional monkey NTCP with the human counterpart conferred its ability in supporting both viral infections. Our results demonstrate that NTCP is a functional receptor for HBV and HDV.DOI:http://dx.doi.org/10.7554/eLife.00049.001.", "author" : [ { "dropping-particle" : "", "family" : "Yan", "given" : "Huan", "non-dropping-particle" : "", "parse-names" : false, "suffix" : "" }, { "dropping-particle" : "", "family" : "Zhong", "given" : "Guocai", "non-dropping-particle" : "", "parse-names" : false, "suffix" : "" }, { "dropping-particle" : "", "family" : "Xu", "given" : "Guangwei", "non-dropping-particle" : "", "parse-names" : false, "suffix" : "" }, { "dropping-particle" : "", "family" : "He", "given" : "Wenhui", "non-dropping-particle" : "", "parse-names" : false, "suffix" : "" }, { "dropping-particle" : "", "family" : "Jing", "given" : "Zhiyi", "non-dropping-particle" : "", "parse-names" : false, "suffix" : "" }, { "dropping-particle" : "", "family" : "Gao", "given" : "Zhenchao", "non-dropping-particle" : "", "parse-names" : false, "suffix" : "" }, { "dropping-particle" : "", "family" : "Huang", "given" : "Yi", "non-dropping-particle" : "", "parse-names" : false, "suffix" : "" }, { "dropping-particle" : "", "family" : "Qi", "given" : "Yonghe", "non-dropping-particle" : "", "parse-names" : false, "suffix" : "" }, { "dropping-particle" : "", "family" : "Peng", "given" : "Bo", "non-dropping-particle" : "", "parse-names" : false, "suffix" : "" }, { "dropping-particle" : "", "family" : "Wang", "given" : "Haimin", "non-dropping-particle" : "", "parse-names" : false, "suffix" : "" }, { "dropping-particle" : "", "family" : "Fu", "given" : "Liran", "non-dropping-particle" : "", "parse-names" : false, "suffix" : "" }, { "dropping-particle" : "", "family" : "Song", "given" : "Mei", "non-dropping-particle" : "", "parse-names" : false, "suffix" : "" }, { "dropping-particle" : "", "family" : "Chen", "given" : "Pan", "non-dropping-particle" : "", "parse-names" : false, "suffix" : "" }, { "dropping-particle" : "", "family" : "Gao", "given" : "Wenqing", "non-dropping-particle" : "", "parse-names" : false, "suffix" : "" }, { "dropping-particle" : "", "family" : "Ren", "given" : "Bijie", "non-dropping-particle" : "", "parse-names" : false, "suffix" : "" }, { "dropping-particle" : "", "family" : "Sun", "given" : "Yinyan", "non-dropping-particle" : "", "parse-names" : false, "suffix" : "" }, { "dropping-particle" : "", "family" : "Cai", "given" : "Tao", "non-dropping-particle" : "", "parse-names" : false, "suffix" : "" }, { "dropping-particle" : "", "family" : "Feng", "given" : "Xiaofeng", "non-dropping-particle" : "", "parse-names" : false, "suffix" : "" }, { "dropping-particle" : "", "family" : "Sui", "given" : "Jianhua", "non-dropping-particle" : "", "parse-names" : false, "suffix" : "" }, { "dropping-particle" : "", "family" : "Li", "given" : "Wenhui", "non-dropping-particle" : "", "parse-names" : false, "suffix" : "" } ], "container-title" : "eLife", "id" : "ITEM-1", "issue" : "1", "issued" : { "date-parts" : [ [ "2012", "11", "13" ] ] }, "page" : "e00049", "title" : "Sodium taurocholate cotransporting polypeptide is a functional receptor for human hepatitis B and D virus.", "type" : "article-journal", "volume" : "1" }, "uris" : [ "http://www.mendeley.com/documents/?uuid=fc143fe4-b77c-44f0-83ee-15f5f4388d46" ] }, { "id" : "ITEM-2", "itemData" : { "DOI" : "10.1159/000360948", "ISSN" : "14230100", "PMID" : "25034482", "abstract" : "Inhibition of virus entry has become a major concept in the development of new antiviral drugs. Entry inhibitors can either neutralize activities of viral surface proteins or target essential host factors such as (co)receptors. Due to its distinct tissue tropism and the highly specific viral and cellular factors involved in its entry, hepatitis B virus (HBV) is an ideal candidate for entry inhibition. Hepatitis B immunoglobulins neutralize infection by binding to the S-domain of HBV surface proteins and are used to prevent reinfection of the graft after liver transplantation. Novel S or preS-specific monoclonal antibodies are currently in development. The identification of sodium-taurocholate cotransporting polypeptide (NTCP) as a bona fide receptor has revealed a suitable target for HBV entry inhibition. NTCP receptor function is blocked by a variety of different agents including Myrcludex B, a synthetic N-acylated preS1-derived lipopeptide that inhibits HBV entry in vitro and in vivo with high efficacy. Current antiviral treatment for chronic HBV-infected patients focuses on the inhibition of the viral polymerase via nucleos(t)ide analogues (NA). Entry inhibitors in combination with NAs could block reinfection and shield naive hepatocytes that emerge from natural liver turnover, opening up new therapeutic options.", "author" : [ { "dropping-particle" : "", "family" : "Lempp", "given" : "Florian A.", "non-dropping-particle" : "", "parse-names" : false, "suffix" : "" }, { "dropping-particle" : "", "family" : "Urban", "given" : "Stephan", "non-dropping-particle" : "", "parse-names" : false, "suffix" : "" } ], "container-title" : "Intervirology", "id" : "ITEM-2", "issue" : "3-4", "issued" : { "date-parts" : [ [ "2014" ] ] }, "page" : "151-157", "title" : "Inhibitors of hepatitis B virus attachment and entry", "type" : "article-journal", "volume" : "57" }, "uris" : [ "http://www.mendeley.com/documents/?uuid=12e65997-81fb-44a9-aaec-b8faf23a514b" ] }, { "id" : "ITEM-3", "itemData" : { "DOI" : "10.1146/annurev-cellbio-100814-125241", "ISSN" : "1081-0706", "PMID" : "26436705", "abstract" : "Hepatitis B virus (HBV) infection affects 240 million people worldwide. A liver-specific bile acid transporter named the sodium taurocholate cotrans-porting polypeptide (NTCP) has been identified as the cellular receptor for HBV and its satellite, the hepatitis D virus (HDV). NTCP likely acts as a major determinant for the liver tropism and species specificity of HBV and HDV at the entry level. NTCP-mediated HBV entry interferes with bile acid transport in cell cultures and has been linked with alterations in bile acid and cholesterol metabolism in vivo. The human liver carcinoma cell line HepG2, complemented with NTCP, now provides a valuable platform for studying the basic biology of the viruses and developing treatments for HBV infection. This review summarizes critical findings regarding NTCP's role as a viral receptor for HBV and HDV and discusses important questions that remain unanswered.", "author" : [ { "dropping-particle" : "", "family" : "Li", "given" : "Wenhui", "non-dropping-particle" : "", "parse-names" : false, "suffix" : "" } ], "container-title" : "Annu. Rev. Cell Dev. Biol", "id" : "ITEM-3", "issued" : { "date-parts" : [ [ "2015" ] ] }, "page" : "125-47", "title" : "The Hepatitis B Virus Receptor", "type" : "article-journal", "volume" : "31" }, "uris" : [ "http://www.mendeley.com/documents/?uuid=eb41d848-b19c-4bf1-b161-688094ddb16d", "http://www.mendeley.com/documents/?uuid=06dc77bc-f33a-4dcb-8f69-07dbea16216f" ] } ], "mendeley" : { "formattedCitation" : "&lt;sup&gt;[12,36,37]&lt;/sup&gt;", "plainTextFormattedCitation" : "[12,36,37]", "previouslyFormattedCitation" : "&lt;sup&gt;[36\u201338]&lt;/sup&gt;" }, "properties" : {  }, "schema" : "https://github.com/citation-style-language/schema/raw/master/csl-citation.json" }</w:instrText>
      </w:r>
      <w:r w:rsidR="004F4E6E" w:rsidRPr="00C11F21">
        <w:rPr>
          <w:rFonts w:ascii="Book Antiqua" w:hAnsi="Book Antiqua" w:cstheme="minorHAnsi"/>
          <w:sz w:val="24"/>
          <w:szCs w:val="24"/>
          <w:lang w:val="en-US"/>
        </w:rPr>
        <w:fldChar w:fldCharType="separate"/>
      </w:r>
      <w:r w:rsidR="004F4E6E" w:rsidRPr="00C11F21">
        <w:rPr>
          <w:rFonts w:ascii="Book Antiqua" w:hAnsi="Book Antiqua" w:cstheme="minorHAnsi"/>
          <w:noProof/>
          <w:sz w:val="24"/>
          <w:szCs w:val="24"/>
          <w:vertAlign w:val="superscript"/>
          <w:lang w:val="en-US"/>
        </w:rPr>
        <w:t>[12,36,37]</w:t>
      </w:r>
      <w:r w:rsidR="004F4E6E" w:rsidRPr="00C11F21">
        <w:rPr>
          <w:rFonts w:ascii="Book Antiqua" w:hAnsi="Book Antiqua" w:cstheme="minorHAnsi"/>
          <w:sz w:val="24"/>
          <w:szCs w:val="24"/>
          <w:lang w:val="en-US"/>
        </w:rPr>
        <w:fldChar w:fldCharType="end"/>
      </w:r>
      <w:r w:rsidRPr="00C11F21">
        <w:rPr>
          <w:rFonts w:ascii="Book Antiqua" w:hAnsi="Book Antiqua" w:cstheme="minorHAnsi"/>
          <w:sz w:val="24"/>
          <w:szCs w:val="24"/>
          <w:lang w:val="en-US"/>
        </w:rPr>
        <w:t xml:space="preserve">. </w:t>
      </w:r>
      <w:r w:rsidR="00DA6222" w:rsidRPr="00C11F21">
        <w:rPr>
          <w:rFonts w:ascii="Book Antiqua" w:hAnsi="Book Antiqua" w:cstheme="minorHAnsi"/>
          <w:sz w:val="24"/>
          <w:szCs w:val="24"/>
          <w:lang w:val="en-US"/>
        </w:rPr>
        <w:t>The interaction between viral particles and this transporter is mediated by the region between aa 2 and 48 (</w:t>
      </w:r>
      <w:r w:rsidR="00734CCA" w:rsidRPr="00C11F21">
        <w:rPr>
          <w:rFonts w:ascii="Book Antiqua" w:hAnsi="Book Antiqua" w:cstheme="minorHAnsi"/>
          <w:sz w:val="24"/>
          <w:szCs w:val="24"/>
          <w:lang w:val="en-US"/>
        </w:rPr>
        <w:t xml:space="preserve">HBV </w:t>
      </w:r>
      <w:r w:rsidR="007056D4" w:rsidRPr="00C11F21">
        <w:rPr>
          <w:rFonts w:ascii="Book Antiqua" w:hAnsi="Book Antiqua" w:cstheme="minorHAnsi"/>
          <w:sz w:val="24"/>
          <w:szCs w:val="24"/>
          <w:lang w:val="en-US"/>
        </w:rPr>
        <w:t>genotype D numeration</w:t>
      </w:r>
      <w:r w:rsidR="00DA6222" w:rsidRPr="00C11F21">
        <w:rPr>
          <w:rFonts w:ascii="Book Antiqua" w:hAnsi="Book Antiqua" w:cstheme="minorHAnsi"/>
          <w:sz w:val="24"/>
          <w:szCs w:val="24"/>
          <w:lang w:val="en-US"/>
        </w:rPr>
        <w:t>) of the preS1 N-terminal end of LHBs</w:t>
      </w:r>
      <w:r w:rsidR="004F4E6E" w:rsidRPr="00C11F21">
        <w:rPr>
          <w:rFonts w:ascii="Book Antiqua" w:hAnsi="Book Antiqua" w:cstheme="minorHAnsi"/>
          <w:sz w:val="24"/>
          <w:szCs w:val="24"/>
          <w:lang w:val="en-US"/>
        </w:rPr>
        <w:fldChar w:fldCharType="begin" w:fldLock="1"/>
      </w:r>
      <w:r w:rsidR="004F4E6E" w:rsidRPr="00C11F21">
        <w:rPr>
          <w:rFonts w:ascii="Book Antiqua" w:hAnsi="Book Antiqua" w:cstheme="minorHAnsi"/>
          <w:sz w:val="24"/>
          <w:szCs w:val="24"/>
          <w:lang w:val="en-US"/>
        </w:rPr>
        <w:instrText>ADDIN CSL_CITATION { "citationItems" : [ { "id" : "ITEM-1", "itemData" : { "ISSN" : "0022-538X", "PMID" : "9971786", "abstract" : "During the life cycle of hepatitis B virus (HBV), the large envelope protein (L) plays a pivotal role. Indeed, this polypeptide is essential for viral assembly and probably for the infection process. By performing mutagenesis experiments, we have previously excluded a putative involvement of the pre-S2 domain of the L protein in viral infectivity. In the present study, we have evaluated the role of the pre-S1 region in HBV infection. For this purpose, 21 mutants of the L protein were created. The entire pre-S1 domain was covered by contiguous deletions of 5 amino acids. First, after transfection into HepG2 cells, the efficient expression of both glycosylated and unglycosylated L mutant proteins was verified. The secretion rate of envelope proteins was modified positively or negatively by deletions, indicating that the pre-S1 domain contains several regulating sequences able to influence the surface protein secretion. The ability of mutant proteins to support the production of virions was then studied. Only the four C-terminal deletions, covering the 17 amino acids suspected to interact with the cytoplasmic nucleocapsids, inhibited virion release. Finally, the presence of the modified pre-S1 domain at the external side of all secreted virions was confirmed, and their infectivity was assayed on normal human hepatocytes in primary culture. Only a short sequence including amino acids 78 to 87 tolerates internal deletions without affecting viral infectivity. These results confirm the involvement of the L protein in the infection step and demonstrate that the sequence between amino acids 3 and 77 is involved in this process.", "author" : [ { "dropping-particle" : "", "family" : "Seyec", "given" : "J", "non-dropping-particle" : "Le", "parse-names" : false, "suffix" : "" }, { "dropping-particle" : "", "family" : "Chouteau", "given" : "P", "non-dropping-particle" : "", "parse-names" : false, "suffix" : "" }, { "dropping-particle" : "", "family" : "Cannie", "given" : "I", "non-dropping-particle" : "", "parse-names" : false, "suffix" : "" }, { "dropping-particle" : "", "family" : "Guguen-Guillouzo", "given" : "C", "non-dropping-particle" : "", "parse-names" : false, "suffix" : "" }, { "dropping-particle" : "", "family" : "Gripon", "given" : "P", "non-dropping-particle" : "", "parse-names" : false, "suffix" : "" } ], "container-title" : "Journal of virology", "id" : "ITEM-1", "issue" : "3", "issued" : { "date-parts" : [ [ "1999", "3" ] ] }, "page" : "2052-7", "title" : "Infection process of the hepatitis B virus depends on the presence of a defined sequence in the pre-S1 domain.", "type" : "article-journal", "volume" : "73" }, "uris" : [ "http://www.mendeley.com/documents/?uuid=8b64efc2-7972-477d-bf26-0295e01b76c3" ] }, { "id" : "ITEM-2", "itemData" : { "DOI" : "10.1128/JVI.00096-07", "ISBN" : "0022-538X", "ISSN" : "0022-538X", "PMID" : "17376925", "abstract" : "The N-terminal pre-S domain of the large hepatitis B virus (HBV) envelope protein plays a pivotal role at the initial step of the viral entry pathway. In the present study, the entire pre-S domain was mapped for infectivity determinants, following a reverse-genetics approach and using in vitro infection assays with hepatitis delta virus (HDV) or HBV particles. The results demonstrate that lesions created within the N-terminal 75 amino acids of the pre-S region abrogate infectivity, whereas mutations between amino acids 76 and 113, overlapping the matrix domain, had no effect. In contrast to the results of a recent study (L. Stoeckl, A. Funk, A. Kopitzki, B. Brandenburg, S. Oess, H. Will, H. Sirma, and E. Hildt, Proc. Natl. Acad. Sci. 103:6730-6734, 2006), the deletion of a cell membrane translocation motif (TLM) located between amino acids 148 and 161 at the C terminus of pre-S2 did not interfere with the infectivity of the resulting HDV or HBV mutants. Furthermore, a series of large deletions overlapping the pre-S2 domain were compatible with infectivity, although the efficiency of infection was reduced when the deletions extended to the pre-S1 domain. Overall, the results demonstrate that the activity of the pre-S domain at viral entry solely depends on the integrity of its first 75 amino acids and thus excludes any function of the matrix domain or TLM.", "author" : [ { "dropping-particle" : "", "family" : "Blanchet", "given" : "Matthieu", "non-dropping-particle" : "", "parse-names" : false, "suffix" : "" }, { "dropping-particle" : "", "family" : "Sureau", "given" : "Camille", "non-dropping-particle" : "", "parse-names" : false, "suffix" : "" } ], "container-title" : "Journal of virology", "id" : "ITEM-2", "issue" : "11", "issued" : { "date-parts" : [ [ "2007", "6" ] ] }, "page" : "5841-9", "title" : "Infectivity determinants of the hepatitis B virus pre-S domain are confined to the N-terminal 75 amino acid residues.", "type" : "article-journal", "volume" : "81" }, "uris" : [ "http://www.mendeley.com/documents/?uuid=2732447b-0af3-47f4-a74a-591889dcb719" ] }, { "id" : "ITEM-3", "itemData" : { "DOI" : "10.1053/j.gastro.2005.03.090", "ISBN" : "0016-5085 (Print)", "ISSN" : "00165085", "PMID" : "16012950", "abstract" : "Background &amp; Aims: Studies on the early steps in the life cycle of hepatitis B virus have been hampered by the lack of readily available target cells. In this study, we mapped a defined virus attachment site to primary hepatocytes that is essential for infection. Methods: We used purified virus particles from human carrier plasma as an inoculum and primary cultures of tupaia hepatocytes as susceptible target cells and studied the inhibitory effect of amino-terminally acylated preS1-derived lipopeptides on infection interference. Results: Infectivity of virus could be blocked efficiently in this system by amino-terminally acylated peptides containing amino acids 2-18 from the preS1 domain. The addition of amino acids 28-48 enhanced the inhibitory capacity, whereas amino acids 49-78 did not contribute to inhibition. Myristoylated preS1 peptides 2-48 bound strongly to tupaia hepatocytes but not to nonhepatic cells or rodent hepatocytes and thereby inhibited infection even at concentrations of 1 nmol/L completely. Particles consisting only of the small hepatitis B surface protein-the active component of current hepatitis B vaccines-did not bind at all to tupaia hepatocytes, but the addition of the preS1 domain to the particles allowed binding. Conclusions: The preS1 sequence 2-48 mediates attachment of the virus to its target cells, whereas the small surface protein seems to be involved in other steps. These findings indicate that the current subunit hepatitis B vaccines may be improved by the addition of distinct preS1 epitopes. Moreover, preS1 lipopeptides are promising candidates for specific antiviral therapy against hepatitis B infections. \u00a9 2005 by the American Gastroenterological Association.", "author" : [ { "dropping-particle" : "", "family" : "Glebe", "given" : "Dieter", "non-dropping-particle" : "", "parse-names" : false, "suffix" : "" }, { "dropping-particle" : "", "family" : "Urban", "given" : "Stephan", "non-dropping-particle" : "", "parse-names" : false, "suffix" : "" }, { "dropping-particle" : "V.", "family" : "Knoop", "given" : "Eva", "non-dropping-particle" : "", "parse-names" : false, "suffix" : "" }, { "dropping-particle" : "", "family" : "\u00c7a\u01e7", "given" : "Nilg\u00fcn", "non-dropping-particle" : "", "parse-names" : false, "suffix" : "" }, { "dropping-particle" : "", "family" : "Krass", "given" : "Peter", "non-dropping-particle" : "", "parse-names" : false, "suffix" : "" }, { "dropping-particle" : "", "family" : "Gr\u00fcn", "given" : "Stefanie", "non-dropping-particle" : "", "parse-names" : false, "suffix" : "" }, { "dropping-particle" : "", "family" : "Bulavaite", "given" : "Aiste", "non-dropping-particle" : "", "parse-names" : false, "suffix" : "" }, { "dropping-particle" : "", "family" : "Sasnauskas", "given" : "Kestutis", "non-dropping-particle" : "", "parse-names" : false, "suffix" : "" }, { "dropping-particle" : "", "family" : "Gerlich", "given" : "Wolfram H.", "non-dropping-particle" : "", "parse-names" : false, "suffix" : "" } ], "container-title" : "Gastroenterology", "id" : "ITEM-3", "issue" : "1", "issued" : { "date-parts" : [ [ "2005" ] ] }, "page" : "234-245", "title" : "Mapping of the hepatitis B virus attachment site by use of infection-inhibiting preS1 lipopeptides and tupaia hepatocytes", "type" : "article-journal", "volume" : "129" }, "uris" : [ "http://www.mendeley.com/documents/?uuid=52c29662-dbb6-4994-8bdb-549ab936e7bb" ] }, { "id" : "ITEM-4", "itemData" : { "DOI" : "10.1128/JVI.79.3.1613", "ISBN" : "0022-538X (Print)\\r0022-538X (Linking)", "ISSN" : "0022-538X", "PMID" : "15650187", "abstract" : "The lack of an appropriate in vitro infection system for the major human pathogen hepatitis B virus (HBV) has prevented a molecular understanding of the early infection events of HBV. We used the novel HBV-infectible cell line HepaRG and primary human hepatocytes to investigate the interference of infection by HBV envelope protein-derived peptides. We found that a peptide consisting of the authentically myristoylated N-terminal 47 amino acids of the pre-S1 domain of the large viral envelope protein (L protein) specifically prevented HBV infection, with a 50% inhibitory concentration (IC50) of 8 nM. The replacement of myristic acid with other hydrophobic moieties resulted in changes in the inhibitory activity, most notably by a decrease in the IC50 to picomolar concentrations for longer unbranched fatty acids. The obstruction of HepaRG cell susceptibility to HBV infection after short preincubation times with the peptides suggested that the peptides efficiently target and inactivate a receptor at the hepatocyte surface. Our data both shed light on the molecular mechanism of HBV entry into hepatocytes and provide a basis for the development of potent hepadnaviral entry inhibitors as a novel therapeutic concept for the treatment of hepatitis Beta.", "author" : [ { "dropping-particle" : "", "family" : "Gripon", "given" : "Philippe", "non-dropping-particle" : "", "parse-names" : false, "suffix" : "" }, { "dropping-particle" : "", "family" : "Cannie", "given" : "Isabelle", "non-dropping-particle" : "", "parse-names" : false, "suffix" : "" }, { "dropping-particle" : "", "family" : "Urban", "given" : "Stephan", "non-dropping-particle" : "", "parse-names" : false, "suffix" : "" } ], "container-title" : "Journal of Virology", "id" : "ITEM-4", "issue" : "3", "issued" : { "date-parts" : [ [ "2005" ] ] }, "page" : "1613-1622", "title" : "Efficient Inhibition of Hepatitis B Virus Infection by Acylated Peptides Derived from the Large Viral Surface Protein.", "type" : "article-journal", "volume" : "79" }, "uris" : [ "http://www.mendeley.com/documents/?uuid=1b7f44b2-3727-452e-80ac-0d908b763115" ] } ], "mendeley" : { "formattedCitation" : "&lt;sup&gt;[15\u201318]&lt;/sup&gt;", "plainTextFormattedCitation" : "[15\u201318]" }, "properties" : {  }, "schema" : "https://github.com/citation-style-language/schema/raw/master/csl-citation.json" }</w:instrText>
      </w:r>
      <w:r w:rsidR="004F4E6E" w:rsidRPr="00C11F21">
        <w:rPr>
          <w:rFonts w:ascii="Book Antiqua" w:hAnsi="Book Antiqua" w:cstheme="minorHAnsi"/>
          <w:sz w:val="24"/>
          <w:szCs w:val="24"/>
          <w:lang w:val="en-US"/>
        </w:rPr>
        <w:fldChar w:fldCharType="separate"/>
      </w:r>
      <w:r w:rsidR="004F4E6E" w:rsidRPr="00C11F21">
        <w:rPr>
          <w:rFonts w:ascii="Book Antiqua" w:hAnsi="Book Antiqua" w:cstheme="minorHAnsi"/>
          <w:noProof/>
          <w:sz w:val="24"/>
          <w:szCs w:val="24"/>
          <w:vertAlign w:val="superscript"/>
          <w:lang w:val="en-US"/>
        </w:rPr>
        <w:t>[15</w:t>
      </w:r>
      <w:r w:rsidR="004F4E6E" w:rsidRPr="00C11F21">
        <w:rPr>
          <w:rFonts w:ascii="Book Antiqua" w:hAnsi="Book Antiqua" w:cstheme="minorHAnsi" w:hint="eastAsia"/>
          <w:noProof/>
          <w:sz w:val="24"/>
          <w:szCs w:val="24"/>
          <w:vertAlign w:val="superscript"/>
          <w:lang w:val="en-US" w:eastAsia="zh-CN"/>
        </w:rPr>
        <w:t>-</w:t>
      </w:r>
      <w:r w:rsidR="004F4E6E" w:rsidRPr="00C11F21">
        <w:rPr>
          <w:rFonts w:ascii="Book Antiqua" w:hAnsi="Book Antiqua" w:cstheme="minorHAnsi"/>
          <w:noProof/>
          <w:sz w:val="24"/>
          <w:szCs w:val="24"/>
          <w:vertAlign w:val="superscript"/>
          <w:lang w:val="en-US"/>
        </w:rPr>
        <w:t>18]</w:t>
      </w:r>
      <w:r w:rsidR="004F4E6E" w:rsidRPr="00C11F21">
        <w:rPr>
          <w:rFonts w:ascii="Book Antiqua" w:hAnsi="Book Antiqua" w:cstheme="minorHAnsi"/>
          <w:sz w:val="24"/>
          <w:szCs w:val="24"/>
          <w:lang w:val="en-US"/>
        </w:rPr>
        <w:fldChar w:fldCharType="end"/>
      </w:r>
      <w:r w:rsidR="00CE4F7E" w:rsidRPr="00C11F21">
        <w:rPr>
          <w:rFonts w:ascii="Book Antiqua" w:hAnsi="Book Antiqua" w:cstheme="minorHAnsi"/>
          <w:sz w:val="24"/>
          <w:szCs w:val="24"/>
          <w:lang w:val="en-US"/>
        </w:rPr>
        <w:t>,</w:t>
      </w:r>
      <w:r w:rsidR="00DA6222" w:rsidRPr="00C11F21">
        <w:rPr>
          <w:rFonts w:ascii="Book Antiqua" w:hAnsi="Book Antiqua" w:cstheme="minorHAnsi"/>
          <w:sz w:val="24"/>
          <w:szCs w:val="24"/>
          <w:lang w:val="en-US"/>
        </w:rPr>
        <w:t xml:space="preserve"> where aa 2 </w:t>
      </w:r>
      <w:r w:rsidR="002F7BC3" w:rsidRPr="00C11F21">
        <w:rPr>
          <w:rFonts w:ascii="Book Antiqua" w:hAnsi="Book Antiqua" w:cstheme="minorHAnsi"/>
          <w:sz w:val="24"/>
          <w:szCs w:val="24"/>
          <w:lang w:val="en-US"/>
        </w:rPr>
        <w:t xml:space="preserve">(glycine) </w:t>
      </w:r>
      <w:r w:rsidR="00DA6222" w:rsidRPr="00C11F21">
        <w:rPr>
          <w:rFonts w:ascii="Book Antiqua" w:hAnsi="Book Antiqua" w:cstheme="minorHAnsi"/>
          <w:sz w:val="24"/>
          <w:szCs w:val="24"/>
          <w:lang w:val="en-US"/>
        </w:rPr>
        <w:t xml:space="preserve">must be bound to myristic acid </w:t>
      </w:r>
      <w:r w:rsidR="00A76D90" w:rsidRPr="00C11F21">
        <w:rPr>
          <w:rFonts w:ascii="Book Antiqua" w:hAnsi="Book Antiqua" w:cstheme="minorHAnsi"/>
          <w:sz w:val="24"/>
          <w:szCs w:val="24"/>
          <w:lang w:val="en-US"/>
        </w:rPr>
        <w:t>(N-myr) for the viral particles to be infective</w:t>
      </w:r>
      <w:r w:rsidR="005B043F" w:rsidRPr="00C11F21">
        <w:rPr>
          <w:rFonts w:ascii="Book Antiqua" w:hAnsi="Book Antiqua" w:cstheme="minorHAnsi"/>
          <w:sz w:val="24"/>
          <w:szCs w:val="24"/>
          <w:lang w:val="en-US"/>
        </w:rPr>
        <w:fldChar w:fldCharType="begin" w:fldLock="1"/>
      </w:r>
      <w:r w:rsidR="005B043F" w:rsidRPr="00C11F21">
        <w:rPr>
          <w:rFonts w:ascii="Book Antiqua" w:hAnsi="Book Antiqua" w:cstheme="minorHAnsi"/>
          <w:sz w:val="24"/>
          <w:szCs w:val="24"/>
          <w:lang w:val="en-US"/>
        </w:rPr>
        <w:instrText>ADDIN CSL_CITATION { "citationItems" : [ { "id" : "ITEM-1", "itemData" : { "DOI" : "10.1006/viro.1996.0209", "ISBN" : "0042-6822 (Print)\\r0042-6822 (Linking)", "ISSN" : "0042-6822", "PMID" : "8610467", "abstract" : "The large surface protein (L) of the enveloped hepatitis B virus (HBV) is myristylated at glycine 2. To investigate whether this fatty acid moiety is required for HBV infectivity we made use of a point mutant in which the myristyl acceptor was mutated to a nonfunctional alanine. The mutant virus and a wild-type control were expressed in a human hepatoma cell line by transfection of genomic DNA constructs. Comparable amounts of virions were secreted by both strains as measured by the endogenous polymerase activity of immunoprecipitated virions. The presentation of an N-terminal epitope of L on the virion surface was not influenced by the mutation. To test the infectivity of this mutant virus primary human hepatocytes were incubated with the media of transfected cells. The covalently circular closed HBV DNA molecules generated after infection were discriminated from the open circular DNA genomes of inoculated virions by a sensitive PCR-based technique. The experiments demonstrated that the wild type was infectious but not the myristate negative mutant. This reflects the phenotype of an homologous duck hepatitis B virus mutant although the N-terminal L protein domains of this virus and of HBV show no primary sequence homology.", "author" : [ { "dropping-particle" : "", "family" : "Bruss", "given" : "V", "non-dropping-particle" : "", "parse-names" : false, "suffix" : "" }, { "dropping-particle" : "", "family" : "Hagelstein", "given" : "J", "non-dropping-particle" : "", "parse-names" : false, "suffix" : "" }, { "dropping-particle" : "", "family" : "Gerhardt", "given" : "E", "non-dropping-particle" : "", "parse-names" : false, "suffix" : "" }, { "dropping-particle" : "", "family" : "Galle", "given" : "P R", "non-dropping-particle" : "", "parse-names" : false, "suffix" : "" } ], "container-title" : "Virology", "id" : "ITEM-1", "issue" : "2", "issued" : { "date-parts" : [ [ "1996" ] ] }, "page" : "396-399", "title" : "Myristylation of the large surface protein is required for hepatitis B virus in vitro infectivity.", "type" : "article-journal", "volume" : "218" }, "uris" : [ "http://www.mendeley.com/documents/?uuid=66560e47-da0a-4990-a404-5fcefa00f3df", "http://www.mendeley.com/documents/?uuid=0da580d0-42d0-4e1a-8fbf-dc5bb40457fa" ] }, { "id" : "ITEM-2", "itemData" : { "DOI" : "10.1006/viro.1995.0002", "ISBN" : "0042-6822 (Print)\\r0042-6822 (Linking)", "ISSN" : "0042-6822", "PMID" : "7491754", "abstract" : "The hepatitis B virus (HBV) envelope contains equimolar amounts of three viral proteins: the major (S), middle, and large (L) polypeptides. Their roles in the adsorption and penetration of the virus have not yet been elucidated. We have used a highly efficient in vitro model that permits reproducible HBV infection to investigate whether N-myristylation, a posttranslational modification of the L protein, was essential for viral infectivity. A point mutation abolishing myristylation was introduced into the HBV genome. Mutant virions were produced by transfecting viral DNA into hepatoma cells and their infectivity was evaluated on primary human hepatocyte cultures. No difference between mutant and wild-type viral RNA production could be observed. Furthermore, intermediate DNA replicative forms were observed in transfected cells demonstrating replication competence of mutant viral genomes. In addition, complete virions were produced in the cell supernatant. However, we found that mutant viral particles contained viral DNA with a reduced mean size, probably corresponding to a larger single-stranded region in the relaxed circular DNA form. We have evidenced the presence of pre-S1, pre-S2, and S epitopes at the outer surface of these virions by using immunoprecipitation with specific monoclonal antibodies. This result confirmed that mutant viruses were normally assembled. By contrast, myristylation-defective mutants completely lost their infectivity for human hepatocytes in primary cultures as shown by the absence of HBs antigen production and viral intermediate replicative forms in hepatocytes. In conclusion, the myristylation of the L protein is not required for the production of Dane-like particles but it is absolutely necessary for HBV infectivity.", "author" : [ { "dropping-particle" : "", "family" : "Gripon", "given" : "Philippe", "non-dropping-particle" : "", "parse-names" : false, "suffix" : "" }, { "dropping-particle" : "", "family" : "Seyec", "given" : "J", "non-dropping-particle" : "Le", "parse-names" : false, "suffix" : "" }, { "dropping-particle" : "", "family" : "Rumin", "given" : "S", "non-dropping-particle" : "", "parse-names" : false, "suffix" : "" }, { "dropping-particle" : "", "family" : "Guguen-Guillouzo", "given" : "C", "non-dropping-particle" : "", "parse-names" : false, "suffix" : "" } ], "container-title" : "Virology", "id" : "ITEM-2", "issue" : "2", "issued" : { "date-parts" : [ [ "1995" ] ] }, "page" : "292-299", "title" : "Myristylation of the hepatitis B virus large surface protein is essential for viral infectivity.", "type" : "article-journal", "volume" : "213" }, "uris" : [ "http://www.mendeley.com/documents/?uuid=ced846ae-2602-4b8b-a8cd-4b6290d5383b", "http://www.mendeley.com/documents/?uuid=8249eb68-3065-477a-b209-7d6159186a79" ] } ], "mendeley" : { "formattedCitation" : "&lt;sup&gt;[38,39]&lt;/sup&gt;", "plainTextFormattedCitation" : "[38,39]", "previouslyFormattedCitation" : "&lt;sup&gt;[39,40]&lt;/sup&gt;" }, "properties" : {  }, "schema" : "https://github.com/citation-style-language/schema/raw/master/csl-citation.json" }</w:instrText>
      </w:r>
      <w:r w:rsidR="005B043F" w:rsidRPr="00C11F21">
        <w:rPr>
          <w:rFonts w:ascii="Book Antiqua" w:hAnsi="Book Antiqua" w:cstheme="minorHAnsi"/>
          <w:sz w:val="24"/>
          <w:szCs w:val="24"/>
          <w:lang w:val="en-US"/>
        </w:rPr>
        <w:fldChar w:fldCharType="separate"/>
      </w:r>
      <w:r w:rsidR="005B043F" w:rsidRPr="00C11F21">
        <w:rPr>
          <w:rFonts w:ascii="Book Antiqua" w:hAnsi="Book Antiqua" w:cstheme="minorHAnsi"/>
          <w:noProof/>
          <w:sz w:val="24"/>
          <w:szCs w:val="24"/>
          <w:vertAlign w:val="superscript"/>
          <w:lang w:val="en-US"/>
        </w:rPr>
        <w:t>[38,39]</w:t>
      </w:r>
      <w:r w:rsidR="005B043F" w:rsidRPr="00C11F21">
        <w:rPr>
          <w:rFonts w:ascii="Book Antiqua" w:hAnsi="Book Antiqua" w:cstheme="minorHAnsi"/>
          <w:sz w:val="24"/>
          <w:szCs w:val="24"/>
          <w:lang w:val="en-US"/>
        </w:rPr>
        <w:fldChar w:fldCharType="end"/>
      </w:r>
      <w:r w:rsidR="00A76D90" w:rsidRPr="00C11F21">
        <w:rPr>
          <w:rFonts w:ascii="Book Antiqua" w:hAnsi="Book Antiqua" w:cstheme="minorHAnsi"/>
          <w:sz w:val="24"/>
          <w:szCs w:val="24"/>
          <w:lang w:val="en-US"/>
        </w:rPr>
        <w:t>. Identification of this interaction has allowed the development of drugs that can block HBV</w:t>
      </w:r>
      <w:r w:rsidR="006209FB" w:rsidRPr="00C11F21">
        <w:rPr>
          <w:rFonts w:ascii="Book Antiqua" w:hAnsi="Book Antiqua" w:cstheme="minorHAnsi"/>
          <w:sz w:val="24"/>
          <w:szCs w:val="24"/>
          <w:lang w:val="en-US"/>
        </w:rPr>
        <w:t xml:space="preserve"> entry by targeting NTCP</w:t>
      </w:r>
      <w:r w:rsidR="004F4E6E" w:rsidRPr="00C11F21">
        <w:rPr>
          <w:rFonts w:ascii="Book Antiqua" w:hAnsi="Book Antiqua" w:cstheme="minorHAnsi"/>
          <w:sz w:val="24"/>
          <w:szCs w:val="24"/>
          <w:lang w:val="en-US"/>
        </w:rPr>
        <w:fldChar w:fldCharType="begin" w:fldLock="1"/>
      </w:r>
      <w:r w:rsidR="004F4E6E" w:rsidRPr="00C11F21">
        <w:rPr>
          <w:rFonts w:ascii="Book Antiqua" w:hAnsi="Book Antiqua" w:cstheme="minorHAnsi"/>
          <w:sz w:val="24"/>
          <w:szCs w:val="24"/>
          <w:lang w:val="en-US"/>
        </w:rPr>
        <w:instrText>ADDIN CSL_CITATION { "citationItems" : [ { "id" : "ITEM-1", "itemData" : { "DOI" : "10.1053/j.gastro.2014.04.030", "ISSN" : "15280012", "PMID" : "24768844", "abstract" : "Although there has been much research into the pathogenesis and treatment of hepatitis B virus (HBV) and hepatitis D virus (HDV) infections, we still do not completely understand how these pathogens enter hepatocytes. This is because in vitro infection studies have only been performed in primary human hepatocytes. Development of a polarizable, HBV-susceptible human hepatoma cell line and studies of primary hepatocytes from Tupaia belangeri have provided important insights into the viral and cellular factors involved in virus binding and infection. The large envelope (L) protein on the surface of HBV and HDV particles has many different functions and is required for virus entry. The L protein mediates attachment of virions to heparan sulfate proteoglycans on the surface of hepatocytes. The myristoylated N-terminal preS1 domain of the L protein subsequently binds to the sodium taurocholate cotransporting polypeptide (NTCP, encoded by SLC10A1), the recently identified bona fide receptor for HBV and HDV. The receptor functions of NTCP and virus entry are blocked, in vitro and in vivo, by Myrcludex B, a synthetic N-acylated preS1 lipopeptide. Currently, the only agents available to treat chronic HBV infection target the viral polymerase, and no selective therapies are available for HDV infection. It is therefore important to study the therapeutic potential of virus entry inhibitors, especially when combined with strategies to induce immune-mediated killing of infected hepatocytes. ?? 2014 by the AGA Institute.", "author" : [ { "dropping-particle" : "", "family" : "Urban", "given" : "Stephan", "non-dropping-particle" : "", "parse-names" : false, "suffix" : "" }, { "dropping-particle" : "", "family" : "Bartenschlager", "given" : "Ralf", "non-dropping-particle" : "", "parse-names" : false, "suffix" : "" }, { "dropping-particle" : "", "family" : "Kubitz", "given" : "Ralf", "non-dropping-particle" : "", "parse-names" : false, "suffix" : "" }, { "dropping-particle" : "", "family" : "Zoulim", "given" : "Fabien", "non-dropping-particle" : "", "parse-names" : false, "suffix" : "" } ], "container-title" : "Gastroenterology", "id" : "ITEM-1", "issue" : "1", "issued" : { "date-parts" : [ [ "2014" ] ] }, "page" : "48-64", "publisher" : "Elsevier, Inc", "title" : "Strategies to inhibit entry of HBV and HDV into hepatocytes", "type" : "article-journal", "volume" : "147" }, "uris" : [ "http://www.mendeley.com/documents/?uuid=467646dd-8efa-4384-9cc3-b413dcf9adc4" ] } ], "mendeley" : { "formattedCitation" : "&lt;sup&gt;[20]&lt;/sup&gt;", "plainTextFormattedCitation" : "[20]", "previouslyFormattedCitation" : "&lt;sup&gt;[27]&lt;/sup&gt;" }, "properties" : {  }, "schema" : "https://github.com/citation-style-language/schema/raw/master/csl-citation.json" }</w:instrText>
      </w:r>
      <w:r w:rsidR="004F4E6E" w:rsidRPr="00C11F21">
        <w:rPr>
          <w:rFonts w:ascii="Book Antiqua" w:hAnsi="Book Antiqua" w:cstheme="minorHAnsi"/>
          <w:sz w:val="24"/>
          <w:szCs w:val="24"/>
          <w:lang w:val="en-US"/>
        </w:rPr>
        <w:fldChar w:fldCharType="separate"/>
      </w:r>
      <w:r w:rsidR="004F4E6E" w:rsidRPr="00C11F21">
        <w:rPr>
          <w:rFonts w:ascii="Book Antiqua" w:hAnsi="Book Antiqua" w:cstheme="minorHAnsi"/>
          <w:noProof/>
          <w:sz w:val="24"/>
          <w:szCs w:val="24"/>
          <w:vertAlign w:val="superscript"/>
          <w:lang w:val="en-US"/>
        </w:rPr>
        <w:t>[20]</w:t>
      </w:r>
      <w:r w:rsidR="004F4E6E" w:rsidRPr="00C11F21">
        <w:rPr>
          <w:rFonts w:ascii="Book Antiqua" w:hAnsi="Book Antiqua" w:cstheme="minorHAnsi"/>
          <w:sz w:val="24"/>
          <w:szCs w:val="24"/>
          <w:lang w:val="en-US"/>
        </w:rPr>
        <w:fldChar w:fldCharType="end"/>
      </w:r>
      <w:r w:rsidR="00FC0608" w:rsidRPr="00C11F21">
        <w:rPr>
          <w:rFonts w:ascii="Book Antiqua" w:hAnsi="Book Antiqua" w:cstheme="minorHAnsi"/>
          <w:sz w:val="24"/>
          <w:szCs w:val="24"/>
          <w:lang w:val="en-US"/>
        </w:rPr>
        <w:t>.</w:t>
      </w:r>
      <w:r w:rsidR="006209FB" w:rsidRPr="00C11F21">
        <w:rPr>
          <w:rFonts w:ascii="Book Antiqua" w:hAnsi="Book Antiqua" w:cstheme="minorHAnsi"/>
          <w:sz w:val="24"/>
          <w:szCs w:val="24"/>
          <w:lang w:val="en-US"/>
        </w:rPr>
        <w:t xml:space="preserve"> </w:t>
      </w:r>
      <w:r w:rsidR="00F33B0E" w:rsidRPr="00C11F21">
        <w:rPr>
          <w:rFonts w:ascii="Book Antiqua" w:hAnsi="Book Antiqua" w:cstheme="minorHAnsi"/>
          <w:sz w:val="24"/>
          <w:szCs w:val="24"/>
          <w:lang w:val="en-US"/>
        </w:rPr>
        <w:t>An example of these drugs is</w:t>
      </w:r>
      <w:r w:rsidR="00FC0608" w:rsidRPr="00C11F21">
        <w:rPr>
          <w:rFonts w:ascii="Book Antiqua" w:hAnsi="Book Antiqua" w:cstheme="minorHAnsi"/>
          <w:sz w:val="24"/>
          <w:szCs w:val="24"/>
          <w:lang w:val="en-US"/>
        </w:rPr>
        <w:t xml:space="preserve"> </w:t>
      </w:r>
      <w:r w:rsidRPr="00C11F21">
        <w:rPr>
          <w:rFonts w:ascii="Book Antiqua" w:hAnsi="Book Antiqua" w:cstheme="minorHAnsi"/>
          <w:sz w:val="24"/>
          <w:szCs w:val="24"/>
          <w:lang w:val="en-US"/>
        </w:rPr>
        <w:t xml:space="preserve">Myrcludex-B, a synthetic </w:t>
      </w:r>
      <w:r w:rsidR="00FC0608" w:rsidRPr="00C11F21">
        <w:rPr>
          <w:rFonts w:ascii="Book Antiqua" w:hAnsi="Book Antiqua" w:cstheme="minorHAnsi"/>
          <w:sz w:val="24"/>
          <w:szCs w:val="24"/>
          <w:lang w:val="en-US"/>
        </w:rPr>
        <w:t>myrist</w:t>
      </w:r>
      <w:r w:rsidR="00F63F2E" w:rsidRPr="00C11F21">
        <w:rPr>
          <w:rFonts w:ascii="Book Antiqua" w:hAnsi="Book Antiqua" w:cstheme="minorHAnsi"/>
          <w:sz w:val="24"/>
          <w:szCs w:val="24"/>
          <w:lang w:val="en-US"/>
        </w:rPr>
        <w:t>o</w:t>
      </w:r>
      <w:r w:rsidR="00FC0608" w:rsidRPr="00C11F21">
        <w:rPr>
          <w:rFonts w:ascii="Book Antiqua" w:hAnsi="Book Antiqua" w:cstheme="minorHAnsi"/>
          <w:sz w:val="24"/>
          <w:szCs w:val="24"/>
          <w:lang w:val="en-US"/>
        </w:rPr>
        <w:t xml:space="preserve">ylated </w:t>
      </w:r>
      <w:r w:rsidRPr="00C11F21">
        <w:rPr>
          <w:rFonts w:ascii="Book Antiqua" w:hAnsi="Book Antiqua" w:cstheme="minorHAnsi"/>
          <w:sz w:val="24"/>
          <w:szCs w:val="24"/>
          <w:lang w:val="en-US"/>
        </w:rPr>
        <w:t>47</w:t>
      </w:r>
      <w:r w:rsidR="00F71D5B" w:rsidRPr="00C11F21">
        <w:rPr>
          <w:rFonts w:ascii="Book Antiqua" w:hAnsi="Book Antiqua" w:cstheme="minorHAnsi"/>
          <w:sz w:val="24"/>
          <w:szCs w:val="24"/>
          <w:lang w:val="en-US"/>
        </w:rPr>
        <w:t>-</w:t>
      </w:r>
      <w:r w:rsidRPr="00C11F21">
        <w:rPr>
          <w:rFonts w:ascii="Book Antiqua" w:hAnsi="Book Antiqua" w:cstheme="minorHAnsi"/>
          <w:sz w:val="24"/>
          <w:szCs w:val="24"/>
          <w:lang w:val="en-US"/>
        </w:rPr>
        <w:t>aa lipopeptide derived from aa 2</w:t>
      </w:r>
      <w:r w:rsidR="00A72AFA" w:rsidRPr="00C11F21">
        <w:rPr>
          <w:rFonts w:ascii="Book Antiqua" w:hAnsi="Book Antiqua" w:cstheme="minorHAnsi"/>
          <w:sz w:val="24"/>
          <w:szCs w:val="24"/>
          <w:lang w:val="en-US"/>
        </w:rPr>
        <w:t xml:space="preserve"> to </w:t>
      </w:r>
      <w:r w:rsidRPr="00C11F21">
        <w:rPr>
          <w:rFonts w:ascii="Book Antiqua" w:hAnsi="Book Antiqua" w:cstheme="minorHAnsi"/>
          <w:sz w:val="24"/>
          <w:szCs w:val="24"/>
          <w:lang w:val="en-US"/>
        </w:rPr>
        <w:t xml:space="preserve">48 of preS1, </w:t>
      </w:r>
      <w:r w:rsidR="000726B3" w:rsidRPr="00C11F21">
        <w:rPr>
          <w:rFonts w:ascii="Book Antiqua" w:hAnsi="Book Antiqua" w:cstheme="minorHAnsi"/>
          <w:sz w:val="24"/>
          <w:szCs w:val="24"/>
          <w:lang w:val="en-US"/>
        </w:rPr>
        <w:t xml:space="preserve">which </w:t>
      </w:r>
      <w:r w:rsidRPr="00C11F21">
        <w:rPr>
          <w:rFonts w:ascii="Book Antiqua" w:hAnsi="Book Antiqua" w:cstheme="minorHAnsi"/>
          <w:sz w:val="24"/>
          <w:szCs w:val="24"/>
          <w:lang w:val="en-US"/>
        </w:rPr>
        <w:t xml:space="preserve">has proven to effectively block HBV </w:t>
      </w:r>
      <w:r w:rsidR="002F7BC3" w:rsidRPr="00C11F21">
        <w:rPr>
          <w:rFonts w:ascii="Book Antiqua" w:hAnsi="Book Antiqua" w:cstheme="minorHAnsi"/>
          <w:sz w:val="24"/>
          <w:szCs w:val="24"/>
          <w:lang w:val="en-US"/>
        </w:rPr>
        <w:t xml:space="preserve">cellular </w:t>
      </w:r>
      <w:r w:rsidRPr="00C11F21">
        <w:rPr>
          <w:rFonts w:ascii="Book Antiqua" w:hAnsi="Book Antiqua" w:cstheme="minorHAnsi"/>
          <w:sz w:val="24"/>
          <w:szCs w:val="24"/>
          <w:lang w:val="en-US"/>
        </w:rPr>
        <w:t xml:space="preserve">entry </w:t>
      </w:r>
      <w:r w:rsidRPr="00C11F21">
        <w:rPr>
          <w:rFonts w:ascii="Book Antiqua" w:hAnsi="Book Antiqua" w:cstheme="minorHAnsi"/>
          <w:i/>
          <w:sz w:val="24"/>
          <w:szCs w:val="24"/>
          <w:lang w:val="en-US"/>
        </w:rPr>
        <w:t>in vitro</w:t>
      </w:r>
      <w:r w:rsidR="0015237C" w:rsidRPr="00C11F21">
        <w:rPr>
          <w:rFonts w:ascii="Book Antiqua" w:hAnsi="Book Antiqua" w:cstheme="minorHAnsi"/>
          <w:sz w:val="24"/>
          <w:szCs w:val="24"/>
          <w:lang w:val="en-US"/>
        </w:rPr>
        <w:fldChar w:fldCharType="begin" w:fldLock="1"/>
      </w:r>
      <w:r w:rsidR="0015237C" w:rsidRPr="00C11F21">
        <w:rPr>
          <w:rFonts w:ascii="Book Antiqua" w:hAnsi="Book Antiqua" w:cstheme="minorHAnsi"/>
          <w:sz w:val="24"/>
          <w:szCs w:val="24"/>
          <w:lang w:val="en-US"/>
        </w:rPr>
        <w:instrText>ADDIN CSL_CITATION { "citationItems" : [ { "id" : "ITEM-1", "itemData" : { "DOI" : "10.1128/JVI.79.3.1613", "ISBN" : "0022-538X (Print)\\r0022-538X (Linking)", "ISSN" : "0022-538X", "PMID" : "15650187", "abstract" : "The lack of an appropriate in vitro infection system for the major human pathogen hepatitis B virus (HBV) has prevented a molecular understanding of the early infection events of HBV. We used the novel HBV-infectible cell line HepaRG and primary human hepatocytes to investigate the interference of infection by HBV envelope protein-derived peptides. We found that a peptide consisting of the authentically myristoylated N-terminal 47 amino acids of the pre-S1 domain of the large viral envelope protein (L protein) specifically prevented HBV infection, with a 50% inhibitory concentration (IC50) of 8 nM. The replacement of myristic acid with other hydrophobic moieties resulted in changes in the inhibitory activity, most notably by a decrease in the IC50 to picomolar concentrations for longer unbranched fatty acids. The obstruction of HepaRG cell susceptibility to HBV infection after short preincubation times with the peptides suggested that the peptides efficiently target and inactivate a receptor at the hepatocyte surface. Our data both shed light on the molecular mechanism of HBV entry into hepatocytes and provide a basis for the development of potent hepadnaviral entry inhibitors as a novel therapeutic concept for the treatment of hepatitis Beta.", "author" : [ { "dropping-particle" : "", "family" : "Gripon", "given" : "Philippe", "non-dropping-particle" : "", "parse-names" : false, "suffix" : "" }, { "dropping-particle" : "", "family" : "Cannie", "given" : "Isabelle", "non-dropping-particle" : "", "parse-names" : false, "suffix" : "" }, { "dropping-particle" : "", "family" : "Urban", "given" : "Stephan", "non-dropping-particle" : "", "parse-names" : false, "suffix" : "" } ], "container-title" : "Journal of Virology", "id" : "ITEM-1", "issue" : "3", "issued" : { "date-parts" : [ [ "2005" ] ] }, "page" : "1613-1622", "title" : "Efficient Inhibition of Hepatitis B Virus Infection by Acylated Peptides Derived from the Large Viral Surface Protein.", "type" : "article-journal", "volume" : "79" }, "uris" : [ "http://www.mendeley.com/documents/?uuid=1b7f44b2-3727-452e-80ac-0d908b763115" ] }, { "id" : "ITEM-2", "itemData" : { "DOI" : "10.1128/JVI.01902-09", "ISBN" : "0022-538X", "ISSN" : "1098-5514", "PMID" : "20007265", "abstract" : "Previous studies showed that the N-terminal 75 amino acids of the pre-S1 domain of the hepatitis B virus (HBV) L protein are essential for HBV and hepatitis delta virus (HDV) infectivity. Consistently, synthetic lipopeptides encompassing this sequence or only parts of it efficiently block HBV and HDV infection, presumably through specific interference with a cellular receptor. Crucial for both virus infectivity and the inhibitory activity of the peptides are N-terminal myristoylation and a highly conserved motif within the N-terminal 48 amino acids. To refine the sequence requirements, we synthesized a series of HBV pre-S1 peptides containing deletions, point mutations, d-amino acid exchanges, or genotype-specific sequence permutations. Using the HepaRG cell line and a genotype D-derived virus, we determined the specific inhibitory activities of the peptides and found that (i) lipopeptides with an artificial consensus sequence inhibit HBV genotype D infection more potently than the corresponding genotype D peptides; (ii) point mutations, d-amino acid exchanges, or deletions introduced into the highly conserved part of the pre-S1 domain result in an almost complete loss of activity; and (iii) the flanking sequences comprising amino acids 2 to 8, 16 to 20, and, to a less pronounced extent, 34 to 48 gradually increase the inhibitory activity, while amino acids 21 to 33 behave indifferently. Taken together, our data suggest that HBV pre-S1-mediated receptor interference and, thus, HBV receptor recognition form a highly specific process. It requires an N-terminal acyl moiety and a highly conserved sequence that is present in primate but not rodent or avian hepadnaviruses, indicating different entry pathways for the different family members.", "author" : [ { "dropping-particle" : "", "family" : "Schulze", "given" : "Andreas", "non-dropping-particle" : "", "parse-names" : false, "suffix" : "" }, { "dropping-particle" : "", "family" : "Schieck", "given" : "Alexa", "non-dropping-particle" : "", "parse-names" : false, "suffix" : "" }, { "dropping-particle" : "", "family" : "Ni", "given" : "Yi", "non-dropping-particle" : "", "parse-names" : false, "suffix" : "" }, { "dropping-particle" : "", "family" : "Mier", "given" : "Walter", "non-dropping-particle" : "", "parse-names" : false, "suffix" : "" }, { "dropping-particle" : "", "family" : "Urban", "given" : "Stephan", "non-dropping-particle" : "", "parse-names" : false, "suffix" : "" } ], "container-title" : "Journal of virology", "id" : "ITEM-2", "issue" : "4", "issued" : { "date-parts" : [ [ "2010" ] ] }, "page" : "1989-2000", "title" : "Fine mapping of pre-S sequence requirements for hepatitis B virus large envelope protein-mediated receptor interaction.", "type" : "article-journal", "volume" : "84" }, "uris" : [ "http://www.mendeley.com/documents/?uuid=0eb27c9c-362d-4cfd-b0e5-fe47c0ba5276" ] } ], "mendeley" : { "formattedCitation" : "&lt;sup&gt;[18,40]&lt;/sup&gt;", "plainTextFormattedCitation" : "[18,40]", "previouslyFormattedCitation" : "&lt;sup&gt;[24,41]&lt;/sup&gt;" }, "properties" : {  }, "schema" : "https://github.com/citation-style-language/schema/raw/master/csl-citation.json" }</w:instrText>
      </w:r>
      <w:r w:rsidR="0015237C" w:rsidRPr="00C11F21">
        <w:rPr>
          <w:rFonts w:ascii="Book Antiqua" w:hAnsi="Book Antiqua" w:cstheme="minorHAnsi"/>
          <w:sz w:val="24"/>
          <w:szCs w:val="24"/>
          <w:lang w:val="en-US"/>
        </w:rPr>
        <w:fldChar w:fldCharType="separate"/>
      </w:r>
      <w:r w:rsidR="0015237C" w:rsidRPr="00C11F21">
        <w:rPr>
          <w:rFonts w:ascii="Book Antiqua" w:hAnsi="Book Antiqua" w:cstheme="minorHAnsi"/>
          <w:noProof/>
          <w:sz w:val="24"/>
          <w:szCs w:val="24"/>
          <w:vertAlign w:val="superscript"/>
          <w:lang w:val="en-US"/>
        </w:rPr>
        <w:t>[18,40]</w:t>
      </w:r>
      <w:r w:rsidR="0015237C" w:rsidRPr="00C11F21">
        <w:rPr>
          <w:rFonts w:ascii="Book Antiqua" w:hAnsi="Book Antiqua" w:cstheme="minorHAnsi"/>
          <w:sz w:val="24"/>
          <w:szCs w:val="24"/>
          <w:lang w:val="en-US"/>
        </w:rPr>
        <w:fldChar w:fldCharType="end"/>
      </w:r>
      <w:r w:rsidRPr="00C11F21">
        <w:rPr>
          <w:rFonts w:ascii="Book Antiqua" w:hAnsi="Book Antiqua" w:cstheme="minorHAnsi"/>
          <w:i/>
          <w:sz w:val="24"/>
          <w:szCs w:val="24"/>
          <w:lang w:val="en-US"/>
        </w:rPr>
        <w:t>,</w:t>
      </w:r>
      <w:r w:rsidRPr="00C11F21">
        <w:rPr>
          <w:rFonts w:ascii="Book Antiqua" w:hAnsi="Book Antiqua" w:cstheme="minorHAnsi"/>
          <w:sz w:val="24"/>
          <w:szCs w:val="24"/>
          <w:lang w:val="en-US"/>
        </w:rPr>
        <w:t xml:space="preserve"> </w:t>
      </w:r>
      <w:r w:rsidRPr="00C11F21">
        <w:rPr>
          <w:rFonts w:ascii="Book Antiqua" w:hAnsi="Book Antiqua" w:cstheme="minorHAnsi"/>
          <w:i/>
          <w:sz w:val="24"/>
          <w:szCs w:val="24"/>
          <w:lang w:val="en-US"/>
        </w:rPr>
        <w:t>in vivo</w:t>
      </w:r>
      <w:r w:rsidR="0015237C" w:rsidRPr="00C11F21">
        <w:rPr>
          <w:rFonts w:ascii="Book Antiqua" w:hAnsi="Book Antiqua" w:cstheme="minorHAnsi"/>
          <w:sz w:val="24"/>
          <w:szCs w:val="24"/>
          <w:lang w:val="en-US"/>
        </w:rPr>
        <w:fldChar w:fldCharType="begin" w:fldLock="1"/>
      </w:r>
      <w:r w:rsidR="0015237C" w:rsidRPr="00C11F21">
        <w:rPr>
          <w:rFonts w:ascii="Book Antiqua" w:hAnsi="Book Antiqua" w:cstheme="minorHAnsi"/>
          <w:sz w:val="24"/>
          <w:szCs w:val="24"/>
          <w:lang w:val="en-US"/>
        </w:rPr>
        <w:instrText>ADDIN CSL_CITATION { "citationItems" : [ { "id" : "ITEM-1", "itemData" : { "DOI" : "10.1016/j.jhep.2012.12.008", "ISSN" : "1600-0641", "PMID" : "23246506", "abstract" : "BACKGROUND &amp; AIMS: Currently approved antivirals rarely cure hepatitis B virus (HBV) infection. Therefore additional therapeutic strategies interfering with other viral replication steps are needed. Using synthetic lipopeptides derived from the HBV envelope protein, we previously demonstrated prevention of de novo HBV infection in vivo. We aimed at investigating the ability of the lipopeptide Myrcludex-B to block HBV spreading post-infection.\n\nMETHODS: uPA/SCID mice reconstituted with human hepatocytes were infected with HBV. Daily subcutaneous Myrcludex-B administration was initiated either 3 days, 3 weeks or 8 weeks post HBV inoculation. Viral loads were quantitated in serum and liver, and visualized by immunohistochemistry.\n\nRESULTS: Myrcludex-B efficiently prevented viral spreading from the initially infected human hepatocytes, as demonstrated by the lack of increase in viremia, antigen levels and amount of HBcAg-positive human hepatocytes determined 6 weeks after treatment. Myrcludex-B efficiently blocked HBV dissemination also when treatment was started in the ramp-up phase of infection, in mice displaying moderate levels of circulating virions (median 3 \u00d7 10(6)HBV DNA copies/ml). Notably, after 6 weeks of treatment, not only the amount of HBcAg-positive hepatocytes, but also intrahepatic cccDNA loads, remained comparable to values found in mice sacrificed 3 weeks post-infection. In none of the experimental settings, drug administration affected human hepatocyte half-life or altered virion productivity.\n\nCONCLUSIONS: Myrcludex-B efficiently not only prevented HBV spreading from infected human hepatocytes in vivo, but also hindered amplification of the cccDNA pool in initially infected hepatocytes. Administration of an entry inhibitor, possibly used in combination with current HBV drugs, may improve patients' treatment outcome.", "author" : [ { "dropping-particle" : "", "family" : "Volz", "given" : "Tassilo", "non-dropping-particle" : "", "parse-names" : false, "suffix" : "" }, { "dropping-particle" : "", "family" : "Allweiss", "given" : "Lena", "non-dropping-particle" : "", "parse-names" : false, "suffix" : "" }, { "dropping-particle" : "", "family" : "MBarek", "given" : "Mounira", "non-dropping-particle" : "Ben", "parse-names" : false, "suffix" : "" }, { "dropping-particle" : "", "family" : "Warlich", "given" : "Michael", "non-dropping-particle" : "", "parse-names" : false, "suffix" : "" }, { "dropping-particle" : "", "family" : "Lohse", "given" : "Ansgar W", "non-dropping-particle" : "", "parse-names" : false, "suffix" : "" }, { "dropping-particle" : "", "family" : "Pollok", "given" : "J\u00f6rg M", "non-dropping-particle" : "", "parse-names" : false, "suffix" : "" }, { "dropping-particle" : "", "family" : "Alexandrov", "given" : "Alexander", "non-dropping-particle" : "", "parse-names" : false, "suffix" : "" }, { "dropping-particle" : "", "family" : "Urban", "given" : "Stephan", "non-dropping-particle" : "", "parse-names" : false, "suffix" : "" }, { "dropping-particle" : "", "family" : "Petersen", "given" : "J\u00f6rg", "non-dropping-particle" : "", "parse-names" : false, "suffix" : "" }, { "dropping-particle" : "", "family" : "L\u00fctgehetmann", "given" : "Marc", "non-dropping-particle" : "", "parse-names" : false, "suffix" : "" }, { "dropping-particle" : "", "family" : "Dandri", "given" : "Maura", "non-dropping-particle" : "", "parse-names" : false, "suffix" : "" } ], "container-title" : "Journal of hepatology", "id" : "ITEM-1", "issue" : "5", "issued" : { "date-parts" : [ [ "2013", "5" ] ] }, "page" : "861-7", "title" : "The entry inhibitor Myrcludex-B efficiently blocks intrahepatic virus spreading in humanized mice previously infected with hepatitis B virus.", "type" : "article-journal", "volume" : "58" }, "uris" : [ "http://www.mendeley.com/documents/?uuid=3b6ac77a-d93b-4652-8119-285fe58e62c8" ] }, { "id" : "ITEM-2", "itemData" : { "DOI" : "10.1002/hep.24758", "ISBN" : "0270-9139", "ISSN" : "1527-3350", "PMID" : "22031488", "abstract" : "UNLABELLED No specific drugs are currently available against hepatitis delta virus (HDV), a defective virus leading to the most severe form of chronic viral hepatitis in man. The lack of convenient HDV infection models has hampered the development of effective therapeutics. In this study, na\u00efve and hepatitis B virus (HBV) chronically infected humanized uPA/SCID mice were employed to establish a small animal model of HBV/HDV coinfection and superinfection. For preclinical antiviral drug evaluation, the GMP version of the myristoylated preS-peptide (Myrcludex-B), a lipopeptide derived from the pre-S1 domain of the HBV envelope, was applied to prevent de novo HBV/HDV coinfection in vivo. Virological parameters were determined at serological and intrahepatic level both by real-time polymerase chain reaction (PCR) and by immunohistochemistry. Establishment of HDV infection was highly efficient in both HBV-infected and na\u00efve chimeric mice with HDV titers rising up to 1 \u00d7 10E9 copies/mL. Notably, HDV superinfection led to a median 0.6log reduction of HBV viremia, which although not statistically significant suggests that HDV may hinder HBV replication. In the setting of HBV/HDV simultaneous infection, a majority of human hepatocytes stained HDAg-positive long before HBV spreading was completed, confirming that HDV can replicate intrahepatically also in the absence of HBV infection. Furthermore, the increase of HBV viremia and intrahepatic cccDNA loads was significantly slower than in HBV mono-infected mice. Treatment with the HBV entry inhibitor Myrcludex-B, efficiently hindered the establishment of HDV infection in vivo. CONCLUSION We established an efficient model of HBV/HDV infection to exploit mechanisms of viral interference in human hepatocytes and to test the efficacy of an HDV-entry inhibitor in vivo.", "author" : [ { "dropping-particle" : "", "family" : "L\u00fctgehetmann", "given" : "Marc", "non-dropping-particle" : "", "parse-names" : false, "suffix" : "" }, { "dropping-particle" : "V.", "family" : "Mancke", "given" : "Lida", "non-dropping-particle" : "", "parse-names" : false, "suffix" : "" }, { "dropping-particle" : "", "family" : "Volz", "given" : "Tassilo", "non-dropping-particle" : "", "parse-names" : false, "suffix" : "" }, { "dropping-particle" : "", "family" : "Helbig", "given" : "Martina", "non-dropping-particle" : "", "parse-names" : false, "suffix" : "" }, { "dropping-particle" : "", "family" : "Allweiss", "given" : "Lena", "non-dropping-particle" : "", "parse-names" : false, "suffix" : "" }, { "dropping-particle" : "", "family" : "Bornscheuer", "given" : "Till", "non-dropping-particle" : "", "parse-names" : false, "suffix" : "" }, { "dropping-particle" : "", "family" : "Pollok", "given" : "Joerg M.", "non-dropping-particle" : "", "parse-names" : false, "suffix" : "" }, { "dropping-particle" : "", "family" : "Lohse", "given" : "Ansgar W.", "non-dropping-particle" : "", "parse-names" : false, "suffix" : "" }, { "dropping-particle" : "", "family" : "Petersen", "given" : "J.", "non-dropping-particle" : "", "parse-names" : false, "suffix" : "" }, { "dropping-particle" : "", "family" : "Urban", "given" : "Stephan", "non-dropping-particle" : "", "parse-names" : false, "suffix" : "" }, { "dropping-particle" : "", "family" : "Dandri", "given" : "Maura", "non-dropping-particle" : "", "parse-names" : false, "suffix" : "" } ], "container-title" : "Hepatology (Baltimore, Md.)", "id" : "ITEM-2", "issue" : "3", "issued" : { "date-parts" : [ [ "2012", "3" ] ] }, "page" : "685-94", "publisher" : "Wiley Subscription Services, Inc., A Wiley Company", "title" : "Humanized chimeric uPA mouse model for the study of hepatitis B and D virus interactions and preclinical drug evaluation.", "type" : "article-journal", "volume" : "55" }, "uris" : [ "http://www.mendeley.com/documents/?uuid=af011ea5-e447-3974-8278-4929a7655b8c" ] }, { "id" : "ITEM-3", "itemData" : { "DOI" : "10.1038/nbt1389", "ISBN" : "1546-1696 (Electronic)\\r1087-0156 (Linking)", "ISSN" : "1546-1696", "PMID" : "18297057", "abstract" : "360 million people are chronically infected with the human hepatitis B virus (HBV) and are consequently prone to develop liver cirrhosis and hepatocellular carcinoma. As approved therapeutic regimens-which modulate patients' antiviral defenses or inhibit the viral reverse transcriptase-are generally noncurative, strategies interfering with other HBV replication steps are required. Expanding on our demonstration that acylated peptides derived from the large HBV envelope protein block virus entry in vitro, we show their applicability to prevent HBV or woolly monkey hepatitis B virus infection in vivo, using immunodeficient urokinase-type plasminogen activator (uPA) mice repopulated with primary human or Tupaia belangeri hepatocytes. Accumulation of the peptides in the liver, their extraordinary inhibitory potency and specific mode of action permit subcutaneous delivery at very low doses. Inhibition of hepadnavirus entry thus constitutes a therapeutic approach to prevent primary HBV infection, such as after liver transplantation, and might also restrain virus spread in chronically infected patients.", "author" : [ { "dropping-particle" : "", "family" : "Petersen", "given" : "Joerg", "non-dropping-particle" : "", "parse-names" : false, "suffix" : "" }, { "dropping-particle" : "", "family" : "Dandri", "given" : "Maura", "non-dropping-particle" : "", "parse-names" : false, "suffix" : "" }, { "dropping-particle" : "", "family" : "Mier", "given" : "Walter", "non-dropping-particle" : "", "parse-names" : false, "suffix" : "" }, { "dropping-particle" : "", "family" : "L\u00fctgehetmann", "given" : "Marc", "non-dropping-particle" : "", "parse-names" : false, "suffix" : "" }, { "dropping-particle" : "", "family" : "Volz", "given" : "Tassilo", "non-dropping-particle" : "", "parse-names" : false, "suffix" : "" }, { "dropping-particle" : "", "family" : "Weizs\u00e4cker", "given" : "Fritz", "non-dropping-particle" : "von", "parse-names" : false, "suffix" : "" }, { "dropping-particle" : "", "family" : "Haberkorn", "given" : "Uwe", "non-dropping-particle" : "", "parse-names" : false, "suffix" : "" }, { "dropping-particle" : "", "family" : "Fischer", "given" : "Lutz", "non-dropping-particle" : "", "parse-names" : false, "suffix" : "" }, { "dropping-particle" : "", "family" : "Pollok", "given" : "Joerg-Matthias", "non-dropping-particle" : "", "parse-names" : false, "suffix" : "" }, { "dropping-particle" : "", "family" : "Erbes", "given" : "Berit", "non-dropping-particle" : "", "parse-names" : false, "suffix" : "" }, { "dropping-particle" : "", "family" : "Seitz", "given" : "Stefan", "non-dropping-particle" : "", "parse-names" : false, "suffix" : "" }, { "dropping-particle" : "", "family" : "Urban", "given" : "Stephan", "non-dropping-particle" : "", "parse-names" : false, "suffix" : "" } ], "container-title" : "Nature biotechnology", "id" : "ITEM-3", "issue" : "3", "issued" : { "date-parts" : [ [ "2008" ] ] }, "page" : "335-41", "title" : "Prevention of hepatitis B virus infection in vivo by entry inhibitors derived from the large envelope protein.", "type" : "article-journal", "volume" : "26" }, "uris" : [ "http://www.mendeley.com/documents/?uuid=930c2b6f-bd79-4dcf-91aa-d806ccd92102" ] } ], "mendeley" : { "formattedCitation" : "&lt;sup&gt;[41\u201343]&lt;/sup&gt;", "plainTextFormattedCitation" : "[41\u201343]", "previouslyFormattedCitation" : "&lt;sup&gt;[42\u201344]&lt;/sup&gt;" }, "properties" : {  }, "schema" : "https://github.com/citation-style-language/schema/raw/master/csl-citation.json" }</w:instrText>
      </w:r>
      <w:r w:rsidR="0015237C" w:rsidRPr="00C11F21">
        <w:rPr>
          <w:rFonts w:ascii="Book Antiqua" w:hAnsi="Book Antiqua" w:cstheme="minorHAnsi"/>
          <w:sz w:val="24"/>
          <w:szCs w:val="24"/>
          <w:lang w:val="en-US"/>
        </w:rPr>
        <w:fldChar w:fldCharType="separate"/>
      </w:r>
      <w:r w:rsidR="0015237C" w:rsidRPr="00C11F21">
        <w:rPr>
          <w:rFonts w:ascii="Book Antiqua" w:hAnsi="Book Antiqua" w:cstheme="minorHAnsi"/>
          <w:noProof/>
          <w:sz w:val="24"/>
          <w:szCs w:val="24"/>
          <w:vertAlign w:val="superscript"/>
          <w:lang w:val="en-US"/>
        </w:rPr>
        <w:t>[41</w:t>
      </w:r>
      <w:r w:rsidR="005B043F" w:rsidRPr="00C11F21">
        <w:rPr>
          <w:rFonts w:ascii="Book Antiqua" w:hAnsi="Book Antiqua" w:cstheme="minorHAnsi" w:hint="eastAsia"/>
          <w:noProof/>
          <w:sz w:val="24"/>
          <w:szCs w:val="24"/>
          <w:vertAlign w:val="superscript"/>
          <w:lang w:val="en-US" w:eastAsia="zh-CN"/>
        </w:rPr>
        <w:t>-</w:t>
      </w:r>
      <w:r w:rsidR="0015237C" w:rsidRPr="00C11F21">
        <w:rPr>
          <w:rFonts w:ascii="Book Antiqua" w:hAnsi="Book Antiqua" w:cstheme="minorHAnsi"/>
          <w:noProof/>
          <w:sz w:val="24"/>
          <w:szCs w:val="24"/>
          <w:vertAlign w:val="superscript"/>
          <w:lang w:val="en-US"/>
        </w:rPr>
        <w:t>43]</w:t>
      </w:r>
      <w:r w:rsidR="0015237C" w:rsidRPr="00C11F21">
        <w:rPr>
          <w:rFonts w:ascii="Book Antiqua" w:hAnsi="Book Antiqua" w:cstheme="minorHAnsi"/>
          <w:sz w:val="24"/>
          <w:szCs w:val="24"/>
          <w:lang w:val="en-US"/>
        </w:rPr>
        <w:fldChar w:fldCharType="end"/>
      </w:r>
      <w:r w:rsidRPr="00C11F21">
        <w:rPr>
          <w:rFonts w:ascii="Book Antiqua" w:hAnsi="Book Antiqua" w:cstheme="minorHAnsi"/>
          <w:i/>
          <w:sz w:val="24"/>
          <w:szCs w:val="24"/>
          <w:lang w:val="en-US"/>
        </w:rPr>
        <w:t>,</w:t>
      </w:r>
      <w:r w:rsidR="00D56467" w:rsidRPr="00C11F21">
        <w:rPr>
          <w:rFonts w:ascii="Book Antiqua" w:hAnsi="Book Antiqua" w:cstheme="minorHAnsi"/>
          <w:sz w:val="24"/>
          <w:szCs w:val="24"/>
          <w:lang w:val="en-US"/>
        </w:rPr>
        <w:t xml:space="preserve"> and</w:t>
      </w:r>
      <w:r w:rsidR="00CE4F7E" w:rsidRPr="00C11F21">
        <w:rPr>
          <w:rFonts w:ascii="Book Antiqua" w:hAnsi="Book Antiqua" w:cstheme="minorHAnsi"/>
          <w:sz w:val="24"/>
          <w:szCs w:val="24"/>
          <w:lang w:val="en-US"/>
        </w:rPr>
        <w:t xml:space="preserve"> in</w:t>
      </w:r>
      <w:r w:rsidR="00D56467" w:rsidRPr="00C11F21">
        <w:rPr>
          <w:rFonts w:ascii="Book Antiqua" w:hAnsi="Book Antiqua" w:cstheme="minorHAnsi"/>
          <w:sz w:val="24"/>
          <w:szCs w:val="24"/>
          <w:lang w:val="en-US"/>
        </w:rPr>
        <w:t xml:space="preserve"> patients included </w:t>
      </w:r>
      <w:r w:rsidR="007F1218" w:rsidRPr="00C11F21">
        <w:rPr>
          <w:rFonts w:ascii="Book Antiqua" w:hAnsi="Book Antiqua" w:cstheme="minorHAnsi"/>
          <w:sz w:val="24"/>
          <w:szCs w:val="24"/>
          <w:lang w:val="en-US"/>
        </w:rPr>
        <w:t xml:space="preserve">in </w:t>
      </w:r>
      <w:r w:rsidRPr="00C11F21">
        <w:rPr>
          <w:rFonts w:ascii="Book Antiqua" w:hAnsi="Book Antiqua" w:cstheme="minorHAnsi"/>
          <w:sz w:val="24"/>
          <w:szCs w:val="24"/>
          <w:lang w:val="en-US"/>
        </w:rPr>
        <w:t>clinical trials</w:t>
      </w:r>
      <w:r w:rsidR="0015237C" w:rsidRPr="00C11F21">
        <w:rPr>
          <w:rFonts w:ascii="Book Antiqua" w:hAnsi="Book Antiqua" w:cstheme="minorHAnsi"/>
          <w:sz w:val="24"/>
          <w:szCs w:val="24"/>
          <w:lang w:val="en-US"/>
        </w:rPr>
        <w:fldChar w:fldCharType="begin" w:fldLock="1"/>
      </w:r>
      <w:r w:rsidR="0015237C" w:rsidRPr="00C11F21">
        <w:rPr>
          <w:rFonts w:ascii="Book Antiqua" w:hAnsi="Book Antiqua" w:cstheme="minorHAnsi"/>
          <w:sz w:val="24"/>
          <w:szCs w:val="24"/>
          <w:lang w:val="en-US"/>
        </w:rPr>
        <w:instrText>ADDIN CSL_CITATION { "citationItems" : [ { "id" : "ITEM-1", "itemData" : { "DOI" : "10.1016/j.jhep.2016.04.016", "ISSN" : "1600-0641", "PMID" : "27132170", "abstract" : "BACKGROUND &amp; AIMS The therapeutic option for patients with chronic hepatitis delta virus infection (CHD) is limited to interferon alpha with rare curative outcome. Myrcludex B is a first-in-class entry inhibitor inactivating the hepatitis B virus (HBV) and hepatitis D virus (HDV) receptor sodium taurocholate co-transporting polypeptide. We report the interim results of a pilot trial on chronically infected HDV patients treated with myrcludex B, or pegylated interferon alpha (PegIFN\u03b1-2a) or their combination. METHODS Twenty-four patients with CHD infection were equally randomized (1:1:1) to receive myrcludex B, or PegIFN\u03b1-2a or their combination. Patients were evaluated for virological and biochemical response and tolerability of the study drugs at weeks 12 and 24. RESULTS Myrcludex B was well tolerated and no serious adverse event occurred. Although hepatitis B surface antigen levels remained unchanged, HDV RNA significantly declined at week 24 in all cohorts. HDV RNA became negative in two patients each in the Myrcludex B and PegIFN\u03b1-2a cohorts, and in five patients of the Myrcludex B+PegIFN\u03b1-2a cohort. ALT decreased significantly in the Myrcludex B cohort (six of eight patients), and HBV DNA was significantly reduced at week 24 in the Myrcludex B+PegIFN\u03b1-2a cohort. Virus kinetic modeling suggested a strong synergistic effect of myrcludex B and PegIFN\u03b1-2a on both HDV and HBV. CONCLUSIONS Myrcludex B showed a strong effect on HDV RNA serum levels and induced ALT normalization under monotherapy. Synergistic antiviral effects on HDV RNA and HBV DNA in the Myr-IFN cohort indicated a benefit of the combination of entry inhibition with PegIFN\u03b1-2a to treat CHD patients. LAY SUMMARY Myrcludex B is a new drug to treat hepatitis B and D infection. After 24weeks of treatment with myrcludex B and/or pegylated interferon \u03b1-2a, HDV R NA, a relevant marker for hepatitis D infection, decreased in all patients with chronic hepatitis B and D. Two of eight patients which received either myrcludex B or pegylated interferon \u03b1-2a, became negative for HDV RNA, and five of seven patients who received both drugs at the same time became negative. The drug was well tolerated.", "author" : [ { "dropping-particle" : "", "family" : "Bogomolov", "given" : "Pavel", "non-dropping-particle" : "", "parse-names" : false, "suffix" : "" }, { "dropping-particle" : "", "family" : "Alexandrov", "given" : "Alexander", "non-dropping-particle" : "", "parse-names" : false, "suffix" : "" }, { "dropping-particle" : "", "family" : "Voronkova", "given" : "Natalia", "non-dropping-particle" : "", "parse-names" : false, "suffix" : "" }, { "dropping-particle" : "", "family" : "Macievich", "given" : "Maria", "non-dropping-particle" : "", "parse-names" : false, "suffix" : "" }, { "dropping-particle" : "", "family" : "Kokina", "given" : "Ksenia", "non-dropping-particle" : "", "parse-names" : false, "suffix" : "" }, { "dropping-particle" : "", "family" : "Petrachenkova", "given" : "Maria", "non-dropping-particle" : "", "parse-names" : false, "suffix" : "" }, { "dropping-particle" : "", "family" : "Lehr", "given" : "Thorsten", "non-dropping-particle" : "", "parse-names" : false, "suffix" : "" }, { "dropping-particle" : "", "family" : "Lempp", "given" : "Florian A.", "non-dropping-particle" : "", "parse-names" : false, "suffix" : "" }, { "dropping-particle" : "", "family" : "Wedemeyer", "given" : "Heiner", "non-dropping-particle" : "", "parse-names" : false, "suffix" : "" }, { "dropping-particle" : "", "family" : "Haag", "given" : "Mathias", "non-dropping-particle" : "", "parse-names" : false, "suffix" : "" }, { "dropping-particle" : "", "family" : "Schwab", "given" : "Matthias", "non-dropping-particle" : "", "parse-names" : false, "suffix" : "" }, { "dropping-particle" : "", "family" : "Haefeli", "given" : "Walter E.", "non-dropping-particle" : "", "parse-names" : false, "suffix" : "" }, { "dropping-particle" : "", "family" : "Blank", "given" : "Antje", "non-dropping-particle" : "", "parse-names" : false, "suffix" : "" }, { "dropping-particle" : "", "family" : "Urban", "given" : "Stephan", "non-dropping-particle" : "", "parse-names" : false, "suffix" : "" } ], "container-title" : "Journal of hepatology", "id" : "ITEM-1", "issue" : "3", "issued" : { "date-parts" : [ [ "2016", "9" ] ] }, "page" : "490-8", "title" : "Treatment of chronic hepatitis D with the entry inhibitor myrcludex B: First results of a phase Ib/IIa study.", "type" : "article-journal", "volume" : "65" }, "uris" : [ "http://www.mendeley.com/documents/?uuid=a9a1fcc0-753b-3b37-b7b6-d6d4c9a90e55" ] }, { "id" : "ITEM-2", "itemData" : { "DOI" : "10.1016/j.jhep.2016.04.013", "ISSN" : "1600-0641", "PMID" : "27132172", "abstract" : "BACKGROUND &amp; AIMS Myrcludex B is a first-in-class compound, which blocks entry of hepatitis B and D virus into hepatocytes in vitro and in animal models. Based on the required preclinical data we aimed to translate this compound into the first application in humans. METHODS Single ascending doses of myrcludex B, a 47 amino acid peptide, were administered up to 20mg intravenously and 10mg subcutaneously in a prospective open first-in-human, phase I clinical trial to 36 healthy volunteers. Safety, tolerability and plasma concentrations of myrcludex B were assessed and a pharmacokinetic model was derived. RESULTS Myrcludex B was well tolerated and no serious or relevant AEs representing off-target effects, and no immunogenic effects were observed up to the highest applied dose of 20mg (intravenously). Myrcludex B showed dose-dependent pharmacokinetics, best described by a 2-compartment target-mediated drug disposition model. Bioavailability of the subcutaneous application was large (85%). Interindividual variability was moderate. The pharmacokinetic model suggested that subcutaneous doses of 10mg and above reach a target saturation of over 80% for at least 15h. CONCLUSIONS Myrcludex B showed excellent tolerability up to high doses. Pharmacologic properties followed a 2-compartment target-mediated drug disposition model. These findings are vital for planning of further multiple dose efficacy trials in patients. LAY SUMMARY After showing antiviral activity in cell culture and animal models, myrcludex B, a new drug intended for the treatment of hepatitis B and D, has been administered the first time in humans. Healthy volunteers received the drug intravenously and subcutaneously up to high doses (20mg). The drug was well tolerated and the characteristics of the drug determining its way in the human body could be described. These results will allow testing myrcludex B in hepatitis B and D patients.", "author" : [ { "dropping-particle" : "", "family" : "Blank", "given" : "Antje", "non-dropping-particle" : "", "parse-names" : false, "suffix" : "" }, { "dropping-particle" : "", "family" : "Markert", "given" : "Christoph", "non-dropping-particle" : "", "parse-names" : false, "suffix" : "" }, { "dropping-particle" : "", "family" : "Hohmann", "given" : "Nicolas", "non-dropping-particle" : "", "parse-names" : false, "suffix" : "" }, { "dropping-particle" : "", "family" : "Carls", "given" : "Alexandra", "non-dropping-particle" : "", "parse-names" : false, "suffix" : "" }, { "dropping-particle" : "", "family" : "Mikus", "given" : "Gerd", "non-dropping-particle" : "", "parse-names" : false, "suffix" : "" }, { "dropping-particle" : "", "family" : "Lehr", "given" : "Thorsten", "non-dropping-particle" : "", "parse-names" : false, "suffix" : "" }, { "dropping-particle" : "", "family" : "Alexandrov", "given" : "Alexander", "non-dropping-particle" : "", "parse-names" : false, "suffix" : "" }, { "dropping-particle" : "", "family" : "Haag", "given" : "Mathias", "non-dropping-particle" : "", "parse-names" : false, "suffix" : "" }, { "dropping-particle" : "", "family" : "Schwab", "given" : "Matthias", "non-dropping-particle" : "", "parse-names" : false, "suffix" : "" }, { "dropping-particle" : "", "family" : "Urban", "given" : "Stephan", "non-dropping-particle" : "", "parse-names" : false, "suffix" : "" }, { "dropping-particle" : "", "family" : "Haefeli", "given" : "Walter E.", "non-dropping-particle" : "", "parse-names" : false, "suffix" : "" } ], "container-title" : "Journal of hepatology", "id" : "ITEM-2", "issue" : "3", "issued" : { "date-parts" : [ [ "2016", "9" ] ] }, "page" : "483-9", "publisher" : "European Association for the Study of the Liver", "title" : "First-in-human application of the novel hepatitis B and hepatitis D virus entry inhibitor myrcludex B.", "type" : "article-journal", "volume" : "65" }, "uris" : [ "http://www.mendeley.com/documents/?uuid=41f74491-8b8d-44ae-91da-7383b5454369" ] } ], "mendeley" : { "formattedCitation" : "&lt;sup&gt;[44,45]&lt;/sup&gt;", "plainTextFormattedCitation" : "[44,45]", "previouslyFormattedCitation" : "&lt;sup&gt;[45,46]&lt;/sup&gt;" }, "properties" : {  }, "schema" : "https://github.com/citation-style-language/schema/raw/master/csl-citation.json" }</w:instrText>
      </w:r>
      <w:r w:rsidR="0015237C" w:rsidRPr="00C11F21">
        <w:rPr>
          <w:rFonts w:ascii="Book Antiqua" w:hAnsi="Book Antiqua" w:cstheme="minorHAnsi"/>
          <w:sz w:val="24"/>
          <w:szCs w:val="24"/>
          <w:lang w:val="en-US"/>
        </w:rPr>
        <w:fldChar w:fldCharType="separate"/>
      </w:r>
      <w:r w:rsidR="0015237C" w:rsidRPr="00C11F21">
        <w:rPr>
          <w:rFonts w:ascii="Book Antiqua" w:hAnsi="Book Antiqua" w:cstheme="minorHAnsi"/>
          <w:noProof/>
          <w:sz w:val="24"/>
          <w:szCs w:val="24"/>
          <w:vertAlign w:val="superscript"/>
          <w:lang w:val="en-US"/>
        </w:rPr>
        <w:t>[44,45]</w:t>
      </w:r>
      <w:r w:rsidR="0015237C" w:rsidRPr="00C11F21">
        <w:rPr>
          <w:rFonts w:ascii="Book Antiqua" w:hAnsi="Book Antiqua" w:cstheme="minorHAnsi"/>
          <w:sz w:val="24"/>
          <w:szCs w:val="24"/>
          <w:lang w:val="en-US"/>
        </w:rPr>
        <w:fldChar w:fldCharType="end"/>
      </w:r>
      <w:r w:rsidRPr="00C11F21">
        <w:rPr>
          <w:rFonts w:ascii="Book Antiqua" w:hAnsi="Book Antiqua" w:cstheme="minorHAnsi"/>
          <w:sz w:val="24"/>
          <w:szCs w:val="24"/>
          <w:lang w:val="en-US"/>
        </w:rPr>
        <w:t xml:space="preserve">. </w:t>
      </w:r>
      <w:r w:rsidR="00A72AFA" w:rsidRPr="00C11F21">
        <w:rPr>
          <w:rFonts w:ascii="Book Antiqua" w:hAnsi="Book Antiqua" w:cstheme="minorHAnsi"/>
          <w:sz w:val="24"/>
          <w:szCs w:val="24"/>
          <w:lang w:val="en-US"/>
        </w:rPr>
        <w:t>In a</w:t>
      </w:r>
      <w:r w:rsidRPr="00C11F21">
        <w:rPr>
          <w:rFonts w:ascii="Book Antiqua" w:hAnsi="Book Antiqua" w:cstheme="minorHAnsi"/>
          <w:sz w:val="24"/>
          <w:szCs w:val="24"/>
          <w:lang w:val="en-US"/>
        </w:rPr>
        <w:t xml:space="preserve"> recent report</w:t>
      </w:r>
      <w:r w:rsidR="00A72AFA" w:rsidRPr="00C11F21">
        <w:rPr>
          <w:rFonts w:ascii="Book Antiqua" w:hAnsi="Book Antiqua" w:cstheme="minorHAnsi"/>
          <w:sz w:val="24"/>
          <w:szCs w:val="24"/>
          <w:lang w:val="en-US"/>
        </w:rPr>
        <w:t>,</w:t>
      </w:r>
      <w:r w:rsidRPr="00C11F21">
        <w:rPr>
          <w:rFonts w:ascii="Book Antiqua" w:hAnsi="Book Antiqua" w:cstheme="minorHAnsi"/>
          <w:sz w:val="24"/>
          <w:szCs w:val="24"/>
          <w:lang w:val="en-US"/>
        </w:rPr>
        <w:t xml:space="preserve"> Tsukuda </w:t>
      </w:r>
      <w:r w:rsidRPr="00C11F21">
        <w:rPr>
          <w:rFonts w:ascii="Book Antiqua" w:hAnsi="Book Antiqua" w:cstheme="minorHAnsi"/>
          <w:i/>
          <w:sz w:val="24"/>
          <w:szCs w:val="24"/>
          <w:lang w:val="en-US"/>
        </w:rPr>
        <w:t>et al</w:t>
      </w:r>
      <w:r w:rsidR="006326CD" w:rsidRPr="00C11F21">
        <w:rPr>
          <w:rFonts w:ascii="Book Antiqua" w:hAnsi="Book Antiqua" w:cstheme="minorHAnsi"/>
          <w:sz w:val="24"/>
          <w:szCs w:val="24"/>
          <w:lang w:val="en-US"/>
        </w:rPr>
        <w:fldChar w:fldCharType="begin" w:fldLock="1"/>
      </w:r>
      <w:r w:rsidR="0092490D" w:rsidRPr="00C11F21">
        <w:rPr>
          <w:rFonts w:ascii="Book Antiqua" w:hAnsi="Book Antiqua" w:cstheme="minorHAnsi"/>
          <w:sz w:val="24"/>
          <w:szCs w:val="24"/>
          <w:lang w:val="en-US"/>
        </w:rPr>
        <w:instrText>ADDIN CSL_CITATION { "citationItems" : [ { "id" : "ITEM-1", "itemData" : { "DOI" : "10.1002/hep.28952", "ISBN" : "8222123270", "ISSN" : "1527-3350", "PMID" : "27863453", "abstract" : "Introduction of direct-acting antivirals against hepatitis C virus (HCV) has provided a revolutionary improvement in the treatment outcome. In contrast to HCV, however, the strategy for developing new antiviral agents against hepatitis B virus (HBV), especially viral-targeting compounds, is limited because HBV requires only four viral genes for its efficient replication/infection. Here, we identify an oligomeric flavonoid, proanthocyanidin (PAC) and its analogs, which inhibit HBV entry into host cells by targeting the HBV large surface protein (LHBs). Through cell-based chemical screening, PAC was identified to inhibit HBV infection with little cytotoxic effect. PAC prevented the attachment of the preS1 region in the LHBs to its cellular receptor, sodium taurocholate cotransporting polypeptide (NTCP). PAC was shown to target HBV particles and impair their infectivity, whereas it did not affect the NTCP-mediated bile acid transport activity. Chemical biological techniques demonstrated that PAC directly interacted with the region essential for receptor binding in the preS1 region in the LHBs protein. Importantly, PAC had a pan-genotypic anti-HBV activity and was also effective against a clinically relevant nucleoside analog-resistant HBV isolate. We further showed that PAC augmented the ability of a nucleoside analog, tenofovir, to interrupt HBV spread over time in primary human hepatocytes by cotreatment. Moreover, derivative analysis could identify small molecules that demonstrated more-potent anti-HBV activity over PAC. CONCLUSION PAC and its analogs represent a new class of anti-HBV agents that directly target the preS1 region of the HBV large surface protein. These agents could contribute to the development of a potent, well-tolerated, and broadly active inhibitor of HBV infection. (Hepatology 2017;65:1104-1116).", "author" : [ { "dropping-particle" : "", "family" : "Tsukuda", "given" : "Senko", "non-dropping-particle" : "", "parse-names" : false, "suffix" : "" }, { "dropping-particle" : "", "family" : "Watashi", "given" : "Koichi", "non-dropping-particle" : "", "parse-names" : false, "suffix" : "" }, { "dropping-particle" : "", "family" : "Hojima", "given" : "Taichi", "non-dropping-particle" : "", "parse-names" : false, "suffix" : "" }, { "dropping-particle" : "", "family" : "Isogawa", "given" : "Masanori", "non-dropping-particle" : "", "parse-names" : false, "suffix" : "" }, { "dropping-particle" : "", "family" : "Iwamoto", "given" : "Masashi", "non-dropping-particle" : "", "parse-names" : false, "suffix" : "" }, { "dropping-particle" : "", "family" : "Omagari", "given" : "Katsumi", "non-dropping-particle" : "", "parse-names" : false, "suffix" : "" }, { "dropping-particle" : "", "family" : "Suzuki", "given" : "Ryosuke", "non-dropping-particle" : "", "parse-names" : false, "suffix" : "" }, { "dropping-particle" : "", "family" : "Aizaki", "given" : "Hideki", "non-dropping-particle" : "", "parse-names" : false, "suffix" : "" }, { "dropping-particle" : "", "family" : "Kojima", "given" : "Soichi", "non-dropping-particle" : "", "parse-names" : false, "suffix" : "" }, { "dropping-particle" : "", "family" : "Sugiyama", "given" : "Masaya", "non-dropping-particle" : "", "parse-names" : false, "suffix" : "" }, { "dropping-particle" : "", "family" : "Saito", "given" : "Akiko", "non-dropping-particle" : "", "parse-names" : false, "suffix" : "" }, { "dropping-particle" : "", "family" : "Tanaka", "given" : "Yasuhito", "non-dropping-particle" : "", "parse-names" : false, "suffix" : "" }, { "dropping-particle" : "", "family" : "Mizokami", "given" : "Masashi", "non-dropping-particle" : "", "parse-names" : false, "suffix" : "" }, { "dropping-particle" : "", "family" : "Sureau", "given" : "Camille", "non-dropping-particle" : "", "parse-names" : false, "suffix" : "" }, { "dropping-particle" : "", "family" : "Wakita", "given" : "Takaji", "non-dropping-particle" : "", "parse-names" : false, "suffix" : "" } ], "container-title" : "Hepatology (Baltimore, Md.)", "id" : "ITEM-1", "issue" : "4", "issued" : { "date-parts" : [ [ "2017", "4", "18" ] ] }, "page" : "1104-1116", "title" : "A new class of hepatitis B and D virus entry inhibitors, proanthocyanidin and its analogs, that directly act on the viral large surface proteins.", "type" : "article-journal", "volume" : "65" }, "uris" : [ "http://www.mendeley.com/documents/?uuid=6f77c287-7aac-47dd-b415-7268730edadd" ] } ], "mendeley" : { "formattedCitation" : "&lt;sup&gt;[46]&lt;/sup&gt;", "plainTextFormattedCitation" : "[46]", "previouslyFormattedCitation" : "&lt;sup&gt;[47]&lt;/sup&gt;" }, "properties" : {  }, "schema" : "https://github.com/citation-style-language/schema/raw/master/csl-citation.json" }</w:instrText>
      </w:r>
      <w:r w:rsidR="006326CD" w:rsidRPr="00C11F21">
        <w:rPr>
          <w:rFonts w:ascii="Book Antiqua" w:hAnsi="Book Antiqua" w:cstheme="minorHAnsi"/>
          <w:sz w:val="24"/>
          <w:szCs w:val="24"/>
          <w:lang w:val="en-US"/>
        </w:rPr>
        <w:fldChar w:fldCharType="separate"/>
      </w:r>
      <w:r w:rsidR="0092490D" w:rsidRPr="00C11F21">
        <w:rPr>
          <w:rFonts w:ascii="Book Antiqua" w:hAnsi="Book Antiqua" w:cstheme="minorHAnsi"/>
          <w:noProof/>
          <w:sz w:val="24"/>
          <w:szCs w:val="24"/>
          <w:vertAlign w:val="superscript"/>
          <w:lang w:val="en-US"/>
        </w:rPr>
        <w:t>[46]</w:t>
      </w:r>
      <w:r w:rsidR="006326CD" w:rsidRPr="00C11F21">
        <w:rPr>
          <w:rFonts w:ascii="Book Antiqua" w:hAnsi="Book Antiqua" w:cstheme="minorHAnsi"/>
          <w:sz w:val="24"/>
          <w:szCs w:val="24"/>
          <w:lang w:val="en-US"/>
        </w:rPr>
        <w:fldChar w:fldCharType="end"/>
      </w:r>
      <w:r w:rsidRPr="00C11F21">
        <w:rPr>
          <w:rFonts w:ascii="Book Antiqua" w:hAnsi="Book Antiqua" w:cstheme="minorHAnsi"/>
          <w:sz w:val="24"/>
          <w:szCs w:val="24"/>
          <w:lang w:val="en-US"/>
        </w:rPr>
        <w:t xml:space="preserve"> explored an alternat</w:t>
      </w:r>
      <w:r w:rsidR="00A72AFA" w:rsidRPr="00C11F21">
        <w:rPr>
          <w:rFonts w:ascii="Book Antiqua" w:hAnsi="Book Antiqua" w:cstheme="minorHAnsi"/>
          <w:sz w:val="24"/>
          <w:szCs w:val="24"/>
          <w:lang w:val="en-US"/>
        </w:rPr>
        <w:t>ive</w:t>
      </w:r>
      <w:r w:rsidRPr="00C11F21">
        <w:rPr>
          <w:rFonts w:ascii="Book Antiqua" w:hAnsi="Book Antiqua" w:cstheme="minorHAnsi"/>
          <w:sz w:val="24"/>
          <w:szCs w:val="24"/>
          <w:lang w:val="en-US"/>
        </w:rPr>
        <w:t xml:space="preserve"> strategy for blocking HBV entry </w:t>
      </w:r>
      <w:r w:rsidRPr="00C11F21">
        <w:rPr>
          <w:rFonts w:ascii="Book Antiqua" w:hAnsi="Book Antiqua" w:cs="TimesNewRoman,Bold"/>
          <w:bCs/>
          <w:sz w:val="24"/>
          <w:szCs w:val="24"/>
          <w:lang w:val="en-US"/>
        </w:rPr>
        <w:t xml:space="preserve">based on proanthocyanidin and its analogs, which directly act on LHBs. </w:t>
      </w:r>
      <w:r w:rsidR="00A72AFA" w:rsidRPr="00C11F21">
        <w:rPr>
          <w:rFonts w:ascii="Book Antiqua" w:hAnsi="Book Antiqua" w:cs="TimesNewRoman,Bold"/>
          <w:bCs/>
          <w:sz w:val="24"/>
          <w:szCs w:val="24"/>
          <w:lang w:val="en-US"/>
        </w:rPr>
        <w:t>Hence,</w:t>
      </w:r>
      <w:r w:rsidRPr="00C11F21">
        <w:rPr>
          <w:rFonts w:ascii="Book Antiqua" w:hAnsi="Book Antiqua" w:cs="TimesNewRoman,Bold"/>
          <w:bCs/>
          <w:sz w:val="24"/>
          <w:szCs w:val="24"/>
          <w:lang w:val="en-US"/>
        </w:rPr>
        <w:t xml:space="preserve"> inhibition of viral </w:t>
      </w:r>
      <w:r w:rsidR="001322D0" w:rsidRPr="00C11F21">
        <w:rPr>
          <w:rFonts w:ascii="Book Antiqua" w:hAnsi="Book Antiqua" w:cs="TimesNewRoman,Bold"/>
          <w:bCs/>
          <w:sz w:val="24"/>
          <w:szCs w:val="24"/>
          <w:lang w:val="en-US"/>
        </w:rPr>
        <w:t xml:space="preserve">cellular </w:t>
      </w:r>
      <w:r w:rsidRPr="00C11F21">
        <w:rPr>
          <w:rFonts w:ascii="Book Antiqua" w:hAnsi="Book Antiqua" w:cs="TimesNewRoman,Bold"/>
          <w:bCs/>
          <w:sz w:val="24"/>
          <w:szCs w:val="24"/>
          <w:lang w:val="en-US"/>
        </w:rPr>
        <w:t xml:space="preserve">entry is becoming consolidated as a viable new </w:t>
      </w:r>
      <w:r w:rsidRPr="00C11F21">
        <w:rPr>
          <w:rFonts w:ascii="Book Antiqua" w:hAnsi="Book Antiqua" w:cs="TimesNewRoman,Bold"/>
          <w:bCs/>
          <w:sz w:val="24"/>
          <w:szCs w:val="24"/>
          <w:lang w:val="en-US"/>
        </w:rPr>
        <w:lastRenderedPageBreak/>
        <w:t xml:space="preserve">therapeutic </w:t>
      </w:r>
      <w:r w:rsidR="00A72AFA" w:rsidRPr="00C11F21">
        <w:rPr>
          <w:rFonts w:ascii="Book Antiqua" w:hAnsi="Book Antiqua" w:cs="TimesNewRoman,Bold"/>
          <w:bCs/>
          <w:sz w:val="24"/>
          <w:szCs w:val="24"/>
          <w:lang w:val="en-US"/>
        </w:rPr>
        <w:t>approach</w:t>
      </w:r>
      <w:r w:rsidRPr="00C11F21">
        <w:rPr>
          <w:rFonts w:ascii="Book Antiqua" w:hAnsi="Book Antiqua" w:cs="TimesNewRoman,Bold"/>
          <w:bCs/>
          <w:sz w:val="24"/>
          <w:szCs w:val="24"/>
          <w:lang w:val="en-US"/>
        </w:rPr>
        <w:t xml:space="preserve"> against HBV infection.</w:t>
      </w:r>
      <w:r w:rsidRPr="00C11F21">
        <w:rPr>
          <w:rFonts w:ascii="Book Antiqua" w:hAnsi="Book Antiqua" w:cstheme="minorHAnsi"/>
          <w:sz w:val="24"/>
          <w:szCs w:val="24"/>
          <w:lang w:val="en-US"/>
        </w:rPr>
        <w:t xml:space="preserve"> In this line,</w:t>
      </w:r>
      <w:r w:rsidR="0015237C" w:rsidRPr="00C11F21">
        <w:rPr>
          <w:rFonts w:ascii="Book Antiqua" w:hAnsi="Book Antiqua" w:cstheme="minorHAnsi" w:hint="eastAsia"/>
          <w:sz w:val="24"/>
          <w:szCs w:val="24"/>
          <w:lang w:val="en-US" w:eastAsia="zh-CN"/>
        </w:rPr>
        <w:t xml:space="preserve"> </w:t>
      </w:r>
      <w:r w:rsidR="00820AD9" w:rsidRPr="00C11F21">
        <w:rPr>
          <w:rFonts w:ascii="Book Antiqua" w:hAnsi="Book Antiqua" w:cstheme="minorHAnsi"/>
          <w:sz w:val="24"/>
          <w:szCs w:val="24"/>
          <w:lang w:val="en-US"/>
        </w:rPr>
        <w:t xml:space="preserve">analysis of </w:t>
      </w:r>
      <w:r w:rsidR="00856251" w:rsidRPr="00C11F21">
        <w:rPr>
          <w:rFonts w:ascii="Book Antiqua" w:hAnsi="Book Antiqua" w:cstheme="minorHAnsi"/>
          <w:sz w:val="24"/>
          <w:szCs w:val="24"/>
          <w:lang w:val="en-US"/>
        </w:rPr>
        <w:t xml:space="preserve">the </w:t>
      </w:r>
      <w:r w:rsidR="00820AD9" w:rsidRPr="00C11F21">
        <w:rPr>
          <w:rFonts w:ascii="Book Antiqua" w:hAnsi="Book Antiqua" w:cstheme="minorHAnsi"/>
          <w:sz w:val="24"/>
          <w:szCs w:val="24"/>
          <w:lang w:val="en-US"/>
        </w:rPr>
        <w:t xml:space="preserve">preS1 N-terminal NTCP-interacting domain and </w:t>
      </w:r>
      <w:r w:rsidR="00856251" w:rsidRPr="00C11F21">
        <w:rPr>
          <w:rFonts w:ascii="Book Antiqua" w:hAnsi="Book Antiqua" w:cstheme="minorHAnsi"/>
          <w:sz w:val="24"/>
          <w:szCs w:val="24"/>
          <w:lang w:val="en-US"/>
        </w:rPr>
        <w:t xml:space="preserve">the </w:t>
      </w:r>
      <w:r w:rsidR="00820AD9" w:rsidRPr="00C11F21">
        <w:rPr>
          <w:rFonts w:ascii="Book Antiqua" w:hAnsi="Book Antiqua" w:cstheme="minorHAnsi"/>
          <w:sz w:val="24"/>
          <w:szCs w:val="24"/>
          <w:lang w:val="en-US"/>
        </w:rPr>
        <w:t xml:space="preserve">presence of the rs2296651 </w:t>
      </w:r>
      <w:r w:rsidR="00856251" w:rsidRPr="00C11F21">
        <w:rPr>
          <w:rFonts w:ascii="Book Antiqua" w:hAnsi="Book Antiqua" w:cstheme="minorHAnsi"/>
          <w:sz w:val="24"/>
          <w:szCs w:val="24"/>
          <w:lang w:val="en-US"/>
        </w:rPr>
        <w:t xml:space="preserve">SNP </w:t>
      </w:r>
      <w:r w:rsidR="00820AD9" w:rsidRPr="00C11F21">
        <w:rPr>
          <w:rFonts w:ascii="Book Antiqua" w:hAnsi="Book Antiqua" w:cstheme="minorHAnsi"/>
          <w:sz w:val="24"/>
          <w:szCs w:val="24"/>
          <w:lang w:val="en-US"/>
        </w:rPr>
        <w:t>(S267F)</w:t>
      </w:r>
      <w:r w:rsidR="00665AAB" w:rsidRPr="00C11F21">
        <w:rPr>
          <w:rFonts w:ascii="Book Antiqua" w:hAnsi="Book Antiqua" w:cstheme="minorHAnsi"/>
          <w:sz w:val="24"/>
          <w:szCs w:val="24"/>
          <w:lang w:val="en-US"/>
        </w:rPr>
        <w:t xml:space="preserve"> </w:t>
      </w:r>
      <w:r w:rsidRPr="00C11F21">
        <w:rPr>
          <w:rFonts w:ascii="Book Antiqua" w:hAnsi="Book Antiqua" w:cstheme="minorHAnsi"/>
          <w:sz w:val="24"/>
          <w:szCs w:val="24"/>
          <w:lang w:val="en-US"/>
        </w:rPr>
        <w:t>may be relevant as prognostic marker</w:t>
      </w:r>
      <w:r w:rsidR="00844E9F" w:rsidRPr="00C11F21">
        <w:rPr>
          <w:rFonts w:ascii="Book Antiqua" w:hAnsi="Book Antiqua" w:cstheme="minorHAnsi"/>
          <w:sz w:val="24"/>
          <w:szCs w:val="24"/>
          <w:lang w:val="en-US"/>
        </w:rPr>
        <w:t>s</w:t>
      </w:r>
      <w:r w:rsidRPr="00C11F21">
        <w:rPr>
          <w:rFonts w:ascii="Book Antiqua" w:hAnsi="Book Antiqua" w:cstheme="minorHAnsi"/>
          <w:sz w:val="24"/>
          <w:szCs w:val="24"/>
          <w:lang w:val="en-US"/>
        </w:rPr>
        <w:t xml:space="preserve"> of </w:t>
      </w:r>
      <w:r w:rsidR="00856251" w:rsidRPr="00C11F21">
        <w:rPr>
          <w:rFonts w:ascii="Book Antiqua" w:hAnsi="Book Antiqua" w:cstheme="minorHAnsi"/>
          <w:sz w:val="24"/>
          <w:szCs w:val="24"/>
          <w:lang w:val="en-US"/>
        </w:rPr>
        <w:t xml:space="preserve">the </w:t>
      </w:r>
      <w:r w:rsidRPr="00C11F21">
        <w:rPr>
          <w:rFonts w:ascii="Book Antiqua" w:hAnsi="Book Antiqua" w:cstheme="minorHAnsi"/>
          <w:sz w:val="24"/>
          <w:szCs w:val="24"/>
          <w:lang w:val="en-US"/>
        </w:rPr>
        <w:t>response to this new therap</w:t>
      </w:r>
      <w:r w:rsidR="00D24E5D" w:rsidRPr="00C11F21">
        <w:rPr>
          <w:rFonts w:ascii="Book Antiqua" w:hAnsi="Book Antiqua" w:cstheme="minorHAnsi"/>
          <w:sz w:val="24"/>
          <w:szCs w:val="24"/>
          <w:lang w:val="en-US"/>
        </w:rPr>
        <w:t>y</w:t>
      </w:r>
      <w:r w:rsidR="00856251" w:rsidRPr="00C11F21">
        <w:rPr>
          <w:rFonts w:ascii="Book Antiqua" w:hAnsi="Book Antiqua" w:cstheme="minorHAnsi"/>
          <w:sz w:val="24"/>
          <w:szCs w:val="24"/>
          <w:lang w:val="en-US"/>
        </w:rPr>
        <w:t xml:space="preserve"> </w:t>
      </w:r>
      <w:r w:rsidR="00D24E5D" w:rsidRPr="00C11F21">
        <w:rPr>
          <w:rFonts w:ascii="Book Antiqua" w:hAnsi="Book Antiqua" w:cstheme="minorHAnsi"/>
          <w:sz w:val="24"/>
          <w:szCs w:val="24"/>
          <w:lang w:val="en-US"/>
        </w:rPr>
        <w:t>because of t</w:t>
      </w:r>
      <w:r w:rsidR="00F63F2E" w:rsidRPr="00C11F21">
        <w:rPr>
          <w:rFonts w:ascii="Book Antiqua" w:hAnsi="Book Antiqua" w:cstheme="minorHAnsi"/>
          <w:sz w:val="24"/>
          <w:szCs w:val="24"/>
          <w:lang w:val="en-US"/>
        </w:rPr>
        <w:t xml:space="preserve">heir </w:t>
      </w:r>
      <w:r w:rsidR="00C70DF0" w:rsidRPr="00C11F21">
        <w:rPr>
          <w:rFonts w:ascii="Book Antiqua" w:hAnsi="Book Antiqua" w:cstheme="minorHAnsi"/>
          <w:sz w:val="24"/>
          <w:szCs w:val="24"/>
          <w:lang w:val="en-US"/>
        </w:rPr>
        <w:t xml:space="preserve">potential </w:t>
      </w:r>
      <w:r w:rsidR="00D24E5D" w:rsidRPr="00C11F21">
        <w:rPr>
          <w:rFonts w:ascii="Book Antiqua" w:hAnsi="Book Antiqua" w:cstheme="minorHAnsi"/>
          <w:sz w:val="24"/>
          <w:szCs w:val="24"/>
          <w:lang w:val="en-US"/>
        </w:rPr>
        <w:t>roles in</w:t>
      </w:r>
      <w:r w:rsidR="00820AD9" w:rsidRPr="00C11F21">
        <w:rPr>
          <w:rFonts w:ascii="Book Antiqua" w:hAnsi="Book Antiqua" w:cstheme="minorHAnsi"/>
          <w:sz w:val="24"/>
          <w:szCs w:val="24"/>
          <w:lang w:val="en-US"/>
        </w:rPr>
        <w:t xml:space="preserve"> the interaction </w:t>
      </w:r>
      <w:r w:rsidR="00C70DF0" w:rsidRPr="00C11F21">
        <w:rPr>
          <w:rFonts w:ascii="Book Antiqua" w:hAnsi="Book Antiqua" w:cstheme="minorHAnsi"/>
          <w:sz w:val="24"/>
          <w:szCs w:val="24"/>
          <w:lang w:val="en-US"/>
        </w:rPr>
        <w:t>that enables</w:t>
      </w:r>
      <w:r w:rsidR="00820AD9" w:rsidRPr="00C11F21">
        <w:rPr>
          <w:rFonts w:ascii="Book Antiqua" w:hAnsi="Book Antiqua" w:cstheme="minorHAnsi"/>
          <w:sz w:val="24"/>
          <w:szCs w:val="24"/>
          <w:lang w:val="en-US"/>
        </w:rPr>
        <w:t xml:space="preserve"> HBV </w:t>
      </w:r>
      <w:r w:rsidR="00C70DF0" w:rsidRPr="00C11F21">
        <w:rPr>
          <w:rFonts w:ascii="Book Antiqua" w:hAnsi="Book Antiqua" w:cstheme="minorHAnsi"/>
          <w:sz w:val="24"/>
          <w:szCs w:val="24"/>
          <w:lang w:val="en-US"/>
        </w:rPr>
        <w:t>to infect hepatocytes</w:t>
      </w:r>
      <w:r w:rsidRPr="00C11F21">
        <w:rPr>
          <w:rFonts w:ascii="Book Antiqua" w:hAnsi="Book Antiqua" w:cstheme="minorHAnsi"/>
          <w:sz w:val="24"/>
          <w:szCs w:val="24"/>
          <w:lang w:val="en-US"/>
        </w:rPr>
        <w:t xml:space="preserve">. </w:t>
      </w:r>
    </w:p>
    <w:p w14:paraId="4A6F4182" w14:textId="4C6BD7A2" w:rsidR="005C659B" w:rsidRPr="00C11F21" w:rsidRDefault="001F3A79" w:rsidP="0015237C">
      <w:pPr>
        <w:snapToGrid w:val="0"/>
        <w:spacing w:after="0" w:line="360" w:lineRule="auto"/>
        <w:ind w:firstLineChars="100" w:firstLine="240"/>
        <w:jc w:val="both"/>
        <w:rPr>
          <w:rFonts w:ascii="Book Antiqua" w:hAnsi="Book Antiqua" w:cstheme="minorHAnsi"/>
          <w:sz w:val="24"/>
          <w:szCs w:val="24"/>
          <w:lang w:val="en-US"/>
        </w:rPr>
      </w:pPr>
      <w:r w:rsidRPr="00C11F21">
        <w:rPr>
          <w:rFonts w:ascii="Book Antiqua" w:hAnsi="Book Antiqua" w:cstheme="minorHAnsi"/>
          <w:sz w:val="24"/>
          <w:szCs w:val="24"/>
          <w:lang w:val="en-US"/>
        </w:rPr>
        <w:t>T</w:t>
      </w:r>
      <w:r w:rsidR="005C659B" w:rsidRPr="00C11F21">
        <w:rPr>
          <w:rFonts w:ascii="Book Antiqua" w:hAnsi="Book Antiqua" w:cstheme="minorHAnsi"/>
          <w:sz w:val="24"/>
          <w:szCs w:val="24"/>
          <w:lang w:val="en-US"/>
        </w:rPr>
        <w:t>o our knowledge</w:t>
      </w:r>
      <w:r w:rsidR="000A74B8" w:rsidRPr="00C11F21">
        <w:rPr>
          <w:rFonts w:ascii="Book Antiqua" w:hAnsi="Book Antiqua" w:cstheme="minorHAnsi"/>
          <w:sz w:val="24"/>
          <w:szCs w:val="24"/>
          <w:lang w:val="en-US"/>
        </w:rPr>
        <w:t>,</w:t>
      </w:r>
      <w:r w:rsidR="005C659B" w:rsidRPr="00C11F21">
        <w:rPr>
          <w:rFonts w:ascii="Book Antiqua" w:hAnsi="Book Antiqua" w:cstheme="minorHAnsi"/>
          <w:sz w:val="24"/>
          <w:szCs w:val="24"/>
          <w:lang w:val="en-US"/>
        </w:rPr>
        <w:t xml:space="preserve"> this is the first study in which the variability/conservation of the </w:t>
      </w:r>
      <w:r w:rsidR="00463505" w:rsidRPr="00C11F21">
        <w:rPr>
          <w:rFonts w:ascii="Book Antiqua" w:hAnsi="Book Antiqua" w:cstheme="minorHAnsi"/>
          <w:sz w:val="24"/>
          <w:szCs w:val="24"/>
          <w:lang w:val="en-US"/>
        </w:rPr>
        <w:t xml:space="preserve">essential </w:t>
      </w:r>
      <w:r w:rsidR="005C659B" w:rsidRPr="00C11F21">
        <w:rPr>
          <w:rFonts w:ascii="Book Antiqua" w:hAnsi="Book Antiqua" w:cstheme="minorHAnsi"/>
          <w:sz w:val="24"/>
          <w:szCs w:val="24"/>
          <w:lang w:val="en-US"/>
        </w:rPr>
        <w:t xml:space="preserve">preS1 </w:t>
      </w:r>
      <w:r w:rsidR="00DC4529" w:rsidRPr="00C11F21">
        <w:rPr>
          <w:rFonts w:ascii="Book Antiqua" w:hAnsi="Book Antiqua" w:cstheme="minorHAnsi"/>
          <w:sz w:val="24"/>
          <w:szCs w:val="24"/>
          <w:lang w:val="en-US"/>
        </w:rPr>
        <w:t>NTCP-</w:t>
      </w:r>
      <w:r w:rsidR="00145577" w:rsidRPr="00C11F21">
        <w:rPr>
          <w:rFonts w:ascii="Book Antiqua" w:hAnsi="Book Antiqua" w:cstheme="minorHAnsi"/>
          <w:sz w:val="24"/>
          <w:szCs w:val="24"/>
          <w:lang w:val="en-US"/>
        </w:rPr>
        <w:t xml:space="preserve">interacting </w:t>
      </w:r>
      <w:r w:rsidR="00A7412D" w:rsidRPr="00C11F21">
        <w:rPr>
          <w:rFonts w:ascii="Book Antiqua" w:hAnsi="Book Antiqua" w:cstheme="minorHAnsi"/>
          <w:sz w:val="24"/>
          <w:szCs w:val="24"/>
          <w:lang w:val="en-US"/>
        </w:rPr>
        <w:t xml:space="preserve">domain </w:t>
      </w:r>
      <w:r w:rsidR="005C659B" w:rsidRPr="00C11F21">
        <w:rPr>
          <w:rFonts w:ascii="Book Antiqua" w:hAnsi="Book Antiqua" w:cstheme="minorHAnsi"/>
          <w:sz w:val="24"/>
          <w:szCs w:val="24"/>
          <w:lang w:val="en-US"/>
        </w:rPr>
        <w:t>has been investigated by NGS. The results show a high degree of conservation between preS1 aa positions 2 to 21 (</w:t>
      </w:r>
      <w:r w:rsidR="00734CCA" w:rsidRPr="00C11F21">
        <w:rPr>
          <w:rFonts w:ascii="Book Antiqua" w:hAnsi="Book Antiqua" w:cstheme="minorHAnsi"/>
          <w:sz w:val="24"/>
          <w:szCs w:val="24"/>
          <w:lang w:val="en-US"/>
        </w:rPr>
        <w:t xml:space="preserve">HBV </w:t>
      </w:r>
      <w:r w:rsidR="005C659B" w:rsidRPr="00C11F21">
        <w:rPr>
          <w:rFonts w:ascii="Book Antiqua" w:hAnsi="Book Antiqua" w:cstheme="minorHAnsi"/>
          <w:sz w:val="24"/>
          <w:szCs w:val="24"/>
          <w:lang w:val="en-US"/>
        </w:rPr>
        <w:t>genotype D numeration)</w:t>
      </w:r>
      <w:r w:rsidR="00F71D5B" w:rsidRPr="00C11F21">
        <w:rPr>
          <w:rFonts w:ascii="Book Antiqua" w:hAnsi="Book Antiqua" w:cstheme="minorHAnsi"/>
          <w:sz w:val="24"/>
          <w:szCs w:val="24"/>
          <w:lang w:val="en-US"/>
        </w:rPr>
        <w:t>:</w:t>
      </w:r>
      <w:r w:rsidR="005C659B" w:rsidRPr="00C11F21">
        <w:rPr>
          <w:rFonts w:ascii="Book Antiqua" w:hAnsi="Book Antiqua" w:cstheme="minorHAnsi"/>
          <w:sz w:val="24"/>
          <w:szCs w:val="24"/>
          <w:lang w:val="en-US"/>
        </w:rPr>
        <w:t xml:space="preserve"> aa changes in proportions greater than 1% </w:t>
      </w:r>
      <w:r w:rsidRPr="00C11F21">
        <w:rPr>
          <w:rFonts w:ascii="Book Antiqua" w:hAnsi="Book Antiqua" w:cstheme="minorHAnsi"/>
          <w:sz w:val="24"/>
          <w:szCs w:val="24"/>
          <w:lang w:val="en-US"/>
        </w:rPr>
        <w:t xml:space="preserve">were found </w:t>
      </w:r>
      <w:r w:rsidR="005C659B" w:rsidRPr="00C11F21">
        <w:rPr>
          <w:rFonts w:ascii="Book Antiqua" w:hAnsi="Book Antiqua" w:cstheme="minorHAnsi"/>
          <w:sz w:val="24"/>
          <w:szCs w:val="24"/>
          <w:lang w:val="en-US"/>
        </w:rPr>
        <w:t xml:space="preserve">in </w:t>
      </w:r>
      <w:r w:rsidR="00F12649" w:rsidRPr="00C11F21">
        <w:rPr>
          <w:rFonts w:ascii="Book Antiqua" w:hAnsi="Book Antiqua" w:cstheme="minorHAnsi"/>
          <w:sz w:val="24"/>
          <w:szCs w:val="24"/>
          <w:lang w:val="en-US"/>
        </w:rPr>
        <w:t xml:space="preserve">a single position </w:t>
      </w:r>
      <w:r w:rsidR="00F71D5B" w:rsidRPr="00C11F21">
        <w:rPr>
          <w:rFonts w:ascii="Book Antiqua" w:hAnsi="Book Antiqua" w:cstheme="minorHAnsi"/>
          <w:sz w:val="24"/>
          <w:szCs w:val="24"/>
          <w:lang w:val="en-US"/>
        </w:rPr>
        <w:t>in</w:t>
      </w:r>
      <w:r w:rsidR="00F12649" w:rsidRPr="00C11F21">
        <w:rPr>
          <w:rFonts w:ascii="Book Antiqua" w:hAnsi="Book Antiqua" w:cstheme="minorHAnsi"/>
          <w:sz w:val="24"/>
          <w:szCs w:val="24"/>
          <w:lang w:val="en-US"/>
        </w:rPr>
        <w:t xml:space="preserve"> </w:t>
      </w:r>
      <w:r w:rsidR="0074200E" w:rsidRPr="00C11F21">
        <w:rPr>
          <w:rFonts w:ascii="Book Antiqua" w:hAnsi="Book Antiqua" w:cstheme="minorHAnsi"/>
          <w:sz w:val="24"/>
          <w:szCs w:val="24"/>
          <w:lang w:val="en-US"/>
        </w:rPr>
        <w:t>only 1/18</w:t>
      </w:r>
      <w:r w:rsidR="005C659B" w:rsidRPr="00C11F21">
        <w:rPr>
          <w:rFonts w:ascii="Book Antiqua" w:hAnsi="Book Antiqua" w:cstheme="minorHAnsi"/>
          <w:sz w:val="24"/>
          <w:szCs w:val="24"/>
          <w:lang w:val="en-US"/>
        </w:rPr>
        <w:t xml:space="preserve"> patient</w:t>
      </w:r>
      <w:r w:rsidR="0074200E" w:rsidRPr="00C11F21">
        <w:rPr>
          <w:rFonts w:ascii="Book Antiqua" w:hAnsi="Book Antiqua" w:cstheme="minorHAnsi"/>
          <w:sz w:val="24"/>
          <w:szCs w:val="24"/>
          <w:lang w:val="en-US"/>
        </w:rPr>
        <w:t>s</w:t>
      </w:r>
      <w:r w:rsidR="005C659B" w:rsidRPr="00C11F21">
        <w:rPr>
          <w:rFonts w:ascii="Book Antiqua" w:hAnsi="Book Antiqua" w:cstheme="minorHAnsi"/>
          <w:sz w:val="24"/>
          <w:szCs w:val="24"/>
          <w:lang w:val="en-US"/>
        </w:rPr>
        <w:t xml:space="preserve">. Of note, among the 20 aa in the N-terminal end of preS1, wild-type aa were found to be conserved between </w:t>
      </w:r>
      <w:r w:rsidR="007056D4" w:rsidRPr="00C11F21">
        <w:rPr>
          <w:rFonts w:ascii="Book Antiqua" w:hAnsi="Book Antiqua" w:cstheme="minorHAnsi"/>
          <w:sz w:val="24"/>
          <w:szCs w:val="24"/>
          <w:lang w:val="en-US"/>
        </w:rPr>
        <w:t xml:space="preserve">positions 9 and 21 in </w:t>
      </w:r>
      <w:r w:rsidR="00734CCA" w:rsidRPr="00C11F21">
        <w:rPr>
          <w:rFonts w:ascii="Book Antiqua" w:hAnsi="Book Antiqua" w:cstheme="minorHAnsi"/>
          <w:sz w:val="24"/>
          <w:szCs w:val="24"/>
          <w:lang w:val="en-US"/>
        </w:rPr>
        <w:t>al</w:t>
      </w:r>
      <w:r w:rsidR="005C659B" w:rsidRPr="00C11F21">
        <w:rPr>
          <w:rFonts w:ascii="Book Antiqua" w:hAnsi="Book Antiqua" w:cstheme="minorHAnsi"/>
          <w:sz w:val="24"/>
          <w:szCs w:val="24"/>
          <w:lang w:val="en-US"/>
        </w:rPr>
        <w:t xml:space="preserve">l genotypes included. These observations suggest an essential function of this segment of preS1, </w:t>
      </w:r>
      <w:r w:rsidR="000A7609" w:rsidRPr="00C11F21">
        <w:rPr>
          <w:rFonts w:ascii="Book Antiqua" w:hAnsi="Book Antiqua" w:cstheme="minorHAnsi"/>
          <w:sz w:val="24"/>
          <w:szCs w:val="24"/>
          <w:lang w:val="en-US"/>
        </w:rPr>
        <w:t xml:space="preserve">which would agree </w:t>
      </w:r>
      <w:r w:rsidR="005C659B" w:rsidRPr="00C11F21">
        <w:rPr>
          <w:rFonts w:ascii="Book Antiqua" w:hAnsi="Book Antiqua" w:cstheme="minorHAnsi"/>
          <w:sz w:val="24"/>
          <w:szCs w:val="24"/>
          <w:lang w:val="en-US"/>
        </w:rPr>
        <w:t xml:space="preserve">with the results of a </w:t>
      </w:r>
      <w:r w:rsidR="00161D55" w:rsidRPr="00C11F21">
        <w:rPr>
          <w:rFonts w:ascii="Book Antiqua" w:hAnsi="Book Antiqua" w:cstheme="minorHAnsi"/>
          <w:sz w:val="24"/>
          <w:szCs w:val="24"/>
          <w:lang w:val="en-US"/>
        </w:rPr>
        <w:t>study</w:t>
      </w:r>
      <w:r w:rsidR="005C659B" w:rsidRPr="00C11F21">
        <w:rPr>
          <w:rFonts w:ascii="Book Antiqua" w:hAnsi="Book Antiqua" w:cstheme="minorHAnsi"/>
          <w:sz w:val="24"/>
          <w:szCs w:val="24"/>
          <w:lang w:val="en-US"/>
        </w:rPr>
        <w:t xml:space="preserve"> by Glebe </w:t>
      </w:r>
      <w:r w:rsidR="005C659B" w:rsidRPr="00C11F21">
        <w:rPr>
          <w:rFonts w:ascii="Book Antiqua" w:hAnsi="Book Antiqua" w:cstheme="minorHAnsi"/>
          <w:i/>
          <w:sz w:val="24"/>
          <w:szCs w:val="24"/>
          <w:lang w:val="en-US"/>
        </w:rPr>
        <w:t>et al</w:t>
      </w:r>
      <w:r w:rsidR="006326CD" w:rsidRPr="00C11F21">
        <w:rPr>
          <w:rFonts w:ascii="Book Antiqua" w:hAnsi="Book Antiqua" w:cstheme="minorHAnsi"/>
          <w:sz w:val="24"/>
          <w:szCs w:val="24"/>
          <w:lang w:val="en-US"/>
        </w:rPr>
        <w:fldChar w:fldCharType="begin" w:fldLock="1"/>
      </w:r>
      <w:r w:rsidR="0092490D" w:rsidRPr="00C11F21">
        <w:rPr>
          <w:rFonts w:ascii="Book Antiqua" w:hAnsi="Book Antiqua" w:cstheme="minorHAnsi"/>
          <w:sz w:val="24"/>
          <w:szCs w:val="24"/>
          <w:lang w:val="en-US"/>
        </w:rPr>
        <w:instrText>ADDIN CSL_CITATION { "citationItems" : [ { "id" : "ITEM-1", "itemData" : { "DOI" : "10.1053/j.gastro.2005.03.090", "ISBN" : "0016-5085 (Print)", "ISSN" : "00165085", "PMID" : "16012950", "abstract" : "Background &amp; Aims: Studies on the early steps in the life cycle of hepatitis B virus have been hampered by the lack of readily available target cells. In this study, we mapped a defined virus attachment site to primary hepatocytes that is essential for infection. Methods: We used purified virus particles from human carrier plasma as an inoculum and primary cultures of tupaia hepatocytes as susceptible target cells and studied the inhibitory effect of amino-terminally acylated preS1-derived lipopeptides on infection interference. Results: Infectivity of virus could be blocked efficiently in this system by amino-terminally acylated peptides containing amino acids 2-18 from the preS1 domain. The addition of amino acids 28-48 enhanced the inhibitory capacity, whereas amino acids 49-78 did not contribute to inhibition. Myristoylated preS1 peptides 2-48 bound strongly to tupaia hepatocytes but not to nonhepatic cells or rodent hepatocytes and thereby inhibited infection even at concentrations of 1 nmol/L completely. Particles consisting only of the small hepatitis B surface protein-the active component of current hepatitis B vaccines-did not bind at all to tupaia hepatocytes, but the addition of the preS1 domain to the particles allowed binding. Conclusions: The preS1 sequence 2-48 mediates attachment of the virus to its target cells, whereas the small surface protein seems to be involved in other steps. These findings indicate that the current subunit hepatitis B vaccines may be improved by the addition of distinct preS1 epitopes. Moreover, preS1 lipopeptides are promising candidates for specific antiviral therapy against hepatitis B infections. \u00a9 2005 by the American Gastroenterological Association.", "author" : [ { "dropping-particle" : "", "family" : "Glebe", "given" : "Dieter", "non-dropping-particle" : "", "parse-names" : false, "suffix" : "" }, { "dropping-particle" : "", "family" : "Urban", "given" : "Stephan", "non-dropping-particle" : "", "parse-names" : false, "suffix" : "" }, { "dropping-particle" : "V.", "family" : "Knoop", "given" : "Eva", "non-dropping-particle" : "", "parse-names" : false, "suffix" : "" }, { "dropping-particle" : "", "family" : "\u00c7a\u01e7", "given" : "Nilg\u00fcn", "non-dropping-particle" : "", "parse-names" : false, "suffix" : "" }, { "dropping-particle" : "", "family" : "Krass", "given" : "Peter", "non-dropping-particle" : "", "parse-names" : false, "suffix" : "" }, { "dropping-particle" : "", "family" : "Gr\u00fcn", "given" : "Stefanie", "non-dropping-particle" : "", "parse-names" : false, "suffix" : "" }, { "dropping-particle" : "", "family" : "Bulavaite", "given" : "Aiste", "non-dropping-particle" : "", "parse-names" : false, "suffix" : "" }, { "dropping-particle" : "", "family" : "Sasnauskas", "given" : "Kestutis", "non-dropping-particle" : "", "parse-names" : false, "suffix" : "" }, { "dropping-particle" : "", "family" : "Gerlich", "given" : "Wolfram H.", "non-dropping-particle" : "", "parse-names" : false, "suffix" : "" } ], "container-title" : "Gastroenterology", "id" : "ITEM-1", "issue" : "1", "issued" : { "date-parts" : [ [ "2005" ] ] }, "page" : "234-245", "title" : "Mapping of the hepatitis B virus attachment site by use of infection-inhibiting preS1 lipopeptides and tupaia hepatocytes", "type" : "article-journal", "volume" : "129" }, "uris" : [ "http://www.mendeley.com/documents/?uuid=52c29662-dbb6-4994-8bdb-549ab936e7bb" ] } ], "mendeley" : { "formattedCitation" : "&lt;sup&gt;[17]&lt;/sup&gt;", "plainTextFormattedCitation" : "[17]", "previouslyFormattedCitation" : "&lt;sup&gt;[23]&lt;/sup&gt;" }, "properties" : {  }, "schema" : "https://github.com/citation-style-language/schema/raw/master/csl-citation.json" }</w:instrText>
      </w:r>
      <w:r w:rsidR="006326CD" w:rsidRPr="00C11F21">
        <w:rPr>
          <w:rFonts w:ascii="Book Antiqua" w:hAnsi="Book Antiqua" w:cstheme="minorHAnsi"/>
          <w:sz w:val="24"/>
          <w:szCs w:val="24"/>
          <w:lang w:val="en-US"/>
        </w:rPr>
        <w:fldChar w:fldCharType="separate"/>
      </w:r>
      <w:r w:rsidR="0092490D" w:rsidRPr="00C11F21">
        <w:rPr>
          <w:rFonts w:ascii="Book Antiqua" w:hAnsi="Book Antiqua" w:cstheme="minorHAnsi"/>
          <w:noProof/>
          <w:sz w:val="24"/>
          <w:szCs w:val="24"/>
          <w:vertAlign w:val="superscript"/>
          <w:lang w:val="en-US"/>
        </w:rPr>
        <w:t>[17]</w:t>
      </w:r>
      <w:r w:rsidR="006326CD" w:rsidRPr="00C11F21">
        <w:rPr>
          <w:rFonts w:ascii="Book Antiqua" w:hAnsi="Book Antiqua" w:cstheme="minorHAnsi"/>
          <w:sz w:val="24"/>
          <w:szCs w:val="24"/>
          <w:lang w:val="en-US"/>
        </w:rPr>
        <w:fldChar w:fldCharType="end"/>
      </w:r>
      <w:r w:rsidR="005C659B" w:rsidRPr="00C11F21">
        <w:rPr>
          <w:rFonts w:ascii="Book Antiqua" w:hAnsi="Book Antiqua" w:cstheme="minorHAnsi"/>
          <w:sz w:val="24"/>
          <w:szCs w:val="24"/>
          <w:lang w:val="en-US"/>
        </w:rPr>
        <w:t xml:space="preserve"> In that </w:t>
      </w:r>
      <w:r w:rsidR="00161D55" w:rsidRPr="00C11F21">
        <w:rPr>
          <w:rFonts w:ascii="Book Antiqua" w:hAnsi="Book Antiqua" w:cstheme="minorHAnsi"/>
          <w:sz w:val="24"/>
          <w:szCs w:val="24"/>
          <w:lang w:val="en-US"/>
        </w:rPr>
        <w:t>report,</w:t>
      </w:r>
      <w:r w:rsidR="005C659B" w:rsidRPr="00C11F21">
        <w:rPr>
          <w:rFonts w:ascii="Book Antiqua" w:hAnsi="Book Antiqua" w:cstheme="minorHAnsi"/>
          <w:sz w:val="24"/>
          <w:szCs w:val="24"/>
          <w:lang w:val="en-US"/>
        </w:rPr>
        <w:t xml:space="preserve"> hepatitis B attachment site </w:t>
      </w:r>
      <w:r w:rsidR="00161D55" w:rsidRPr="00C11F21">
        <w:rPr>
          <w:rFonts w:ascii="Book Antiqua" w:hAnsi="Book Antiqua" w:cstheme="minorHAnsi"/>
          <w:sz w:val="24"/>
          <w:szCs w:val="24"/>
          <w:lang w:val="en-US"/>
        </w:rPr>
        <w:t xml:space="preserve">mapping </w:t>
      </w:r>
      <w:r w:rsidR="005C659B" w:rsidRPr="00C11F21">
        <w:rPr>
          <w:rFonts w:ascii="Book Antiqua" w:hAnsi="Book Antiqua" w:cstheme="minorHAnsi"/>
          <w:sz w:val="24"/>
          <w:szCs w:val="24"/>
          <w:lang w:val="en-US"/>
        </w:rPr>
        <w:t xml:space="preserve">by infection-inhibiting amino-terminally acylated preS1-derived lipopeptides highlighted the essential role of aa 9 to 18 for viral particle </w:t>
      </w:r>
      <w:r w:rsidR="000A74B8" w:rsidRPr="00C11F21">
        <w:rPr>
          <w:rFonts w:ascii="Book Antiqua" w:hAnsi="Book Antiqua" w:cstheme="minorHAnsi"/>
          <w:sz w:val="24"/>
          <w:szCs w:val="24"/>
          <w:lang w:val="en-US"/>
        </w:rPr>
        <w:t xml:space="preserve">binding </w:t>
      </w:r>
      <w:r w:rsidR="005C659B" w:rsidRPr="00C11F21">
        <w:rPr>
          <w:rFonts w:ascii="Book Antiqua" w:hAnsi="Book Antiqua" w:cstheme="minorHAnsi"/>
          <w:sz w:val="24"/>
          <w:szCs w:val="24"/>
          <w:lang w:val="en-US"/>
        </w:rPr>
        <w:t xml:space="preserve">to </w:t>
      </w:r>
      <w:r w:rsidR="001E0F4E" w:rsidRPr="00C11F21">
        <w:rPr>
          <w:rFonts w:ascii="Book Antiqua" w:hAnsi="Book Antiqua" w:cstheme="minorHAnsi"/>
          <w:sz w:val="24"/>
          <w:szCs w:val="24"/>
          <w:lang w:val="en-US"/>
        </w:rPr>
        <w:t>NTCP</w:t>
      </w:r>
      <w:r w:rsidR="005C659B" w:rsidRPr="00C11F21">
        <w:rPr>
          <w:rFonts w:ascii="Book Antiqua" w:hAnsi="Book Antiqua" w:cstheme="minorHAnsi"/>
          <w:sz w:val="24"/>
          <w:szCs w:val="24"/>
          <w:lang w:val="en-US"/>
        </w:rPr>
        <w:t xml:space="preserve">. In addition, the findings </w:t>
      </w:r>
      <w:r w:rsidR="001E0F4E" w:rsidRPr="00C11F21">
        <w:rPr>
          <w:rFonts w:ascii="Book Antiqua" w:hAnsi="Book Antiqua" w:cstheme="minorHAnsi"/>
          <w:sz w:val="24"/>
          <w:szCs w:val="24"/>
          <w:lang w:val="en-US"/>
        </w:rPr>
        <w:t xml:space="preserve">from </w:t>
      </w:r>
      <w:r w:rsidR="00DD4881" w:rsidRPr="00C11F21">
        <w:rPr>
          <w:rFonts w:ascii="Book Antiqua" w:hAnsi="Book Antiqua" w:cstheme="minorHAnsi"/>
          <w:sz w:val="24"/>
          <w:szCs w:val="24"/>
          <w:lang w:val="en-US"/>
        </w:rPr>
        <w:t>that</w:t>
      </w:r>
      <w:r w:rsidR="001E0F4E" w:rsidRPr="00C11F21">
        <w:rPr>
          <w:rFonts w:ascii="Book Antiqua" w:hAnsi="Book Antiqua" w:cstheme="minorHAnsi"/>
          <w:sz w:val="24"/>
          <w:szCs w:val="24"/>
          <w:lang w:val="en-US"/>
        </w:rPr>
        <w:t xml:space="preserve"> study</w:t>
      </w:r>
      <w:r w:rsidR="006326CD" w:rsidRPr="00C11F21">
        <w:rPr>
          <w:rFonts w:ascii="Book Antiqua" w:hAnsi="Book Antiqua" w:cstheme="minorHAnsi"/>
          <w:sz w:val="24"/>
          <w:szCs w:val="24"/>
          <w:lang w:val="en-US"/>
        </w:rPr>
        <w:fldChar w:fldCharType="begin" w:fldLock="1"/>
      </w:r>
      <w:r w:rsidR="0092490D" w:rsidRPr="00C11F21">
        <w:rPr>
          <w:rFonts w:ascii="Book Antiqua" w:hAnsi="Book Antiqua" w:cstheme="minorHAnsi"/>
          <w:sz w:val="24"/>
          <w:szCs w:val="24"/>
          <w:lang w:val="en-US"/>
        </w:rPr>
        <w:instrText>ADDIN CSL_CITATION { "citationItems" : [ { "id" : "ITEM-1", "itemData" : { "DOI" : "10.1053/j.gastro.2005.03.090", "ISBN" : "0016-5085 (Print)", "ISSN" : "00165085", "PMID" : "16012950", "abstract" : "Background &amp; Aims: Studies on the early steps in the life cycle of hepatitis B virus have been hampered by the lack of readily available target cells. In this study, we mapped a defined virus attachment site to primary hepatocytes that is essential for infection. Methods: We used purified virus particles from human carrier plasma as an inoculum and primary cultures of tupaia hepatocytes as susceptible target cells and studied the inhibitory effect of amino-terminally acylated preS1-derived lipopeptides on infection interference. Results: Infectivity of virus could be blocked efficiently in this system by amino-terminally acylated peptides containing amino acids 2-18 from the preS1 domain. The addition of amino acids 28-48 enhanced the inhibitory capacity, whereas amino acids 49-78 did not contribute to inhibition. Myristoylated preS1 peptides 2-48 bound strongly to tupaia hepatocytes but not to nonhepatic cells or rodent hepatocytes and thereby inhibited infection even at concentrations of 1 nmol/L completely. Particles consisting only of the small hepatitis B surface protein-the active component of current hepatitis B vaccines-did not bind at all to tupaia hepatocytes, but the addition of the preS1 domain to the particles allowed binding. Conclusions: The preS1 sequence 2-48 mediates attachment of the virus to its target cells, whereas the small surface protein seems to be involved in other steps. These findings indicate that the current subunit hepatitis B vaccines may be improved by the addition of distinct preS1 epitopes. Moreover, preS1 lipopeptides are promising candidates for specific antiviral therapy against hepatitis B infections. \u00a9 2005 by the American Gastroenterological Association.", "author" : [ { "dropping-particle" : "", "family" : "Glebe", "given" : "Dieter", "non-dropping-particle" : "", "parse-names" : false, "suffix" : "" }, { "dropping-particle" : "", "family" : "Urban", "given" : "Stephan", "non-dropping-particle" : "", "parse-names" : false, "suffix" : "" }, { "dropping-particle" : "V.", "family" : "Knoop", "given" : "Eva", "non-dropping-particle" : "", "parse-names" : false, "suffix" : "" }, { "dropping-particle" : "", "family" : "\u00c7a\u01e7", "given" : "Nilg\u00fcn", "non-dropping-particle" : "", "parse-names" : false, "suffix" : "" }, { "dropping-particle" : "", "family" : "Krass", "given" : "Peter", "non-dropping-particle" : "", "parse-names" : false, "suffix" : "" }, { "dropping-particle" : "", "family" : "Gr\u00fcn", "given" : "Stefanie", "non-dropping-particle" : "", "parse-names" : false, "suffix" : "" }, { "dropping-particle" : "", "family" : "Bulavaite", "given" : "Aiste", "non-dropping-particle" : "", "parse-names" : false, "suffix" : "" }, { "dropping-particle" : "", "family" : "Sasnauskas", "given" : "Kestutis", "non-dropping-particle" : "", "parse-names" : false, "suffix" : "" }, { "dropping-particle" : "", "family" : "Gerlich", "given" : "Wolfram H.", "non-dropping-particle" : "", "parse-names" : false, "suffix" : "" } ], "container-title" : "Gastroenterology", "id" : "ITEM-1", "issue" : "1", "issued" : { "date-parts" : [ [ "2005" ] ] }, "page" : "234-245", "title" : "Mapping of the hepatitis B virus attachment site by use of infection-inhibiting preS1 lipopeptides and tupaia hepatocytes", "type" : "article-journal", "volume" : "129" }, "uris" : [ "http://www.mendeley.com/documents/?uuid=52c29662-dbb6-4994-8bdb-549ab936e7bb" ] } ], "mendeley" : { "formattedCitation" : "&lt;sup&gt;[17]&lt;/sup&gt;", "plainTextFormattedCitation" : "[17]", "previouslyFormattedCitation" : "&lt;sup&gt;[23]&lt;/sup&gt;" }, "properties" : {  }, "schema" : "https://github.com/citation-style-language/schema/raw/master/csl-citation.json" }</w:instrText>
      </w:r>
      <w:r w:rsidR="006326CD" w:rsidRPr="00C11F21">
        <w:rPr>
          <w:rFonts w:ascii="Book Antiqua" w:hAnsi="Book Antiqua" w:cstheme="minorHAnsi"/>
          <w:sz w:val="24"/>
          <w:szCs w:val="24"/>
          <w:lang w:val="en-US"/>
        </w:rPr>
        <w:fldChar w:fldCharType="separate"/>
      </w:r>
      <w:r w:rsidR="0092490D" w:rsidRPr="00C11F21">
        <w:rPr>
          <w:rFonts w:ascii="Book Antiqua" w:hAnsi="Book Antiqua" w:cstheme="minorHAnsi"/>
          <w:noProof/>
          <w:sz w:val="24"/>
          <w:szCs w:val="24"/>
          <w:vertAlign w:val="superscript"/>
          <w:lang w:val="en-US"/>
        </w:rPr>
        <w:t>[17]</w:t>
      </w:r>
      <w:r w:rsidR="006326CD" w:rsidRPr="00C11F21">
        <w:rPr>
          <w:rFonts w:ascii="Book Antiqua" w:hAnsi="Book Antiqua" w:cstheme="minorHAnsi"/>
          <w:sz w:val="24"/>
          <w:szCs w:val="24"/>
          <w:lang w:val="en-US"/>
        </w:rPr>
        <w:fldChar w:fldCharType="end"/>
      </w:r>
      <w:r w:rsidR="00DD4881" w:rsidRPr="00C11F21">
        <w:rPr>
          <w:rFonts w:ascii="Book Antiqua" w:hAnsi="Book Antiqua" w:cstheme="minorHAnsi"/>
          <w:sz w:val="24"/>
          <w:szCs w:val="24"/>
          <w:lang w:val="en-US"/>
        </w:rPr>
        <w:t xml:space="preserve"> </w:t>
      </w:r>
      <w:r w:rsidR="005C659B" w:rsidRPr="00C11F21">
        <w:rPr>
          <w:rFonts w:ascii="Book Antiqua" w:hAnsi="Book Antiqua" w:cstheme="minorHAnsi"/>
          <w:sz w:val="24"/>
          <w:szCs w:val="24"/>
          <w:lang w:val="en-US"/>
        </w:rPr>
        <w:t xml:space="preserve">indicated that aa sequences </w:t>
      </w:r>
      <w:r w:rsidR="00161D55" w:rsidRPr="00C11F21">
        <w:rPr>
          <w:rFonts w:ascii="Book Antiqua" w:hAnsi="Book Antiqua" w:cstheme="minorHAnsi"/>
          <w:sz w:val="24"/>
          <w:szCs w:val="24"/>
          <w:lang w:val="en-US"/>
        </w:rPr>
        <w:t xml:space="preserve">in </w:t>
      </w:r>
      <w:r w:rsidR="005C659B" w:rsidRPr="00C11F21">
        <w:rPr>
          <w:rFonts w:ascii="Book Antiqua" w:hAnsi="Book Antiqua" w:cstheme="minorHAnsi"/>
          <w:sz w:val="24"/>
          <w:szCs w:val="24"/>
          <w:lang w:val="en-US"/>
        </w:rPr>
        <w:t>positions 29</w:t>
      </w:r>
      <w:r w:rsidR="00161D55" w:rsidRPr="00C11F21">
        <w:rPr>
          <w:rFonts w:ascii="Book Antiqua" w:hAnsi="Book Antiqua" w:cstheme="minorHAnsi"/>
          <w:sz w:val="24"/>
          <w:szCs w:val="24"/>
          <w:lang w:val="en-US"/>
        </w:rPr>
        <w:t xml:space="preserve"> to</w:t>
      </w:r>
      <w:r w:rsidR="005C659B" w:rsidRPr="00C11F21">
        <w:rPr>
          <w:rFonts w:ascii="Book Antiqua" w:hAnsi="Book Antiqua" w:cstheme="minorHAnsi"/>
          <w:sz w:val="24"/>
          <w:szCs w:val="24"/>
          <w:lang w:val="en-US"/>
        </w:rPr>
        <w:t xml:space="preserve"> 4</w:t>
      </w:r>
      <w:r w:rsidR="00DD4881" w:rsidRPr="00C11F21">
        <w:rPr>
          <w:rFonts w:ascii="Book Antiqua" w:hAnsi="Book Antiqua" w:cstheme="minorHAnsi"/>
          <w:sz w:val="24"/>
          <w:szCs w:val="24"/>
          <w:lang w:val="en-US"/>
        </w:rPr>
        <w:t xml:space="preserve">8 would play an accessory role, </w:t>
      </w:r>
      <w:r w:rsidR="005C659B" w:rsidRPr="00C11F21">
        <w:rPr>
          <w:rFonts w:ascii="Book Antiqua" w:hAnsi="Book Antiqua" w:cstheme="minorHAnsi"/>
          <w:sz w:val="24"/>
          <w:szCs w:val="24"/>
          <w:lang w:val="en-US"/>
        </w:rPr>
        <w:t xml:space="preserve">a fact that seems to justify the more significant variability </w:t>
      </w:r>
      <w:r w:rsidR="00DA6222" w:rsidRPr="00C11F21">
        <w:rPr>
          <w:rFonts w:ascii="Book Antiqua" w:hAnsi="Book Antiqua" w:cstheme="minorHAnsi"/>
          <w:sz w:val="24"/>
          <w:szCs w:val="24"/>
          <w:lang w:val="en-US"/>
        </w:rPr>
        <w:t>in this region</w:t>
      </w:r>
      <w:r w:rsidR="005C659B" w:rsidRPr="00C11F21">
        <w:rPr>
          <w:rFonts w:ascii="Book Antiqua" w:hAnsi="Book Antiqua" w:cstheme="minorHAnsi"/>
          <w:sz w:val="24"/>
          <w:szCs w:val="24"/>
          <w:lang w:val="en-US"/>
        </w:rPr>
        <w:t xml:space="preserve"> observed in our NGS analysis.</w:t>
      </w:r>
      <w:r w:rsidR="0074200E" w:rsidRPr="00C11F21">
        <w:rPr>
          <w:rFonts w:ascii="Book Antiqua" w:hAnsi="Book Antiqua" w:cstheme="minorHAnsi"/>
          <w:sz w:val="24"/>
          <w:szCs w:val="24"/>
          <w:lang w:val="en-US"/>
        </w:rPr>
        <w:t xml:space="preserve"> </w:t>
      </w:r>
      <w:r w:rsidR="005C659B" w:rsidRPr="00C11F21">
        <w:rPr>
          <w:rFonts w:ascii="Book Antiqua" w:hAnsi="Book Antiqua" w:cstheme="minorHAnsi"/>
          <w:sz w:val="24"/>
          <w:szCs w:val="24"/>
          <w:lang w:val="en-US"/>
        </w:rPr>
        <w:t xml:space="preserve">Therefore, conservation/variability is not homogenous throughout the entire </w:t>
      </w:r>
      <w:r w:rsidR="00161D55" w:rsidRPr="00C11F21">
        <w:rPr>
          <w:rFonts w:ascii="Book Antiqua" w:hAnsi="Book Antiqua" w:cstheme="minorHAnsi"/>
          <w:sz w:val="24"/>
          <w:szCs w:val="24"/>
          <w:lang w:val="en-US"/>
        </w:rPr>
        <w:t xml:space="preserve">preS1 </w:t>
      </w:r>
      <w:r w:rsidR="005C659B" w:rsidRPr="00C11F21">
        <w:rPr>
          <w:rFonts w:ascii="Book Antiqua" w:hAnsi="Book Antiqua" w:cstheme="minorHAnsi"/>
          <w:sz w:val="24"/>
          <w:szCs w:val="24"/>
          <w:lang w:val="en-US"/>
        </w:rPr>
        <w:t>NTCP</w:t>
      </w:r>
      <w:r w:rsidR="00DC4529" w:rsidRPr="00C11F21">
        <w:rPr>
          <w:rFonts w:ascii="Book Antiqua" w:hAnsi="Book Antiqua" w:cstheme="minorHAnsi"/>
          <w:sz w:val="24"/>
          <w:szCs w:val="24"/>
          <w:lang w:val="en-US"/>
        </w:rPr>
        <w:t>-</w:t>
      </w:r>
      <w:r w:rsidR="005C659B" w:rsidRPr="00C11F21">
        <w:rPr>
          <w:rFonts w:ascii="Book Antiqua" w:hAnsi="Book Antiqua" w:cstheme="minorHAnsi"/>
          <w:sz w:val="24"/>
          <w:szCs w:val="24"/>
          <w:lang w:val="en-US"/>
        </w:rPr>
        <w:t xml:space="preserve">interacting </w:t>
      </w:r>
      <w:r w:rsidR="00F646E6" w:rsidRPr="00C11F21">
        <w:rPr>
          <w:rFonts w:ascii="Book Antiqua" w:hAnsi="Book Antiqua" w:cstheme="minorHAnsi"/>
          <w:sz w:val="24"/>
          <w:szCs w:val="24"/>
          <w:lang w:val="en-US"/>
        </w:rPr>
        <w:t>domain</w:t>
      </w:r>
      <w:r w:rsidR="00760983" w:rsidRPr="00C11F21">
        <w:rPr>
          <w:rFonts w:ascii="Book Antiqua" w:hAnsi="Book Antiqua" w:cstheme="minorHAnsi"/>
          <w:sz w:val="24"/>
          <w:szCs w:val="24"/>
          <w:lang w:val="en-US"/>
        </w:rPr>
        <w:t>:</w:t>
      </w:r>
      <w:r w:rsidR="00161D55" w:rsidRPr="00C11F21">
        <w:rPr>
          <w:rFonts w:ascii="Book Antiqua" w:hAnsi="Book Antiqua" w:cstheme="minorHAnsi"/>
          <w:sz w:val="24"/>
          <w:szCs w:val="24"/>
          <w:lang w:val="en-US"/>
        </w:rPr>
        <w:t xml:space="preserve"> </w:t>
      </w:r>
      <w:r w:rsidR="00760983" w:rsidRPr="00C11F21">
        <w:rPr>
          <w:rFonts w:ascii="Book Antiqua" w:hAnsi="Book Antiqua" w:cstheme="minorHAnsi"/>
          <w:sz w:val="24"/>
          <w:szCs w:val="24"/>
          <w:lang w:val="en-US"/>
        </w:rPr>
        <w:t>w</w:t>
      </w:r>
      <w:r w:rsidR="00161D55" w:rsidRPr="00C11F21">
        <w:rPr>
          <w:rFonts w:ascii="Book Antiqua" w:hAnsi="Book Antiqua" w:cstheme="minorHAnsi"/>
          <w:sz w:val="24"/>
          <w:szCs w:val="24"/>
          <w:lang w:val="en-US"/>
        </w:rPr>
        <w:t>hereas</w:t>
      </w:r>
      <w:r w:rsidR="005C659B" w:rsidRPr="00C11F21">
        <w:rPr>
          <w:rFonts w:ascii="Book Antiqua" w:hAnsi="Book Antiqua" w:cstheme="minorHAnsi"/>
          <w:sz w:val="24"/>
          <w:szCs w:val="24"/>
          <w:lang w:val="en-US"/>
        </w:rPr>
        <w:t xml:space="preserve"> segments with a previously described essential role in </w:t>
      </w:r>
      <w:r w:rsidR="00D24E5D" w:rsidRPr="00C11F21">
        <w:rPr>
          <w:rFonts w:ascii="Book Antiqua" w:hAnsi="Book Antiqua" w:cstheme="minorHAnsi"/>
          <w:sz w:val="24"/>
          <w:szCs w:val="24"/>
          <w:lang w:val="en-US"/>
        </w:rPr>
        <w:t xml:space="preserve">the </w:t>
      </w:r>
      <w:r w:rsidR="005C659B" w:rsidRPr="00C11F21">
        <w:rPr>
          <w:rFonts w:ascii="Book Antiqua" w:hAnsi="Book Antiqua" w:cstheme="minorHAnsi"/>
          <w:sz w:val="24"/>
          <w:szCs w:val="24"/>
          <w:lang w:val="en-US"/>
        </w:rPr>
        <w:t xml:space="preserve">NTCP interaction show a highly conserved sequence, positions with accessory roles that are nonetheless needed for </w:t>
      </w:r>
      <w:r w:rsidR="009C0B22" w:rsidRPr="00C11F21">
        <w:rPr>
          <w:rFonts w:ascii="Book Antiqua" w:hAnsi="Book Antiqua" w:cstheme="minorHAnsi"/>
          <w:sz w:val="24"/>
          <w:szCs w:val="24"/>
          <w:lang w:val="en-US"/>
        </w:rPr>
        <w:t>strongest</w:t>
      </w:r>
      <w:r w:rsidR="00B81212" w:rsidRPr="00C11F21">
        <w:rPr>
          <w:rFonts w:ascii="Book Antiqua" w:hAnsi="Book Antiqua" w:cstheme="minorHAnsi"/>
          <w:sz w:val="24"/>
          <w:szCs w:val="24"/>
          <w:lang w:val="en-US"/>
        </w:rPr>
        <w:t xml:space="preserve"> </w:t>
      </w:r>
      <w:r w:rsidR="005C659B" w:rsidRPr="00C11F21">
        <w:rPr>
          <w:rFonts w:ascii="Book Antiqua" w:hAnsi="Book Antiqua" w:cstheme="minorHAnsi"/>
          <w:sz w:val="24"/>
          <w:szCs w:val="24"/>
          <w:lang w:val="en-US"/>
        </w:rPr>
        <w:t xml:space="preserve">blocking show greater variability. </w:t>
      </w:r>
      <w:r w:rsidR="00D355B1" w:rsidRPr="00C11F21">
        <w:rPr>
          <w:rFonts w:ascii="Book Antiqua" w:hAnsi="Book Antiqua" w:cstheme="minorHAnsi"/>
          <w:sz w:val="24"/>
          <w:szCs w:val="24"/>
          <w:lang w:val="en-US"/>
        </w:rPr>
        <w:t>p</w:t>
      </w:r>
      <w:r w:rsidR="00C14371" w:rsidRPr="00C11F21">
        <w:rPr>
          <w:rFonts w:ascii="Book Antiqua" w:hAnsi="Book Antiqua" w:cstheme="minorHAnsi"/>
          <w:sz w:val="24"/>
          <w:szCs w:val="24"/>
          <w:lang w:val="en-US"/>
        </w:rPr>
        <w:t>reS1 s</w:t>
      </w:r>
      <w:r w:rsidR="005C659B" w:rsidRPr="00C11F21">
        <w:rPr>
          <w:rFonts w:ascii="Book Antiqua" w:hAnsi="Book Antiqua" w:cstheme="minorHAnsi"/>
          <w:sz w:val="24"/>
          <w:szCs w:val="24"/>
          <w:lang w:val="en-US"/>
        </w:rPr>
        <w:t xml:space="preserve">tructural simulations </w:t>
      </w:r>
      <w:r w:rsidR="00C70DF0" w:rsidRPr="00C11F21">
        <w:rPr>
          <w:rFonts w:ascii="Book Antiqua" w:hAnsi="Book Antiqua" w:cstheme="minorHAnsi"/>
          <w:sz w:val="24"/>
          <w:szCs w:val="24"/>
          <w:lang w:val="en-US"/>
        </w:rPr>
        <w:t>would be needed</w:t>
      </w:r>
      <w:r w:rsidR="000A74B8" w:rsidRPr="00C11F21">
        <w:rPr>
          <w:rFonts w:ascii="Book Antiqua" w:hAnsi="Book Antiqua" w:cstheme="minorHAnsi"/>
          <w:sz w:val="24"/>
          <w:szCs w:val="24"/>
          <w:lang w:val="en-US"/>
        </w:rPr>
        <w:t xml:space="preserve"> to</w:t>
      </w:r>
      <w:r w:rsidR="005C659B" w:rsidRPr="00C11F21">
        <w:rPr>
          <w:rFonts w:ascii="Book Antiqua" w:hAnsi="Book Antiqua" w:cstheme="minorHAnsi"/>
          <w:sz w:val="24"/>
          <w:szCs w:val="24"/>
          <w:lang w:val="en-US"/>
        </w:rPr>
        <w:t xml:space="preserve"> </w:t>
      </w:r>
      <w:r w:rsidR="00C70DF0" w:rsidRPr="00C11F21">
        <w:rPr>
          <w:rFonts w:ascii="Book Antiqua" w:hAnsi="Book Antiqua" w:cstheme="minorHAnsi"/>
          <w:sz w:val="24"/>
          <w:szCs w:val="24"/>
          <w:lang w:val="en-US"/>
        </w:rPr>
        <w:t xml:space="preserve">help </w:t>
      </w:r>
      <w:r w:rsidR="005C659B" w:rsidRPr="00C11F21">
        <w:rPr>
          <w:rFonts w:ascii="Book Antiqua" w:hAnsi="Book Antiqua" w:cstheme="minorHAnsi"/>
          <w:sz w:val="24"/>
          <w:szCs w:val="24"/>
          <w:lang w:val="en-US"/>
        </w:rPr>
        <w:t xml:space="preserve">clarify the </w:t>
      </w:r>
      <w:r w:rsidR="00D24E5D" w:rsidRPr="00C11F21">
        <w:rPr>
          <w:rFonts w:ascii="Book Antiqua" w:hAnsi="Book Antiqua" w:cstheme="minorHAnsi"/>
          <w:sz w:val="24"/>
          <w:szCs w:val="24"/>
          <w:lang w:val="en-US"/>
        </w:rPr>
        <w:t>contribution</w:t>
      </w:r>
      <w:r w:rsidR="005C659B" w:rsidRPr="00C11F21">
        <w:rPr>
          <w:rFonts w:ascii="Book Antiqua" w:hAnsi="Book Antiqua" w:cstheme="minorHAnsi"/>
          <w:sz w:val="24"/>
          <w:szCs w:val="24"/>
          <w:lang w:val="en-US"/>
        </w:rPr>
        <w:t xml:space="preserve"> of each </w:t>
      </w:r>
      <w:r w:rsidR="00C90BB4" w:rsidRPr="00C11F21">
        <w:rPr>
          <w:rFonts w:ascii="Book Antiqua" w:hAnsi="Book Antiqua" w:cstheme="minorHAnsi"/>
          <w:sz w:val="24"/>
          <w:szCs w:val="24"/>
          <w:lang w:val="en-US"/>
        </w:rPr>
        <w:t>segment</w:t>
      </w:r>
      <w:r w:rsidR="005C659B" w:rsidRPr="00C11F21">
        <w:rPr>
          <w:rFonts w:ascii="Book Antiqua" w:hAnsi="Book Antiqua" w:cstheme="minorHAnsi"/>
          <w:sz w:val="24"/>
          <w:szCs w:val="24"/>
          <w:lang w:val="en-US"/>
        </w:rPr>
        <w:t xml:space="preserve"> in NTCP interaction</w:t>
      </w:r>
      <w:r w:rsidR="00161D55" w:rsidRPr="00C11F21">
        <w:rPr>
          <w:rFonts w:ascii="Book Antiqua" w:hAnsi="Book Antiqua" w:cstheme="minorHAnsi"/>
          <w:sz w:val="24"/>
          <w:szCs w:val="24"/>
          <w:lang w:val="en-US"/>
        </w:rPr>
        <w:t>s</w:t>
      </w:r>
      <w:r w:rsidR="005C659B" w:rsidRPr="00C11F21">
        <w:rPr>
          <w:rFonts w:ascii="Book Antiqua" w:hAnsi="Book Antiqua" w:cstheme="minorHAnsi"/>
          <w:sz w:val="24"/>
          <w:szCs w:val="24"/>
          <w:lang w:val="en-US"/>
        </w:rPr>
        <w:t xml:space="preserve"> and </w:t>
      </w:r>
      <w:r w:rsidR="00C14371" w:rsidRPr="00C11F21">
        <w:rPr>
          <w:rFonts w:ascii="Book Antiqua" w:hAnsi="Book Antiqua" w:cstheme="minorHAnsi"/>
          <w:sz w:val="24"/>
          <w:szCs w:val="24"/>
          <w:lang w:val="en-US"/>
        </w:rPr>
        <w:t xml:space="preserve">the </w:t>
      </w:r>
      <w:r w:rsidR="005C659B" w:rsidRPr="00C11F21">
        <w:rPr>
          <w:rFonts w:ascii="Book Antiqua" w:hAnsi="Book Antiqua" w:cstheme="minorHAnsi"/>
          <w:sz w:val="24"/>
          <w:szCs w:val="24"/>
          <w:lang w:val="en-US"/>
        </w:rPr>
        <w:t xml:space="preserve">sequence conservation </w:t>
      </w:r>
      <w:r w:rsidR="000A74B8" w:rsidRPr="00C11F21">
        <w:rPr>
          <w:rFonts w:ascii="Book Antiqua" w:hAnsi="Book Antiqua" w:cstheme="minorHAnsi"/>
          <w:sz w:val="24"/>
          <w:szCs w:val="24"/>
          <w:lang w:val="en-US"/>
        </w:rPr>
        <w:t xml:space="preserve">requirements </w:t>
      </w:r>
      <w:r w:rsidR="005C659B" w:rsidRPr="00C11F21">
        <w:rPr>
          <w:rFonts w:ascii="Book Antiqua" w:hAnsi="Book Antiqua" w:cstheme="minorHAnsi"/>
          <w:sz w:val="24"/>
          <w:szCs w:val="24"/>
          <w:lang w:val="en-US"/>
        </w:rPr>
        <w:t xml:space="preserve">for their respective functions. </w:t>
      </w:r>
    </w:p>
    <w:p w14:paraId="2930FE35" w14:textId="17B375AA" w:rsidR="002A56B9" w:rsidRPr="00C11F21" w:rsidRDefault="00FC17C1" w:rsidP="0015237C">
      <w:pPr>
        <w:snapToGrid w:val="0"/>
        <w:spacing w:after="0" w:line="360" w:lineRule="auto"/>
        <w:ind w:firstLineChars="100" w:firstLine="240"/>
        <w:jc w:val="both"/>
        <w:rPr>
          <w:rFonts w:ascii="Book Antiqua" w:hAnsi="Book Antiqua" w:cstheme="minorHAnsi"/>
          <w:sz w:val="24"/>
          <w:szCs w:val="24"/>
          <w:lang w:val="en-US"/>
        </w:rPr>
      </w:pPr>
      <w:r w:rsidRPr="00C11F21">
        <w:rPr>
          <w:rFonts w:ascii="Book Antiqua" w:hAnsi="Book Antiqua" w:cstheme="minorHAnsi"/>
          <w:sz w:val="24"/>
          <w:szCs w:val="24"/>
          <w:lang w:val="en-US"/>
        </w:rPr>
        <w:t>After their translation, approximately 50% of LHBs undergo posttranslational topological reorientation, in which their N-terminal end is translocated to the endoplasmic reticulum lumen</w:t>
      </w:r>
      <w:r w:rsidR="0015237C" w:rsidRPr="00C11F21">
        <w:rPr>
          <w:rFonts w:ascii="Book Antiqua" w:hAnsi="Book Antiqua" w:cstheme="minorHAnsi"/>
          <w:sz w:val="24"/>
          <w:szCs w:val="24"/>
          <w:lang w:val="en-US"/>
        </w:rPr>
        <w:fldChar w:fldCharType="begin" w:fldLock="1"/>
      </w:r>
      <w:r w:rsidR="0015237C" w:rsidRPr="00C11F21">
        <w:rPr>
          <w:rFonts w:ascii="Book Antiqua" w:hAnsi="Book Antiqua" w:cstheme="minorHAnsi"/>
          <w:sz w:val="24"/>
          <w:szCs w:val="24"/>
          <w:lang w:val="en-US"/>
        </w:rPr>
        <w:instrText>ADDIN CSL_CITATION { "citationItems" : [ { "id" : "ITEM-1", "itemData" : { "ISBN" : "0261-4189 (Print)\\r0261-4189 (Linking)", "ISSN" : "0261-4189", "PMID" : "8194518", "abstract" : "The preS domain at the N-terminus of the large envelope protein (LHBs) of the hepatitis B virus is involved in (i) envelopment of viral nucleocapsids and (ii) binding to the host cell. While the first function suggests a cytosolic location of the preS domain during virion assembly, the function as an attachment site requires its translocation across the lipid bilayer and final exposure on the virion surface. We compared the transmembrane topology of newly synthesized LHBs in the endoplasmic reticulum (ER) membrane with its topology in the envelope of secreted virions. Protease sensitivity and the absence of glycosylation suggest that the entire preS domain of newly synthesized LHBs remains at the cytosolic side of ER vesicles. However, virions secreted from transfected cell cultures or isolated from the blood of persistent virus carriers expose antibody binding sites and proteolytic cleavage sites of the preS domain at their surface in approximately half of the LHBs molecules. Thus, preS domains appear to be transported across the viral lipid barrier by a novel post-translational translocation mechanism to fulfil a dual function in virion assembly and attachment to the host cell.", "author" : [ { "dropping-particle" : "", "family" : "Bruss", "given" : "V", "non-dropping-particle" : "", "parse-names" : false, "suffix" : "" }, { "dropping-particle" : "", "family" : "Lu", "given" : "X", "non-dropping-particle" : "", "parse-names" : false, "suffix" : "" }, { "dropping-particle" : "", "family" : "Thomssen", "given" : "R", "non-dropping-particle" : "", "parse-names" : false, "suffix" : "" }, { "dropping-particle" : "", "family" : "Gerlich", "given" : "W H", "non-dropping-particle" : "", "parse-names" : false, "suffix" : "" } ], "container-title" : "The EMBO journal", "id" : "ITEM-1", "issue" : "10", "issued" : { "date-parts" : [ [ "1994" ] ] }, "page" : "2273-2279", "title" : "Post-translational alterations in transmembrane topology of the hepatitis B virus large envelope protein.", "type" : "article-journal", "volume" : "13" }, "uris" : [ "http://www.mendeley.com/documents/?uuid=7d88539b-75b8-4646-998a-21950e8c98bb", "http://www.mendeley.com/documents/?uuid=2466cf0c-d554-4cb7-91a5-461ca5d22da4" ] } ], "mendeley" : { "formattedCitation" : "&lt;sup&gt;[47]&lt;/sup&gt;", "plainTextFormattedCitation" : "[47]", "previouslyFormattedCitation" : "&lt;sup&gt;[48]&lt;/sup&gt;" }, "properties" : {  }, "schema" : "https://github.com/citation-style-language/schema/raw/master/csl-citation.json" }</w:instrText>
      </w:r>
      <w:r w:rsidR="0015237C" w:rsidRPr="00C11F21">
        <w:rPr>
          <w:rFonts w:ascii="Book Antiqua" w:hAnsi="Book Antiqua" w:cstheme="minorHAnsi"/>
          <w:sz w:val="24"/>
          <w:szCs w:val="24"/>
          <w:lang w:val="en-US"/>
        </w:rPr>
        <w:fldChar w:fldCharType="separate"/>
      </w:r>
      <w:r w:rsidR="0015237C" w:rsidRPr="00C11F21">
        <w:rPr>
          <w:rFonts w:ascii="Book Antiqua" w:hAnsi="Book Antiqua" w:cstheme="minorHAnsi"/>
          <w:noProof/>
          <w:sz w:val="24"/>
          <w:szCs w:val="24"/>
          <w:vertAlign w:val="superscript"/>
          <w:lang w:val="en-US"/>
        </w:rPr>
        <w:t>[47]</w:t>
      </w:r>
      <w:r w:rsidR="0015237C" w:rsidRPr="00C11F21">
        <w:rPr>
          <w:rFonts w:ascii="Book Antiqua" w:hAnsi="Book Antiqua" w:cstheme="minorHAnsi"/>
          <w:sz w:val="24"/>
          <w:szCs w:val="24"/>
          <w:lang w:val="en-US"/>
        </w:rPr>
        <w:fldChar w:fldCharType="end"/>
      </w:r>
      <w:r w:rsidRPr="00C11F21">
        <w:rPr>
          <w:rFonts w:ascii="Book Antiqua" w:hAnsi="Book Antiqua" w:cstheme="minorHAnsi"/>
          <w:sz w:val="24"/>
          <w:szCs w:val="24"/>
          <w:lang w:val="en-US"/>
        </w:rPr>
        <w:t xml:space="preserve">. This gives rise to two types of LHBs: those in which the preS1 </w:t>
      </w:r>
      <w:r w:rsidR="001F0E5F" w:rsidRPr="00C11F21">
        <w:rPr>
          <w:rFonts w:ascii="Book Antiqua" w:hAnsi="Book Antiqua" w:cstheme="minorHAnsi"/>
          <w:sz w:val="24"/>
          <w:szCs w:val="24"/>
          <w:lang w:val="en-US"/>
        </w:rPr>
        <w:t xml:space="preserve">region </w:t>
      </w:r>
      <w:r w:rsidRPr="00C11F21">
        <w:rPr>
          <w:rFonts w:ascii="Book Antiqua" w:hAnsi="Book Antiqua" w:cstheme="minorHAnsi"/>
          <w:sz w:val="24"/>
          <w:szCs w:val="24"/>
          <w:lang w:val="en-US"/>
        </w:rPr>
        <w:t xml:space="preserve">has an external position in the viral particles and those </w:t>
      </w:r>
      <w:r w:rsidRPr="00C11F21">
        <w:rPr>
          <w:rFonts w:ascii="Book Antiqua" w:hAnsi="Book Antiqua" w:cstheme="minorHAnsi"/>
          <w:sz w:val="24"/>
          <w:szCs w:val="24"/>
          <w:lang w:val="en-US"/>
        </w:rPr>
        <w:lastRenderedPageBreak/>
        <w:t xml:space="preserve">in which this </w:t>
      </w:r>
      <w:r w:rsidR="001F0E5F" w:rsidRPr="00C11F21">
        <w:rPr>
          <w:rFonts w:ascii="Book Antiqua" w:hAnsi="Book Antiqua" w:cstheme="minorHAnsi"/>
          <w:sz w:val="24"/>
          <w:szCs w:val="24"/>
          <w:lang w:val="en-US"/>
        </w:rPr>
        <w:t xml:space="preserve">region </w:t>
      </w:r>
      <w:r w:rsidRPr="00C11F21">
        <w:rPr>
          <w:rFonts w:ascii="Book Antiqua" w:hAnsi="Book Antiqua" w:cstheme="minorHAnsi"/>
          <w:sz w:val="24"/>
          <w:szCs w:val="24"/>
          <w:lang w:val="en-US"/>
        </w:rPr>
        <w:t xml:space="preserve">has an internal </w:t>
      </w:r>
      <w:r w:rsidR="00F6034B" w:rsidRPr="00C11F21">
        <w:rPr>
          <w:rFonts w:ascii="Book Antiqua" w:hAnsi="Book Antiqua" w:cstheme="minorHAnsi"/>
          <w:sz w:val="24"/>
          <w:szCs w:val="24"/>
          <w:lang w:val="en-US"/>
        </w:rPr>
        <w:t>position</w:t>
      </w:r>
      <w:r w:rsidRPr="00C11F21">
        <w:rPr>
          <w:rFonts w:ascii="Book Antiqua" w:hAnsi="Book Antiqua" w:cstheme="minorHAnsi"/>
          <w:sz w:val="24"/>
          <w:szCs w:val="24"/>
          <w:lang w:val="en-US"/>
        </w:rPr>
        <w:t>. Whereas the N-terminal region of external LHBs is involved in NTCP interaction</w:t>
      </w:r>
      <w:r w:rsidR="00F71D5B" w:rsidRPr="00C11F21">
        <w:rPr>
          <w:rFonts w:ascii="Book Antiqua" w:hAnsi="Book Antiqua" w:cstheme="minorHAnsi"/>
          <w:sz w:val="24"/>
          <w:szCs w:val="24"/>
          <w:lang w:val="en-US"/>
        </w:rPr>
        <w:t>s</w:t>
      </w:r>
      <w:r w:rsidR="0015237C" w:rsidRPr="00C11F21">
        <w:rPr>
          <w:rFonts w:ascii="Book Antiqua" w:hAnsi="Book Antiqua" w:cstheme="minorHAnsi"/>
          <w:sz w:val="24"/>
          <w:szCs w:val="24"/>
          <w:lang w:val="en-US"/>
        </w:rPr>
        <w:fldChar w:fldCharType="begin" w:fldLock="1"/>
      </w:r>
      <w:r w:rsidR="0015237C" w:rsidRPr="00C11F21">
        <w:rPr>
          <w:rFonts w:ascii="Book Antiqua" w:hAnsi="Book Antiqua" w:cstheme="minorHAnsi"/>
          <w:sz w:val="24"/>
          <w:szCs w:val="24"/>
          <w:lang w:val="en-US"/>
        </w:rPr>
        <w:instrText>ADDIN CSL_CITATION { "citationItems" : [ { "id" : "ITEM-1", "itemData" : { "ISSN" : "0022-538X", "PMID" : "9971786", "abstract" : "During the life cycle of hepatitis B virus (HBV), the large envelope protein (L) plays a pivotal role. Indeed, this polypeptide is essential for viral assembly and probably for the infection process. By performing mutagenesis experiments, we have previously excluded a putative involvement of the pre-S2 domain of the L protein in viral infectivity. In the present study, we have evaluated the role of the pre-S1 region in HBV infection. For this purpose, 21 mutants of the L protein were created. The entire pre-S1 domain was covered by contiguous deletions of 5 amino acids. First, after transfection into HepG2 cells, the efficient expression of both glycosylated and unglycosylated L mutant proteins was verified. The secretion rate of envelope proteins was modified positively or negatively by deletions, indicating that the pre-S1 domain contains several regulating sequences able to influence the surface protein secretion. The ability of mutant proteins to support the production of virions was then studied. Only the four C-terminal deletions, covering the 17 amino acids suspected to interact with the cytoplasmic nucleocapsids, inhibited virion release. Finally, the presence of the modified pre-S1 domain at the external side of all secreted virions was confirmed, and their infectivity was assayed on normal human hepatocytes in primary culture. Only a short sequence including amino acids 78 to 87 tolerates internal deletions without affecting viral infectivity. These results confirm the involvement of the L protein in the infection step and demonstrate that the sequence between amino acids 3 and 77 is involved in this process.", "author" : [ { "dropping-particle" : "", "family" : "Seyec", "given" : "J", "non-dropping-particle" : "Le", "parse-names" : false, "suffix" : "" }, { "dropping-particle" : "", "family" : "Chouteau", "given" : "P", "non-dropping-particle" : "", "parse-names" : false, "suffix" : "" }, { "dropping-particle" : "", "family" : "Cannie", "given" : "I", "non-dropping-particle" : "", "parse-names" : false, "suffix" : "" }, { "dropping-particle" : "", "family" : "Guguen-Guillouzo", "given" : "C", "non-dropping-particle" : "", "parse-names" : false, "suffix" : "" }, { "dropping-particle" : "", "family" : "Gripon", "given" : "P", "non-dropping-particle" : "", "parse-names" : false, "suffix" : "" } ], "container-title" : "Journal of virology", "id" : "ITEM-1", "issue" : "3", "issued" : { "date-parts" : [ [ "1999", "3" ] ] }, "page" : "2052-7", "title" : "Infection process of the hepatitis B virus depends on the presence of a defined sequence in the pre-S1 domain.", "type" : "article-journal", "volume" : "73" }, "uris" : [ "http://www.mendeley.com/documents/?uuid=8b64efc2-7972-477d-bf26-0295e01b76c3" ] } ], "mendeley" : { "formattedCitation" : "&lt;sup&gt;[15]&lt;/sup&gt;", "plainTextFormattedCitation" : "[15]", "previouslyFormattedCitation" : "&lt;sup&gt;[15]&lt;/sup&gt;" }, "properties" : {  }, "schema" : "https://github.com/citation-style-language/schema/raw/master/csl-citation.json" }</w:instrText>
      </w:r>
      <w:r w:rsidR="0015237C" w:rsidRPr="00C11F21">
        <w:rPr>
          <w:rFonts w:ascii="Book Antiqua" w:hAnsi="Book Antiqua" w:cstheme="minorHAnsi"/>
          <w:sz w:val="24"/>
          <w:szCs w:val="24"/>
          <w:lang w:val="en-US"/>
        </w:rPr>
        <w:fldChar w:fldCharType="separate"/>
      </w:r>
      <w:r w:rsidR="0015237C" w:rsidRPr="00C11F21">
        <w:rPr>
          <w:rFonts w:ascii="Book Antiqua" w:hAnsi="Book Antiqua" w:cstheme="minorHAnsi"/>
          <w:noProof/>
          <w:sz w:val="24"/>
          <w:szCs w:val="24"/>
          <w:vertAlign w:val="superscript"/>
          <w:lang w:val="en-US"/>
        </w:rPr>
        <w:t>[15]</w:t>
      </w:r>
      <w:r w:rsidR="0015237C" w:rsidRPr="00C11F21">
        <w:rPr>
          <w:rFonts w:ascii="Book Antiqua" w:hAnsi="Book Antiqua" w:cstheme="minorHAnsi"/>
          <w:sz w:val="24"/>
          <w:szCs w:val="24"/>
          <w:lang w:val="en-US"/>
        </w:rPr>
        <w:fldChar w:fldCharType="end"/>
      </w:r>
      <w:r w:rsidRPr="00C11F21">
        <w:rPr>
          <w:rFonts w:ascii="Book Antiqua" w:hAnsi="Book Antiqua" w:cstheme="minorHAnsi"/>
          <w:sz w:val="24"/>
          <w:szCs w:val="24"/>
          <w:lang w:val="en-US"/>
        </w:rPr>
        <w:t>, the C-terminal part of internal LHBs between aa 92 and 113 (</w:t>
      </w:r>
      <w:r w:rsidR="00F01129" w:rsidRPr="00C11F21">
        <w:rPr>
          <w:rFonts w:ascii="Book Antiqua" w:hAnsi="Book Antiqua" w:cstheme="minorHAnsi"/>
          <w:sz w:val="24"/>
          <w:szCs w:val="24"/>
          <w:lang w:val="en-US"/>
        </w:rPr>
        <w:t xml:space="preserve">HBV </w:t>
      </w:r>
      <w:r w:rsidR="007056D4" w:rsidRPr="00C11F21">
        <w:rPr>
          <w:rFonts w:ascii="Book Antiqua" w:hAnsi="Book Antiqua" w:cstheme="minorHAnsi"/>
          <w:sz w:val="24"/>
          <w:szCs w:val="24"/>
          <w:lang w:val="en-US"/>
        </w:rPr>
        <w:t>genotype D numeration</w:t>
      </w:r>
      <w:r w:rsidRPr="00C11F21">
        <w:rPr>
          <w:rFonts w:ascii="Book Antiqua" w:hAnsi="Book Antiqua" w:cstheme="minorHAnsi"/>
          <w:sz w:val="24"/>
          <w:szCs w:val="24"/>
          <w:lang w:val="en-US"/>
        </w:rPr>
        <w:t>) has a pivotal function in virion morphogenesis by directly contacting the nucleocapsid during viral particle budding</w:t>
      </w:r>
      <w:r w:rsidR="0015237C" w:rsidRPr="00C11F21">
        <w:rPr>
          <w:rFonts w:ascii="Book Antiqua" w:hAnsi="Book Antiqua" w:cstheme="minorHAnsi"/>
          <w:sz w:val="24"/>
          <w:szCs w:val="24"/>
          <w:lang w:val="en-US"/>
        </w:rPr>
        <w:fldChar w:fldCharType="begin" w:fldLock="1"/>
      </w:r>
      <w:r w:rsidR="0015237C" w:rsidRPr="00C11F21">
        <w:rPr>
          <w:rFonts w:ascii="Book Antiqua" w:hAnsi="Book Antiqua" w:cstheme="minorHAnsi"/>
          <w:sz w:val="24"/>
          <w:szCs w:val="24"/>
          <w:lang w:val="en-US"/>
        </w:rPr>
        <w:instrText>ADDIN CSL_CITATION { "citationItems" : [ { "id" : "ITEM-1", "itemData" : { "ISBN" : "0022-538X (Print)\\n0022-538X (Linking)", "ISSN" : "0022-538X", "PMID" : "9371594", "abstract" : "Envelopment of the hepatitis B virus (HBV) nucleocapsid depends on the large envelope protein L, which is expressed as a transmembrane polypeptide at the endoplasmic reticulum membrane. Previous studies demonstrated that the cytosolic exposure of the N-terminal pre-S domain (174 amino acids) of L was required for virion formation. N-terminal truncations of L up to Arg 103 were tolerated. To map sites in the remaining C-terminal part of pre-S important for virion morphogenesis, a series of 11 L mutants with linker substitutions between Asn 98 and Pro 171 was generated. The mutants formed stable proteins and were secreted in transfected cell cultures, probably as components of subviral hepatitis B surface antigen particles. All four constructs with mutations between Asn 98 and Thr 125 were unable to complement in trans the block in virion formation of an L-negative HBV genome in cotransfected HuH7 cells. These mutants had a transdominant negative effect on virus yield in cotransfections with the wild-type HBV genome. In contrast, all seven mutants with substitutions downstream of Ser 124 were able to envelop the nucleocapsid and to secrete HBV. The sequence between Arg 103 and Ser 124 is highly conserved among different HBV isolates and also between HBV and the woodchuck hepatitis virus. Point mutations in this region introducing alanine residues at conserved positions blocked virion formation, in contrast to mutations at nonconserved residues. These results demonstrate that the pre-S sequence between Arg 103 and Ser 124 has an important function in HBV morphogenesis.", "author" : [ { "dropping-particle" : "", "family" : "Bruss", "given" : "V", "non-dropping-particle" : "", "parse-names" : false, "suffix" : "" } ], "container-title" : "Journal of virology", "id" : "ITEM-1", "issue" : "12", "issued" : { "date-parts" : [ [ "1997", "12" ] ] }, "language" : "eng", "page" : "9350-9357", "publisher-place" : "UNITED STATES", "title" : "A short linear sequence in the pre-S domain of the large hepatitis B virus envelope protein required for virion formation.", "type" : "article-journal", "volume" : "71" }, "uris" : [ "http://www.mendeley.com/documents/?uuid=a1b1fa3b-cd1d-4a51-b398-e225ceee67ee" ] } ], "mendeley" : { "formattedCitation" : "&lt;sup&gt;[31]&lt;/sup&gt;", "plainTextFormattedCitation" : "[31]", "previouslyFormattedCitation" : "&lt;sup&gt;[26]&lt;/sup&gt;" }, "properties" : {  }, "schema" : "https://github.com/citation-style-language/schema/raw/master/csl-citation.json" }</w:instrText>
      </w:r>
      <w:r w:rsidR="0015237C" w:rsidRPr="00C11F21">
        <w:rPr>
          <w:rFonts w:ascii="Book Antiqua" w:hAnsi="Book Antiqua" w:cstheme="minorHAnsi"/>
          <w:sz w:val="24"/>
          <w:szCs w:val="24"/>
          <w:lang w:val="en-US"/>
        </w:rPr>
        <w:fldChar w:fldCharType="separate"/>
      </w:r>
      <w:r w:rsidR="0015237C" w:rsidRPr="00C11F21">
        <w:rPr>
          <w:rFonts w:ascii="Book Antiqua" w:hAnsi="Book Antiqua" w:cstheme="minorHAnsi"/>
          <w:noProof/>
          <w:sz w:val="24"/>
          <w:szCs w:val="24"/>
          <w:vertAlign w:val="superscript"/>
          <w:lang w:val="en-US"/>
        </w:rPr>
        <w:t>[31]</w:t>
      </w:r>
      <w:r w:rsidR="0015237C" w:rsidRPr="00C11F21">
        <w:rPr>
          <w:rFonts w:ascii="Book Antiqua" w:hAnsi="Book Antiqua" w:cstheme="minorHAnsi"/>
          <w:sz w:val="24"/>
          <w:szCs w:val="24"/>
          <w:lang w:val="en-US"/>
        </w:rPr>
        <w:fldChar w:fldCharType="end"/>
      </w:r>
      <w:r w:rsidRPr="00C11F21">
        <w:rPr>
          <w:rFonts w:ascii="Book Antiqua" w:hAnsi="Book Antiqua" w:cstheme="minorHAnsi"/>
          <w:sz w:val="24"/>
          <w:szCs w:val="24"/>
          <w:lang w:val="en-US"/>
        </w:rPr>
        <w:t>.</w:t>
      </w:r>
      <w:r w:rsidR="00DD4881" w:rsidRPr="00C11F21">
        <w:rPr>
          <w:rFonts w:ascii="Book Antiqua" w:hAnsi="Book Antiqua" w:cstheme="minorHAnsi"/>
          <w:sz w:val="24"/>
          <w:szCs w:val="24"/>
          <w:lang w:val="en-US"/>
        </w:rPr>
        <w:t xml:space="preserve"> Moreover, t</w:t>
      </w:r>
      <w:r w:rsidR="002A56B9" w:rsidRPr="00C11F21">
        <w:rPr>
          <w:rFonts w:ascii="Book Antiqua" w:hAnsi="Book Antiqua" w:cstheme="minorHAnsi"/>
          <w:sz w:val="24"/>
          <w:szCs w:val="24"/>
          <w:lang w:val="en-US"/>
        </w:rPr>
        <w:t>h</w:t>
      </w:r>
      <w:r w:rsidR="00F65C23" w:rsidRPr="00C11F21">
        <w:rPr>
          <w:rFonts w:ascii="Book Antiqua" w:hAnsi="Book Antiqua" w:cstheme="minorHAnsi"/>
          <w:sz w:val="24"/>
          <w:szCs w:val="24"/>
          <w:lang w:val="en-US"/>
        </w:rPr>
        <w:t>is</w:t>
      </w:r>
      <w:r w:rsidR="002A56B9" w:rsidRPr="00C11F21">
        <w:rPr>
          <w:rFonts w:ascii="Book Antiqua" w:hAnsi="Book Antiqua" w:cstheme="minorHAnsi"/>
          <w:sz w:val="24"/>
          <w:szCs w:val="24"/>
          <w:lang w:val="en-US"/>
        </w:rPr>
        <w:t xml:space="preserve"> </w:t>
      </w:r>
      <w:r w:rsidR="003B1480" w:rsidRPr="00C11F21">
        <w:rPr>
          <w:rFonts w:ascii="Book Antiqua" w:hAnsi="Book Antiqua" w:cstheme="minorHAnsi"/>
          <w:sz w:val="24"/>
          <w:szCs w:val="24"/>
          <w:lang w:val="en-US"/>
        </w:rPr>
        <w:t xml:space="preserve">latter </w:t>
      </w:r>
      <w:r w:rsidR="00DD4881" w:rsidRPr="00C11F21">
        <w:rPr>
          <w:rFonts w:ascii="Book Antiqua" w:hAnsi="Book Antiqua" w:cstheme="minorHAnsi"/>
          <w:sz w:val="24"/>
          <w:szCs w:val="24"/>
          <w:lang w:val="en-US"/>
        </w:rPr>
        <w:t>domain</w:t>
      </w:r>
      <w:r w:rsidR="002A56B9" w:rsidRPr="00C11F21">
        <w:rPr>
          <w:rFonts w:ascii="Book Antiqua" w:hAnsi="Book Antiqua" w:cstheme="minorHAnsi"/>
          <w:sz w:val="24"/>
          <w:szCs w:val="24"/>
          <w:lang w:val="en-US"/>
        </w:rPr>
        <w:t xml:space="preserve"> </w:t>
      </w:r>
      <w:r w:rsidR="00F65C23" w:rsidRPr="00C11F21">
        <w:rPr>
          <w:rFonts w:ascii="Book Antiqua" w:hAnsi="Book Antiqua" w:cstheme="minorHAnsi"/>
          <w:sz w:val="24"/>
          <w:szCs w:val="24"/>
          <w:lang w:val="en-US"/>
        </w:rPr>
        <w:t>is reported to be</w:t>
      </w:r>
      <w:r w:rsidR="002A56B9" w:rsidRPr="00C11F21">
        <w:rPr>
          <w:rFonts w:ascii="Book Antiqua" w:hAnsi="Book Antiqua" w:cstheme="minorHAnsi"/>
          <w:sz w:val="24"/>
          <w:szCs w:val="24"/>
          <w:lang w:val="en-US"/>
        </w:rPr>
        <w:t xml:space="preserve"> highly conserved among </w:t>
      </w:r>
      <w:r w:rsidR="00F635BF" w:rsidRPr="00C11F21">
        <w:rPr>
          <w:rFonts w:ascii="Book Antiqua" w:hAnsi="Book Antiqua" w:cstheme="minorHAnsi"/>
          <w:sz w:val="24"/>
          <w:szCs w:val="24"/>
          <w:lang w:val="en-US"/>
        </w:rPr>
        <w:t>orthohepadnaviruses</w:t>
      </w:r>
      <w:r w:rsidR="0015237C" w:rsidRPr="00C11F21">
        <w:rPr>
          <w:rFonts w:ascii="Book Antiqua" w:hAnsi="Book Antiqua" w:cstheme="minorHAnsi"/>
          <w:sz w:val="24"/>
          <w:szCs w:val="24"/>
          <w:lang w:val="en-US"/>
        </w:rPr>
        <w:fldChar w:fldCharType="begin" w:fldLock="1"/>
      </w:r>
      <w:r w:rsidR="0015237C" w:rsidRPr="00C11F21">
        <w:rPr>
          <w:rFonts w:ascii="Book Antiqua" w:hAnsi="Book Antiqua" w:cstheme="minorHAnsi"/>
          <w:sz w:val="24"/>
          <w:szCs w:val="24"/>
          <w:lang w:val="en-US"/>
        </w:rPr>
        <w:instrText>ADDIN CSL_CITATION { "citationItems" : [ { "id" : "ITEM-1", "itemData" : { "ISBN" : "0022-538X (Print)\\n0022-538X (Linking)", "ISSN" : "0022-538X", "PMID" : "9371594", "abstract" : "Envelopment of the hepatitis B virus (HBV) nucleocapsid depends on the large envelope protein L, which is expressed as a transmembrane polypeptide at the endoplasmic reticulum membrane. Previous studies demonstrated that the cytosolic exposure of the N-terminal pre-S domain (174 amino acids) of L was required for virion formation. N-terminal truncations of L up to Arg 103 were tolerated. To map sites in the remaining C-terminal part of pre-S important for virion morphogenesis, a series of 11 L mutants with linker substitutions between Asn 98 and Pro 171 was generated. The mutants formed stable proteins and were secreted in transfected cell cultures, probably as components of subviral hepatitis B surface antigen particles. All four constructs with mutations between Asn 98 and Thr 125 were unable to complement in trans the block in virion formation of an L-negative HBV genome in cotransfected HuH7 cells. These mutants had a transdominant negative effect on virus yield in cotransfections with the wild-type HBV genome. In contrast, all seven mutants with substitutions downstream of Ser 124 were able to envelop the nucleocapsid and to secrete HBV. The sequence between Arg 103 and Ser 124 is highly conserved among different HBV isolates and also between HBV and the woodchuck hepatitis virus. Point mutations in this region introducing alanine residues at conserved positions blocked virion formation, in contrast to mutations at nonconserved residues. These results demonstrate that the pre-S sequence between Arg 103 and Ser 124 has an important function in HBV morphogenesis.", "author" : [ { "dropping-particle" : "", "family" : "Bruss", "given" : "V", "non-dropping-particle" : "", "parse-names" : false, "suffix" : "" } ], "container-title" : "Journal of virology", "id" : "ITEM-1", "issue" : "12", "issued" : { "date-parts" : [ [ "1997", "12" ] ] }, "language" : "eng", "page" : "9350-9357", "publisher-place" : "UNITED STATES", "title" : "A short linear sequence in the pre-S domain of the large hepatitis B virus envelope protein required for virion formation.", "type" : "article-journal", "volume" : "71" }, "uris" : [ "http://www.mendeley.com/documents/?uuid=a1b1fa3b-cd1d-4a51-b398-e225ceee67ee" ] } ], "mendeley" : { "formattedCitation" : "&lt;sup&gt;[31]&lt;/sup&gt;", "plainTextFormattedCitation" : "[31]", "previouslyFormattedCitation" : "&lt;sup&gt;[26]&lt;/sup&gt;" }, "properties" : {  }, "schema" : "https://github.com/citation-style-language/schema/raw/master/csl-citation.json" }</w:instrText>
      </w:r>
      <w:r w:rsidR="0015237C" w:rsidRPr="00C11F21">
        <w:rPr>
          <w:rFonts w:ascii="Book Antiqua" w:hAnsi="Book Antiqua" w:cstheme="minorHAnsi"/>
          <w:sz w:val="24"/>
          <w:szCs w:val="24"/>
          <w:lang w:val="en-US"/>
        </w:rPr>
        <w:fldChar w:fldCharType="separate"/>
      </w:r>
      <w:r w:rsidR="0015237C" w:rsidRPr="00C11F21">
        <w:rPr>
          <w:rFonts w:ascii="Book Antiqua" w:hAnsi="Book Antiqua" w:cstheme="minorHAnsi"/>
          <w:noProof/>
          <w:sz w:val="24"/>
          <w:szCs w:val="24"/>
          <w:vertAlign w:val="superscript"/>
          <w:lang w:val="en-US"/>
        </w:rPr>
        <w:t>[31]</w:t>
      </w:r>
      <w:r w:rsidR="0015237C" w:rsidRPr="00C11F21">
        <w:rPr>
          <w:rFonts w:ascii="Book Antiqua" w:hAnsi="Book Antiqua" w:cstheme="minorHAnsi"/>
          <w:sz w:val="24"/>
          <w:szCs w:val="24"/>
          <w:lang w:val="en-US"/>
        </w:rPr>
        <w:fldChar w:fldCharType="end"/>
      </w:r>
      <w:r w:rsidR="002A56B9" w:rsidRPr="00C11F21">
        <w:rPr>
          <w:rFonts w:ascii="Book Antiqua" w:hAnsi="Book Antiqua" w:cstheme="minorHAnsi"/>
          <w:sz w:val="24"/>
          <w:szCs w:val="24"/>
          <w:lang w:val="en-US"/>
        </w:rPr>
        <w:t xml:space="preserve">, </w:t>
      </w:r>
      <w:r w:rsidR="00F65C23" w:rsidRPr="00C11F21">
        <w:rPr>
          <w:rFonts w:ascii="Book Antiqua" w:hAnsi="Book Antiqua" w:cstheme="minorHAnsi"/>
          <w:sz w:val="24"/>
          <w:szCs w:val="24"/>
          <w:lang w:val="en-US"/>
        </w:rPr>
        <w:t>a concept that</w:t>
      </w:r>
      <w:r w:rsidR="008744E4" w:rsidRPr="00C11F21">
        <w:rPr>
          <w:rFonts w:ascii="Book Antiqua" w:hAnsi="Book Antiqua" w:cstheme="minorHAnsi"/>
          <w:sz w:val="24"/>
          <w:szCs w:val="24"/>
          <w:lang w:val="en-US"/>
        </w:rPr>
        <w:t xml:space="preserve"> </w:t>
      </w:r>
      <w:r w:rsidR="002577B5" w:rsidRPr="00C11F21">
        <w:rPr>
          <w:rFonts w:ascii="Book Antiqua" w:hAnsi="Book Antiqua" w:cstheme="minorHAnsi"/>
          <w:sz w:val="24"/>
          <w:szCs w:val="24"/>
          <w:lang w:val="en-US"/>
        </w:rPr>
        <w:t xml:space="preserve">is supported by </w:t>
      </w:r>
      <w:r w:rsidR="00603437" w:rsidRPr="00C11F21">
        <w:rPr>
          <w:rFonts w:ascii="Book Antiqua" w:hAnsi="Book Antiqua" w:cstheme="minorHAnsi"/>
          <w:sz w:val="24"/>
          <w:szCs w:val="24"/>
          <w:lang w:val="en-US"/>
        </w:rPr>
        <w:t xml:space="preserve">the lower percentage of </w:t>
      </w:r>
      <w:r w:rsidR="00F01129" w:rsidRPr="00C11F21">
        <w:rPr>
          <w:rFonts w:ascii="Book Antiqua" w:hAnsi="Book Antiqua" w:cstheme="minorHAnsi"/>
          <w:sz w:val="24"/>
          <w:szCs w:val="24"/>
          <w:lang w:val="en-US"/>
        </w:rPr>
        <w:t xml:space="preserve">HBV </w:t>
      </w:r>
      <w:r w:rsidR="002577B5" w:rsidRPr="00C11F21">
        <w:rPr>
          <w:rFonts w:ascii="Book Antiqua" w:hAnsi="Book Antiqua" w:cstheme="minorHAnsi"/>
          <w:sz w:val="24"/>
          <w:szCs w:val="24"/>
          <w:lang w:val="en-US"/>
        </w:rPr>
        <w:t>genotype-associated viral polymorphisms in</w:t>
      </w:r>
      <w:r w:rsidR="00603437" w:rsidRPr="00C11F21">
        <w:rPr>
          <w:rFonts w:ascii="Book Antiqua" w:hAnsi="Book Antiqua" w:cstheme="minorHAnsi"/>
          <w:sz w:val="24"/>
          <w:szCs w:val="24"/>
          <w:lang w:val="en-US"/>
        </w:rPr>
        <w:t xml:space="preserve"> the virion morphogenesis domain</w:t>
      </w:r>
      <w:r w:rsidR="002577B5" w:rsidRPr="00C11F21">
        <w:rPr>
          <w:rFonts w:ascii="Book Antiqua" w:hAnsi="Book Antiqua" w:cstheme="minorHAnsi"/>
          <w:sz w:val="24"/>
          <w:szCs w:val="24"/>
          <w:lang w:val="en-US"/>
        </w:rPr>
        <w:t xml:space="preserve"> </w:t>
      </w:r>
      <w:r w:rsidR="00586C6A" w:rsidRPr="00C11F21">
        <w:rPr>
          <w:rFonts w:ascii="Book Antiqua" w:hAnsi="Book Antiqua" w:cstheme="minorHAnsi"/>
          <w:sz w:val="24"/>
          <w:szCs w:val="24"/>
          <w:lang w:val="en-US"/>
        </w:rPr>
        <w:t xml:space="preserve">than </w:t>
      </w:r>
      <w:r w:rsidR="00952F8D" w:rsidRPr="00C11F21">
        <w:rPr>
          <w:rFonts w:ascii="Book Antiqua" w:hAnsi="Book Antiqua" w:cstheme="minorHAnsi"/>
          <w:sz w:val="24"/>
          <w:szCs w:val="24"/>
          <w:lang w:val="en-US"/>
        </w:rPr>
        <w:t xml:space="preserve">in </w:t>
      </w:r>
      <w:r w:rsidR="00DC4529" w:rsidRPr="00C11F21">
        <w:rPr>
          <w:rFonts w:ascii="Book Antiqua" w:hAnsi="Book Antiqua" w:cstheme="minorHAnsi"/>
          <w:sz w:val="24"/>
          <w:szCs w:val="24"/>
          <w:lang w:val="en-US"/>
        </w:rPr>
        <w:t>the NTCP-</w:t>
      </w:r>
      <w:r w:rsidR="00586C6A" w:rsidRPr="00C11F21">
        <w:rPr>
          <w:rFonts w:ascii="Book Antiqua" w:hAnsi="Book Antiqua" w:cstheme="minorHAnsi"/>
          <w:sz w:val="24"/>
          <w:szCs w:val="24"/>
          <w:lang w:val="en-US"/>
        </w:rPr>
        <w:t xml:space="preserve">interacting domain </w:t>
      </w:r>
      <w:r w:rsidR="00603437" w:rsidRPr="00C11F21">
        <w:rPr>
          <w:rFonts w:ascii="Book Antiqua" w:hAnsi="Book Antiqua" w:cstheme="minorHAnsi"/>
          <w:sz w:val="24"/>
          <w:szCs w:val="24"/>
          <w:lang w:val="en-US"/>
        </w:rPr>
        <w:t>(</w:t>
      </w:r>
      <w:r w:rsidR="002A56B9" w:rsidRPr="00C11F21">
        <w:rPr>
          <w:rFonts w:ascii="Book Antiqua" w:hAnsi="Book Antiqua" w:cstheme="minorHAnsi"/>
          <w:sz w:val="24"/>
          <w:szCs w:val="24"/>
          <w:lang w:val="en-US"/>
        </w:rPr>
        <w:t xml:space="preserve">27.3% </w:t>
      </w:r>
      <w:r w:rsidR="002A56B9" w:rsidRPr="00C11F21">
        <w:rPr>
          <w:rFonts w:ascii="Book Antiqua" w:hAnsi="Book Antiqua" w:cstheme="minorHAnsi"/>
          <w:i/>
          <w:sz w:val="24"/>
          <w:szCs w:val="24"/>
          <w:lang w:val="en-US"/>
        </w:rPr>
        <w:t>vs</w:t>
      </w:r>
      <w:r w:rsidR="001C0EB4" w:rsidRPr="00C11F21">
        <w:rPr>
          <w:rFonts w:ascii="Book Antiqua" w:hAnsi="Book Antiqua" w:cstheme="minorHAnsi" w:hint="eastAsia"/>
          <w:sz w:val="24"/>
          <w:szCs w:val="24"/>
          <w:lang w:val="en-US" w:eastAsia="zh-CN"/>
        </w:rPr>
        <w:t xml:space="preserve"> </w:t>
      </w:r>
      <w:r w:rsidR="002A56B9" w:rsidRPr="00C11F21">
        <w:rPr>
          <w:rFonts w:ascii="Book Antiqua" w:hAnsi="Book Antiqua" w:cstheme="minorHAnsi"/>
          <w:sz w:val="24"/>
          <w:szCs w:val="24"/>
          <w:lang w:val="en-US"/>
        </w:rPr>
        <w:t>34%</w:t>
      </w:r>
      <w:r w:rsidR="00C14371" w:rsidRPr="00C11F21">
        <w:rPr>
          <w:rFonts w:ascii="Book Antiqua" w:hAnsi="Book Antiqua" w:cstheme="minorHAnsi"/>
          <w:sz w:val="24"/>
          <w:szCs w:val="24"/>
          <w:lang w:val="en-US"/>
        </w:rPr>
        <w:t>,</w:t>
      </w:r>
      <w:r w:rsidR="00586C6A" w:rsidRPr="00C11F21">
        <w:rPr>
          <w:rFonts w:ascii="Book Antiqua" w:hAnsi="Book Antiqua" w:cstheme="minorHAnsi"/>
          <w:sz w:val="24"/>
          <w:szCs w:val="24"/>
          <w:lang w:val="en-US"/>
        </w:rPr>
        <w:t xml:space="preserve"> respectively</w:t>
      </w:r>
      <w:r w:rsidR="00603437" w:rsidRPr="00C11F21">
        <w:rPr>
          <w:rFonts w:ascii="Book Antiqua" w:hAnsi="Book Antiqua" w:cstheme="minorHAnsi"/>
          <w:sz w:val="24"/>
          <w:szCs w:val="24"/>
          <w:lang w:val="en-US"/>
        </w:rPr>
        <w:t>)</w:t>
      </w:r>
      <w:r w:rsidR="00586C6A" w:rsidRPr="00C11F21">
        <w:rPr>
          <w:rFonts w:ascii="Book Antiqua" w:hAnsi="Book Antiqua" w:cstheme="minorHAnsi"/>
          <w:sz w:val="24"/>
          <w:szCs w:val="24"/>
          <w:lang w:val="en-US"/>
        </w:rPr>
        <w:t xml:space="preserve"> in consensus sequences of genotypes A to H</w:t>
      </w:r>
      <w:r w:rsidR="00603437" w:rsidRPr="00C11F21">
        <w:rPr>
          <w:rFonts w:ascii="Book Antiqua" w:hAnsi="Book Antiqua" w:cstheme="minorHAnsi"/>
          <w:sz w:val="24"/>
          <w:szCs w:val="24"/>
          <w:lang w:val="en-US"/>
        </w:rPr>
        <w:t xml:space="preserve"> obtained from </w:t>
      </w:r>
      <w:r w:rsidR="00586C6A" w:rsidRPr="00C11F21">
        <w:rPr>
          <w:rFonts w:ascii="Book Antiqua" w:hAnsi="Book Antiqua" w:cstheme="minorHAnsi"/>
          <w:sz w:val="24"/>
          <w:szCs w:val="24"/>
          <w:lang w:val="en-US"/>
        </w:rPr>
        <w:t xml:space="preserve">the </w:t>
      </w:r>
      <w:r w:rsidR="00102125" w:rsidRPr="00C11F21">
        <w:rPr>
          <w:rFonts w:ascii="Book Antiqua" w:hAnsi="Book Antiqua" w:cstheme="minorHAnsi"/>
          <w:sz w:val="24"/>
          <w:szCs w:val="24"/>
          <w:lang w:val="en-US"/>
        </w:rPr>
        <w:t xml:space="preserve">86 </w:t>
      </w:r>
      <w:r w:rsidR="00603437" w:rsidRPr="00C11F21">
        <w:rPr>
          <w:rFonts w:ascii="Book Antiqua" w:hAnsi="Book Antiqua" w:cstheme="minorHAnsi"/>
          <w:sz w:val="24"/>
          <w:szCs w:val="24"/>
          <w:lang w:val="en-US"/>
        </w:rPr>
        <w:t xml:space="preserve">HBV genome sequences </w:t>
      </w:r>
      <w:r w:rsidR="00586C6A" w:rsidRPr="00C11F21">
        <w:rPr>
          <w:rFonts w:ascii="Book Antiqua" w:hAnsi="Book Antiqua" w:cstheme="minorHAnsi"/>
          <w:sz w:val="24"/>
          <w:szCs w:val="24"/>
          <w:lang w:val="en-US"/>
        </w:rPr>
        <w:t>downloaded</w:t>
      </w:r>
      <w:r w:rsidR="00603437" w:rsidRPr="00C11F21">
        <w:rPr>
          <w:rFonts w:ascii="Book Antiqua" w:hAnsi="Book Antiqua" w:cstheme="minorHAnsi"/>
          <w:sz w:val="24"/>
          <w:szCs w:val="24"/>
          <w:lang w:val="en-US"/>
        </w:rPr>
        <w:t xml:space="preserve"> from GenBank</w:t>
      </w:r>
      <w:r w:rsidR="002A56B9" w:rsidRPr="00C11F21">
        <w:rPr>
          <w:rFonts w:ascii="Book Antiqua" w:hAnsi="Book Antiqua" w:cstheme="minorHAnsi"/>
          <w:sz w:val="24"/>
          <w:szCs w:val="24"/>
          <w:lang w:val="en-US"/>
        </w:rPr>
        <w:t>. However</w:t>
      </w:r>
      <w:r w:rsidR="00603437" w:rsidRPr="00C11F21">
        <w:rPr>
          <w:rFonts w:ascii="Book Antiqua" w:hAnsi="Book Antiqua" w:cstheme="minorHAnsi"/>
          <w:sz w:val="24"/>
          <w:szCs w:val="24"/>
          <w:lang w:val="en-US"/>
        </w:rPr>
        <w:t>, in the present study,</w:t>
      </w:r>
      <w:r w:rsidR="002A56B9" w:rsidRPr="00C11F21">
        <w:rPr>
          <w:rFonts w:ascii="Book Antiqua" w:hAnsi="Book Antiqua" w:cstheme="minorHAnsi"/>
          <w:sz w:val="24"/>
          <w:szCs w:val="24"/>
          <w:lang w:val="en-US"/>
        </w:rPr>
        <w:t xml:space="preserve"> </w:t>
      </w:r>
      <w:r w:rsidR="00F01129" w:rsidRPr="00C11F21">
        <w:rPr>
          <w:rFonts w:ascii="Book Antiqua" w:hAnsi="Book Antiqua" w:cstheme="minorHAnsi"/>
          <w:sz w:val="24"/>
          <w:szCs w:val="24"/>
          <w:lang w:val="en-US"/>
        </w:rPr>
        <w:t xml:space="preserve">HBV </w:t>
      </w:r>
      <w:r w:rsidR="002577B5" w:rsidRPr="00C11F21">
        <w:rPr>
          <w:rFonts w:ascii="Book Antiqua" w:hAnsi="Book Antiqua" w:cstheme="minorHAnsi"/>
          <w:sz w:val="24"/>
          <w:szCs w:val="24"/>
          <w:lang w:val="en-US"/>
        </w:rPr>
        <w:t xml:space="preserve">genotype-unrelated changes above 1% of the quasispecies were found in </w:t>
      </w:r>
      <w:r w:rsidR="00DC18E9" w:rsidRPr="00C11F21">
        <w:rPr>
          <w:rFonts w:ascii="Book Antiqua" w:hAnsi="Book Antiqua" w:cstheme="minorHAnsi"/>
          <w:sz w:val="24"/>
          <w:szCs w:val="24"/>
          <w:lang w:val="en-US"/>
        </w:rPr>
        <w:t>25.5</w:t>
      </w:r>
      <w:r w:rsidR="002A56B9" w:rsidRPr="00C11F21">
        <w:rPr>
          <w:rFonts w:ascii="Book Antiqua" w:hAnsi="Book Antiqua" w:cstheme="minorHAnsi"/>
          <w:sz w:val="24"/>
          <w:szCs w:val="24"/>
          <w:lang w:val="en-US"/>
        </w:rPr>
        <w:t xml:space="preserve">% of NTCP </w:t>
      </w:r>
      <w:r w:rsidR="002A56B9" w:rsidRPr="00C11F21">
        <w:rPr>
          <w:rFonts w:ascii="Book Antiqua" w:hAnsi="Book Antiqua" w:cstheme="minorHAnsi"/>
          <w:i/>
          <w:sz w:val="24"/>
          <w:szCs w:val="24"/>
          <w:lang w:val="en-US"/>
        </w:rPr>
        <w:t>vs</w:t>
      </w:r>
      <w:r w:rsidR="001C0EB4" w:rsidRPr="00C11F21">
        <w:rPr>
          <w:rFonts w:ascii="Book Antiqua" w:hAnsi="Book Antiqua" w:cstheme="minorHAnsi" w:hint="eastAsia"/>
          <w:sz w:val="24"/>
          <w:szCs w:val="24"/>
          <w:lang w:val="en-US" w:eastAsia="zh-CN"/>
        </w:rPr>
        <w:t xml:space="preserve"> </w:t>
      </w:r>
      <w:r w:rsidR="00DC18E9" w:rsidRPr="00C11F21">
        <w:rPr>
          <w:rFonts w:ascii="Book Antiqua" w:hAnsi="Book Antiqua" w:cstheme="minorHAnsi"/>
          <w:sz w:val="24"/>
          <w:szCs w:val="24"/>
          <w:lang w:val="en-US"/>
        </w:rPr>
        <w:t>31.8</w:t>
      </w:r>
      <w:r w:rsidR="002A56B9" w:rsidRPr="00C11F21">
        <w:rPr>
          <w:rFonts w:ascii="Book Antiqua" w:hAnsi="Book Antiqua" w:cstheme="minorHAnsi"/>
          <w:sz w:val="24"/>
          <w:szCs w:val="24"/>
          <w:lang w:val="en-US"/>
        </w:rPr>
        <w:t xml:space="preserve">% of </w:t>
      </w:r>
      <w:r w:rsidR="00E5764C" w:rsidRPr="00C11F21">
        <w:rPr>
          <w:rFonts w:ascii="Book Antiqua" w:hAnsi="Book Antiqua" w:cstheme="minorHAnsi"/>
          <w:sz w:val="24"/>
          <w:szCs w:val="24"/>
          <w:lang w:val="en-US"/>
        </w:rPr>
        <w:t>C-terminal positions</w:t>
      </w:r>
      <w:r w:rsidR="004A4328" w:rsidRPr="00C11F21">
        <w:rPr>
          <w:rFonts w:ascii="Book Antiqua" w:hAnsi="Book Antiqua" w:cstheme="minorHAnsi"/>
          <w:sz w:val="24"/>
          <w:szCs w:val="24"/>
          <w:lang w:val="en-US"/>
        </w:rPr>
        <w:t xml:space="preserve">, </w:t>
      </w:r>
      <w:r w:rsidR="00E5764C" w:rsidRPr="00C11F21">
        <w:rPr>
          <w:rFonts w:ascii="Book Antiqua" w:hAnsi="Book Antiqua" w:cstheme="minorHAnsi"/>
          <w:sz w:val="24"/>
          <w:szCs w:val="24"/>
          <w:lang w:val="en-US"/>
        </w:rPr>
        <w:t>with</w:t>
      </w:r>
      <w:r w:rsidR="004A4328" w:rsidRPr="00C11F21">
        <w:rPr>
          <w:rFonts w:ascii="Book Antiqua" w:hAnsi="Book Antiqua" w:cstheme="minorHAnsi"/>
          <w:sz w:val="24"/>
          <w:szCs w:val="24"/>
          <w:lang w:val="en-US"/>
        </w:rPr>
        <w:t xml:space="preserve"> both </w:t>
      </w:r>
      <w:r w:rsidR="00EF7F55" w:rsidRPr="00C11F21">
        <w:rPr>
          <w:rFonts w:ascii="Book Antiqua" w:hAnsi="Book Antiqua" w:cstheme="minorHAnsi"/>
          <w:sz w:val="24"/>
          <w:szCs w:val="24"/>
          <w:lang w:val="en-US"/>
        </w:rPr>
        <w:t>domains</w:t>
      </w:r>
      <w:r w:rsidR="004A4328" w:rsidRPr="00C11F21">
        <w:rPr>
          <w:rFonts w:ascii="Book Antiqua" w:hAnsi="Book Antiqua" w:cstheme="minorHAnsi"/>
          <w:sz w:val="24"/>
          <w:szCs w:val="24"/>
          <w:lang w:val="en-US"/>
        </w:rPr>
        <w:t xml:space="preserve"> </w:t>
      </w:r>
      <w:r w:rsidR="00E5764C" w:rsidRPr="00C11F21">
        <w:rPr>
          <w:rFonts w:ascii="Book Antiqua" w:hAnsi="Book Antiqua" w:cstheme="minorHAnsi"/>
          <w:sz w:val="24"/>
          <w:szCs w:val="24"/>
          <w:lang w:val="en-US"/>
        </w:rPr>
        <w:t xml:space="preserve">being </w:t>
      </w:r>
      <w:r w:rsidR="004A4328" w:rsidRPr="00C11F21">
        <w:rPr>
          <w:rFonts w:ascii="Book Antiqua" w:hAnsi="Book Antiqua" w:cstheme="minorHAnsi"/>
          <w:sz w:val="24"/>
          <w:szCs w:val="24"/>
          <w:lang w:val="en-US"/>
        </w:rPr>
        <w:t>most highly conserved in genotype C and most highly variable in genotype E (</w:t>
      </w:r>
      <w:r w:rsidR="00FA1797" w:rsidRPr="00C11F21">
        <w:rPr>
          <w:rFonts w:ascii="Book Antiqua" w:hAnsi="Book Antiqua" w:cstheme="minorHAnsi"/>
          <w:sz w:val="24"/>
          <w:szCs w:val="24"/>
          <w:lang w:val="en-US"/>
        </w:rPr>
        <w:t xml:space="preserve">a </w:t>
      </w:r>
      <w:r w:rsidR="004A4328" w:rsidRPr="00C11F21">
        <w:rPr>
          <w:rFonts w:ascii="Book Antiqua" w:hAnsi="Book Antiqua" w:cstheme="minorHAnsi"/>
          <w:sz w:val="24"/>
          <w:szCs w:val="24"/>
          <w:lang w:val="en-US"/>
        </w:rPr>
        <w:t>limited finding because this high variation was observed in 1 of only 2 genotype E patients included)</w:t>
      </w:r>
      <w:r w:rsidR="002A56B9" w:rsidRPr="00C11F21">
        <w:rPr>
          <w:rFonts w:ascii="Book Antiqua" w:hAnsi="Book Antiqua" w:cstheme="minorHAnsi"/>
          <w:sz w:val="24"/>
          <w:szCs w:val="24"/>
          <w:lang w:val="en-US"/>
        </w:rPr>
        <w:t>. Thus</w:t>
      </w:r>
      <w:r w:rsidR="00E5764C" w:rsidRPr="00C11F21">
        <w:rPr>
          <w:rFonts w:ascii="Book Antiqua" w:hAnsi="Book Antiqua" w:cstheme="minorHAnsi"/>
          <w:sz w:val="24"/>
          <w:szCs w:val="24"/>
          <w:lang w:val="en-US"/>
        </w:rPr>
        <w:t>,</w:t>
      </w:r>
      <w:r w:rsidR="002A56B9" w:rsidRPr="00C11F21">
        <w:rPr>
          <w:rFonts w:ascii="Book Antiqua" w:hAnsi="Book Antiqua" w:cstheme="minorHAnsi"/>
          <w:sz w:val="24"/>
          <w:szCs w:val="24"/>
          <w:lang w:val="en-US"/>
        </w:rPr>
        <w:t xml:space="preserve"> while </w:t>
      </w:r>
      <w:r w:rsidR="00E5764C" w:rsidRPr="00C11F21">
        <w:rPr>
          <w:rFonts w:ascii="Book Antiqua" w:hAnsi="Book Antiqua" w:cstheme="minorHAnsi"/>
          <w:sz w:val="24"/>
          <w:szCs w:val="24"/>
          <w:lang w:val="en-US"/>
        </w:rPr>
        <w:t xml:space="preserve">the </w:t>
      </w:r>
      <w:r w:rsidR="00DC4529" w:rsidRPr="00C11F21">
        <w:rPr>
          <w:rFonts w:ascii="Book Antiqua" w:hAnsi="Book Antiqua" w:cstheme="minorHAnsi"/>
          <w:sz w:val="24"/>
          <w:szCs w:val="24"/>
          <w:lang w:val="en-US"/>
        </w:rPr>
        <w:t>NTCP-</w:t>
      </w:r>
      <w:r w:rsidR="002A56B9" w:rsidRPr="00C11F21">
        <w:rPr>
          <w:rFonts w:ascii="Book Antiqua" w:hAnsi="Book Antiqua" w:cstheme="minorHAnsi"/>
          <w:sz w:val="24"/>
          <w:szCs w:val="24"/>
          <w:lang w:val="en-US"/>
        </w:rPr>
        <w:t xml:space="preserve">interacting </w:t>
      </w:r>
      <w:r w:rsidR="00087113" w:rsidRPr="00C11F21">
        <w:rPr>
          <w:rFonts w:ascii="Book Antiqua" w:hAnsi="Book Antiqua" w:cstheme="minorHAnsi"/>
          <w:sz w:val="24"/>
          <w:szCs w:val="24"/>
          <w:lang w:val="en-US"/>
        </w:rPr>
        <w:t>domain</w:t>
      </w:r>
      <w:r w:rsidR="002A56B9" w:rsidRPr="00C11F21">
        <w:rPr>
          <w:rFonts w:ascii="Book Antiqua" w:hAnsi="Book Antiqua" w:cstheme="minorHAnsi"/>
          <w:sz w:val="24"/>
          <w:szCs w:val="24"/>
          <w:lang w:val="en-US"/>
        </w:rPr>
        <w:t xml:space="preserve"> seems to be more </w:t>
      </w:r>
      <w:r w:rsidR="00E5764C" w:rsidRPr="00C11F21">
        <w:rPr>
          <w:rFonts w:ascii="Book Antiqua" w:hAnsi="Book Antiqua" w:cstheme="minorHAnsi"/>
          <w:sz w:val="24"/>
          <w:szCs w:val="24"/>
          <w:lang w:val="en-US"/>
        </w:rPr>
        <w:t xml:space="preserve">highly </w:t>
      </w:r>
      <w:r w:rsidR="002A56B9" w:rsidRPr="00C11F21">
        <w:rPr>
          <w:rFonts w:ascii="Book Antiqua" w:hAnsi="Book Antiqua" w:cstheme="minorHAnsi"/>
          <w:sz w:val="24"/>
          <w:szCs w:val="24"/>
          <w:lang w:val="en-US"/>
        </w:rPr>
        <w:t xml:space="preserve">conserved within each </w:t>
      </w:r>
      <w:r w:rsidR="00B41DF9" w:rsidRPr="00C11F21">
        <w:rPr>
          <w:rFonts w:ascii="Book Antiqua" w:hAnsi="Book Antiqua" w:cstheme="minorHAnsi"/>
          <w:sz w:val="24"/>
          <w:szCs w:val="24"/>
          <w:lang w:val="en-US"/>
        </w:rPr>
        <w:t>genotype</w:t>
      </w:r>
      <w:r w:rsidR="00E5764C" w:rsidRPr="00C11F21">
        <w:rPr>
          <w:rFonts w:ascii="Book Antiqua" w:hAnsi="Book Antiqua" w:cstheme="minorHAnsi"/>
          <w:sz w:val="24"/>
          <w:szCs w:val="24"/>
          <w:lang w:val="en-US"/>
        </w:rPr>
        <w:t>,</w:t>
      </w:r>
      <w:r w:rsidR="002A56B9" w:rsidRPr="00C11F21">
        <w:rPr>
          <w:rFonts w:ascii="Book Antiqua" w:hAnsi="Book Antiqua" w:cstheme="minorHAnsi"/>
          <w:sz w:val="24"/>
          <w:szCs w:val="24"/>
          <w:lang w:val="en-US"/>
        </w:rPr>
        <w:t xml:space="preserve"> </w:t>
      </w:r>
      <w:r w:rsidR="00B41DF9" w:rsidRPr="00C11F21">
        <w:rPr>
          <w:rFonts w:ascii="Book Antiqua" w:hAnsi="Book Antiqua" w:cstheme="minorHAnsi"/>
          <w:sz w:val="24"/>
          <w:szCs w:val="24"/>
          <w:lang w:val="en-US"/>
        </w:rPr>
        <w:t>the</w:t>
      </w:r>
      <w:r w:rsidR="002A56B9" w:rsidRPr="00C11F21">
        <w:rPr>
          <w:rFonts w:ascii="Book Antiqua" w:hAnsi="Book Antiqua" w:cstheme="minorHAnsi"/>
          <w:sz w:val="24"/>
          <w:szCs w:val="24"/>
          <w:lang w:val="en-US"/>
        </w:rPr>
        <w:t xml:space="preserve"> </w:t>
      </w:r>
      <w:r w:rsidR="00C75D2C" w:rsidRPr="00C11F21">
        <w:rPr>
          <w:rFonts w:ascii="Book Antiqua" w:hAnsi="Book Antiqua" w:cstheme="minorHAnsi"/>
          <w:sz w:val="24"/>
          <w:szCs w:val="24"/>
          <w:lang w:val="en-US"/>
        </w:rPr>
        <w:t xml:space="preserve">C-terminal </w:t>
      </w:r>
      <w:r w:rsidR="002A56B9" w:rsidRPr="00C11F21">
        <w:rPr>
          <w:rFonts w:ascii="Book Antiqua" w:hAnsi="Book Antiqua" w:cstheme="minorHAnsi"/>
          <w:sz w:val="24"/>
          <w:szCs w:val="24"/>
          <w:lang w:val="en-US"/>
        </w:rPr>
        <w:t xml:space="preserve">virion morphogenesis </w:t>
      </w:r>
      <w:r w:rsidR="00B412BE" w:rsidRPr="00C11F21">
        <w:rPr>
          <w:rFonts w:ascii="Book Antiqua" w:hAnsi="Book Antiqua" w:cstheme="minorHAnsi"/>
          <w:sz w:val="24"/>
          <w:szCs w:val="24"/>
          <w:lang w:val="en-US"/>
        </w:rPr>
        <w:t>domain</w:t>
      </w:r>
      <w:r w:rsidR="004A4328" w:rsidRPr="00C11F21">
        <w:rPr>
          <w:rFonts w:ascii="Book Antiqua" w:hAnsi="Book Antiqua" w:cstheme="minorHAnsi"/>
          <w:sz w:val="24"/>
          <w:szCs w:val="24"/>
          <w:lang w:val="en-US"/>
        </w:rPr>
        <w:t xml:space="preserve"> </w:t>
      </w:r>
      <w:r w:rsidR="002A56B9" w:rsidRPr="00C11F21">
        <w:rPr>
          <w:rFonts w:ascii="Book Antiqua" w:hAnsi="Book Antiqua" w:cstheme="minorHAnsi"/>
          <w:sz w:val="24"/>
          <w:szCs w:val="24"/>
          <w:lang w:val="en-US"/>
        </w:rPr>
        <w:t xml:space="preserve">seems more </w:t>
      </w:r>
      <w:r w:rsidR="00E5764C" w:rsidRPr="00C11F21">
        <w:rPr>
          <w:rFonts w:ascii="Book Antiqua" w:hAnsi="Book Antiqua" w:cstheme="minorHAnsi"/>
          <w:sz w:val="24"/>
          <w:szCs w:val="24"/>
          <w:lang w:val="en-US"/>
        </w:rPr>
        <w:t xml:space="preserve">highly </w:t>
      </w:r>
      <w:r w:rsidR="002A56B9" w:rsidRPr="00C11F21">
        <w:rPr>
          <w:rFonts w:ascii="Book Antiqua" w:hAnsi="Book Antiqua" w:cstheme="minorHAnsi"/>
          <w:sz w:val="24"/>
          <w:szCs w:val="24"/>
          <w:lang w:val="en-US"/>
        </w:rPr>
        <w:t>conserved between different HBV genotypes</w:t>
      </w:r>
      <w:r w:rsidR="00B41DF9" w:rsidRPr="00C11F21">
        <w:rPr>
          <w:rFonts w:ascii="Book Antiqua" w:hAnsi="Book Antiqua" w:cstheme="minorHAnsi"/>
          <w:sz w:val="24"/>
          <w:szCs w:val="24"/>
          <w:lang w:val="en-US"/>
        </w:rPr>
        <w:t>.</w:t>
      </w:r>
      <w:r w:rsidR="002A56B9" w:rsidRPr="00C11F21">
        <w:rPr>
          <w:rFonts w:ascii="Book Antiqua" w:hAnsi="Book Antiqua" w:cstheme="minorHAnsi"/>
          <w:sz w:val="24"/>
          <w:szCs w:val="24"/>
          <w:lang w:val="en-US"/>
        </w:rPr>
        <w:t xml:space="preserve"> The high </w:t>
      </w:r>
      <w:r w:rsidR="00952F8D" w:rsidRPr="00C11F21">
        <w:rPr>
          <w:rFonts w:ascii="Book Antiqua" w:hAnsi="Book Antiqua" w:cstheme="minorHAnsi"/>
          <w:sz w:val="24"/>
          <w:szCs w:val="24"/>
          <w:lang w:val="en-US"/>
        </w:rPr>
        <w:t>proportion</w:t>
      </w:r>
      <w:r w:rsidR="00586C6A" w:rsidRPr="00C11F21">
        <w:rPr>
          <w:rFonts w:ascii="Book Antiqua" w:hAnsi="Book Antiqua" w:cstheme="minorHAnsi"/>
          <w:sz w:val="24"/>
          <w:szCs w:val="24"/>
          <w:lang w:val="en-US"/>
        </w:rPr>
        <w:t xml:space="preserve"> </w:t>
      </w:r>
      <w:r w:rsidR="002A56B9" w:rsidRPr="00C11F21">
        <w:rPr>
          <w:rFonts w:ascii="Book Antiqua" w:hAnsi="Book Antiqua" w:cstheme="minorHAnsi"/>
          <w:sz w:val="24"/>
          <w:szCs w:val="24"/>
          <w:lang w:val="en-US"/>
        </w:rPr>
        <w:t xml:space="preserve">of conserved </w:t>
      </w:r>
      <w:r w:rsidR="00154874" w:rsidRPr="00C11F21">
        <w:rPr>
          <w:rFonts w:ascii="Book Antiqua" w:hAnsi="Book Antiqua" w:cstheme="minorHAnsi"/>
          <w:sz w:val="24"/>
          <w:szCs w:val="24"/>
          <w:lang w:val="en-US"/>
        </w:rPr>
        <w:t xml:space="preserve">aa </w:t>
      </w:r>
      <w:r w:rsidR="002A56B9" w:rsidRPr="00C11F21">
        <w:rPr>
          <w:rFonts w:ascii="Book Antiqua" w:hAnsi="Book Antiqua" w:cstheme="minorHAnsi"/>
          <w:sz w:val="24"/>
          <w:szCs w:val="24"/>
          <w:lang w:val="en-US"/>
        </w:rPr>
        <w:t xml:space="preserve">positions </w:t>
      </w:r>
      <w:r w:rsidR="00E5764C" w:rsidRPr="00C11F21">
        <w:rPr>
          <w:rFonts w:ascii="Book Antiqua" w:hAnsi="Book Antiqua" w:cstheme="minorHAnsi"/>
          <w:sz w:val="24"/>
          <w:szCs w:val="24"/>
          <w:lang w:val="en-US"/>
        </w:rPr>
        <w:t>in</w:t>
      </w:r>
      <w:r w:rsidR="002A56B9" w:rsidRPr="00C11F21">
        <w:rPr>
          <w:rFonts w:ascii="Book Antiqua" w:hAnsi="Book Antiqua" w:cstheme="minorHAnsi"/>
          <w:sz w:val="24"/>
          <w:szCs w:val="24"/>
          <w:lang w:val="en-US"/>
        </w:rPr>
        <w:t xml:space="preserve"> both </w:t>
      </w:r>
      <w:r w:rsidR="00952F8D" w:rsidRPr="00C11F21">
        <w:rPr>
          <w:rFonts w:ascii="Book Antiqua" w:hAnsi="Book Antiqua" w:cstheme="minorHAnsi"/>
          <w:sz w:val="24"/>
          <w:szCs w:val="24"/>
          <w:lang w:val="en-US"/>
        </w:rPr>
        <w:t>domains</w:t>
      </w:r>
      <w:r w:rsidR="002A56B9" w:rsidRPr="00C11F21">
        <w:rPr>
          <w:rFonts w:ascii="Book Antiqua" w:hAnsi="Book Antiqua" w:cstheme="minorHAnsi"/>
          <w:sz w:val="24"/>
          <w:szCs w:val="24"/>
          <w:lang w:val="en-US"/>
        </w:rPr>
        <w:t xml:space="preserve"> within the same </w:t>
      </w:r>
      <w:r w:rsidR="00F01129" w:rsidRPr="00C11F21">
        <w:rPr>
          <w:rFonts w:ascii="Book Antiqua" w:hAnsi="Book Antiqua" w:cstheme="minorHAnsi"/>
          <w:sz w:val="24"/>
          <w:szCs w:val="24"/>
          <w:lang w:val="en-US"/>
        </w:rPr>
        <w:t xml:space="preserve">viral </w:t>
      </w:r>
      <w:r w:rsidR="002A56B9" w:rsidRPr="00C11F21">
        <w:rPr>
          <w:rFonts w:ascii="Book Antiqua" w:hAnsi="Book Antiqua" w:cstheme="minorHAnsi"/>
          <w:sz w:val="24"/>
          <w:szCs w:val="24"/>
          <w:lang w:val="en-US"/>
        </w:rPr>
        <w:t>genotype</w:t>
      </w:r>
      <w:r w:rsidR="00B41DF9" w:rsidRPr="00C11F21">
        <w:rPr>
          <w:rFonts w:ascii="Book Antiqua" w:hAnsi="Book Antiqua" w:cstheme="minorHAnsi"/>
          <w:sz w:val="24"/>
          <w:szCs w:val="24"/>
          <w:lang w:val="en-US"/>
        </w:rPr>
        <w:t xml:space="preserve"> </w:t>
      </w:r>
      <w:r w:rsidR="002A56B9" w:rsidRPr="00C11F21">
        <w:rPr>
          <w:rFonts w:ascii="Book Antiqua" w:hAnsi="Book Antiqua" w:cstheme="minorHAnsi"/>
          <w:sz w:val="24"/>
          <w:szCs w:val="24"/>
          <w:lang w:val="en-US"/>
        </w:rPr>
        <w:t>and between different genotypes seem</w:t>
      </w:r>
      <w:r w:rsidR="00F179E2" w:rsidRPr="00C11F21">
        <w:rPr>
          <w:rFonts w:ascii="Book Antiqua" w:hAnsi="Book Antiqua" w:cstheme="minorHAnsi"/>
          <w:sz w:val="24"/>
          <w:szCs w:val="24"/>
          <w:lang w:val="en-US"/>
        </w:rPr>
        <w:t>s</w:t>
      </w:r>
      <w:r w:rsidR="002A56B9" w:rsidRPr="00C11F21">
        <w:rPr>
          <w:rFonts w:ascii="Book Antiqua" w:hAnsi="Book Antiqua" w:cstheme="minorHAnsi"/>
          <w:sz w:val="24"/>
          <w:szCs w:val="24"/>
          <w:lang w:val="en-US"/>
        </w:rPr>
        <w:t xml:space="preserve"> to confirm that </w:t>
      </w:r>
      <w:r w:rsidR="00952F8D" w:rsidRPr="00C11F21">
        <w:rPr>
          <w:rFonts w:ascii="Book Antiqua" w:hAnsi="Book Antiqua" w:cstheme="minorHAnsi"/>
          <w:sz w:val="24"/>
          <w:szCs w:val="24"/>
          <w:lang w:val="en-US"/>
        </w:rPr>
        <w:t>they</w:t>
      </w:r>
      <w:r w:rsidR="002A56B9" w:rsidRPr="00C11F21">
        <w:rPr>
          <w:rFonts w:ascii="Book Antiqua" w:hAnsi="Book Antiqua" w:cstheme="minorHAnsi"/>
          <w:sz w:val="24"/>
          <w:szCs w:val="24"/>
          <w:lang w:val="en-US"/>
        </w:rPr>
        <w:t xml:space="preserve"> conduct essential functions for HBV replication. Again, structural simulations would likely be helpful to understand the reasons for </w:t>
      </w:r>
      <w:r w:rsidR="00E5764C" w:rsidRPr="00C11F21">
        <w:rPr>
          <w:rFonts w:ascii="Book Antiqua" w:hAnsi="Book Antiqua" w:cstheme="minorHAnsi"/>
          <w:sz w:val="24"/>
          <w:szCs w:val="24"/>
          <w:lang w:val="en-US"/>
        </w:rPr>
        <w:t xml:space="preserve">the </w:t>
      </w:r>
      <w:r w:rsidR="002A56B9" w:rsidRPr="00C11F21">
        <w:rPr>
          <w:rFonts w:ascii="Book Antiqua" w:hAnsi="Book Antiqua" w:cstheme="minorHAnsi"/>
          <w:sz w:val="24"/>
          <w:szCs w:val="24"/>
          <w:lang w:val="en-US"/>
        </w:rPr>
        <w:t xml:space="preserve">sequence conservation and variability in these two </w:t>
      </w:r>
      <w:r w:rsidR="006330D2" w:rsidRPr="00C11F21">
        <w:rPr>
          <w:rFonts w:ascii="Book Antiqua" w:hAnsi="Book Antiqua" w:cstheme="minorHAnsi"/>
          <w:sz w:val="24"/>
          <w:szCs w:val="24"/>
          <w:lang w:val="en-US"/>
        </w:rPr>
        <w:t>domai</w:t>
      </w:r>
      <w:r w:rsidR="002A56B9" w:rsidRPr="00C11F21">
        <w:rPr>
          <w:rFonts w:ascii="Book Antiqua" w:hAnsi="Book Antiqua" w:cstheme="minorHAnsi"/>
          <w:sz w:val="24"/>
          <w:szCs w:val="24"/>
          <w:lang w:val="en-US"/>
        </w:rPr>
        <w:t>ns.</w:t>
      </w:r>
    </w:p>
    <w:p w14:paraId="5794F2E5" w14:textId="00E9DDDA" w:rsidR="008457D4" w:rsidRPr="00C11F21" w:rsidRDefault="00EB570F" w:rsidP="001C0EB4">
      <w:pPr>
        <w:snapToGrid w:val="0"/>
        <w:spacing w:after="0" w:line="360" w:lineRule="auto"/>
        <w:ind w:firstLineChars="100" w:firstLine="240"/>
        <w:jc w:val="both"/>
        <w:rPr>
          <w:rFonts w:ascii="Book Antiqua" w:hAnsi="Book Antiqua" w:cstheme="minorHAnsi"/>
          <w:sz w:val="24"/>
          <w:szCs w:val="24"/>
          <w:lang w:val="en-US"/>
        </w:rPr>
      </w:pPr>
      <w:r w:rsidRPr="00C11F21">
        <w:rPr>
          <w:rFonts w:ascii="Book Antiqua" w:hAnsi="Book Antiqua" w:cstheme="minorHAnsi"/>
          <w:bCs/>
          <w:sz w:val="24"/>
          <w:szCs w:val="24"/>
          <w:lang w:val="en-US"/>
        </w:rPr>
        <w:t xml:space="preserve">Interestingly, </w:t>
      </w:r>
      <w:r w:rsidRPr="00C11F21">
        <w:rPr>
          <w:rFonts w:ascii="Book Antiqua" w:hAnsi="Book Antiqua" w:cs="Arial"/>
          <w:sz w:val="24"/>
          <w:szCs w:val="24"/>
          <w:lang w:val="en-US"/>
        </w:rPr>
        <w:t xml:space="preserve">P and S residues </w:t>
      </w:r>
      <w:r w:rsidR="00BD7C1F" w:rsidRPr="00C11F21">
        <w:rPr>
          <w:rFonts w:ascii="Book Antiqua" w:hAnsi="Book Antiqua" w:cs="Arial"/>
          <w:sz w:val="24"/>
          <w:szCs w:val="24"/>
          <w:lang w:val="en-US"/>
        </w:rPr>
        <w:t xml:space="preserve">generally </w:t>
      </w:r>
      <w:r w:rsidRPr="00C11F21">
        <w:rPr>
          <w:rFonts w:ascii="Book Antiqua" w:hAnsi="Book Antiqua" w:cs="Arial"/>
          <w:sz w:val="24"/>
          <w:szCs w:val="24"/>
          <w:lang w:val="en-US"/>
        </w:rPr>
        <w:t xml:space="preserve">showed </w:t>
      </w:r>
      <w:r w:rsidR="00BD7C1F" w:rsidRPr="00C11F21">
        <w:rPr>
          <w:rFonts w:ascii="Book Antiqua" w:hAnsi="Book Antiqua" w:cstheme="minorHAnsi"/>
          <w:sz w:val="24"/>
          <w:szCs w:val="24"/>
          <w:lang w:val="en-US"/>
        </w:rPr>
        <w:t>a high degree of conservation</w:t>
      </w:r>
      <w:r w:rsidR="003B1480" w:rsidRPr="00C11F21">
        <w:rPr>
          <w:rFonts w:ascii="Book Antiqua" w:hAnsi="Book Antiqua" w:cstheme="minorHAnsi"/>
          <w:sz w:val="24"/>
          <w:szCs w:val="24"/>
          <w:lang w:val="en-US"/>
        </w:rPr>
        <w:t xml:space="preserve">, particularly in the </w:t>
      </w:r>
      <w:r w:rsidR="00C75D2C" w:rsidRPr="00C11F21">
        <w:rPr>
          <w:rFonts w:ascii="Book Antiqua" w:hAnsi="Book Antiqua" w:cstheme="minorHAnsi"/>
          <w:sz w:val="24"/>
          <w:szCs w:val="24"/>
          <w:lang w:val="en-US"/>
        </w:rPr>
        <w:t xml:space="preserve">C-terminal </w:t>
      </w:r>
      <w:r w:rsidR="005A5281" w:rsidRPr="00C11F21">
        <w:rPr>
          <w:rFonts w:ascii="Book Antiqua" w:hAnsi="Book Antiqua" w:cstheme="minorHAnsi"/>
          <w:sz w:val="24"/>
          <w:szCs w:val="24"/>
          <w:lang w:val="en-US"/>
        </w:rPr>
        <w:t>virion morphogenesis</w:t>
      </w:r>
      <w:r w:rsidR="00C75D2C" w:rsidRPr="00C11F21">
        <w:rPr>
          <w:rFonts w:ascii="Book Antiqua" w:hAnsi="Book Antiqua" w:cstheme="minorHAnsi"/>
          <w:sz w:val="24"/>
          <w:szCs w:val="24"/>
          <w:lang w:val="en-US"/>
        </w:rPr>
        <w:t xml:space="preserve"> </w:t>
      </w:r>
      <w:r w:rsidR="00364C9D" w:rsidRPr="00C11F21">
        <w:rPr>
          <w:rFonts w:ascii="Book Antiqua" w:hAnsi="Book Antiqua" w:cstheme="minorHAnsi"/>
          <w:sz w:val="24"/>
          <w:szCs w:val="24"/>
          <w:lang w:val="en-US"/>
        </w:rPr>
        <w:t>domain</w:t>
      </w:r>
      <w:r w:rsidR="001A0465" w:rsidRPr="00C11F21">
        <w:rPr>
          <w:rFonts w:ascii="Book Antiqua" w:hAnsi="Book Antiqua" w:cstheme="minorHAnsi"/>
          <w:sz w:val="24"/>
          <w:szCs w:val="24"/>
          <w:lang w:val="en-US"/>
        </w:rPr>
        <w:t>.</w:t>
      </w:r>
      <w:r w:rsidR="005C659B" w:rsidRPr="00C11F21">
        <w:rPr>
          <w:rFonts w:ascii="Book Antiqua" w:hAnsi="Book Antiqua" w:cstheme="minorHAnsi"/>
          <w:sz w:val="24"/>
          <w:szCs w:val="24"/>
          <w:lang w:val="en-US"/>
        </w:rPr>
        <w:t xml:space="preserve"> </w:t>
      </w:r>
      <w:r w:rsidR="000220DF" w:rsidRPr="00C11F21">
        <w:rPr>
          <w:rFonts w:ascii="Book Antiqua" w:hAnsi="Book Antiqua" w:cstheme="minorHAnsi"/>
          <w:sz w:val="24"/>
          <w:szCs w:val="24"/>
          <w:lang w:val="en-US"/>
        </w:rPr>
        <w:t>I</w:t>
      </w:r>
      <w:r w:rsidR="00AC5B3A" w:rsidRPr="00C11F21">
        <w:rPr>
          <w:rFonts w:ascii="Book Antiqua" w:hAnsi="Book Antiqua" w:cstheme="minorHAnsi"/>
          <w:sz w:val="24"/>
          <w:szCs w:val="24"/>
          <w:lang w:val="en-US"/>
        </w:rPr>
        <w:t>t</w:t>
      </w:r>
      <w:r w:rsidR="000220DF" w:rsidRPr="00C11F21">
        <w:rPr>
          <w:rFonts w:ascii="Book Antiqua" w:hAnsi="Book Antiqua" w:cstheme="minorHAnsi"/>
          <w:sz w:val="24"/>
          <w:szCs w:val="24"/>
          <w:lang w:val="en-US"/>
        </w:rPr>
        <w:t xml:space="preserve"> must be kept in mind that </w:t>
      </w:r>
      <w:r w:rsidR="005C659B" w:rsidRPr="00C11F21">
        <w:rPr>
          <w:rFonts w:ascii="Book Antiqua" w:hAnsi="Book Antiqua" w:cstheme="minorHAnsi"/>
          <w:sz w:val="24"/>
          <w:szCs w:val="24"/>
          <w:lang w:val="en-US"/>
        </w:rPr>
        <w:t xml:space="preserve">P is often found at the end of </w:t>
      </w:r>
      <w:r w:rsidR="00E5764C" w:rsidRPr="00C11F21">
        <w:rPr>
          <w:rFonts w:ascii="Book Antiqua" w:hAnsi="Book Antiqua" w:cstheme="minorHAnsi"/>
          <w:sz w:val="24"/>
          <w:szCs w:val="24"/>
          <w:lang w:val="en-US"/>
        </w:rPr>
        <w:t xml:space="preserve">the </w:t>
      </w:r>
      <w:r w:rsidR="00EA2EF1" w:rsidRPr="00C11F21">
        <w:rPr>
          <w:rFonts w:ascii="Book Antiqua" w:hAnsi="Book Antiqua" w:cstheme="minorHAnsi"/>
          <w:sz w:val="24"/>
          <w:szCs w:val="24"/>
          <w:lang w:val="en-US"/>
        </w:rPr>
        <w:t>α</w:t>
      </w:r>
      <w:r w:rsidR="005C659B" w:rsidRPr="00C11F21">
        <w:rPr>
          <w:rFonts w:ascii="Book Antiqua" w:hAnsi="Book Antiqua" w:cstheme="minorHAnsi"/>
          <w:sz w:val="24"/>
          <w:szCs w:val="24"/>
          <w:lang w:val="en-US"/>
        </w:rPr>
        <w:t xml:space="preserve"> helix or in turns or loops</w:t>
      </w:r>
      <w:r w:rsidR="00D07F2C" w:rsidRPr="00C11F21">
        <w:rPr>
          <w:rFonts w:ascii="Book Antiqua" w:hAnsi="Book Antiqua" w:cstheme="minorHAnsi"/>
          <w:sz w:val="24"/>
          <w:szCs w:val="24"/>
          <w:lang w:val="en-US"/>
        </w:rPr>
        <w:t>, and it contribute</w:t>
      </w:r>
      <w:r w:rsidR="00E5764C" w:rsidRPr="00C11F21">
        <w:rPr>
          <w:rFonts w:ascii="Book Antiqua" w:hAnsi="Book Antiqua" w:cstheme="minorHAnsi"/>
          <w:sz w:val="24"/>
          <w:szCs w:val="24"/>
          <w:lang w:val="en-US"/>
        </w:rPr>
        <w:t>s</w:t>
      </w:r>
      <w:r w:rsidR="00D07F2C" w:rsidRPr="00C11F21">
        <w:rPr>
          <w:rFonts w:ascii="Book Antiqua" w:hAnsi="Book Antiqua" w:cstheme="minorHAnsi"/>
          <w:sz w:val="24"/>
          <w:szCs w:val="24"/>
          <w:lang w:val="en-US"/>
        </w:rPr>
        <w:t xml:space="preserve"> to </w:t>
      </w:r>
      <w:r w:rsidR="005C659B" w:rsidRPr="00C11F21">
        <w:rPr>
          <w:rFonts w:ascii="Book Antiqua" w:hAnsi="Book Antiqua" w:cstheme="minorHAnsi"/>
          <w:sz w:val="24"/>
          <w:szCs w:val="24"/>
          <w:lang w:val="en-US"/>
        </w:rPr>
        <w:t>protein folding by stabilizing the</w:t>
      </w:r>
      <w:r w:rsidR="00D07F2C" w:rsidRPr="00C11F21">
        <w:rPr>
          <w:rFonts w:ascii="Book Antiqua" w:hAnsi="Book Antiqua" w:cstheme="minorHAnsi"/>
          <w:sz w:val="24"/>
          <w:szCs w:val="24"/>
          <w:lang w:val="en-US"/>
        </w:rPr>
        <w:t>se structures</w:t>
      </w:r>
      <w:r w:rsidR="001C0EB4" w:rsidRPr="00C11F21">
        <w:rPr>
          <w:rFonts w:ascii="Book Antiqua" w:hAnsi="Book Antiqua" w:cstheme="minorHAnsi"/>
          <w:sz w:val="24"/>
          <w:szCs w:val="24"/>
          <w:lang w:val="en-US"/>
        </w:rPr>
        <w:fldChar w:fldCharType="begin" w:fldLock="1"/>
      </w:r>
      <w:r w:rsidR="001C0EB4" w:rsidRPr="00C11F21">
        <w:rPr>
          <w:rFonts w:ascii="Book Antiqua" w:hAnsi="Book Antiqua" w:cstheme="minorHAnsi"/>
          <w:sz w:val="24"/>
          <w:szCs w:val="24"/>
          <w:lang w:val="en-US"/>
        </w:rPr>
        <w:instrText>ADDIN CSL_CITATION { "citationItems" : [ { "id" : "ITEM-1", "itemData" : { "DOI" : "10.1021/ja042798i", "ISBN" : "1007210079", "ISSN" : "00027863", "PMID" : "15755151", "abstract" : "Glycine and proline residues are frequently found in turn and loop structures of proteins and are believed to play an important role during chain compaction early in folding. We investigated their effect on the dynamics of intrachain loop formation in various unstructured polypeptide chains. Loop formation is significantly slower around trans prolyl peptide bonds and faster around glycine residues compared to any other amino acid. However, short loops are formed fastest around cis prolyl bonds with a time constant of 6 ns for end-to-end contact formation in a four-residue loop. Formation of short loops encounters activation energies in the range of 15 to 30 kJ/mol. The altered dynamics around glycine and trans prolyl bonds can be mainly ascribed to their effects on the activation energy. The fast dynamics around cis prolyl bonds, in contrast, originate in a higher Arrhenius pre-exponential factor, which compensates for an increased activation energy for loop formation compared to trans isomers. All-atom simulations of proline-containing peptides indicate that the conformational space for cis prolyl isomers is largely restricted compared to trans isomers. This leads to decreased average end-to-end distances and to a smaller loss in conformational entropy upon loop formation in cis isomers. The results further show that glycine and proline residues only influence formation of short loops containing between 2 and 10 residues, which is the typical loop size in native proteins. Formation of larger loops is not affected by the presence of a single glycine or proline residue.", "author" : [ { "dropping-particle" : "", "family" : "Krieger", "given" : "Florian", "non-dropping-particle" : "", "parse-names" : false, "suffix" : "" }, { "dropping-particle" : "", "family" : "M\u00f6glich", "given" : "Andreas", "non-dropping-particle" : "", "parse-names" : false, "suffix" : "" }, { "dropping-particle" : "", "family" : "Kiefhaber", "given" : "Thomas", "non-dropping-particle" : "", "parse-names" : false, "suffix" : "" } ], "container-title" : "Journal of the American Chemical Society", "id" : "ITEM-1", "issue" : "10", "issued" : { "date-parts" : [ [ "2005" ] ] }, "page" : "3346-3352", "title" : "Effect of proline and glycine residues on dynamics and barriers of loop formation in polypeptide chains", "type" : "article-journal", "volume" : "127" }, "uris" : [ "http://www.mendeley.com/documents/?uuid=a65e1233-5614-421c-8217-bfec4ed3746f", "http://www.mendeley.com/documents/?uuid=93c8eb95-4fc8-4e02-b332-9c104fcfb63f" ] }, { "id" : "ITEM-2", "itemData" : { "DOI" : "10.1016/j.jmb.2003.10.062", "ISBN" : "00222836", "ISSN" : "00222836", "PMID" : "14672669", "abstract" : "Integral membrane proteins often contain proline residues in their \u03b1-helical transmembrane (TM) fragments, which may strongly influence their folding and association. Pro-scanning mutagenesis of the helical domain of glycophorin A (GpA) showed that replacement of the residues located at the center abrogates helix packing while substitution of the residues forming the ending helical turns allows dimer formation. Synthetic TM peptides revealed that a point mutation of one of the residues of the dimerization motif (L75P) located at the N-terminal helical turn of the GpA TM fragment, adopts a secondary structure and oligomeric state similar to the wild-type sequence in detergents. In addition, both glycosylation mapping in biological membranes and molecular dynamics showed that the presence of a proline residue at the lipid/water interface has as an effect the extension of the helical end. Thus, helix packing can be an important factor that determines appearance of proline in TM helices. Membrane proteins might accumulate proline residues at the two ends of their TM segments in order to modulate the exposition of key amino acid residues at the interface for molecular recognition events while allowing stable association and native folding. \u00a9 2003 Elsevier Ltd. All rights reserved.", "author" : [ { "dropping-particle" : "", "family" : "Orz\u00e1ez", "given" : "Mar", "non-dropping-particle" : "", "parse-names" : false, "suffix" : "" }, { "dropping-particle" : "", "family" : "Salgado", "given" : "Jes\u00fas", "non-dropping-particle" : "", "parse-names" : false, "suffix" : "" }, { "dropping-particle" : "", "family" : "Gim\u00e9nez-Giner", "given" : "Ana", "non-dropping-particle" : "", "parse-names" : false, "suffix" : "" }, { "dropping-particle" : "", "family" : "P\u00e9rez-Pay\u00e1", "given" : "Enrique", "non-dropping-particle" : "", "parse-names" : false, "suffix" : "" }, { "dropping-particle" : "", "family" : "Mingarro", "given" : "Ismael", "non-dropping-particle" : "", "parse-names" : false, "suffix" : "" } ], "container-title" : "Journal of Molecular Biology", "id" : "ITEM-2", "issue" : "2", "issued" : { "date-parts" : [ [ "2004" ] ] }, "page" : "631-640", "title" : "Influence of Proline Residues in Transmembrane Helix Packing", "type" : "article-journal", "volume" : "335" }, "uris" : [ "http://www.mendeley.com/documents/?uuid=a4ea7561-04de-4617-b4cf-b300d30e871d", "http://www.mendeley.com/documents/?uuid=4cbea1ee-e7fe-44e8-8737-6d031e345d2f" ] } ], "mendeley" : { "formattedCitation" : "&lt;sup&gt;[48,49]&lt;/sup&gt;", "plainTextFormattedCitation" : "[48,49]", "previouslyFormattedCitation" : "&lt;sup&gt;[49,50]&lt;/sup&gt;" }, "properties" : {  }, "schema" : "https://github.com/citation-style-language/schema/raw/master/csl-citation.json" }</w:instrText>
      </w:r>
      <w:r w:rsidR="001C0EB4" w:rsidRPr="00C11F21">
        <w:rPr>
          <w:rFonts w:ascii="Book Antiqua" w:hAnsi="Book Antiqua" w:cstheme="minorHAnsi"/>
          <w:sz w:val="24"/>
          <w:szCs w:val="24"/>
          <w:lang w:val="en-US"/>
        </w:rPr>
        <w:fldChar w:fldCharType="separate"/>
      </w:r>
      <w:r w:rsidR="001C0EB4" w:rsidRPr="00C11F21">
        <w:rPr>
          <w:rFonts w:ascii="Book Antiqua" w:hAnsi="Book Antiqua" w:cstheme="minorHAnsi"/>
          <w:noProof/>
          <w:sz w:val="24"/>
          <w:szCs w:val="24"/>
          <w:vertAlign w:val="superscript"/>
          <w:lang w:val="en-US"/>
        </w:rPr>
        <w:t>[48,49]</w:t>
      </w:r>
      <w:r w:rsidR="001C0EB4" w:rsidRPr="00C11F21">
        <w:rPr>
          <w:rFonts w:ascii="Book Antiqua" w:hAnsi="Book Antiqua" w:cstheme="minorHAnsi"/>
          <w:sz w:val="24"/>
          <w:szCs w:val="24"/>
          <w:lang w:val="en-US"/>
        </w:rPr>
        <w:fldChar w:fldCharType="end"/>
      </w:r>
      <w:r w:rsidR="00364C9D" w:rsidRPr="00C11F21">
        <w:rPr>
          <w:rFonts w:ascii="Book Antiqua" w:hAnsi="Book Antiqua" w:cstheme="minorHAnsi"/>
          <w:sz w:val="24"/>
          <w:szCs w:val="24"/>
          <w:lang w:val="en-US"/>
        </w:rPr>
        <w:t>,</w:t>
      </w:r>
      <w:r w:rsidR="00EA2EF1" w:rsidRPr="00C11F21">
        <w:rPr>
          <w:rFonts w:ascii="Book Antiqua" w:hAnsi="Book Antiqua" w:cstheme="minorHAnsi"/>
          <w:sz w:val="24"/>
          <w:szCs w:val="24"/>
          <w:lang w:val="en-US"/>
        </w:rPr>
        <w:t xml:space="preserve"> t</w:t>
      </w:r>
      <w:r w:rsidR="008457D4" w:rsidRPr="00C11F21">
        <w:rPr>
          <w:rFonts w:ascii="Book Antiqua" w:hAnsi="Book Antiqua" w:cstheme="minorHAnsi"/>
          <w:sz w:val="24"/>
          <w:szCs w:val="24"/>
          <w:lang w:val="en-US"/>
        </w:rPr>
        <w:t>hus</w:t>
      </w:r>
      <w:r w:rsidR="00EA2EF1" w:rsidRPr="00C11F21">
        <w:rPr>
          <w:rFonts w:ascii="Book Antiqua" w:hAnsi="Book Antiqua" w:cstheme="minorHAnsi"/>
          <w:sz w:val="24"/>
          <w:szCs w:val="24"/>
          <w:lang w:val="en-US"/>
        </w:rPr>
        <w:t xml:space="preserve"> being</w:t>
      </w:r>
      <w:r w:rsidR="005C659B" w:rsidRPr="00C11F21">
        <w:rPr>
          <w:rFonts w:ascii="Book Antiqua" w:hAnsi="Book Antiqua" w:cstheme="minorHAnsi"/>
          <w:sz w:val="24"/>
          <w:szCs w:val="24"/>
          <w:lang w:val="en-US"/>
        </w:rPr>
        <w:t xml:space="preserve"> associated </w:t>
      </w:r>
      <w:r w:rsidR="00D07F2C" w:rsidRPr="00C11F21">
        <w:rPr>
          <w:rFonts w:ascii="Book Antiqua" w:hAnsi="Book Antiqua" w:cstheme="minorHAnsi"/>
          <w:sz w:val="24"/>
          <w:szCs w:val="24"/>
          <w:lang w:val="en-US"/>
        </w:rPr>
        <w:t>with</w:t>
      </w:r>
      <w:r w:rsidR="005C659B" w:rsidRPr="00C11F21">
        <w:rPr>
          <w:rFonts w:ascii="Book Antiqua" w:hAnsi="Book Antiqua" w:cstheme="minorHAnsi"/>
          <w:sz w:val="24"/>
          <w:szCs w:val="24"/>
          <w:lang w:val="en-US"/>
        </w:rPr>
        <w:t xml:space="preserve"> essential structural protein moti</w:t>
      </w:r>
      <w:r w:rsidR="00D07F2C" w:rsidRPr="00C11F21">
        <w:rPr>
          <w:rFonts w:ascii="Book Antiqua" w:hAnsi="Book Antiqua" w:cstheme="minorHAnsi"/>
          <w:sz w:val="24"/>
          <w:szCs w:val="24"/>
          <w:lang w:val="en-US"/>
        </w:rPr>
        <w:t>f</w:t>
      </w:r>
      <w:r w:rsidR="005C659B" w:rsidRPr="00C11F21">
        <w:rPr>
          <w:rFonts w:ascii="Book Antiqua" w:hAnsi="Book Antiqua" w:cstheme="minorHAnsi"/>
          <w:sz w:val="24"/>
          <w:szCs w:val="24"/>
          <w:lang w:val="en-US"/>
        </w:rPr>
        <w:t>s</w:t>
      </w:r>
      <w:r w:rsidR="008457D4" w:rsidRPr="00C11F21">
        <w:rPr>
          <w:rFonts w:ascii="Book Antiqua" w:hAnsi="Book Antiqua" w:cstheme="minorHAnsi"/>
          <w:sz w:val="24"/>
          <w:szCs w:val="24"/>
          <w:lang w:val="en-US"/>
        </w:rPr>
        <w:t>.</w:t>
      </w:r>
      <w:r w:rsidR="005C659B" w:rsidRPr="00C11F21">
        <w:rPr>
          <w:rFonts w:ascii="Book Antiqua" w:hAnsi="Book Antiqua" w:cstheme="minorHAnsi"/>
          <w:sz w:val="24"/>
          <w:szCs w:val="24"/>
          <w:lang w:val="en-US"/>
        </w:rPr>
        <w:t xml:space="preserve"> </w:t>
      </w:r>
      <w:r w:rsidR="001A0465" w:rsidRPr="00C11F21">
        <w:rPr>
          <w:rFonts w:ascii="Book Antiqua" w:hAnsi="Book Antiqua" w:cstheme="minorHAnsi"/>
          <w:sz w:val="24"/>
          <w:szCs w:val="24"/>
          <w:lang w:val="en-US"/>
        </w:rPr>
        <w:t>C</w:t>
      </w:r>
      <w:r w:rsidR="00614B90" w:rsidRPr="00C11F21">
        <w:rPr>
          <w:rFonts w:ascii="Book Antiqua" w:hAnsi="Book Antiqua" w:cstheme="minorHAnsi"/>
          <w:sz w:val="24"/>
          <w:szCs w:val="24"/>
          <w:lang w:val="en-US"/>
        </w:rPr>
        <w:t>onservation of most</w:t>
      </w:r>
      <w:r w:rsidR="008457D4" w:rsidRPr="00C11F21">
        <w:rPr>
          <w:rFonts w:ascii="Book Antiqua" w:hAnsi="Book Antiqua" w:cstheme="minorHAnsi"/>
          <w:sz w:val="24"/>
          <w:szCs w:val="24"/>
          <w:lang w:val="en-US"/>
        </w:rPr>
        <w:t xml:space="preserve"> P residues in </w:t>
      </w:r>
      <w:r w:rsidR="001A0465" w:rsidRPr="00C11F21">
        <w:rPr>
          <w:rFonts w:ascii="Book Antiqua" w:hAnsi="Book Antiqua" w:cstheme="minorHAnsi"/>
          <w:sz w:val="24"/>
          <w:szCs w:val="24"/>
          <w:lang w:val="en-US"/>
        </w:rPr>
        <w:t>the two</w:t>
      </w:r>
      <w:r w:rsidR="007307B0" w:rsidRPr="00C11F21">
        <w:rPr>
          <w:rFonts w:ascii="Book Antiqua" w:hAnsi="Book Antiqua" w:cstheme="minorHAnsi"/>
          <w:sz w:val="24"/>
          <w:szCs w:val="24"/>
          <w:lang w:val="en-US"/>
        </w:rPr>
        <w:t xml:space="preserve"> </w:t>
      </w:r>
      <w:r w:rsidR="008457D4" w:rsidRPr="00C11F21">
        <w:rPr>
          <w:rFonts w:ascii="Book Antiqua" w:hAnsi="Book Antiqua" w:cstheme="minorHAnsi"/>
          <w:sz w:val="24"/>
          <w:szCs w:val="24"/>
          <w:lang w:val="en-US"/>
        </w:rPr>
        <w:t xml:space="preserve">preS1 </w:t>
      </w:r>
      <w:r w:rsidR="00364C9D" w:rsidRPr="00C11F21">
        <w:rPr>
          <w:rFonts w:ascii="Book Antiqua" w:hAnsi="Book Antiqua" w:cstheme="minorHAnsi"/>
          <w:sz w:val="24"/>
          <w:szCs w:val="24"/>
          <w:lang w:val="en-US"/>
        </w:rPr>
        <w:t>domain</w:t>
      </w:r>
      <w:r w:rsidR="007307B0" w:rsidRPr="00C11F21">
        <w:rPr>
          <w:rFonts w:ascii="Book Antiqua" w:hAnsi="Book Antiqua" w:cstheme="minorHAnsi"/>
          <w:sz w:val="24"/>
          <w:szCs w:val="24"/>
          <w:lang w:val="en-US"/>
        </w:rPr>
        <w:t xml:space="preserve">s </w:t>
      </w:r>
      <w:r w:rsidR="005C659B" w:rsidRPr="00C11F21">
        <w:rPr>
          <w:rFonts w:ascii="Book Antiqua" w:hAnsi="Book Antiqua" w:cstheme="minorHAnsi"/>
          <w:sz w:val="24"/>
          <w:szCs w:val="24"/>
          <w:lang w:val="en-US"/>
        </w:rPr>
        <w:t>suggest</w:t>
      </w:r>
      <w:r w:rsidR="008457D4" w:rsidRPr="00C11F21">
        <w:rPr>
          <w:rFonts w:ascii="Book Antiqua" w:hAnsi="Book Antiqua" w:cstheme="minorHAnsi"/>
          <w:sz w:val="24"/>
          <w:szCs w:val="24"/>
          <w:lang w:val="en-US"/>
        </w:rPr>
        <w:t xml:space="preserve">s </w:t>
      </w:r>
      <w:r w:rsidR="007307B0" w:rsidRPr="00C11F21">
        <w:rPr>
          <w:rFonts w:ascii="Book Antiqua" w:hAnsi="Book Antiqua" w:cstheme="minorHAnsi"/>
          <w:sz w:val="24"/>
          <w:szCs w:val="24"/>
          <w:lang w:val="en-US"/>
        </w:rPr>
        <w:t xml:space="preserve">their </w:t>
      </w:r>
      <w:r w:rsidR="008457D4" w:rsidRPr="00C11F21">
        <w:rPr>
          <w:rFonts w:ascii="Book Antiqua" w:hAnsi="Book Antiqua" w:cstheme="minorHAnsi"/>
          <w:sz w:val="24"/>
          <w:szCs w:val="24"/>
          <w:lang w:val="en-US"/>
        </w:rPr>
        <w:t>structural preservation,</w:t>
      </w:r>
      <w:r w:rsidR="00385C7A" w:rsidRPr="00C11F21">
        <w:rPr>
          <w:rFonts w:ascii="Book Antiqua" w:hAnsi="Book Antiqua" w:cstheme="minorHAnsi"/>
          <w:sz w:val="24"/>
          <w:szCs w:val="24"/>
          <w:lang w:val="en-US"/>
        </w:rPr>
        <w:t xml:space="preserve"> </w:t>
      </w:r>
      <w:r w:rsidR="00E5764C" w:rsidRPr="00C11F21">
        <w:rPr>
          <w:rFonts w:ascii="Book Antiqua" w:hAnsi="Book Antiqua" w:cstheme="minorHAnsi"/>
          <w:sz w:val="24"/>
          <w:szCs w:val="24"/>
          <w:lang w:val="en-US"/>
        </w:rPr>
        <w:t xml:space="preserve">which would facilitate </w:t>
      </w:r>
      <w:r w:rsidR="00385C7A" w:rsidRPr="00C11F21">
        <w:rPr>
          <w:rFonts w:ascii="Book Antiqua" w:hAnsi="Book Antiqua" w:cstheme="minorHAnsi"/>
          <w:sz w:val="24"/>
          <w:szCs w:val="24"/>
          <w:lang w:val="en-US"/>
        </w:rPr>
        <w:t>interaction</w:t>
      </w:r>
      <w:r w:rsidR="00E5764C" w:rsidRPr="00C11F21">
        <w:rPr>
          <w:rFonts w:ascii="Book Antiqua" w:hAnsi="Book Antiqua" w:cstheme="minorHAnsi"/>
          <w:sz w:val="24"/>
          <w:szCs w:val="24"/>
          <w:lang w:val="en-US"/>
        </w:rPr>
        <w:t>s</w:t>
      </w:r>
      <w:r w:rsidR="00385C7A" w:rsidRPr="00C11F21">
        <w:rPr>
          <w:rFonts w:ascii="Book Antiqua" w:hAnsi="Book Antiqua" w:cstheme="minorHAnsi"/>
          <w:sz w:val="24"/>
          <w:szCs w:val="24"/>
          <w:lang w:val="en-US"/>
        </w:rPr>
        <w:t xml:space="preserve"> </w:t>
      </w:r>
      <w:r w:rsidR="00E5764C" w:rsidRPr="00C11F21">
        <w:rPr>
          <w:rFonts w:ascii="Book Antiqua" w:hAnsi="Book Antiqua" w:cstheme="minorHAnsi"/>
          <w:sz w:val="24"/>
          <w:szCs w:val="24"/>
          <w:lang w:val="en-US"/>
        </w:rPr>
        <w:t>between</w:t>
      </w:r>
      <w:r w:rsidR="005D134B" w:rsidRPr="00C11F21">
        <w:rPr>
          <w:rFonts w:ascii="Book Antiqua" w:hAnsi="Book Antiqua" w:cstheme="minorHAnsi"/>
          <w:sz w:val="24"/>
          <w:szCs w:val="24"/>
          <w:lang w:val="en-US"/>
        </w:rPr>
        <w:t xml:space="preserve"> external </w:t>
      </w:r>
      <w:r w:rsidR="00385C7A" w:rsidRPr="00C11F21">
        <w:rPr>
          <w:rFonts w:ascii="Book Antiqua" w:hAnsi="Book Antiqua" w:cstheme="minorHAnsi"/>
          <w:sz w:val="24"/>
          <w:szCs w:val="24"/>
          <w:lang w:val="en-US"/>
        </w:rPr>
        <w:t>LHBs</w:t>
      </w:r>
      <w:r w:rsidR="005D134B" w:rsidRPr="00C11F21">
        <w:rPr>
          <w:rFonts w:ascii="Book Antiqua" w:hAnsi="Book Antiqua" w:cstheme="minorHAnsi"/>
          <w:sz w:val="24"/>
          <w:szCs w:val="24"/>
          <w:lang w:val="en-US"/>
        </w:rPr>
        <w:t xml:space="preserve"> </w:t>
      </w:r>
      <w:r w:rsidR="00E5764C" w:rsidRPr="00C11F21">
        <w:rPr>
          <w:rFonts w:ascii="Book Antiqua" w:hAnsi="Book Antiqua" w:cstheme="minorHAnsi"/>
          <w:sz w:val="24"/>
          <w:szCs w:val="24"/>
          <w:lang w:val="en-US"/>
        </w:rPr>
        <w:t>and</w:t>
      </w:r>
      <w:r w:rsidR="005C659B" w:rsidRPr="00C11F21">
        <w:rPr>
          <w:rFonts w:ascii="Book Antiqua" w:hAnsi="Book Antiqua" w:cstheme="minorHAnsi"/>
          <w:sz w:val="24"/>
          <w:szCs w:val="24"/>
          <w:lang w:val="en-US"/>
        </w:rPr>
        <w:t xml:space="preserve"> </w:t>
      </w:r>
      <w:r w:rsidR="00045A9A" w:rsidRPr="00C11F21">
        <w:rPr>
          <w:rFonts w:ascii="Book Antiqua" w:hAnsi="Book Antiqua" w:cstheme="minorHAnsi"/>
          <w:sz w:val="24"/>
          <w:szCs w:val="24"/>
          <w:lang w:val="en-US"/>
        </w:rPr>
        <w:t xml:space="preserve">the </w:t>
      </w:r>
      <w:r w:rsidR="005C659B" w:rsidRPr="00C11F21">
        <w:rPr>
          <w:rFonts w:ascii="Book Antiqua" w:hAnsi="Book Antiqua" w:cstheme="minorHAnsi"/>
          <w:sz w:val="24"/>
          <w:szCs w:val="24"/>
          <w:lang w:val="en-US"/>
        </w:rPr>
        <w:t xml:space="preserve">NCTP cell receptor </w:t>
      </w:r>
      <w:r w:rsidR="005D134B" w:rsidRPr="00C11F21">
        <w:rPr>
          <w:rFonts w:ascii="Book Antiqua" w:hAnsi="Book Antiqua" w:cstheme="minorHAnsi"/>
          <w:sz w:val="24"/>
          <w:szCs w:val="24"/>
          <w:lang w:val="en-US"/>
        </w:rPr>
        <w:t xml:space="preserve">or between internal </w:t>
      </w:r>
      <w:r w:rsidR="00206BA0" w:rsidRPr="00C11F21">
        <w:rPr>
          <w:rFonts w:ascii="Book Antiqua" w:hAnsi="Book Antiqua" w:cstheme="minorHAnsi"/>
          <w:sz w:val="24"/>
          <w:szCs w:val="24"/>
          <w:lang w:val="en-US"/>
        </w:rPr>
        <w:t>LHBs</w:t>
      </w:r>
      <w:r w:rsidR="005D134B" w:rsidRPr="00C11F21">
        <w:rPr>
          <w:rFonts w:ascii="Book Antiqua" w:hAnsi="Book Antiqua" w:cstheme="minorHAnsi"/>
          <w:sz w:val="24"/>
          <w:szCs w:val="24"/>
          <w:lang w:val="en-US"/>
        </w:rPr>
        <w:t xml:space="preserve"> and nucleocapsids</w:t>
      </w:r>
      <w:r w:rsidR="00316F99" w:rsidRPr="00C11F21">
        <w:rPr>
          <w:rFonts w:ascii="Book Antiqua" w:hAnsi="Book Antiqua" w:cstheme="minorHAnsi"/>
          <w:sz w:val="24"/>
          <w:szCs w:val="24"/>
          <w:lang w:val="en-US"/>
        </w:rPr>
        <w:t xml:space="preserve"> </w:t>
      </w:r>
      <w:r w:rsidR="00316F99" w:rsidRPr="00C11F21">
        <w:rPr>
          <w:rFonts w:ascii="Book Antiqua" w:hAnsi="Book Antiqua" w:cstheme="minorHAnsi"/>
          <w:sz w:val="24"/>
          <w:szCs w:val="24"/>
          <w:lang w:val="en-US"/>
        </w:rPr>
        <w:lastRenderedPageBreak/>
        <w:t>in the same manner as a lock and key</w:t>
      </w:r>
      <w:r w:rsidR="005C659B" w:rsidRPr="00C11F21">
        <w:rPr>
          <w:rFonts w:ascii="Book Antiqua" w:hAnsi="Book Antiqua" w:cstheme="minorHAnsi"/>
          <w:sz w:val="24"/>
          <w:szCs w:val="24"/>
          <w:lang w:val="en-US"/>
        </w:rPr>
        <w:t>.</w:t>
      </w:r>
      <w:r w:rsidR="005D134B" w:rsidRPr="00C11F21">
        <w:rPr>
          <w:rFonts w:ascii="Book Antiqua" w:hAnsi="Book Antiqua" w:cstheme="minorHAnsi"/>
          <w:sz w:val="24"/>
          <w:szCs w:val="24"/>
          <w:lang w:val="en-US"/>
        </w:rPr>
        <w:t xml:space="preserve"> </w:t>
      </w:r>
      <w:r w:rsidR="00316F99" w:rsidRPr="00C11F21">
        <w:rPr>
          <w:rFonts w:ascii="Book Antiqua" w:hAnsi="Book Antiqua" w:cstheme="minorHAnsi"/>
          <w:sz w:val="24"/>
          <w:szCs w:val="24"/>
          <w:lang w:val="en-US"/>
        </w:rPr>
        <w:t xml:space="preserve">In the virion morphogenesis </w:t>
      </w:r>
      <w:r w:rsidR="00D87EC9" w:rsidRPr="00C11F21">
        <w:rPr>
          <w:rFonts w:ascii="Book Antiqua" w:hAnsi="Book Antiqua" w:cstheme="minorHAnsi"/>
          <w:sz w:val="24"/>
          <w:szCs w:val="24"/>
          <w:lang w:val="en-US"/>
        </w:rPr>
        <w:t>domain</w:t>
      </w:r>
      <w:r w:rsidR="00316F99" w:rsidRPr="00C11F21">
        <w:rPr>
          <w:rFonts w:ascii="Book Antiqua" w:hAnsi="Book Antiqua" w:cstheme="minorHAnsi"/>
          <w:sz w:val="24"/>
          <w:szCs w:val="24"/>
          <w:lang w:val="en-US"/>
        </w:rPr>
        <w:t>, in positions</w:t>
      </w:r>
      <w:r w:rsidR="00017499" w:rsidRPr="00C11F21">
        <w:rPr>
          <w:rFonts w:ascii="Book Antiqua" w:hAnsi="Book Antiqua" w:cstheme="minorHAnsi"/>
          <w:sz w:val="24"/>
          <w:szCs w:val="24"/>
          <w:lang w:val="en-US"/>
        </w:rPr>
        <w:t xml:space="preserve"> where S </w:t>
      </w:r>
      <w:r w:rsidR="00385C7A" w:rsidRPr="00C11F21">
        <w:rPr>
          <w:rFonts w:ascii="Book Antiqua" w:hAnsi="Book Antiqua" w:cstheme="minorHAnsi"/>
          <w:sz w:val="24"/>
          <w:szCs w:val="24"/>
          <w:lang w:val="en-US"/>
        </w:rPr>
        <w:t>was</w:t>
      </w:r>
      <w:r w:rsidR="00017499" w:rsidRPr="00C11F21">
        <w:rPr>
          <w:rFonts w:ascii="Book Antiqua" w:hAnsi="Book Antiqua" w:cstheme="minorHAnsi"/>
          <w:sz w:val="24"/>
          <w:szCs w:val="24"/>
          <w:lang w:val="en-US"/>
        </w:rPr>
        <w:t xml:space="preserve"> the wild-type</w:t>
      </w:r>
      <w:r w:rsidR="00385C7A" w:rsidRPr="00C11F21">
        <w:rPr>
          <w:rFonts w:ascii="Book Antiqua" w:hAnsi="Book Antiqua" w:cstheme="minorHAnsi"/>
          <w:sz w:val="24"/>
          <w:szCs w:val="24"/>
          <w:lang w:val="en-US"/>
        </w:rPr>
        <w:t xml:space="preserve"> aa</w:t>
      </w:r>
      <w:r w:rsidR="00017499" w:rsidRPr="00C11F21">
        <w:rPr>
          <w:rFonts w:ascii="Book Antiqua" w:hAnsi="Book Antiqua" w:cstheme="minorHAnsi"/>
          <w:sz w:val="24"/>
          <w:szCs w:val="24"/>
          <w:lang w:val="en-US"/>
        </w:rPr>
        <w:t xml:space="preserve">, </w:t>
      </w:r>
      <w:r w:rsidR="00316F99" w:rsidRPr="00C11F21">
        <w:rPr>
          <w:rFonts w:ascii="Book Antiqua" w:hAnsi="Book Antiqua" w:cstheme="minorHAnsi"/>
          <w:sz w:val="24"/>
          <w:szCs w:val="24"/>
          <w:lang w:val="en-US"/>
        </w:rPr>
        <w:t xml:space="preserve">we observed that </w:t>
      </w:r>
      <w:r w:rsidR="00017499" w:rsidRPr="00C11F21">
        <w:rPr>
          <w:rFonts w:ascii="Book Antiqua" w:hAnsi="Book Antiqua" w:cstheme="minorHAnsi"/>
          <w:sz w:val="24"/>
          <w:szCs w:val="24"/>
          <w:lang w:val="en-US"/>
        </w:rPr>
        <w:t>changes with &gt;</w:t>
      </w:r>
      <w:r w:rsidR="001C0EB4" w:rsidRPr="00C11F21">
        <w:rPr>
          <w:rFonts w:ascii="Book Antiqua" w:hAnsi="Book Antiqua" w:cstheme="minorHAnsi" w:hint="eastAsia"/>
          <w:sz w:val="24"/>
          <w:szCs w:val="24"/>
          <w:lang w:val="en-US" w:eastAsia="zh-CN"/>
        </w:rPr>
        <w:t xml:space="preserve"> </w:t>
      </w:r>
      <w:r w:rsidR="00017499" w:rsidRPr="00C11F21">
        <w:rPr>
          <w:rFonts w:ascii="Book Antiqua" w:hAnsi="Book Antiqua" w:cstheme="minorHAnsi"/>
          <w:sz w:val="24"/>
          <w:szCs w:val="24"/>
          <w:lang w:val="en-US"/>
        </w:rPr>
        <w:t xml:space="preserve">1% prevalence within the same </w:t>
      </w:r>
      <w:r w:rsidR="00F01129" w:rsidRPr="00C11F21">
        <w:rPr>
          <w:rFonts w:ascii="Book Antiqua" w:hAnsi="Book Antiqua" w:cstheme="minorHAnsi"/>
          <w:sz w:val="24"/>
          <w:szCs w:val="24"/>
          <w:lang w:val="en-US"/>
        </w:rPr>
        <w:t xml:space="preserve">HBV </w:t>
      </w:r>
      <w:r w:rsidR="00017499" w:rsidRPr="00C11F21">
        <w:rPr>
          <w:rFonts w:ascii="Book Antiqua" w:hAnsi="Book Antiqua" w:cstheme="minorHAnsi"/>
          <w:sz w:val="24"/>
          <w:szCs w:val="24"/>
          <w:lang w:val="en-US"/>
        </w:rPr>
        <w:t xml:space="preserve">genotype or between different genotypes were either to T or </w:t>
      </w:r>
      <w:r w:rsidR="00F71D5B" w:rsidRPr="00C11F21">
        <w:rPr>
          <w:rFonts w:ascii="Book Antiqua" w:hAnsi="Book Antiqua" w:cstheme="minorHAnsi"/>
          <w:sz w:val="24"/>
          <w:szCs w:val="24"/>
          <w:lang w:val="en-US"/>
        </w:rPr>
        <w:t>to</w:t>
      </w:r>
      <w:r w:rsidR="00017499" w:rsidRPr="00C11F21">
        <w:rPr>
          <w:rFonts w:ascii="Book Antiqua" w:hAnsi="Book Antiqua" w:cstheme="minorHAnsi"/>
          <w:sz w:val="24"/>
          <w:szCs w:val="24"/>
          <w:lang w:val="en-US"/>
        </w:rPr>
        <w:t xml:space="preserve"> Y. </w:t>
      </w:r>
      <w:r w:rsidR="00564280" w:rsidRPr="00C11F21">
        <w:rPr>
          <w:rFonts w:ascii="Book Antiqua" w:hAnsi="Book Antiqua" w:cstheme="minorHAnsi"/>
          <w:sz w:val="24"/>
          <w:szCs w:val="24"/>
          <w:lang w:val="en-US"/>
        </w:rPr>
        <w:t>Bearing in mind that S, T</w:t>
      </w:r>
      <w:r w:rsidR="00F71D5B" w:rsidRPr="00C11F21">
        <w:rPr>
          <w:rFonts w:ascii="Book Antiqua" w:hAnsi="Book Antiqua" w:cstheme="minorHAnsi"/>
          <w:sz w:val="24"/>
          <w:szCs w:val="24"/>
          <w:lang w:val="en-US"/>
        </w:rPr>
        <w:t>,</w:t>
      </w:r>
      <w:r w:rsidR="00564280" w:rsidRPr="00C11F21">
        <w:rPr>
          <w:rFonts w:ascii="Book Antiqua" w:hAnsi="Book Antiqua" w:cstheme="minorHAnsi"/>
          <w:sz w:val="24"/>
          <w:szCs w:val="24"/>
          <w:lang w:val="en-US"/>
        </w:rPr>
        <w:t xml:space="preserve"> and Y are the main targets for phosphorylation in eukaryotic cells</w:t>
      </w:r>
      <w:r w:rsidR="005B043F" w:rsidRPr="00C11F21">
        <w:rPr>
          <w:rFonts w:ascii="Book Antiqua" w:hAnsi="Book Antiqua" w:cstheme="minorHAnsi"/>
          <w:sz w:val="24"/>
          <w:szCs w:val="24"/>
          <w:shd w:val="clear" w:color="auto" w:fill="FFFFFF"/>
          <w:lang w:val="en-US"/>
        </w:rPr>
        <w:fldChar w:fldCharType="begin" w:fldLock="1"/>
      </w:r>
      <w:r w:rsidR="005B043F" w:rsidRPr="00C11F21">
        <w:rPr>
          <w:rFonts w:ascii="Book Antiqua" w:hAnsi="Book Antiqua" w:cstheme="minorHAnsi"/>
          <w:sz w:val="24"/>
          <w:szCs w:val="24"/>
          <w:shd w:val="clear" w:color="auto" w:fill="FFFFFF"/>
          <w:lang w:val="en-US"/>
        </w:rPr>
        <w:instrText>ADDIN CSL_CITATION { "citationItems" : [ { "id" : "ITEM-1", "itemData" : { "DOI" : "10.1098/rstb.2012.0013", "ISBN" : "1471-2970 (Electronic)\\n0962-8436 (Linking)", "ISSN" : "0962-8436, 1471-2970", "PMID" : "22889903", "abstract" : "The advantageous chemical properties of the phosphate ester linkage were exploited early in evolution to generate the phosphate diester linkages that join neighbouring bases in RNA and DNA (Westheimer 1987 Science 235, 1173\u20131178). Following the fixation of the genetic code, another use for phosphate ester modification was found, namely reversible phosphorylation of the three hydroxyamino acids, serine, threonine and tyrosine, in proteins. During the course of evolution, phosphorylation emerged as one of the most prominent types of post-translational modification, because of its versatility and ready reversibility. Phosphoamino acids generated by protein phosphorylation act as new chemical entities that do not resemble any natural amino acid, and thereby provide a means of diversifying the chemical nature of protein surfaces. A protein-linked phosphate group can form hydrogen bonds or salt bridges either intra- or intermolecularly, creating stronger hydrogen bonds with arginine than either aspartate or glutamate. The unique size of the ionic shell and charge properties of covalently attached phosphate allow specific and inducible recognition of phosphoproteins by phosphospecific-binding domains in other proteins, thus promoting inducible protein\u2013protein interaction. In this manner, phosphorylation serves as a switch that allows signal transduction networks to transmit signals in response to extracellular stimuli.", "author" : [ { "dropping-particle" : "", "family" : "Hunter", "given" : "Tony", "non-dropping-particle" : "", "parse-names" : false, "suffix" : "" } ], "container-title" : "Philosophical Transactions of the Royal Society B: Biological Sciences", "id" : "ITEM-1", "issue" : "1602", "issued" : { "date-parts" : [ [ "2012" ] ] }, "page" : "2513-2516", "title" : "Why nature chose phosphate to modify proteins", "type" : "article-journal", "volume" : "367" }, "uris" : [ "http://www.mendeley.com/documents/?uuid=0f0ee72d-fd66-457c-bf9e-c7f7eb66a359", "http://www.mendeley.com/documents/?uuid=6df1596c-3aa0-4087-8657-ef348dc88e28" ] } ], "mendeley" : { "formattedCitation" : "&lt;sup&gt;[35]&lt;/sup&gt;", "plainTextFormattedCitation" : "[35]", "previouslyFormattedCitation" : "&lt;sup&gt;[35]&lt;/sup&gt;" }, "properties" : {  }, "schema" : "https://github.com/citation-style-language/schema/raw/master/csl-citation.json" }</w:instrText>
      </w:r>
      <w:r w:rsidR="005B043F" w:rsidRPr="00C11F21">
        <w:rPr>
          <w:rFonts w:ascii="Book Antiqua" w:hAnsi="Book Antiqua" w:cstheme="minorHAnsi"/>
          <w:sz w:val="24"/>
          <w:szCs w:val="24"/>
          <w:shd w:val="clear" w:color="auto" w:fill="FFFFFF"/>
          <w:lang w:val="en-US"/>
        </w:rPr>
        <w:fldChar w:fldCharType="separate"/>
      </w:r>
      <w:r w:rsidR="005B043F" w:rsidRPr="00C11F21">
        <w:rPr>
          <w:rFonts w:ascii="Book Antiqua" w:hAnsi="Book Antiqua" w:cstheme="minorHAnsi"/>
          <w:noProof/>
          <w:sz w:val="24"/>
          <w:szCs w:val="24"/>
          <w:shd w:val="clear" w:color="auto" w:fill="FFFFFF"/>
          <w:vertAlign w:val="superscript"/>
          <w:lang w:val="en-US"/>
        </w:rPr>
        <w:t>[35]</w:t>
      </w:r>
      <w:r w:rsidR="005B043F" w:rsidRPr="00C11F21">
        <w:rPr>
          <w:rFonts w:ascii="Book Antiqua" w:hAnsi="Book Antiqua" w:cstheme="minorHAnsi"/>
          <w:sz w:val="24"/>
          <w:szCs w:val="24"/>
          <w:shd w:val="clear" w:color="auto" w:fill="FFFFFF"/>
          <w:lang w:val="en-US"/>
        </w:rPr>
        <w:fldChar w:fldCharType="end"/>
      </w:r>
      <w:r w:rsidR="00564280" w:rsidRPr="00C11F21">
        <w:rPr>
          <w:rFonts w:ascii="Book Antiqua" w:hAnsi="Book Antiqua" w:cstheme="minorHAnsi"/>
          <w:sz w:val="24"/>
          <w:szCs w:val="24"/>
          <w:lang w:val="en-US"/>
        </w:rPr>
        <w:t>, t</w:t>
      </w:r>
      <w:r w:rsidR="00B20DD0" w:rsidRPr="00C11F21">
        <w:rPr>
          <w:rFonts w:ascii="Book Antiqua" w:hAnsi="Book Antiqua" w:cstheme="minorHAnsi"/>
          <w:sz w:val="24"/>
          <w:szCs w:val="24"/>
          <w:lang w:val="en-US"/>
        </w:rPr>
        <w:t xml:space="preserve">he </w:t>
      </w:r>
      <w:r w:rsidR="00564280" w:rsidRPr="00C11F21">
        <w:rPr>
          <w:rFonts w:ascii="Book Antiqua" w:hAnsi="Book Antiqua" w:cstheme="minorHAnsi"/>
          <w:sz w:val="24"/>
          <w:szCs w:val="24"/>
          <w:lang w:val="en-US"/>
        </w:rPr>
        <w:t>tendency to keep</w:t>
      </w:r>
      <w:r w:rsidR="00B20DD0" w:rsidRPr="00C11F21">
        <w:rPr>
          <w:rFonts w:ascii="Book Antiqua" w:hAnsi="Book Antiqua" w:cstheme="minorHAnsi"/>
          <w:sz w:val="24"/>
          <w:szCs w:val="24"/>
          <w:lang w:val="en-US"/>
        </w:rPr>
        <w:t xml:space="preserve"> these </w:t>
      </w:r>
      <w:r w:rsidR="00564280" w:rsidRPr="00C11F21">
        <w:rPr>
          <w:rFonts w:ascii="Book Antiqua" w:hAnsi="Book Antiqua" w:cstheme="minorHAnsi"/>
          <w:sz w:val="24"/>
          <w:szCs w:val="24"/>
          <w:lang w:val="en-US"/>
        </w:rPr>
        <w:t>specific aa</w:t>
      </w:r>
      <w:r w:rsidR="00B20DD0" w:rsidRPr="00C11F21">
        <w:rPr>
          <w:rFonts w:ascii="Book Antiqua" w:hAnsi="Book Antiqua" w:cstheme="minorHAnsi"/>
          <w:sz w:val="24"/>
          <w:szCs w:val="24"/>
          <w:lang w:val="en-US"/>
        </w:rPr>
        <w:t xml:space="preserve"> </w:t>
      </w:r>
      <w:r w:rsidR="002064BE" w:rsidRPr="00C11F21">
        <w:rPr>
          <w:rFonts w:ascii="Book Antiqua" w:hAnsi="Book Antiqua" w:cstheme="minorHAnsi"/>
          <w:sz w:val="24"/>
          <w:szCs w:val="24"/>
          <w:lang w:val="en-US"/>
        </w:rPr>
        <w:t>in specific position</w:t>
      </w:r>
      <w:r w:rsidR="00C407EB" w:rsidRPr="00C11F21">
        <w:rPr>
          <w:rFonts w:ascii="Book Antiqua" w:hAnsi="Book Antiqua" w:cstheme="minorHAnsi"/>
          <w:sz w:val="24"/>
          <w:szCs w:val="24"/>
          <w:lang w:val="en-US"/>
        </w:rPr>
        <w:t>s</w:t>
      </w:r>
      <w:r w:rsidR="00102125" w:rsidRPr="00C11F21">
        <w:rPr>
          <w:rFonts w:ascii="Book Antiqua" w:hAnsi="Book Antiqua" w:cstheme="minorHAnsi"/>
          <w:sz w:val="24"/>
          <w:szCs w:val="24"/>
          <w:lang w:val="en-US"/>
        </w:rPr>
        <w:t xml:space="preserve"> of </w:t>
      </w:r>
      <w:r w:rsidR="00F71D5B" w:rsidRPr="00C11F21">
        <w:rPr>
          <w:rFonts w:ascii="Book Antiqua" w:hAnsi="Book Antiqua" w:cstheme="minorHAnsi"/>
          <w:sz w:val="24"/>
          <w:szCs w:val="24"/>
          <w:lang w:val="en-US"/>
        </w:rPr>
        <w:t xml:space="preserve">the </w:t>
      </w:r>
      <w:r w:rsidR="00102125" w:rsidRPr="00C11F21">
        <w:rPr>
          <w:rFonts w:ascii="Book Antiqua" w:hAnsi="Book Antiqua" w:cstheme="minorHAnsi"/>
          <w:sz w:val="24"/>
          <w:szCs w:val="24"/>
          <w:lang w:val="en-US"/>
        </w:rPr>
        <w:t>virion morphogenesis domain</w:t>
      </w:r>
      <w:r w:rsidR="002064BE" w:rsidRPr="00C11F21">
        <w:rPr>
          <w:rFonts w:ascii="Book Antiqua" w:hAnsi="Book Antiqua" w:cstheme="minorHAnsi"/>
          <w:sz w:val="24"/>
          <w:szCs w:val="24"/>
          <w:lang w:val="en-US"/>
        </w:rPr>
        <w:t xml:space="preserve"> suggests that </w:t>
      </w:r>
      <w:r w:rsidR="00AC5B3A" w:rsidRPr="00C11F21">
        <w:rPr>
          <w:rFonts w:ascii="Book Antiqua" w:hAnsi="Book Antiqua" w:cstheme="minorHAnsi"/>
          <w:sz w:val="24"/>
          <w:szCs w:val="24"/>
          <w:lang w:val="en-US"/>
        </w:rPr>
        <w:t xml:space="preserve">they could be phosphorylated. </w:t>
      </w:r>
      <w:r w:rsidR="00C14371" w:rsidRPr="00C11F21">
        <w:rPr>
          <w:rFonts w:ascii="Book Antiqua" w:hAnsi="Book Antiqua" w:cstheme="minorHAnsi"/>
          <w:sz w:val="24"/>
          <w:szCs w:val="24"/>
          <w:lang w:val="en-US"/>
        </w:rPr>
        <w:t>This</w:t>
      </w:r>
      <w:r w:rsidR="00AC5B3A" w:rsidRPr="00C11F21">
        <w:rPr>
          <w:rFonts w:ascii="Book Antiqua" w:hAnsi="Book Antiqua" w:cstheme="minorHAnsi"/>
          <w:sz w:val="24"/>
          <w:szCs w:val="24"/>
          <w:lang w:val="en-US"/>
        </w:rPr>
        <w:t xml:space="preserve"> </w:t>
      </w:r>
      <w:r w:rsidR="00B20DD0" w:rsidRPr="00C11F21">
        <w:rPr>
          <w:rFonts w:ascii="Book Antiqua" w:hAnsi="Book Antiqua" w:cstheme="minorHAnsi"/>
          <w:sz w:val="24"/>
          <w:szCs w:val="24"/>
          <w:shd w:val="clear" w:color="auto" w:fill="FFFFFF"/>
          <w:lang w:val="en-US"/>
        </w:rPr>
        <w:t xml:space="preserve">phosphorylation </w:t>
      </w:r>
      <w:r w:rsidR="00C14371" w:rsidRPr="00C11F21">
        <w:rPr>
          <w:rFonts w:ascii="Book Antiqua" w:hAnsi="Book Antiqua" w:cstheme="minorHAnsi"/>
          <w:sz w:val="24"/>
          <w:szCs w:val="24"/>
          <w:shd w:val="clear" w:color="auto" w:fill="FFFFFF"/>
          <w:lang w:val="en-US"/>
        </w:rPr>
        <w:t>could</w:t>
      </w:r>
      <w:r w:rsidR="002064BE" w:rsidRPr="00C11F21">
        <w:rPr>
          <w:rFonts w:ascii="Book Antiqua" w:hAnsi="Book Antiqua" w:cstheme="minorHAnsi"/>
          <w:sz w:val="24"/>
          <w:szCs w:val="24"/>
          <w:shd w:val="clear" w:color="auto" w:fill="FFFFFF"/>
          <w:lang w:val="en-US"/>
        </w:rPr>
        <w:t xml:space="preserve"> be important </w:t>
      </w:r>
      <w:r w:rsidR="00102125" w:rsidRPr="00C11F21">
        <w:rPr>
          <w:rFonts w:ascii="Book Antiqua" w:hAnsi="Book Antiqua" w:cstheme="minorHAnsi"/>
          <w:sz w:val="24"/>
          <w:szCs w:val="24"/>
          <w:shd w:val="clear" w:color="auto" w:fill="FFFFFF"/>
          <w:lang w:val="en-US"/>
        </w:rPr>
        <w:t>for</w:t>
      </w:r>
      <w:r w:rsidR="00C407EB" w:rsidRPr="00C11F21">
        <w:rPr>
          <w:rFonts w:ascii="Book Antiqua" w:hAnsi="Book Antiqua" w:cstheme="minorHAnsi"/>
          <w:sz w:val="24"/>
          <w:szCs w:val="24"/>
          <w:shd w:val="clear" w:color="auto" w:fill="FFFFFF"/>
          <w:lang w:val="en-US"/>
        </w:rPr>
        <w:t xml:space="preserve"> </w:t>
      </w:r>
      <w:r w:rsidR="00005A2F" w:rsidRPr="00C11F21">
        <w:rPr>
          <w:rFonts w:ascii="Book Antiqua" w:hAnsi="Book Antiqua" w:cstheme="minorHAnsi"/>
          <w:sz w:val="24"/>
          <w:szCs w:val="24"/>
          <w:shd w:val="clear" w:color="auto" w:fill="FFFFFF"/>
          <w:lang w:val="en-US"/>
        </w:rPr>
        <w:t xml:space="preserve">the </w:t>
      </w:r>
      <w:r w:rsidR="00C407EB" w:rsidRPr="00C11F21">
        <w:rPr>
          <w:rFonts w:ascii="Book Antiqua" w:hAnsi="Book Antiqua" w:cstheme="minorHAnsi"/>
          <w:sz w:val="24"/>
          <w:szCs w:val="24"/>
          <w:shd w:val="clear" w:color="auto" w:fill="FFFFFF"/>
          <w:lang w:val="en-US"/>
        </w:rPr>
        <w:t>functionality</w:t>
      </w:r>
      <w:r w:rsidR="00102125" w:rsidRPr="00C11F21">
        <w:rPr>
          <w:rFonts w:ascii="Book Antiqua" w:hAnsi="Book Antiqua" w:cstheme="minorHAnsi"/>
          <w:sz w:val="24"/>
          <w:szCs w:val="24"/>
          <w:shd w:val="clear" w:color="auto" w:fill="FFFFFF"/>
          <w:lang w:val="en-US"/>
        </w:rPr>
        <w:t xml:space="preserve"> of </w:t>
      </w:r>
      <w:r w:rsidR="00005A2F" w:rsidRPr="00C11F21">
        <w:rPr>
          <w:rFonts w:ascii="Book Antiqua" w:hAnsi="Book Antiqua" w:cstheme="minorHAnsi"/>
          <w:sz w:val="24"/>
          <w:szCs w:val="24"/>
          <w:shd w:val="clear" w:color="auto" w:fill="FFFFFF"/>
          <w:lang w:val="en-US"/>
        </w:rPr>
        <w:t xml:space="preserve">the </w:t>
      </w:r>
      <w:r w:rsidR="00AC5B3A" w:rsidRPr="00C11F21">
        <w:rPr>
          <w:rFonts w:ascii="Book Antiqua" w:hAnsi="Book Antiqua" w:cstheme="minorHAnsi"/>
          <w:sz w:val="24"/>
          <w:szCs w:val="24"/>
          <w:shd w:val="clear" w:color="auto" w:fill="FFFFFF"/>
          <w:lang w:val="en-US"/>
        </w:rPr>
        <w:t>virion morphogenesis</w:t>
      </w:r>
      <w:r w:rsidR="00102125" w:rsidRPr="00C11F21">
        <w:rPr>
          <w:rFonts w:ascii="Book Antiqua" w:hAnsi="Book Antiqua" w:cstheme="minorHAnsi"/>
          <w:sz w:val="24"/>
          <w:szCs w:val="24"/>
          <w:shd w:val="clear" w:color="auto" w:fill="FFFFFF"/>
          <w:lang w:val="en-US"/>
        </w:rPr>
        <w:t xml:space="preserve"> domain</w:t>
      </w:r>
      <w:r w:rsidR="00564280" w:rsidRPr="00C11F21">
        <w:rPr>
          <w:rFonts w:ascii="Book Antiqua" w:hAnsi="Book Antiqua" w:cstheme="minorHAnsi"/>
          <w:sz w:val="24"/>
          <w:szCs w:val="24"/>
          <w:lang w:val="en-US"/>
        </w:rPr>
        <w:t>.</w:t>
      </w:r>
      <w:r w:rsidR="00C407EB" w:rsidRPr="00C11F21">
        <w:rPr>
          <w:rFonts w:ascii="Book Antiqua" w:hAnsi="Book Antiqua" w:cstheme="minorHAnsi"/>
          <w:sz w:val="24"/>
          <w:szCs w:val="24"/>
          <w:lang w:val="en-US"/>
        </w:rPr>
        <w:t xml:space="preserve"> </w:t>
      </w:r>
      <w:r w:rsidR="005C659B" w:rsidRPr="00C11F21">
        <w:rPr>
          <w:rFonts w:ascii="Book Antiqua" w:hAnsi="Book Antiqua" w:cstheme="minorHAnsi"/>
          <w:sz w:val="24"/>
          <w:szCs w:val="24"/>
          <w:lang w:val="en-US"/>
        </w:rPr>
        <w:t xml:space="preserve">Site-directed mutagenesis experiments, </w:t>
      </w:r>
      <w:r w:rsidR="00C14371" w:rsidRPr="00C11F21">
        <w:rPr>
          <w:rFonts w:ascii="Book Antiqua" w:hAnsi="Book Antiqua" w:cstheme="minorHAnsi"/>
          <w:sz w:val="24"/>
          <w:szCs w:val="24"/>
          <w:lang w:val="en-US"/>
        </w:rPr>
        <w:t xml:space="preserve">with modification of the </w:t>
      </w:r>
      <w:r w:rsidR="005C659B" w:rsidRPr="00C11F21">
        <w:rPr>
          <w:rFonts w:ascii="Book Antiqua" w:hAnsi="Book Antiqua" w:cstheme="minorHAnsi"/>
          <w:sz w:val="24"/>
          <w:szCs w:val="24"/>
          <w:lang w:val="en-US"/>
        </w:rPr>
        <w:t xml:space="preserve">P </w:t>
      </w:r>
      <w:r w:rsidR="008B3DA7" w:rsidRPr="00C11F21">
        <w:rPr>
          <w:rFonts w:ascii="Book Antiqua" w:hAnsi="Book Antiqua" w:cstheme="minorHAnsi"/>
          <w:sz w:val="24"/>
          <w:szCs w:val="24"/>
          <w:lang w:val="en-US"/>
        </w:rPr>
        <w:t xml:space="preserve">and S </w:t>
      </w:r>
      <w:r w:rsidR="005C659B" w:rsidRPr="00C11F21">
        <w:rPr>
          <w:rFonts w:ascii="Book Antiqua" w:hAnsi="Book Antiqua" w:cstheme="minorHAnsi"/>
          <w:sz w:val="24"/>
          <w:szCs w:val="24"/>
          <w:lang w:val="en-US"/>
        </w:rPr>
        <w:t xml:space="preserve">residues, could clarify </w:t>
      </w:r>
      <w:r w:rsidR="00CA4960" w:rsidRPr="00C11F21">
        <w:rPr>
          <w:rFonts w:ascii="Book Antiqua" w:hAnsi="Book Antiqua" w:cstheme="minorHAnsi"/>
          <w:sz w:val="24"/>
          <w:szCs w:val="24"/>
          <w:lang w:val="en-US"/>
        </w:rPr>
        <w:t xml:space="preserve">the function of </w:t>
      </w:r>
      <w:r w:rsidR="001C75F3" w:rsidRPr="00C11F21">
        <w:rPr>
          <w:rFonts w:ascii="Book Antiqua" w:hAnsi="Book Antiqua" w:cstheme="minorHAnsi"/>
          <w:sz w:val="24"/>
          <w:szCs w:val="24"/>
          <w:lang w:val="en-US"/>
        </w:rPr>
        <w:t>these two</w:t>
      </w:r>
      <w:r w:rsidR="00CA4960" w:rsidRPr="00C11F21">
        <w:rPr>
          <w:rFonts w:ascii="Book Antiqua" w:hAnsi="Book Antiqua" w:cstheme="minorHAnsi"/>
          <w:sz w:val="24"/>
          <w:szCs w:val="24"/>
          <w:lang w:val="en-US"/>
        </w:rPr>
        <w:t xml:space="preserve"> conserved </w:t>
      </w:r>
      <w:r w:rsidR="005A6867" w:rsidRPr="00C11F21">
        <w:rPr>
          <w:rFonts w:ascii="Book Antiqua" w:hAnsi="Book Antiqua" w:cstheme="minorHAnsi"/>
          <w:sz w:val="24"/>
          <w:szCs w:val="24"/>
          <w:lang w:val="en-US"/>
        </w:rPr>
        <w:t xml:space="preserve">aa </w:t>
      </w:r>
      <w:r w:rsidR="00CA4960" w:rsidRPr="00C11F21">
        <w:rPr>
          <w:rFonts w:ascii="Book Antiqua" w:hAnsi="Book Antiqua" w:cstheme="minorHAnsi"/>
          <w:sz w:val="24"/>
          <w:szCs w:val="24"/>
          <w:lang w:val="en-US"/>
        </w:rPr>
        <w:t xml:space="preserve">in both </w:t>
      </w:r>
      <w:r w:rsidR="001C75F3" w:rsidRPr="00C11F21">
        <w:rPr>
          <w:rFonts w:ascii="Book Antiqua" w:hAnsi="Book Antiqua" w:cstheme="minorHAnsi"/>
          <w:sz w:val="24"/>
          <w:szCs w:val="24"/>
          <w:lang w:val="en-US"/>
        </w:rPr>
        <w:t xml:space="preserve">the </w:t>
      </w:r>
      <w:r w:rsidR="00CA4960" w:rsidRPr="00C11F21">
        <w:rPr>
          <w:rFonts w:ascii="Book Antiqua" w:hAnsi="Book Antiqua" w:cstheme="minorHAnsi"/>
          <w:sz w:val="24"/>
          <w:szCs w:val="24"/>
          <w:lang w:val="en-US"/>
        </w:rPr>
        <w:t xml:space="preserve">preS1 essential </w:t>
      </w:r>
      <w:r w:rsidR="007D0138" w:rsidRPr="00C11F21">
        <w:rPr>
          <w:rFonts w:ascii="Book Antiqua" w:hAnsi="Book Antiqua" w:cstheme="minorHAnsi"/>
          <w:sz w:val="24"/>
          <w:szCs w:val="24"/>
          <w:lang w:val="en-US"/>
        </w:rPr>
        <w:t>domains</w:t>
      </w:r>
      <w:r w:rsidR="00CA4960" w:rsidRPr="00C11F21">
        <w:rPr>
          <w:rFonts w:ascii="Book Antiqua" w:hAnsi="Book Antiqua" w:cstheme="minorHAnsi"/>
          <w:sz w:val="24"/>
          <w:szCs w:val="24"/>
          <w:lang w:val="en-US"/>
        </w:rPr>
        <w:t xml:space="preserve"> </w:t>
      </w:r>
      <w:r w:rsidR="00385C7A" w:rsidRPr="00C11F21">
        <w:rPr>
          <w:rFonts w:ascii="Book Antiqua" w:hAnsi="Book Antiqua" w:cstheme="minorHAnsi"/>
          <w:sz w:val="24"/>
          <w:szCs w:val="24"/>
          <w:lang w:val="en-US"/>
        </w:rPr>
        <w:t>analyzed</w:t>
      </w:r>
      <w:r w:rsidR="00CA4960" w:rsidRPr="00C11F21">
        <w:rPr>
          <w:rFonts w:ascii="Book Antiqua" w:hAnsi="Book Antiqua" w:cstheme="minorHAnsi"/>
          <w:sz w:val="24"/>
          <w:szCs w:val="24"/>
          <w:lang w:val="en-US"/>
        </w:rPr>
        <w:t>.</w:t>
      </w:r>
      <w:r w:rsidR="00CA7F4B" w:rsidRPr="00C11F21">
        <w:rPr>
          <w:rFonts w:ascii="Book Antiqua" w:hAnsi="Book Antiqua" w:cstheme="minorHAnsi"/>
          <w:sz w:val="24"/>
          <w:szCs w:val="24"/>
          <w:lang w:val="en-US"/>
        </w:rPr>
        <w:t xml:space="preserve"> </w:t>
      </w:r>
    </w:p>
    <w:p w14:paraId="08372B83" w14:textId="6C398262" w:rsidR="00735F68" w:rsidRPr="00C11F21" w:rsidRDefault="00BB09F8" w:rsidP="001C0EB4">
      <w:pPr>
        <w:snapToGrid w:val="0"/>
        <w:spacing w:after="0" w:line="360" w:lineRule="auto"/>
        <w:ind w:firstLineChars="100" w:firstLine="240"/>
        <w:jc w:val="both"/>
        <w:rPr>
          <w:rFonts w:ascii="Book Antiqua" w:hAnsi="Book Antiqua" w:cstheme="minorHAnsi"/>
          <w:sz w:val="24"/>
          <w:szCs w:val="24"/>
          <w:lang w:val="en-US"/>
        </w:rPr>
      </w:pPr>
      <w:r w:rsidRPr="00C11F21">
        <w:rPr>
          <w:rFonts w:ascii="Book Antiqua" w:hAnsi="Book Antiqua" w:cstheme="minorHAnsi"/>
          <w:sz w:val="24"/>
          <w:szCs w:val="24"/>
          <w:lang w:val="en-US"/>
        </w:rPr>
        <w:t xml:space="preserve">In the present </w:t>
      </w:r>
      <w:r w:rsidR="00005A2F" w:rsidRPr="00C11F21">
        <w:rPr>
          <w:rFonts w:ascii="Book Antiqua" w:hAnsi="Book Antiqua" w:cstheme="minorHAnsi"/>
          <w:sz w:val="24"/>
          <w:szCs w:val="24"/>
          <w:lang w:val="en-US"/>
        </w:rPr>
        <w:t>study,</w:t>
      </w:r>
      <w:r w:rsidRPr="00C11F21">
        <w:rPr>
          <w:rFonts w:ascii="Book Antiqua" w:hAnsi="Book Antiqua" w:cstheme="minorHAnsi"/>
          <w:sz w:val="24"/>
          <w:szCs w:val="24"/>
          <w:lang w:val="en-US"/>
        </w:rPr>
        <w:t xml:space="preserve"> we also assessed the prevalence of the</w:t>
      </w:r>
      <w:r w:rsidRPr="00C11F21">
        <w:rPr>
          <w:rFonts w:ascii="Book Antiqua" w:hAnsi="Book Antiqua" w:cstheme="minorHAnsi"/>
          <w:i/>
          <w:sz w:val="24"/>
          <w:szCs w:val="24"/>
          <w:lang w:val="en-US"/>
        </w:rPr>
        <w:t xml:space="preserve"> SLC10A1</w:t>
      </w:r>
      <w:r w:rsidRPr="00C11F21">
        <w:rPr>
          <w:rFonts w:ascii="Book Antiqua" w:hAnsi="Book Antiqua" w:cstheme="minorHAnsi"/>
          <w:sz w:val="24"/>
          <w:szCs w:val="24"/>
          <w:lang w:val="en-US"/>
        </w:rPr>
        <w:t xml:space="preserve"> gene </w:t>
      </w:r>
      <w:r w:rsidR="00005A2F" w:rsidRPr="00C11F21">
        <w:rPr>
          <w:rFonts w:ascii="Book Antiqua" w:hAnsi="Book Antiqua" w:cstheme="minorHAnsi"/>
          <w:sz w:val="24"/>
          <w:szCs w:val="24"/>
          <w:lang w:val="en-US"/>
        </w:rPr>
        <w:t xml:space="preserve">SNP, </w:t>
      </w:r>
      <w:r w:rsidRPr="00C11F21">
        <w:rPr>
          <w:rFonts w:ascii="Book Antiqua" w:hAnsi="Book Antiqua" w:cstheme="minorHAnsi"/>
          <w:sz w:val="24"/>
          <w:szCs w:val="24"/>
          <w:lang w:val="en-US"/>
        </w:rPr>
        <w:t>rs2296651 (S267F)</w:t>
      </w:r>
      <w:r w:rsidR="00005A2F" w:rsidRPr="00C11F21">
        <w:rPr>
          <w:rFonts w:ascii="Book Antiqua" w:hAnsi="Book Antiqua" w:cstheme="minorHAnsi"/>
          <w:sz w:val="24"/>
          <w:szCs w:val="24"/>
          <w:lang w:val="en-US"/>
        </w:rPr>
        <w:t>,</w:t>
      </w:r>
      <w:r w:rsidRPr="00C11F21">
        <w:rPr>
          <w:rFonts w:ascii="Book Antiqua" w:hAnsi="Book Antiqua" w:cstheme="minorHAnsi"/>
          <w:sz w:val="24"/>
          <w:szCs w:val="24"/>
          <w:lang w:val="en-US"/>
        </w:rPr>
        <w:t xml:space="preserve"> in all 246</w:t>
      </w:r>
      <w:r w:rsidR="00D66BD5" w:rsidRPr="00C11F21">
        <w:rPr>
          <w:rFonts w:ascii="Book Antiqua" w:hAnsi="Book Antiqua" w:cstheme="minorHAnsi"/>
          <w:sz w:val="24"/>
          <w:szCs w:val="24"/>
          <w:lang w:val="en-US"/>
        </w:rPr>
        <w:t xml:space="preserve"> participants</w:t>
      </w:r>
      <w:r w:rsidRPr="00C11F21">
        <w:rPr>
          <w:rFonts w:ascii="Book Antiqua" w:hAnsi="Book Antiqua" w:cstheme="minorHAnsi"/>
          <w:sz w:val="24"/>
          <w:szCs w:val="24"/>
          <w:lang w:val="en-US"/>
        </w:rPr>
        <w:t xml:space="preserve">. </w:t>
      </w:r>
      <w:r w:rsidR="00735F68" w:rsidRPr="00C11F21">
        <w:rPr>
          <w:rFonts w:ascii="Book Antiqua" w:hAnsi="Book Antiqua" w:cstheme="minorHAnsi"/>
          <w:sz w:val="24"/>
          <w:szCs w:val="24"/>
          <w:lang w:val="en-US"/>
        </w:rPr>
        <w:t xml:space="preserve">The effect of </w:t>
      </w:r>
      <w:r w:rsidRPr="00C11F21">
        <w:rPr>
          <w:rFonts w:ascii="Book Antiqua" w:hAnsi="Book Antiqua" w:cstheme="minorHAnsi"/>
          <w:sz w:val="24"/>
          <w:szCs w:val="24"/>
          <w:lang w:val="en-US"/>
        </w:rPr>
        <w:t>this SNP</w:t>
      </w:r>
      <w:r w:rsidR="00BD7AE7" w:rsidRPr="00C11F21">
        <w:rPr>
          <w:rFonts w:ascii="Book Antiqua" w:hAnsi="Book Antiqua" w:cstheme="minorHAnsi"/>
          <w:sz w:val="24"/>
          <w:szCs w:val="24"/>
          <w:lang w:val="en-US"/>
        </w:rPr>
        <w:t xml:space="preserve"> </w:t>
      </w:r>
      <w:r w:rsidR="00735F68" w:rsidRPr="00C11F21">
        <w:rPr>
          <w:rFonts w:ascii="Book Antiqua" w:hAnsi="Book Antiqua" w:cstheme="minorHAnsi"/>
          <w:sz w:val="24"/>
          <w:szCs w:val="24"/>
          <w:lang w:val="en-US"/>
        </w:rPr>
        <w:t xml:space="preserve">on CHB is controversial. Most studies have reported that </w:t>
      </w:r>
      <w:r w:rsidRPr="00C11F21">
        <w:rPr>
          <w:rFonts w:ascii="Book Antiqua" w:hAnsi="Book Antiqua" w:cstheme="minorHAnsi"/>
          <w:sz w:val="24"/>
          <w:szCs w:val="24"/>
          <w:lang w:val="en-US"/>
        </w:rPr>
        <w:t xml:space="preserve">it </w:t>
      </w:r>
      <w:r w:rsidR="00735F68" w:rsidRPr="00C11F21">
        <w:rPr>
          <w:rFonts w:ascii="Book Antiqua" w:hAnsi="Book Antiqua" w:cstheme="minorHAnsi"/>
          <w:sz w:val="24"/>
          <w:szCs w:val="24"/>
          <w:lang w:val="en-US"/>
        </w:rPr>
        <w:t>is associated with CHB resistance, as it might interfere with ligand binding, thereby preventing HBV from cellular entry</w:t>
      </w:r>
      <w:r w:rsidR="001C0EB4" w:rsidRPr="00C11F21">
        <w:rPr>
          <w:rFonts w:ascii="Book Antiqua" w:hAnsi="Book Antiqua" w:cstheme="minorHAnsi"/>
          <w:sz w:val="24"/>
          <w:szCs w:val="24"/>
          <w:lang w:val="en-US"/>
        </w:rPr>
        <w:fldChar w:fldCharType="begin" w:fldLock="1"/>
      </w:r>
      <w:r w:rsidR="001C0EB4" w:rsidRPr="00C11F21">
        <w:rPr>
          <w:rFonts w:ascii="Book Antiqua" w:hAnsi="Book Antiqua" w:cstheme="minorHAnsi"/>
          <w:sz w:val="24"/>
          <w:szCs w:val="24"/>
          <w:lang w:val="en-US"/>
        </w:rPr>
        <w:instrText>ADDIN CSL_CITATION { "citationItems" : [ { "id" : "ITEM-1", "itemData" : { "DOI" : "10.1136/gutjnl-2015-310686", "ISSN" : "1468-3288", "PMID" : "26642861", "abstract" : "OBJECTIVE The sodium taurocholate co-transporting polypeptide (NTCP), encoded by SLC10A1, was recently identified as a receptor for HBV. We assessed the association of the p.Ser267Phe variant (rs2296651) with chronic hepatitis B (CHB) serostatus, cirrhosis and hepatocellular carcinoma (HCC) in patients with CHB. DESIGN The variant was genotyped in 3801 patients with CHB and 3801 matched hepatitis B surface antigen (HBsAg) seronegative individuals. ORs with 95% CIs for the variant's association with CHB, cirrhosis and HCC were estimated using logistic regression. RESULTS In patients with CHB, the S267F variant was observed in 515 (18.5%) controls, 40 (17.2%) cirrhosis only cases, 49 (13.2%) non-cirrhotic HCC cases, and 52 (12.7%) cirrhotic-HCC cases. After adjustment for known risk factors, S267F was significantly associated with decreased risk for cirrhosis (OR 0.65 (95% CI 0.49 to 0.86), p=0.002) and HCC (OR 0.55 (95% CI 0.42 to 0.72), p&lt;0.001). This association persisted for non-cirrhotic and cirrhotic-HCC. Compared with patients with HBV DNA levels greater than 10(5) copies/mL who carried the GG genotype, patients who had undetectable HBV DNA and the GA or AA genotypes had a 25-fold decreased risk of developing HCC (OR 0.04 (95% CI 0.02 to 0.11), p&lt;0.001). The AA genotype was also associated with HBsAg seronegativity (OR 0.13 (95% CI 0.05 to 0.34), p&lt;0.001). CONCLUSIONS The SLC10A1 (NTCP) S267F variant is independently associated with decreased risk of cirrhosis and HCC, and resistance to CHB infection. Together with serum HBV DNA levels, S267F may help to identify patients with CHB with very low risk of HCC.", "author" : [ { "dropping-particle" : "", "family" : "Hu", "given" : "Hui-han", "non-dropping-particle" : "", "parse-names" : false, "suffix" : "" }, { "dropping-particle" : "", "family" : "Liu", "given" : "Jessica", "non-dropping-particle" : "", "parse-names" : false, "suffix" : "" }, { "dropping-particle" : "", "family" : "Lin", "given" : "Yu-ling", "non-dropping-particle" : "", "parse-names" : false, "suffix" : "" }, { "dropping-particle" : "", "family" : "Luo", "given" : "Wun-sheng", "non-dropping-particle" : "", "parse-names" : false, "suffix" : "" }, { "dropping-particle" : "", "family" : "Chu", "given" : "Yu-ju", "non-dropping-particle" : "", "parse-names" : false, "suffix" : "" }, { "dropping-particle" : "", "family" : "Chang", "given" : "Chia-lin", "non-dropping-particle" : "", "parse-names" : false, "suffix" : "" }, { "dropping-particle" : "", "family" : "Jen", "given" : "Chin-lan", "non-dropping-particle" : "", "parse-names" : false, "suffix" : "" }, { "dropping-particle" : "", "family" : "Lee", "given" : "Mei-hsuan", "non-dropping-particle" : "", "parse-names" : false, "suffix" : "" }, { "dropping-particle" : "", "family" : "Lu", "given" : "Sheng-nan", "non-dropping-particle" : "", "parse-names" : false, "suffix" : "" }, { "dropping-particle" : "", "family" : "Wang", "given" : "Li-yu", "non-dropping-particle" : "", "parse-names" : false, "suffix" : "" }, { "dropping-particle" : "", "family" : "You", "given" : "San-lin", "non-dropping-particle" : "", "parse-names" : false, "suffix" : "" }, { "dropping-particle" : "", "family" : "Yang", "given" : "Hwai-i", "non-dropping-particle" : "", "parse-names" : false, "suffix" : "" }, { "dropping-particle" : "", "family" : "Chen", "given" : "Chien-jen", "non-dropping-particle" : "", "parse-names" : false, "suffix" : "" }, { "dropping-particle" : "", "family" : "REVEAL-HBV Study Group", "given" : "", "non-dropping-particle" : "", "parse-names" : false, "suffix" : "" } ], "container-title" : "Gut", "id" : "ITEM-1", "issue" : "9", "issued" : { "date-parts" : [ [ "2016", "9" ] ] }, "page" : "1514-21", "title" : "The rs2296651 (S267F) variant on NTCP (SLC10A1) is inversely associated with chronic hepatitis B and progression to cirrhosis and hepatocellular carcinoma in patients with chronic hepatitis B.", "type" : "article-journal", "volume" : "65" }, "uris" : [ "http://www.mendeley.com/documents/?uuid=c41d825c-e602-42d0-85b5-69823761bafb" ] }, { "id" : "ITEM-2", "itemData" : { "DOI" : "10.1002/hep.27608", "ISSN" : "02709139", "abstract" : "In the past 50 years there have been considerable efforts to identify the cellular receptor of hepatitis B virus (HBV). Recently, in vitro evidence from several groups has shown that the sodium\u2013taurocholate cotransporting polypeptide (NTCP, which is encoded by SLC10A1 and transports bile acids into hepatic cells in enterohepatic recirculation) is a strong candidate. In particular, in vitro the p.Ser267Phe variation of SLC10A1 results in loss of HBV receptor function. We tested the role of NTCP as a receptor for HBV in chronic hepatitis B patients using a genetic association study. We selected SLC10A1 variants from 189 exomes. We used Sanger sequencing to follow up the association of the various SLC10A1 variants in a Han Chinese cohort of 1899 chronic hepatitis B patients and 1828 healthy controls. We further investigated the potential impact of the p.Ser267Phe variant on NTCP function using structural analysis. The p.Ser267Phe variant was associated with healthy status (P = 5.7 \u00d7 10\u221223, odds ratio = 0.36) irrespective of hepatitis B virus surface antibody status (P = 6.2 \u00d7 10\u221221 and 1.5 \u00d7 10\u221210, respectively, when the cases were compared with hepatitis B virus surface antibody\u2013positive and \u2013negative controls). The variation was also associated with a lower incidence of acute-on-chronic liver failure (P = 0.007). The estimated heritability explained by this single variation was \u223c3.2%. The population prevented fraction was around 13.0% among the southern Chinese. Our structural modeling showed that the p.Ser267Phe variant might interfere with ligand binding, thereby preventing HBV from cellular entry. Conclusion: The p.Ser267Phe NTCP variant is significantly associated with resistance to chronic hepatitis B and a lower incidence of acute-on-chronic liver failure. Our results support that NTCP is a cellular receptor for HBV in human infection. (Hepatology 2015;61:1251\u20131260)", "author" : [ { "dropping-particle" : "", "family" : "Peng", "given" : "Liang", "non-dropping-particle" : "", "parse-names" : false, "suffix" : "" }, { "dropping-particle" : "", "family" : "Zhao", "given" : "Qiang", "non-dropping-particle" : "", "parse-names" : false, "suffix" : "" }, { "dropping-particle" : "", "family" : "Li", "given" : "Qibin", "non-dropping-particle" : "", "parse-names" : false, "suffix" : "" }, { "dropping-particle" : "", "family" : "Li", "given" : "Miaoxin", "non-dropping-particle" : "", "parse-names" : false, "suffix" : "" }, { "dropping-particle" : "", "family" : "Li", "given" : "Caixia", "non-dropping-particle" : "", "parse-names" : false, "suffix" : "" }, { "dropping-particle" : "", "family" : "Xu", "given" : "Tingting", "non-dropping-particle" : "", "parse-names" : false, "suffix" : "" }, { "dropping-particle" : "", "family" : "Jing", "given" : "Xiangyi", "non-dropping-particle" : "", "parse-names" : false, "suffix" : "" }, { "dropping-particle" : "", "family" : "Zhu", "given" : "Xiang", "non-dropping-particle" : "", "parse-names" : false, "suffix" : "" }, { "dropping-particle" : "", "family" : "Wang", "given" : "Ye", "non-dropping-particle" : "", "parse-names" : false, "suffix" : "" }, { "dropping-particle" : "", "family" : "Li", "given" : "Fucheng", "non-dropping-particle" : "", "parse-names" : false, "suffix" : "" }, { "dropping-particle" : "", "family" : "Liu", "given" : "Ruihong", "non-dropping-particle" : "", "parse-names" : false, "suffix" : "" }, { "dropping-particle" : "", "family" : "Zhong", "given" : "Cheng", "non-dropping-particle" : "", "parse-names" : false, "suffix" : "" }, { "dropping-particle" : "", "family" : "Pan", "given" : "Qihao", "non-dropping-particle" : "", "parse-names" : false, "suffix" : "" }, { "dropping-particle" : "", "family" : "Zeng", "given" : "Binghui", "non-dropping-particle" : "", "parse-names" : false, "suffix" : "" }, { "dropping-particle" : "", "family" : "Liao", "given" : "Qijun", "non-dropping-particle" : "", "parse-names" : false, "suffix" : "" }, { "dropping-particle" : "", "family" : "Hu", "given" : "Bin", "non-dropping-particle" : "", "parse-names" : false, "suffix" : "" }, { "dropping-particle" : "", "family" : "Hu", "given" : "Zhao\u2010xia", "non-dropping-particle" : "", "parse-names" : false, "suffix" : "" }, { "dropping-particle" : "", "family" : "Huang", "given" : "Yang\u2010su", "non-dropping-particle" : "", "parse-names" : false, "suffix" : "" }, { "dropping-particle" : "", "family" : "Sham", "given" : "Pak", "non-dropping-particle" : "", "parse-names" : false, "suffix" : "" }, { "dropping-particle" : "", "family" : "Liu", "given" : "Jinsong", "non-dropping-particle" : "", "parse-names" : false, "suffix" : "" }, { "dropping-particle" : "", "family" : "Xu", "given" : "Shuhua", "non-dropping-particle" : "", "parse-names" : false, "suffix" : "" }, { "dropping-particle" : "", "family" : "Wang", "given" : "Jun", "non-dropping-particle" : "", "parse-names" : false, "suffix" : "" }, { "dropping-particle" : "", "family" : "Gao", "given" : "Zhi\u2010liang", "non-dropping-particle" : "", "parse-names" : false, "suffix" : "" }, { "dropping-particle" : "", "family" : "Wang", "given" : "Yiming", "non-dropping-particle" : "", "parse-names" : false, "suffix" : "" } ], "container-title" : "Hepatology", "id" : "ITEM-2", "issue" : "4", "issued" : { "date-parts" : [ [ "2015", "4" ] ] }, "page" : "1251-1260", "publisher" : "Wiley Online Library", "title" : "The p.Ser267Phe variant in SLC10A1 is associated with resistance to chronic hepatitis B", "type" : "article-journal", "volume" : "61" }, "uris" : [ "http://www.mendeley.com/documents/?uuid=cea3b429-6f35-4111-b481-768ce768bbce" ] } ], "mendeley" : { "formattedCitation" : "&lt;sup&gt;[24,26]&lt;/sup&gt;", "plainTextFormattedCitation" : "[24,26]", "previouslyFormattedCitation" : "&lt;sup&gt;[20,22]&lt;/sup&gt;" }, "properties" : {  }, "schema" : "https://github.com/citation-style-language/schema/raw/master/csl-citation.json" }</w:instrText>
      </w:r>
      <w:r w:rsidR="001C0EB4" w:rsidRPr="00C11F21">
        <w:rPr>
          <w:rFonts w:ascii="Book Antiqua" w:hAnsi="Book Antiqua" w:cstheme="minorHAnsi"/>
          <w:sz w:val="24"/>
          <w:szCs w:val="24"/>
          <w:lang w:val="en-US"/>
        </w:rPr>
        <w:fldChar w:fldCharType="separate"/>
      </w:r>
      <w:r w:rsidR="001C0EB4" w:rsidRPr="00C11F21">
        <w:rPr>
          <w:rFonts w:ascii="Book Antiqua" w:hAnsi="Book Antiqua" w:cstheme="minorHAnsi"/>
          <w:noProof/>
          <w:sz w:val="24"/>
          <w:szCs w:val="24"/>
          <w:vertAlign w:val="superscript"/>
          <w:lang w:val="en-US"/>
        </w:rPr>
        <w:t>[24,26]</w:t>
      </w:r>
      <w:r w:rsidR="001C0EB4" w:rsidRPr="00C11F21">
        <w:rPr>
          <w:rFonts w:ascii="Book Antiqua" w:hAnsi="Book Antiqua" w:cstheme="minorHAnsi"/>
          <w:sz w:val="24"/>
          <w:szCs w:val="24"/>
          <w:lang w:val="en-US"/>
        </w:rPr>
        <w:fldChar w:fldCharType="end"/>
      </w:r>
      <w:r w:rsidR="00735F68" w:rsidRPr="00C11F21">
        <w:rPr>
          <w:rFonts w:ascii="Book Antiqua" w:hAnsi="Book Antiqua" w:cstheme="minorHAnsi"/>
          <w:sz w:val="24"/>
          <w:szCs w:val="24"/>
          <w:lang w:val="en-US"/>
        </w:rPr>
        <w:t>. Nonetheless, one study has shown that rs2296651 is associated with enhanced HBV infection</w:t>
      </w:r>
      <w:r w:rsidR="001C0EB4" w:rsidRPr="00C11F21">
        <w:rPr>
          <w:rFonts w:ascii="Book Antiqua" w:hAnsi="Book Antiqua" w:cstheme="minorHAnsi"/>
          <w:sz w:val="24"/>
          <w:szCs w:val="24"/>
          <w:lang w:val="en-US"/>
        </w:rPr>
        <w:fldChar w:fldCharType="begin" w:fldLock="1"/>
      </w:r>
      <w:r w:rsidR="001C0EB4" w:rsidRPr="00C11F21">
        <w:rPr>
          <w:rFonts w:ascii="Book Antiqua" w:hAnsi="Book Antiqua" w:cstheme="minorHAnsi"/>
          <w:sz w:val="24"/>
          <w:szCs w:val="24"/>
          <w:lang w:val="en-US"/>
        </w:rPr>
        <w:instrText>ADDIN CSL_CITATION { "citationItems" : [ { "id" : "ITEM-1", "itemData" : { "DOI" : "10.1089/gtmb.2013.0491", "ISSN" : "1945-0257", "PMID" : "24735529", "abstract" : "Background: Sodium taurocholate cotransporting polypeptide (NTCP) plays an important role in the enterohepatic circulation of bile acids and hepatocyte function and was recently proposed to be a functional receptor for hepatitis B virus (HBV). Objective: This study investigated the association of the functional polymorphism c.800C&gt;T (p.S267F) (rs2296651) of the NTCP gene with HBV infection. Methods: The study included 244 patients with chronic HBV infection, 76 HBV infection resolvers, and 113 healthy controls. The polymorphism was genotyped using the polymerase chain reaction-restriction fragment length polymorphism method. Results: The distribution of the genotype and allele frequency of rs2296651 polymorphism was significantly different among the HBV patients, HBV infection resolvers, and healthy controls (p=0.034 and p=0.039, respectively). The frequency of genotype CT in HBV patients was significantly higher than that in healthy controls (11.9% vs. 4.4%, p=0.026, odds ratios [OR]=2.913, 95% confidence intervals [95% CI]=1.097-7.738). The frequency of allele T in HBV patients was also significantly higher than that in healthy controls (5.9% vs. 2.2%, p=0.029, OR=2.793, 95% CI=1.067-7.312). The frequency of genotype CT and allele T in HBV patients was higher than that in HBV infection resolvers although the difference was not significant. The genotype and allele frequency between infection resolvers and healthy controls and between HBV patients with different clinical diseases had no significant difference. Conclusion: These findings suggest that the rs2296651 polymorphism may predispose the susceptibility to and chronicity of HBV infection.", "author" : [ { "dropping-particle" : "", "family" : "Li", "given" : "Na", "non-dropping-particle" : "", "parse-names" : false, "suffix" : "" }, { "dropping-particle" : "", "family" : "Zhang", "given" : "Pingping", "non-dropping-particle" : "", "parse-names" : false, "suffix" : "" }, { "dropping-particle" : "", "family" : "Yang", "given" : "Cuiling", "non-dropping-particle" : "", "parse-names" : false, "suffix" : "" }, { "dropping-particle" : "", "family" : "Zhu", "given" : "Qianqian", "non-dropping-particle" : "", "parse-names" : false, "suffix" : "" }, { "dropping-particle" : "", "family" : "Li", "given" : "Zhu", "non-dropping-particle" : "", "parse-names" : false, "suffix" : "" }, { "dropping-particle" : "", "family" : "Li", "given" : "Fang", "non-dropping-particle" : "", "parse-names" : false, "suffix" : "" }, { "dropping-particle" : "", "family" : "Han", "given" : "Qunying", "non-dropping-particle" : "", "parse-names" : false, "suffix" : "" }, { "dropping-particle" : "", "family" : "Wang", "given" : "Yawen", "non-dropping-particle" : "", "parse-names" : false, "suffix" : "" }, { "dropping-particle" : "", "family" : "Lv", "given" : "Yi", "non-dropping-particle" : "", "parse-names" : false, "suffix" : "" }, { "dropping-particle" : "", "family" : "Wei", "given" : "Ping", "non-dropping-particle" : "", "parse-names" : false, "suffix" : "" }, { "dropping-particle" : "", "family" : "Liu", "given" : "Zhengwen", "non-dropping-particle" : "", "parse-names" : false, "suffix" : "" } ], "container-title" : "Genetic testing and molecular biomarkers", "id" : "ITEM-1", "issue" : "6", "issued" : { "date-parts" : [ [ "2014" ] ] }, "page" : "425-9", "title" : "Association of genetic variation of sodium taurocholate cotransporting polypeptide with chronic hepatitis B virus infection.", "type" : "article-journal", "volume" : "18" }, "uris" : [ "http://www.mendeley.com/documents/?uuid=8eb07e90-b6cc-48a5-9b76-9905f52cadde" ] } ], "mendeley" : { "formattedCitation" : "&lt;sup&gt;[25]&lt;/sup&gt;", "plainTextFormattedCitation" : "[25]", "previouslyFormattedCitation" : "&lt;sup&gt;[21]&lt;/sup&gt;" }, "properties" : {  }, "schema" : "https://github.com/citation-style-language/schema/raw/master/csl-citation.json" }</w:instrText>
      </w:r>
      <w:r w:rsidR="001C0EB4" w:rsidRPr="00C11F21">
        <w:rPr>
          <w:rFonts w:ascii="Book Antiqua" w:hAnsi="Book Antiqua" w:cstheme="minorHAnsi"/>
          <w:sz w:val="24"/>
          <w:szCs w:val="24"/>
          <w:lang w:val="en-US"/>
        </w:rPr>
        <w:fldChar w:fldCharType="separate"/>
      </w:r>
      <w:r w:rsidR="001C0EB4" w:rsidRPr="00C11F21">
        <w:rPr>
          <w:rFonts w:ascii="Book Antiqua" w:hAnsi="Book Antiqua" w:cstheme="minorHAnsi"/>
          <w:noProof/>
          <w:sz w:val="24"/>
          <w:szCs w:val="24"/>
          <w:vertAlign w:val="superscript"/>
          <w:lang w:val="en-US"/>
        </w:rPr>
        <w:t>[25]</w:t>
      </w:r>
      <w:r w:rsidR="001C0EB4" w:rsidRPr="00C11F21">
        <w:rPr>
          <w:rFonts w:ascii="Book Antiqua" w:hAnsi="Book Antiqua" w:cstheme="minorHAnsi"/>
          <w:sz w:val="24"/>
          <w:szCs w:val="24"/>
          <w:lang w:val="en-US"/>
        </w:rPr>
        <w:fldChar w:fldCharType="end"/>
      </w:r>
      <w:r w:rsidR="00735F68" w:rsidRPr="00C11F21">
        <w:rPr>
          <w:rFonts w:ascii="Book Antiqua" w:hAnsi="Book Antiqua" w:cstheme="minorHAnsi"/>
          <w:sz w:val="24"/>
          <w:szCs w:val="24"/>
          <w:lang w:val="en-US"/>
        </w:rPr>
        <w:t>.</w:t>
      </w:r>
      <w:r w:rsidR="00D87EC9" w:rsidRPr="00C11F21">
        <w:rPr>
          <w:rFonts w:ascii="Book Antiqua" w:hAnsi="Book Antiqua" w:cstheme="minorHAnsi"/>
          <w:sz w:val="24"/>
          <w:szCs w:val="24"/>
          <w:lang w:val="en-US"/>
        </w:rPr>
        <w:t xml:space="preserve"> </w:t>
      </w:r>
      <w:r w:rsidR="00735F68" w:rsidRPr="00C11F21">
        <w:rPr>
          <w:rFonts w:ascii="Book Antiqua" w:hAnsi="Book Antiqua" w:cstheme="minorHAnsi"/>
          <w:sz w:val="24"/>
          <w:szCs w:val="24"/>
          <w:lang w:val="en-US"/>
        </w:rPr>
        <w:t>The prevalence of rs2296651 varies greatly between different ethnicities and geographic locations</w:t>
      </w:r>
      <w:r w:rsidR="001C0EB4" w:rsidRPr="00C11F21">
        <w:rPr>
          <w:rFonts w:ascii="Book Antiqua" w:hAnsi="Book Antiqua" w:cstheme="minorHAnsi"/>
          <w:sz w:val="24"/>
          <w:szCs w:val="24"/>
          <w:lang w:val="en-US"/>
        </w:rPr>
        <w:fldChar w:fldCharType="begin" w:fldLock="1"/>
      </w:r>
      <w:r w:rsidR="001C0EB4" w:rsidRPr="00C11F21">
        <w:rPr>
          <w:rFonts w:ascii="Book Antiqua" w:hAnsi="Book Antiqua" w:cstheme="minorHAnsi"/>
          <w:sz w:val="24"/>
          <w:szCs w:val="24"/>
          <w:lang w:val="en-US"/>
        </w:rPr>
        <w:instrText>ADDIN CSL_CITATION { "citationItems" : [ { "id" : "ITEM-1", "itemData" : { "DOI" : "10.1074/jbc.M305782200", "ISBN" : "6153437605", "ISSN" : "0021-9258", "PMID" : "14660639", "abstract" : "The key transporter responsible for hepatic uptake of bile acids from portal circulation is Na+-taurocholate cotransporting polypeptide (NTCP, SLC10A1). This transporter is thought to be critical for the maintenance of enterohepatic recirculation of bile acids and hepatocyte function. Therefore, functionally relevant polymorphisms in this transporter would be predicted to have an important impact on bile acid homeostasis/liver function. However, little is known regarding genetic heterogeneity in NTCP. In this study, we demonstrate the presence of multiple single nucleotide polymorphisms in NTCP in populations of European, African, Chinese, and Hispanic Americans. Specifically four nonsynonymous single nucleotide polymorphisms associated with a significant loss of transport function were identified. Cell surface biotinylation experiments indicated that the altered transport activity of T668C (Ile223--&gt;Thr), a variant seen only in African Americans, was due at least in part to decreased plasma membrane expression. Similar expression patterns were observed when the variant alleles were expressed in HepG2 cells, and plasma membrane expression was assessed using immunofluorescence confocal microscopy. Interestingly the C800T (Ser267--&gt;Phe) variant, seen only in Chinese Americans, exhibited a near complete loss of function for bile acid uptake yet fully normal transport function for the non-bile acid substrate estrone sulfate, suggesting this position may be part of a region in the transporter critical and specific for bile acid substrate recognition. Accordingly, our study indicates functionally important polymorphisms in NTCP exist and that the likelihood of being carriers of such polymorphisms is dependent on ethnicity.", "author" : [ { "dropping-particle" : "", "family" : "Ho", "given" : "Richard H.", "non-dropping-particle" : "", "parse-names" : false, "suffix" : "" }, { "dropping-particle" : "", "family" : "Leake", "given" : "Brenda F.", "non-dropping-particle" : "", "parse-names" : false, "suffix" : "" }, { "dropping-particle" : "", "family" : "Roberts", "given" : "Richard L.", "non-dropping-particle" : "", "parse-names" : false, "suffix" : "" }, { "dropping-particle" : "", "family" : "Lee", "given" : "Wooin", "non-dropping-particle" : "", "parse-names" : false, "suffix" : "" }, { "dropping-particle" : "", "family" : "Kim", "given" : "Richard B.", "non-dropping-particle" : "", "parse-names" : false, "suffix" : "" } ], "container-title" : "The Journal of biological chemistry", "id" : "ITEM-1", "issue" : "8", "issued" : { "date-parts" : [ [ "2004", "2", "20" ] ] }, "page" : "7213-22", "title" : "Ethnicity-dependent polymorphism in Na+-taurocholate cotransporting polypeptide (SLC10A1) reveals a domain critical for bile acid substrate recognition.", "type" : "article-journal", "volume" : "279" }, "uris" : [ "http://www.mendeley.com/documents/?uuid=2f919f57-7d9d-4115-80c1-795627b625e5" ] }, { "id" : "ITEM-2", "itemData" : { "DOI" : "10.3109/00498254.2011.555567", "ISBN" : "0049-8254", "ISSN" : "1366-5928", "PMID" : "21341987", "abstract" : "Genetic variants of Na(+)-taurocholate co-transporting polypeptide (NTCP; SLC10A1) and ileal apical sodium-dependent bile acid transporter (ASBT; SLC10A2), which greatly contribute to bile acid homeostasis, were extensively explored in the Korean population and functional variants of NTCP were compared among Asian populations. From direct DNA sequencing, six SNPs were identified in the SLC10A1 gene and 14 SNPs in the SLC10A2 gene. Three of seven coding variants were non-synonymous SNPs: two variants from SLC10A1 (A64T, S267F) and one from SLC10A2 (A171S). No linkage was analysed in the SLC10A1 gene because of low frequencies of genetic variants, and the SLC10A2 gene was composed of two separated linkage disequilibrium blocks contrary to the white population. The stably transfected NTCP-A64T variant showed significantly decreased uptakes of taurocholate and rosuvastatin compared with wild-type NTCP. The decreased taurocholate uptake and increased rosuvastatin uptake were shown in the NTCP-S267F variant. The allele frequencies of these functional variants were 1.0% and 3.1%, respectively, in a Korean population. However, NTCP-A64T was not found in Chinese and Vietnamese subjects. The frequency distribution of NTCP-S267F in Koreans was significantly lower than those in Chinese and Vietnamese populations. Our data suggest that NTCP-A64T and -S267F variants cause substrate-dependent functional change in vitro, and show ethnic difference in their allelic frequencies among Asian populations although the clinical relevance of these variants is remained to be evaluated.", "author" : [ { "dropping-particle" : "", "family" : "Pan", "given" : "Wei", "non-dropping-particle" : "", "parse-names" : false, "suffix" : "" }, { "dropping-particle" : "", "family" : "Song", "given" : "Im-Sook", "non-dropping-particle" : "", "parse-names" : false, "suffix" : "" }, { "dropping-particle" : "", "family" : "Shin", "given" : "Ho-Jung", "non-dropping-particle" : "", "parse-names" : false, "suffix" : "" }, { "dropping-particle" : "", "family" : "Kim", "given" : "Min-Hye", "non-dropping-particle" : "", "parse-names" : false, "suffix" : "" }, { "dropping-particle" : "", "family" : "Choi", "given" : "Yeong-Lim", "non-dropping-particle" : "", "parse-names" : false, "suffix" : "" }, { "dropping-particle" : "", "family" : "Lim", "given" : "Su-Jeong", "non-dropping-particle" : "", "parse-names" : false, "suffix" : "" }, { "dropping-particle" : "", "family" : "Kim", "given" : "Woo-Young", "non-dropping-particle" : "", "parse-names" : false, "suffix" : "" }, { "dropping-particle" : "", "family" : "Lee", "given" : "Sang-Seop", "non-dropping-particle" : "", "parse-names" : false, "suffix" : "" }, { "dropping-particle" : "", "family" : "Shin", "given" : "Jae-Gook", "non-dropping-particle" : "", "parse-names" : false, "suffix" : "" } ], "container-title" : "Xenobiotica; the fate of foreign compounds in biological systems", "id" : "ITEM-2", "issue" : "6", "issued" : { "date-parts" : [ [ "2011" ] ] }, "page" : "501-10", "title" : "Genetic polymorphisms in Na+-taurocholate co-transporting polypeptide (NTCP) and ileal apical sodium-dependent bile acid transporter (ASBT) and ethnic comparisons of functional variants of NTCP among Asian populations.", "type" : "article-journal", "volume" : "41" }, "uris" : [ "http://www.mendeley.com/documents/?uuid=bd0a1e5f-4cc8-4098-bd80-f0134f6098c6" ] } ], "mendeley" : { "formattedCitation" : "&lt;sup&gt;[22,23]&lt;/sup&gt;", "plainTextFormattedCitation" : "[22,23]", "previouslyFormattedCitation" : "&lt;sup&gt;[18,19]&lt;/sup&gt;" }, "properties" : {  }, "schema" : "https://github.com/citation-style-language/schema/raw/master/csl-citation.json" }</w:instrText>
      </w:r>
      <w:r w:rsidR="001C0EB4" w:rsidRPr="00C11F21">
        <w:rPr>
          <w:rFonts w:ascii="Book Antiqua" w:hAnsi="Book Antiqua" w:cstheme="minorHAnsi"/>
          <w:sz w:val="24"/>
          <w:szCs w:val="24"/>
          <w:lang w:val="en-US"/>
        </w:rPr>
        <w:fldChar w:fldCharType="separate"/>
      </w:r>
      <w:r w:rsidR="001C0EB4" w:rsidRPr="00C11F21">
        <w:rPr>
          <w:rFonts w:ascii="Book Antiqua" w:hAnsi="Book Antiqua" w:cstheme="minorHAnsi"/>
          <w:noProof/>
          <w:sz w:val="24"/>
          <w:szCs w:val="24"/>
          <w:vertAlign w:val="superscript"/>
          <w:lang w:val="en-US"/>
        </w:rPr>
        <w:t>[22,23]</w:t>
      </w:r>
      <w:r w:rsidR="001C0EB4" w:rsidRPr="00C11F21">
        <w:rPr>
          <w:rFonts w:ascii="Book Antiqua" w:hAnsi="Book Antiqua" w:cstheme="minorHAnsi"/>
          <w:sz w:val="24"/>
          <w:szCs w:val="24"/>
          <w:lang w:val="en-US"/>
        </w:rPr>
        <w:fldChar w:fldCharType="end"/>
      </w:r>
      <w:r w:rsidR="00B1263C" w:rsidRPr="00C11F21">
        <w:rPr>
          <w:rFonts w:ascii="Book Antiqua" w:hAnsi="Book Antiqua" w:cstheme="minorHAnsi"/>
          <w:sz w:val="24"/>
          <w:szCs w:val="24"/>
          <w:lang w:val="en-US"/>
        </w:rPr>
        <w:t>,</w:t>
      </w:r>
      <w:r w:rsidR="00735F68" w:rsidRPr="00C11F21">
        <w:rPr>
          <w:rFonts w:ascii="Book Antiqua" w:hAnsi="Book Antiqua" w:cstheme="minorHAnsi"/>
          <w:sz w:val="24"/>
          <w:szCs w:val="24"/>
          <w:lang w:val="en-US"/>
        </w:rPr>
        <w:t xml:space="preserve"> </w:t>
      </w:r>
      <w:r w:rsidR="00B1263C" w:rsidRPr="00C11F21">
        <w:rPr>
          <w:rFonts w:ascii="Book Antiqua" w:hAnsi="Book Antiqua" w:cstheme="minorHAnsi"/>
          <w:sz w:val="24"/>
          <w:szCs w:val="24"/>
          <w:lang w:val="en-US"/>
        </w:rPr>
        <w:t>being</w:t>
      </w:r>
      <w:r w:rsidR="00735F68" w:rsidRPr="00C11F21">
        <w:rPr>
          <w:rFonts w:ascii="Book Antiqua" w:hAnsi="Book Antiqua" w:cstheme="minorHAnsi"/>
          <w:sz w:val="24"/>
          <w:szCs w:val="24"/>
          <w:lang w:val="en-US"/>
        </w:rPr>
        <w:t xml:space="preserve"> identified prevalently in Asian populations, with the highest rates in southern China and Vietnam</w:t>
      </w:r>
      <w:r w:rsidR="001C0EB4" w:rsidRPr="00C11F21">
        <w:rPr>
          <w:rFonts w:ascii="Book Antiqua" w:hAnsi="Book Antiqua" w:cstheme="minorHAnsi"/>
          <w:sz w:val="24"/>
          <w:szCs w:val="24"/>
          <w:lang w:val="en-US"/>
        </w:rPr>
        <w:fldChar w:fldCharType="begin" w:fldLock="1"/>
      </w:r>
      <w:r w:rsidR="001C0EB4" w:rsidRPr="00C11F21">
        <w:rPr>
          <w:rFonts w:ascii="Book Antiqua" w:hAnsi="Book Antiqua" w:cstheme="minorHAnsi"/>
          <w:sz w:val="24"/>
          <w:szCs w:val="24"/>
          <w:lang w:val="en-US"/>
        </w:rPr>
        <w:instrText>ADDIN CSL_CITATION { "citationItems" : [ { "id" : "ITEM-1", "itemData" : { "DOI" : "10.3109/00498254.2011.555567", "ISBN" : "0049-8254", "ISSN" : "1366-5928", "PMID" : "21341987", "abstract" : "Genetic variants of Na(+)-taurocholate co-transporting polypeptide (NTCP; SLC10A1) and ileal apical sodium-dependent bile acid transporter (ASBT; SLC10A2), which greatly contribute to bile acid homeostasis, were extensively explored in the Korean population and functional variants of NTCP were compared among Asian populations. From direct DNA sequencing, six SNPs were identified in the SLC10A1 gene and 14 SNPs in the SLC10A2 gene. Three of seven coding variants were non-synonymous SNPs: two variants from SLC10A1 (A64T, S267F) and one from SLC10A2 (A171S). No linkage was analysed in the SLC10A1 gene because of low frequencies of genetic variants, and the SLC10A2 gene was composed of two separated linkage disequilibrium blocks contrary to the white population. The stably transfected NTCP-A64T variant showed significantly decreased uptakes of taurocholate and rosuvastatin compared with wild-type NTCP. The decreased taurocholate uptake and increased rosuvastatin uptake were shown in the NTCP-S267F variant. The allele frequencies of these functional variants were 1.0% and 3.1%, respectively, in a Korean population. However, NTCP-A64T was not found in Chinese and Vietnamese subjects. The frequency distribution of NTCP-S267F in Koreans was significantly lower than those in Chinese and Vietnamese populations. Our data suggest that NTCP-A64T and -S267F variants cause substrate-dependent functional change in vitro, and show ethnic difference in their allelic frequencies among Asian populations although the clinical relevance of these variants is remained to be evaluated.", "author" : [ { "dropping-particle" : "", "family" : "Pan", "given" : "Wei", "non-dropping-particle" : "", "parse-names" : false, "suffix" : "" }, { "dropping-particle" : "", "family" : "Song", "given" : "Im-Sook", "non-dropping-particle" : "", "parse-names" : false, "suffix" : "" }, { "dropping-particle" : "", "family" : "Shin", "given" : "Ho-Jung", "non-dropping-particle" : "", "parse-names" : false, "suffix" : "" }, { "dropping-particle" : "", "family" : "Kim", "given" : "Min-Hye", "non-dropping-particle" : "", "parse-names" : false, "suffix" : "" }, { "dropping-particle" : "", "family" : "Choi", "given" : "Yeong-Lim", "non-dropping-particle" : "", "parse-names" : false, "suffix" : "" }, { "dropping-particle" : "", "family" : "Lim", "given" : "Su-Jeong", "non-dropping-particle" : "", "parse-names" : false, "suffix" : "" }, { "dropping-particle" : "", "family" : "Kim", "given" : "Woo-Young", "non-dropping-particle" : "", "parse-names" : false, "suffix" : "" }, { "dropping-particle" : "", "family" : "Lee", "given" : "Sang-Seop", "non-dropping-particle" : "", "parse-names" : false, "suffix" : "" }, { "dropping-particle" : "", "family" : "Shin", "given" : "Jae-Gook", "non-dropping-particle" : "", "parse-names" : false, "suffix" : "" } ], "container-title" : "Xenobiotica; the fate of foreign compounds in biological systems", "id" : "ITEM-1", "issue" : "6", "issued" : { "date-parts" : [ [ "2011" ] ] }, "page" : "501-10", "title" : "Genetic polymorphisms in Na+-taurocholate co-transporting polypeptide (NTCP) and ileal apical sodium-dependent bile acid transporter (ASBT) and ethnic comparisons of functional variants of NTCP among Asian populations.", "type" : "article-journal", "volume" : "41" }, "uris" : [ "http://www.mendeley.com/documents/?uuid=bd0a1e5f-4cc8-4098-bd80-f0134f6098c6" ] } ], "mendeley" : { "formattedCitation" : "&lt;sup&gt;[23]&lt;/sup&gt;", "plainTextFormattedCitation" : "[23]", "previouslyFormattedCitation" : "&lt;sup&gt;[19]&lt;/sup&gt;" }, "properties" : {  }, "schema" : "https://github.com/citation-style-language/schema/raw/master/csl-citation.json" }</w:instrText>
      </w:r>
      <w:r w:rsidR="001C0EB4" w:rsidRPr="00C11F21">
        <w:rPr>
          <w:rFonts w:ascii="Book Antiqua" w:hAnsi="Book Antiqua" w:cstheme="minorHAnsi"/>
          <w:sz w:val="24"/>
          <w:szCs w:val="24"/>
          <w:lang w:val="en-US"/>
        </w:rPr>
        <w:fldChar w:fldCharType="separate"/>
      </w:r>
      <w:r w:rsidR="001C0EB4" w:rsidRPr="00C11F21">
        <w:rPr>
          <w:rFonts w:ascii="Book Antiqua" w:hAnsi="Book Antiqua" w:cstheme="minorHAnsi"/>
          <w:noProof/>
          <w:sz w:val="24"/>
          <w:szCs w:val="24"/>
          <w:vertAlign w:val="superscript"/>
          <w:lang w:val="en-US"/>
        </w:rPr>
        <w:t>[23]</w:t>
      </w:r>
      <w:r w:rsidR="001C0EB4" w:rsidRPr="00C11F21">
        <w:rPr>
          <w:rFonts w:ascii="Book Antiqua" w:hAnsi="Book Antiqua" w:cstheme="minorHAnsi"/>
          <w:sz w:val="24"/>
          <w:szCs w:val="24"/>
          <w:lang w:val="en-US"/>
        </w:rPr>
        <w:fldChar w:fldCharType="end"/>
      </w:r>
      <w:r w:rsidR="00B1263C" w:rsidRPr="00C11F21">
        <w:rPr>
          <w:rFonts w:ascii="Book Antiqua" w:hAnsi="Book Antiqua" w:cstheme="minorHAnsi"/>
          <w:sz w:val="24"/>
          <w:szCs w:val="24"/>
          <w:lang w:val="en-US"/>
        </w:rPr>
        <w:t>.</w:t>
      </w:r>
      <w:r w:rsidR="00735F68" w:rsidRPr="00C11F21">
        <w:rPr>
          <w:rFonts w:ascii="Book Antiqua" w:hAnsi="Book Antiqua" w:cstheme="minorHAnsi"/>
          <w:sz w:val="24"/>
          <w:szCs w:val="24"/>
          <w:lang w:val="en-US"/>
        </w:rPr>
        <w:t xml:space="preserve"> </w:t>
      </w:r>
      <w:r w:rsidR="00B1263C" w:rsidRPr="00C11F21">
        <w:rPr>
          <w:rFonts w:ascii="Book Antiqua" w:hAnsi="Book Antiqua" w:cstheme="minorHAnsi"/>
          <w:sz w:val="24"/>
          <w:szCs w:val="24"/>
          <w:lang w:val="en-US"/>
        </w:rPr>
        <w:t>This polymorphism</w:t>
      </w:r>
      <w:r w:rsidR="00735F68" w:rsidRPr="00C11F21">
        <w:rPr>
          <w:rFonts w:ascii="Book Antiqua" w:hAnsi="Book Antiqua" w:cstheme="minorHAnsi"/>
          <w:sz w:val="24"/>
          <w:szCs w:val="24"/>
          <w:lang w:val="en-US"/>
        </w:rPr>
        <w:t xml:space="preserve"> has not been detected in Americans from European, African or Hispanic origins</w:t>
      </w:r>
      <w:r w:rsidR="001C0EB4" w:rsidRPr="00C11F21">
        <w:rPr>
          <w:rFonts w:ascii="Book Antiqua" w:hAnsi="Book Antiqua" w:cstheme="minorHAnsi"/>
          <w:sz w:val="24"/>
          <w:szCs w:val="24"/>
          <w:lang w:val="en-US"/>
        </w:rPr>
        <w:fldChar w:fldCharType="begin" w:fldLock="1"/>
      </w:r>
      <w:r w:rsidR="001C0EB4" w:rsidRPr="00C11F21">
        <w:rPr>
          <w:rFonts w:ascii="Book Antiqua" w:hAnsi="Book Antiqua" w:cstheme="minorHAnsi"/>
          <w:sz w:val="24"/>
          <w:szCs w:val="24"/>
          <w:lang w:val="en-US"/>
        </w:rPr>
        <w:instrText>ADDIN CSL_CITATION { "citationItems" : [ { "id" : "ITEM-1", "itemData" : { "DOI" : "10.1074/jbc.M305782200", "ISBN" : "6153437605", "ISSN" : "0021-9258", "PMID" : "14660639", "abstract" : "The key transporter responsible for hepatic uptake of bile acids from portal circulation is Na+-taurocholate cotransporting polypeptide (NTCP, SLC10A1). This transporter is thought to be critical for the maintenance of enterohepatic recirculation of bile acids and hepatocyte function. Therefore, functionally relevant polymorphisms in this transporter would be predicted to have an important impact on bile acid homeostasis/liver function. However, little is known regarding genetic heterogeneity in NTCP. In this study, we demonstrate the presence of multiple single nucleotide polymorphisms in NTCP in populations of European, African, Chinese, and Hispanic Americans. Specifically four nonsynonymous single nucleotide polymorphisms associated with a significant loss of transport function were identified. Cell surface biotinylation experiments indicated that the altered transport activity of T668C (Ile223--&gt;Thr), a variant seen only in African Americans, was due at least in part to decreased plasma membrane expression. Similar expression patterns were observed when the variant alleles were expressed in HepG2 cells, and plasma membrane expression was assessed using immunofluorescence confocal microscopy. Interestingly the C800T (Ser267--&gt;Phe) variant, seen only in Chinese Americans, exhibited a near complete loss of function for bile acid uptake yet fully normal transport function for the non-bile acid substrate estrone sulfate, suggesting this position may be part of a region in the transporter critical and specific for bile acid substrate recognition. Accordingly, our study indicates functionally important polymorphisms in NTCP exist and that the likelihood of being carriers of such polymorphisms is dependent on ethnicity.", "author" : [ { "dropping-particle" : "", "family" : "Ho", "given" : "Richard H.", "non-dropping-particle" : "", "parse-names" : false, "suffix" : "" }, { "dropping-particle" : "", "family" : "Leake", "given" : "Brenda F.", "non-dropping-particle" : "", "parse-names" : false, "suffix" : "" }, { "dropping-particle" : "", "family" : "Roberts", "given" : "Richard L.", "non-dropping-particle" : "", "parse-names" : false, "suffix" : "" }, { "dropping-particle" : "", "family" : "Lee", "given" : "Wooin", "non-dropping-particle" : "", "parse-names" : false, "suffix" : "" }, { "dropping-particle" : "", "family" : "Kim", "given" : "Richard B.", "non-dropping-particle" : "", "parse-names" : false, "suffix" : "" } ], "container-title" : "The Journal of biological chemistry", "id" : "ITEM-1", "issue" : "8", "issued" : { "date-parts" : [ [ "2004", "2", "20" ] ] }, "page" : "7213-22", "title" : "Ethnicity-dependent polymorphism in Na+-taurocholate cotransporting polypeptide (SLC10A1) reveals a domain critical for bile acid substrate recognition.", "type" : "article-journal", "volume" : "279" }, "uris" : [ "http://www.mendeley.com/documents/?uuid=2f919f57-7d9d-4115-80c1-795627b625e5" ] } ], "mendeley" : { "formattedCitation" : "&lt;sup&gt;[22]&lt;/sup&gt;", "plainTextFormattedCitation" : "[22]", "previouslyFormattedCitation" : "&lt;sup&gt;[18]&lt;/sup&gt;" }, "properties" : {  }, "schema" : "https://github.com/citation-style-language/schema/raw/master/csl-citation.json" }</w:instrText>
      </w:r>
      <w:r w:rsidR="001C0EB4" w:rsidRPr="00C11F21">
        <w:rPr>
          <w:rFonts w:ascii="Book Antiqua" w:hAnsi="Book Antiqua" w:cstheme="minorHAnsi"/>
          <w:sz w:val="24"/>
          <w:szCs w:val="24"/>
          <w:lang w:val="en-US"/>
        </w:rPr>
        <w:fldChar w:fldCharType="separate"/>
      </w:r>
      <w:r w:rsidR="001C0EB4" w:rsidRPr="00C11F21">
        <w:rPr>
          <w:rFonts w:ascii="Book Antiqua" w:hAnsi="Book Antiqua" w:cstheme="minorHAnsi"/>
          <w:noProof/>
          <w:sz w:val="24"/>
          <w:szCs w:val="24"/>
          <w:vertAlign w:val="superscript"/>
          <w:lang w:val="en-US"/>
        </w:rPr>
        <w:t>[22]</w:t>
      </w:r>
      <w:r w:rsidR="001C0EB4" w:rsidRPr="00C11F21">
        <w:rPr>
          <w:rFonts w:ascii="Book Antiqua" w:hAnsi="Book Antiqua" w:cstheme="minorHAnsi"/>
          <w:sz w:val="24"/>
          <w:szCs w:val="24"/>
          <w:lang w:val="en-US"/>
        </w:rPr>
        <w:fldChar w:fldCharType="end"/>
      </w:r>
      <w:r w:rsidR="00735F68" w:rsidRPr="00C11F21">
        <w:rPr>
          <w:rFonts w:ascii="Book Antiqua" w:hAnsi="Book Antiqua" w:cstheme="minorHAnsi"/>
          <w:sz w:val="24"/>
          <w:szCs w:val="24"/>
          <w:lang w:val="en-US"/>
        </w:rPr>
        <w:t>.</w:t>
      </w:r>
      <w:r w:rsidR="00B1263C" w:rsidRPr="00C11F21">
        <w:rPr>
          <w:rFonts w:ascii="Book Antiqua" w:hAnsi="Book Antiqua" w:cstheme="minorHAnsi"/>
          <w:sz w:val="24"/>
          <w:szCs w:val="24"/>
          <w:lang w:val="en-US"/>
        </w:rPr>
        <w:t xml:space="preserve"> However, its prevalence in our area </w:t>
      </w:r>
      <w:r w:rsidR="00C14371" w:rsidRPr="00C11F21">
        <w:rPr>
          <w:rFonts w:ascii="Book Antiqua" w:hAnsi="Book Antiqua" w:cstheme="minorHAnsi"/>
          <w:sz w:val="24"/>
          <w:szCs w:val="24"/>
          <w:lang w:val="en-US"/>
        </w:rPr>
        <w:t>(</w:t>
      </w:r>
      <w:r w:rsidR="00B1263C" w:rsidRPr="00C11F21">
        <w:rPr>
          <w:rFonts w:ascii="Book Antiqua" w:hAnsi="Book Antiqua" w:cstheme="minorHAnsi"/>
          <w:sz w:val="24"/>
          <w:szCs w:val="24"/>
          <w:lang w:val="en-US"/>
        </w:rPr>
        <w:t xml:space="preserve">typically classified as </w:t>
      </w:r>
      <w:r w:rsidR="00005A2F" w:rsidRPr="00C11F21">
        <w:rPr>
          <w:rFonts w:ascii="Book Antiqua" w:hAnsi="Book Antiqua" w:cstheme="minorHAnsi"/>
          <w:sz w:val="24"/>
          <w:szCs w:val="24"/>
          <w:lang w:val="en-US"/>
        </w:rPr>
        <w:t xml:space="preserve">having </w:t>
      </w:r>
      <w:r w:rsidR="00916F94" w:rsidRPr="00C11F21">
        <w:rPr>
          <w:rFonts w:ascii="Book Antiqua" w:hAnsi="Book Antiqua" w:cstheme="minorHAnsi"/>
          <w:sz w:val="24"/>
          <w:szCs w:val="24"/>
          <w:lang w:val="en-US"/>
        </w:rPr>
        <w:t>an</w:t>
      </w:r>
      <w:r w:rsidR="00005A2F" w:rsidRPr="00C11F21">
        <w:rPr>
          <w:rFonts w:ascii="Book Antiqua" w:hAnsi="Book Antiqua" w:cstheme="minorHAnsi"/>
          <w:sz w:val="24"/>
          <w:szCs w:val="24"/>
          <w:lang w:val="en-US"/>
        </w:rPr>
        <w:t xml:space="preserve"> </w:t>
      </w:r>
      <w:r w:rsidR="00B1263C" w:rsidRPr="00C11F21">
        <w:rPr>
          <w:rFonts w:ascii="Book Antiqua" w:hAnsi="Book Antiqua" w:cstheme="minorHAnsi"/>
          <w:sz w:val="24"/>
          <w:szCs w:val="24"/>
          <w:lang w:val="en-US"/>
        </w:rPr>
        <w:t>intermediate HB</w:t>
      </w:r>
      <w:r w:rsidR="00770104" w:rsidRPr="00C11F21">
        <w:rPr>
          <w:rFonts w:ascii="Book Antiqua" w:hAnsi="Book Antiqua" w:cstheme="minorHAnsi"/>
          <w:sz w:val="24"/>
          <w:szCs w:val="24"/>
          <w:lang w:val="en-US"/>
        </w:rPr>
        <w:t>sAg</w:t>
      </w:r>
      <w:r w:rsidR="00B1263C" w:rsidRPr="00C11F21">
        <w:rPr>
          <w:rFonts w:ascii="Book Antiqua" w:hAnsi="Book Antiqua" w:cstheme="minorHAnsi"/>
          <w:sz w:val="24"/>
          <w:szCs w:val="24"/>
          <w:lang w:val="en-US"/>
        </w:rPr>
        <w:t xml:space="preserve"> prevalence</w:t>
      </w:r>
      <w:r w:rsidR="00916F94" w:rsidRPr="00C11F21">
        <w:rPr>
          <w:rFonts w:ascii="Book Antiqua" w:hAnsi="Book Antiqua" w:cstheme="minorHAnsi"/>
          <w:sz w:val="24"/>
          <w:szCs w:val="24"/>
          <w:lang w:val="en-US"/>
        </w:rPr>
        <w:t>)</w:t>
      </w:r>
      <w:r w:rsidR="006326CD" w:rsidRPr="00C11F21">
        <w:rPr>
          <w:rFonts w:ascii="Book Antiqua" w:hAnsi="Book Antiqua" w:cstheme="minorHAnsi"/>
          <w:sz w:val="24"/>
          <w:szCs w:val="24"/>
          <w:lang w:val="en-US"/>
        </w:rPr>
        <w:fldChar w:fldCharType="begin" w:fldLock="1"/>
      </w:r>
      <w:r w:rsidR="0092490D" w:rsidRPr="00C11F21">
        <w:rPr>
          <w:rFonts w:ascii="Book Antiqua" w:hAnsi="Book Antiqua" w:cstheme="minorHAnsi"/>
          <w:sz w:val="24"/>
          <w:szCs w:val="24"/>
          <w:lang w:val="en-US"/>
        </w:rPr>
        <w:instrText>ADDIN CSL_CITATION { "citationItems" : [ { "id" : "ITEM-1", "itemData" : { "DOI" : "10.1017/S0950268813000940", "ISSN" : "0950-2688", "PMID" : "23714072", "abstract" : "SUMMARY Knowledge of hepatitis B and C prevalence, and numbers infected, are important for planning responses. Published HBsAg and anti-HCV prevalences for the 20 WHO European Region countries outside the EU/EFTA were extracted, to complement published data for the EU/EFTA. The general population prevalence of HBsAg (median 3\u00b78%, mean 5\u00b70%, seven countries) ranged from 1\u00b73% (Ukraine) to 13% (Uzbekistan), and anti-HCV (median 2\u00b73%, mean 3\u00b78%, 10 countries) from 0\u00b75% (Serbia, Tajikistan) to 13% (Uzbekistan). People who inject drugs had the highest prevalence of both infections (HBsAg: median 6\u00b78%, mean 8\u00b72%, 13 countries; anti-HCV: median 46%, mean 46%, 17 countries), and prevalence was also elevated in men who have sex with men and sex workers. Simple estimates indicated 13\u00b73 million (1\u00b78%) adults have HBsAg and 15\u00b70 million (2\u00b70%) HCV RNA in the WHO European Region; prevalences were higher outside the EU/EFTA countries. Efforts to prevent, diagnose, and treat these infections need to be maintained and improved.", "author" : [ { "dropping-particle" : "", "family" : "Hope", "given" : "VD", "non-dropping-particle" : "", "parse-names" : false, "suffix" : "" }, { "dropping-particle" : "", "family" : "Eramova", "given" : "I", "non-dropping-particle" : "", "parse-names" : false, "suffix" : "" }, { "dropping-particle" : "", "family" : "Capurro", "given" : "D", "non-dropping-particle" : "", "parse-names" : false, "suffix" : "" }, { "dropping-particle" : "", "family" : "Donoghoe", "given" : "MC", "non-dropping-particle" : "", "parse-names" : false, "suffix" : "" } ], "container-title" : "Epidemiology and Infection", "id" : "ITEM-1", "issue" : "02", "issued" : { "date-parts" : [ [ "2014", "2" ] ] }, "page" : "270-286", "title" : "Prevalence and estimation of hepatitis B and C infections in the WHO European Region: a review of data focusing on the countries outside the European Union and the European Free Trade Association", "type" : "article-journal", "volume" : "142" }, "uris" : [ "http://www.mendeley.com/documents/?uuid=961f633b-b4ac-3c63-8cd1-7011a6899e95", "http://www.mendeley.com/documents/?uuid=b12b67e3-a56b-480c-98e2-8bc5134b5c0a", "http://www.mendeley.com/documents/?uuid=4723b226-043f-4dc9-bc4d-a3908f22ef6e" ] } ], "mendeley" : { "formattedCitation" : "&lt;sup&gt;[50]&lt;/sup&gt;", "plainTextFormattedCitation" : "[50]", "previouslyFormattedCitation" : "&lt;sup&gt;[51]&lt;/sup&gt;" }, "properties" : {  }, "schema" : "https://github.com/citation-style-language/schema/raw/master/csl-citation.json" }</w:instrText>
      </w:r>
      <w:r w:rsidR="006326CD" w:rsidRPr="00C11F21">
        <w:rPr>
          <w:rFonts w:ascii="Book Antiqua" w:hAnsi="Book Antiqua" w:cstheme="minorHAnsi"/>
          <w:sz w:val="24"/>
          <w:szCs w:val="24"/>
          <w:lang w:val="en-US"/>
        </w:rPr>
        <w:fldChar w:fldCharType="separate"/>
      </w:r>
      <w:r w:rsidR="0092490D" w:rsidRPr="00C11F21">
        <w:rPr>
          <w:rFonts w:ascii="Book Antiqua" w:hAnsi="Book Antiqua" w:cstheme="minorHAnsi"/>
          <w:noProof/>
          <w:sz w:val="24"/>
          <w:szCs w:val="24"/>
          <w:vertAlign w:val="superscript"/>
          <w:lang w:val="en-US"/>
        </w:rPr>
        <w:t>[50]</w:t>
      </w:r>
      <w:r w:rsidR="006326CD" w:rsidRPr="00C11F21">
        <w:rPr>
          <w:rFonts w:ascii="Book Antiqua" w:hAnsi="Book Antiqua" w:cstheme="minorHAnsi"/>
          <w:sz w:val="24"/>
          <w:szCs w:val="24"/>
          <w:lang w:val="en-US"/>
        </w:rPr>
        <w:fldChar w:fldCharType="end"/>
      </w:r>
      <w:r w:rsidR="00916F94" w:rsidRPr="00C11F21">
        <w:rPr>
          <w:rFonts w:ascii="Book Antiqua" w:hAnsi="Book Antiqua" w:cstheme="minorHAnsi"/>
          <w:sz w:val="24"/>
          <w:szCs w:val="24"/>
          <w:lang w:val="en-US"/>
        </w:rPr>
        <w:t xml:space="preserve"> </w:t>
      </w:r>
      <w:r w:rsidR="002E44E2" w:rsidRPr="00C11F21">
        <w:rPr>
          <w:rFonts w:ascii="Book Antiqua" w:hAnsi="Book Antiqua" w:cstheme="minorHAnsi"/>
          <w:sz w:val="24"/>
          <w:szCs w:val="24"/>
          <w:lang w:val="en-US"/>
        </w:rPr>
        <w:t xml:space="preserve">where Caucasian </w:t>
      </w:r>
      <w:r w:rsidR="00BD6E63" w:rsidRPr="00C11F21">
        <w:rPr>
          <w:rFonts w:ascii="Book Antiqua" w:hAnsi="Book Antiqua" w:cstheme="minorHAnsi"/>
          <w:sz w:val="24"/>
          <w:szCs w:val="24"/>
          <w:lang w:val="en-US"/>
        </w:rPr>
        <w:t xml:space="preserve">populations mainly </w:t>
      </w:r>
      <w:r w:rsidR="00005A2F" w:rsidRPr="00C11F21">
        <w:rPr>
          <w:rFonts w:ascii="Book Antiqua" w:hAnsi="Book Antiqua" w:cstheme="minorHAnsi"/>
          <w:sz w:val="24"/>
          <w:szCs w:val="24"/>
          <w:lang w:val="en-US"/>
        </w:rPr>
        <w:t xml:space="preserve">of </w:t>
      </w:r>
      <w:r w:rsidR="002E44E2" w:rsidRPr="00C11F21">
        <w:rPr>
          <w:rFonts w:ascii="Book Antiqua" w:hAnsi="Book Antiqua" w:cstheme="minorHAnsi"/>
          <w:sz w:val="24"/>
          <w:szCs w:val="24"/>
          <w:lang w:val="en-US"/>
        </w:rPr>
        <w:t>European Mediterranean</w:t>
      </w:r>
      <w:r w:rsidR="00BD6E63" w:rsidRPr="00C11F21">
        <w:rPr>
          <w:rFonts w:ascii="Book Antiqua" w:hAnsi="Book Antiqua" w:cstheme="minorHAnsi"/>
          <w:sz w:val="24"/>
          <w:szCs w:val="24"/>
          <w:lang w:val="en-US"/>
        </w:rPr>
        <w:t xml:space="preserve"> origin</w:t>
      </w:r>
      <w:r w:rsidR="002E44E2" w:rsidRPr="00C11F21">
        <w:rPr>
          <w:rFonts w:ascii="Book Antiqua" w:hAnsi="Book Antiqua" w:cstheme="minorHAnsi"/>
          <w:sz w:val="24"/>
          <w:szCs w:val="24"/>
          <w:lang w:val="en-US"/>
        </w:rPr>
        <w:t xml:space="preserve"> are pre</w:t>
      </w:r>
      <w:r w:rsidR="00005A2F" w:rsidRPr="00C11F21">
        <w:rPr>
          <w:rFonts w:ascii="Book Antiqua" w:hAnsi="Book Antiqua" w:cstheme="minorHAnsi"/>
          <w:sz w:val="24"/>
          <w:szCs w:val="24"/>
          <w:lang w:val="en-US"/>
        </w:rPr>
        <w:t>dominant</w:t>
      </w:r>
      <w:r w:rsidR="00B1263C" w:rsidRPr="00C11F21">
        <w:rPr>
          <w:rFonts w:ascii="Book Antiqua" w:hAnsi="Book Antiqua" w:cstheme="minorHAnsi"/>
          <w:sz w:val="24"/>
          <w:szCs w:val="24"/>
          <w:lang w:val="en-US"/>
        </w:rPr>
        <w:t>, has n</w:t>
      </w:r>
      <w:r w:rsidR="00FA1797" w:rsidRPr="00C11F21">
        <w:rPr>
          <w:rFonts w:ascii="Book Antiqua" w:hAnsi="Book Antiqua" w:cstheme="minorHAnsi"/>
          <w:sz w:val="24"/>
          <w:szCs w:val="24"/>
          <w:lang w:val="en-US"/>
        </w:rPr>
        <w:t>ever</w:t>
      </w:r>
      <w:r w:rsidR="00B1263C" w:rsidRPr="00C11F21">
        <w:rPr>
          <w:rFonts w:ascii="Book Antiqua" w:hAnsi="Book Antiqua" w:cstheme="minorHAnsi"/>
          <w:sz w:val="24"/>
          <w:szCs w:val="24"/>
          <w:lang w:val="en-US"/>
        </w:rPr>
        <w:t xml:space="preserve"> been assessed</w:t>
      </w:r>
      <w:r w:rsidR="00263BA2" w:rsidRPr="00C11F21">
        <w:rPr>
          <w:rFonts w:ascii="Book Antiqua" w:hAnsi="Book Antiqua" w:cstheme="minorHAnsi"/>
          <w:sz w:val="24"/>
          <w:szCs w:val="24"/>
          <w:lang w:val="en-US"/>
        </w:rPr>
        <w:t>.</w:t>
      </w:r>
      <w:r w:rsidR="00AC50C1" w:rsidRPr="00C11F21">
        <w:rPr>
          <w:rFonts w:ascii="Book Antiqua" w:hAnsi="Book Antiqua" w:cstheme="minorHAnsi"/>
          <w:sz w:val="24"/>
          <w:szCs w:val="24"/>
          <w:lang w:val="en-US"/>
        </w:rPr>
        <w:t xml:space="preserve"> </w:t>
      </w:r>
      <w:r w:rsidR="00735F68" w:rsidRPr="00C11F21">
        <w:rPr>
          <w:rFonts w:ascii="Book Antiqua" w:hAnsi="Book Antiqua" w:cstheme="minorHAnsi"/>
          <w:sz w:val="24"/>
          <w:szCs w:val="24"/>
          <w:lang w:val="en-US"/>
        </w:rPr>
        <w:t xml:space="preserve">In the present study, rs2296651 was </w:t>
      </w:r>
      <w:r w:rsidR="00BA695B" w:rsidRPr="00C11F21">
        <w:rPr>
          <w:rFonts w:ascii="Book Antiqua" w:hAnsi="Book Antiqua" w:cstheme="minorHAnsi"/>
          <w:sz w:val="24"/>
          <w:szCs w:val="24"/>
          <w:lang w:val="en-US"/>
        </w:rPr>
        <w:t xml:space="preserve">not found in any </w:t>
      </w:r>
      <w:r w:rsidR="00735F68" w:rsidRPr="00C11F21">
        <w:rPr>
          <w:rFonts w:ascii="Book Antiqua" w:hAnsi="Book Antiqua" w:cstheme="minorHAnsi"/>
          <w:sz w:val="24"/>
          <w:szCs w:val="24"/>
          <w:lang w:val="en-US"/>
        </w:rPr>
        <w:t xml:space="preserve">of the </w:t>
      </w:r>
      <w:r w:rsidR="00CB53A6" w:rsidRPr="00C11F21">
        <w:rPr>
          <w:rFonts w:ascii="Book Antiqua" w:hAnsi="Book Antiqua" w:cstheme="minorHAnsi"/>
          <w:sz w:val="24"/>
          <w:szCs w:val="24"/>
          <w:lang w:val="en-US"/>
        </w:rPr>
        <w:t xml:space="preserve">HBV </w:t>
      </w:r>
      <w:r w:rsidR="00735F68" w:rsidRPr="00C11F21">
        <w:rPr>
          <w:rFonts w:ascii="Book Antiqua" w:hAnsi="Book Antiqua" w:cstheme="minorHAnsi"/>
          <w:sz w:val="24"/>
          <w:szCs w:val="24"/>
          <w:lang w:val="en-US"/>
        </w:rPr>
        <w:t xml:space="preserve">patients </w:t>
      </w:r>
      <w:r w:rsidR="00CB53A6" w:rsidRPr="00C11F21">
        <w:rPr>
          <w:rFonts w:ascii="Book Antiqua" w:hAnsi="Book Antiqua" w:cstheme="minorHAnsi"/>
          <w:sz w:val="24"/>
          <w:szCs w:val="24"/>
          <w:lang w:val="en-US"/>
        </w:rPr>
        <w:t xml:space="preserve">or controls </w:t>
      </w:r>
      <w:r w:rsidR="00735F68" w:rsidRPr="00C11F21">
        <w:rPr>
          <w:rFonts w:ascii="Book Antiqua" w:hAnsi="Book Antiqua" w:cstheme="minorHAnsi"/>
          <w:sz w:val="24"/>
          <w:szCs w:val="24"/>
          <w:lang w:val="en-US"/>
        </w:rPr>
        <w:t xml:space="preserve">studied. Considering the </w:t>
      </w:r>
      <w:r w:rsidR="005A5B2D" w:rsidRPr="00C11F21">
        <w:rPr>
          <w:rFonts w:ascii="Book Antiqua" w:hAnsi="Book Antiqua" w:cstheme="minorHAnsi"/>
          <w:sz w:val="24"/>
          <w:szCs w:val="24"/>
          <w:lang w:val="en-US"/>
        </w:rPr>
        <w:t>substantial</w:t>
      </w:r>
      <w:r w:rsidR="00BA695B" w:rsidRPr="00C11F21">
        <w:rPr>
          <w:rFonts w:ascii="Book Antiqua" w:hAnsi="Book Antiqua" w:cstheme="minorHAnsi"/>
          <w:sz w:val="24"/>
          <w:szCs w:val="24"/>
          <w:lang w:val="en-US"/>
        </w:rPr>
        <w:t xml:space="preserve"> </w:t>
      </w:r>
      <w:r w:rsidR="00735F68" w:rsidRPr="00C11F21">
        <w:rPr>
          <w:rFonts w:ascii="Book Antiqua" w:hAnsi="Book Antiqua" w:cstheme="minorHAnsi"/>
          <w:sz w:val="24"/>
          <w:szCs w:val="24"/>
          <w:lang w:val="en-US"/>
        </w:rPr>
        <w:t>prevalence of</w:t>
      </w:r>
      <w:r w:rsidR="009E3F63" w:rsidRPr="00C11F21">
        <w:rPr>
          <w:rFonts w:ascii="Book Antiqua" w:hAnsi="Book Antiqua" w:cstheme="minorHAnsi"/>
          <w:sz w:val="24"/>
          <w:szCs w:val="24"/>
          <w:lang w:val="en-US"/>
        </w:rPr>
        <w:t xml:space="preserve"> this</w:t>
      </w:r>
      <w:r w:rsidR="00735F68" w:rsidRPr="00C11F21">
        <w:rPr>
          <w:rFonts w:ascii="Book Antiqua" w:hAnsi="Book Antiqua" w:cstheme="minorHAnsi"/>
          <w:sz w:val="24"/>
          <w:szCs w:val="24"/>
          <w:lang w:val="en-US"/>
        </w:rPr>
        <w:t xml:space="preserve"> SNP in Asian population</w:t>
      </w:r>
      <w:r w:rsidR="00BA695B" w:rsidRPr="00C11F21">
        <w:rPr>
          <w:rFonts w:ascii="Book Antiqua" w:hAnsi="Book Antiqua" w:cstheme="minorHAnsi"/>
          <w:sz w:val="24"/>
          <w:szCs w:val="24"/>
          <w:lang w:val="en-US"/>
        </w:rPr>
        <w:t>s</w:t>
      </w:r>
      <w:r w:rsidR="00735F68" w:rsidRPr="00C11F21">
        <w:rPr>
          <w:rFonts w:ascii="Book Antiqua" w:hAnsi="Book Antiqua" w:cstheme="minorHAnsi"/>
          <w:sz w:val="24"/>
          <w:szCs w:val="24"/>
          <w:lang w:val="en-US"/>
        </w:rPr>
        <w:t xml:space="preserve"> where </w:t>
      </w:r>
      <w:r w:rsidR="00BA695B" w:rsidRPr="00C11F21">
        <w:rPr>
          <w:rFonts w:ascii="Book Antiqua" w:hAnsi="Book Antiqua" w:cstheme="minorHAnsi"/>
          <w:sz w:val="24"/>
          <w:szCs w:val="24"/>
          <w:lang w:val="en-US"/>
        </w:rPr>
        <w:t>HBV</w:t>
      </w:r>
      <w:r w:rsidR="00735F68" w:rsidRPr="00C11F21">
        <w:rPr>
          <w:rFonts w:ascii="Book Antiqua" w:hAnsi="Book Antiqua" w:cstheme="minorHAnsi"/>
          <w:sz w:val="24"/>
          <w:szCs w:val="24"/>
          <w:lang w:val="en-US"/>
        </w:rPr>
        <w:t xml:space="preserve"> infection is endemic, the low prevalence </w:t>
      </w:r>
      <w:r w:rsidR="00BA695B" w:rsidRPr="00C11F21">
        <w:rPr>
          <w:rFonts w:ascii="Book Antiqua" w:hAnsi="Book Antiqua" w:cstheme="minorHAnsi"/>
          <w:sz w:val="24"/>
          <w:szCs w:val="24"/>
          <w:lang w:val="en-US"/>
        </w:rPr>
        <w:t>found</w:t>
      </w:r>
      <w:r w:rsidR="00735F68" w:rsidRPr="00C11F21">
        <w:rPr>
          <w:rFonts w:ascii="Book Antiqua" w:hAnsi="Book Antiqua" w:cstheme="minorHAnsi"/>
          <w:sz w:val="24"/>
          <w:szCs w:val="24"/>
          <w:lang w:val="en-US"/>
        </w:rPr>
        <w:t xml:space="preserve"> in our area may be associated with the low</w:t>
      </w:r>
      <w:r w:rsidR="00263BA2" w:rsidRPr="00C11F21">
        <w:rPr>
          <w:rFonts w:ascii="Book Antiqua" w:hAnsi="Book Antiqua" w:cstheme="minorHAnsi"/>
          <w:sz w:val="24"/>
          <w:szCs w:val="24"/>
          <w:lang w:val="en-US"/>
        </w:rPr>
        <w:t>er</w:t>
      </w:r>
      <w:r w:rsidR="00735F68" w:rsidRPr="00C11F21">
        <w:rPr>
          <w:rFonts w:ascii="Book Antiqua" w:hAnsi="Book Antiqua" w:cstheme="minorHAnsi"/>
          <w:sz w:val="24"/>
          <w:szCs w:val="24"/>
          <w:lang w:val="en-US"/>
        </w:rPr>
        <w:t xml:space="preserve"> incidence of HBV infection</w:t>
      </w:r>
      <w:r w:rsidR="001C0EB4" w:rsidRPr="00C11F21">
        <w:rPr>
          <w:rFonts w:ascii="Book Antiqua" w:hAnsi="Book Antiqua" w:cstheme="minorHAnsi"/>
          <w:sz w:val="24"/>
          <w:szCs w:val="24"/>
          <w:lang w:val="en-US"/>
        </w:rPr>
        <w:fldChar w:fldCharType="begin" w:fldLock="1"/>
      </w:r>
      <w:r w:rsidR="001C0EB4" w:rsidRPr="00C11F21">
        <w:rPr>
          <w:rFonts w:ascii="Book Antiqua" w:hAnsi="Book Antiqua" w:cstheme="minorHAnsi"/>
          <w:sz w:val="24"/>
          <w:szCs w:val="24"/>
          <w:lang w:val="en-US"/>
        </w:rPr>
        <w:instrText>ADDIN CSL_CITATION { "citationItems" : [ { "id" : "ITEM-1", "itemData" : { "DOI" : "10.1016/j.vaccine.2011.12.116", "ISBN" : "1873-2518 (Electronic)\\n0264-410X (Linking)", "ISSN" : "1873-2518", "PMID" : "22273662", "abstract" : "OBJECTIVE: Chronic hepatitis B virus infection is one of the most serious infections and a major risk factor for deaths from cirrhosis and liver cancer. We estimate age-, sex- and region-specific prevalence of chronic HBV infection and calculate the absolute number of persons being chronically infected. METHODS: A systematic review of the literature for studies reporting HBV infection was conducted and worldwide HBsAg seroprevalence data was collected over a 27-year period (1980-2007). Based on observed data, age-specific prevalence and endemicity were estimated on a global level and for all world regions for 1990 and 2005 using an empirical Bayesian hierarchical model. FINDINGS: From 1990 to 2005, the prevalence of chronic HBV infection decreased in most regions. This was particularly evident in Central sub-Saharan Africa, Tropical and Central Latin America, South East Asia and Central Europe. Despite this decrease in prevalence, the absolute number of HBsAg positive persons increased from 223 million in 1990 to 240 million in 2005. Age-specific prevalence varied by geographical region with highest endemicity levels in sub-Saharan Africa and prevalence below 2% in regions such as Tropical and Central Latin America, North America and Western Europe. Asian regions showed distinct prevalence patterns with lower intermediate prevalence in South Asia, but up to 8.6% HBsAg prevalence in East Asia. Strong declines were seen in South East Asian children. CONCLUSION: Declines in HBV infection prevalence may be related to expanded immunization. The increasing overall number of individuals being chronically infected with HBV, and the widespread global differences in HBV prevalence call for targeted approaches to tackle HBV-related mortality and morbidity. HBV infection prevalence data are needed at country and sub-national level to estimate disease burden and guide health and vaccine policy.", "author" : [ { "dropping-particle" : "", "family" : "Ott", "given" : "J. J.", "non-dropping-particle" : "", "parse-names" : false, "suffix" : "" }, { "dropping-particle" : "", "family" : "Stevens", "given" : "G. a.", "non-dropping-particle" : "", "parse-names" : false, "suffix" : "" }, { "dropping-particle" : "", "family" : "Groeger", "given" : "J.", "non-dropping-particle" : "", "parse-names" : false, "suffix" : "" }, { "dropping-particle" : "", "family" : "Wiersma", "given" : "S. T.", "non-dropping-particle" : "", "parse-names" : false, "suffix" : "" } ], "container-title" : "Vaccine", "id" : "ITEM-1", "issue" : "12", "issued" : { "date-parts" : [ [ "2012", "3" ] ] }, "page" : "2212-2219", "publisher" : "Elsevier Ltd", "title" : "Global epidemiology of hepatitis B virus infection: New estimates of age-specific HBsAg seroprevalence and endemicity", "type" : "article-journal", "volume" : "30" }, "uris" : [ "http://www.mendeley.com/documents/?uuid=52ddbfbf-61f8-427e-b385-c1eca53e0a50", "http://www.mendeley.com/documents/?uuid=d7bb6e38-8e81-4091-81a6-27528efc7f94" ] } ], "mendeley" : { "formattedCitation" : "&lt;sup&gt;[51]&lt;/sup&gt;", "plainTextFormattedCitation" : "[51]", "previouslyFormattedCitation" : "&lt;sup&gt;[52]&lt;/sup&gt;" }, "properties" : {  }, "schema" : "https://github.com/citation-style-language/schema/raw/master/csl-citation.json" }</w:instrText>
      </w:r>
      <w:r w:rsidR="001C0EB4" w:rsidRPr="00C11F21">
        <w:rPr>
          <w:rFonts w:ascii="Book Antiqua" w:hAnsi="Book Antiqua" w:cstheme="minorHAnsi"/>
          <w:sz w:val="24"/>
          <w:szCs w:val="24"/>
          <w:lang w:val="en-US"/>
        </w:rPr>
        <w:fldChar w:fldCharType="separate"/>
      </w:r>
      <w:r w:rsidR="001C0EB4" w:rsidRPr="00C11F21">
        <w:rPr>
          <w:rFonts w:ascii="Book Antiqua" w:hAnsi="Book Antiqua" w:cstheme="minorHAnsi"/>
          <w:noProof/>
          <w:sz w:val="24"/>
          <w:szCs w:val="24"/>
          <w:vertAlign w:val="superscript"/>
          <w:lang w:val="en-US"/>
        </w:rPr>
        <w:t>[51]</w:t>
      </w:r>
      <w:r w:rsidR="001C0EB4" w:rsidRPr="00C11F21">
        <w:rPr>
          <w:rFonts w:ascii="Book Antiqua" w:hAnsi="Book Antiqua" w:cstheme="minorHAnsi"/>
          <w:sz w:val="24"/>
          <w:szCs w:val="24"/>
          <w:lang w:val="en-US"/>
        </w:rPr>
        <w:fldChar w:fldCharType="end"/>
      </w:r>
      <w:r w:rsidR="00263BA2" w:rsidRPr="00C11F21">
        <w:rPr>
          <w:rFonts w:ascii="Book Antiqua" w:hAnsi="Book Antiqua" w:cstheme="minorHAnsi"/>
          <w:sz w:val="24"/>
          <w:szCs w:val="24"/>
          <w:lang w:val="en-US"/>
        </w:rPr>
        <w:t>.</w:t>
      </w:r>
      <w:r w:rsidR="001C0EB4" w:rsidRPr="00C11F21">
        <w:rPr>
          <w:rFonts w:ascii="Book Antiqua" w:hAnsi="Book Antiqua" w:cstheme="minorHAnsi"/>
          <w:sz w:val="24"/>
          <w:szCs w:val="24"/>
          <w:lang w:val="en-US"/>
        </w:rPr>
        <w:t xml:space="preserve"> </w:t>
      </w:r>
    </w:p>
    <w:p w14:paraId="478CFEC8" w14:textId="76E4DF9B" w:rsidR="00735F68" w:rsidRPr="00C11F21" w:rsidRDefault="00FA1797" w:rsidP="001C0EB4">
      <w:pPr>
        <w:snapToGrid w:val="0"/>
        <w:spacing w:after="0" w:line="360" w:lineRule="auto"/>
        <w:ind w:firstLineChars="100" w:firstLine="240"/>
        <w:jc w:val="both"/>
        <w:rPr>
          <w:rFonts w:ascii="Book Antiqua" w:hAnsi="Book Antiqua" w:cstheme="minorHAnsi"/>
          <w:sz w:val="24"/>
          <w:szCs w:val="24"/>
          <w:lang w:val="en-US"/>
        </w:rPr>
      </w:pPr>
      <w:r w:rsidRPr="00C11F21">
        <w:rPr>
          <w:rFonts w:ascii="Book Antiqua" w:hAnsi="Book Antiqua" w:cstheme="minorHAnsi"/>
          <w:sz w:val="24"/>
          <w:szCs w:val="24"/>
          <w:lang w:val="en-US"/>
        </w:rPr>
        <w:t xml:space="preserve">Although </w:t>
      </w:r>
      <w:r w:rsidR="00263BA2" w:rsidRPr="00C11F21">
        <w:rPr>
          <w:rFonts w:ascii="Book Antiqua" w:hAnsi="Book Antiqua" w:cstheme="minorHAnsi"/>
          <w:sz w:val="24"/>
          <w:szCs w:val="24"/>
          <w:lang w:val="en-US"/>
        </w:rPr>
        <w:t xml:space="preserve">the </w:t>
      </w:r>
      <w:r w:rsidR="00BA695B" w:rsidRPr="00C11F21">
        <w:rPr>
          <w:rFonts w:ascii="Book Antiqua" w:hAnsi="Book Antiqua" w:cstheme="minorHAnsi"/>
          <w:sz w:val="24"/>
          <w:szCs w:val="24"/>
          <w:lang w:val="en-US"/>
        </w:rPr>
        <w:t xml:space="preserve">rs2296651 </w:t>
      </w:r>
      <w:r w:rsidR="00263BA2" w:rsidRPr="00C11F21">
        <w:rPr>
          <w:rFonts w:ascii="Book Antiqua" w:hAnsi="Book Antiqua" w:cstheme="minorHAnsi"/>
          <w:sz w:val="24"/>
          <w:szCs w:val="24"/>
          <w:lang w:val="en-US"/>
        </w:rPr>
        <w:t xml:space="preserve">SNP </w:t>
      </w:r>
      <w:r w:rsidRPr="00C11F21">
        <w:rPr>
          <w:rFonts w:ascii="Book Antiqua" w:hAnsi="Book Antiqua" w:cstheme="minorHAnsi"/>
          <w:sz w:val="24"/>
          <w:szCs w:val="24"/>
          <w:lang w:val="en-US"/>
        </w:rPr>
        <w:t xml:space="preserve">seems to be absent </w:t>
      </w:r>
      <w:r w:rsidR="00263BA2" w:rsidRPr="00C11F21">
        <w:rPr>
          <w:rFonts w:ascii="Book Antiqua" w:hAnsi="Book Antiqua" w:cstheme="minorHAnsi"/>
          <w:sz w:val="24"/>
          <w:szCs w:val="24"/>
          <w:lang w:val="en-US"/>
        </w:rPr>
        <w:t xml:space="preserve">in the </w:t>
      </w:r>
      <w:r w:rsidR="00640CB3" w:rsidRPr="00C11F21">
        <w:rPr>
          <w:rFonts w:ascii="Book Antiqua" w:hAnsi="Book Antiqua" w:cstheme="minorHAnsi"/>
          <w:sz w:val="24"/>
          <w:szCs w:val="24"/>
          <w:lang w:val="en-US"/>
        </w:rPr>
        <w:t xml:space="preserve">chronic </w:t>
      </w:r>
      <w:r w:rsidR="00263BA2" w:rsidRPr="00C11F21">
        <w:rPr>
          <w:rFonts w:ascii="Book Antiqua" w:hAnsi="Book Antiqua" w:cstheme="minorHAnsi"/>
          <w:sz w:val="24"/>
          <w:szCs w:val="24"/>
          <w:lang w:val="en-US"/>
        </w:rPr>
        <w:t>HBV</w:t>
      </w:r>
      <w:r w:rsidR="00640CB3" w:rsidRPr="00C11F21">
        <w:rPr>
          <w:rFonts w:ascii="Book Antiqua" w:hAnsi="Book Antiqua" w:cstheme="minorHAnsi"/>
          <w:sz w:val="24"/>
          <w:szCs w:val="24"/>
          <w:lang w:val="en-US"/>
        </w:rPr>
        <w:t>-infected</w:t>
      </w:r>
      <w:r w:rsidR="00263BA2" w:rsidRPr="00C11F21">
        <w:rPr>
          <w:rFonts w:ascii="Book Antiqua" w:hAnsi="Book Antiqua" w:cstheme="minorHAnsi"/>
          <w:sz w:val="24"/>
          <w:szCs w:val="24"/>
          <w:lang w:val="en-US"/>
        </w:rPr>
        <w:t xml:space="preserve"> population attended in our setting, m</w:t>
      </w:r>
      <w:r w:rsidR="00263BA2" w:rsidRPr="00C11F21">
        <w:rPr>
          <w:rFonts w:ascii="Book Antiqua" w:hAnsi="Book Antiqua" w:cs="TimesNewRoman,Bold"/>
          <w:bCs/>
          <w:sz w:val="24"/>
          <w:szCs w:val="24"/>
          <w:lang w:val="en-US"/>
        </w:rPr>
        <w:t xml:space="preserve">ultiple SNPs </w:t>
      </w:r>
      <w:r w:rsidR="00263BA2" w:rsidRPr="00C11F21">
        <w:rPr>
          <w:rFonts w:ascii="Book Antiqua" w:hAnsi="Book Antiqua" w:cstheme="minorHAnsi"/>
          <w:sz w:val="24"/>
          <w:szCs w:val="24"/>
          <w:lang w:val="en-US"/>
        </w:rPr>
        <w:t xml:space="preserve">in </w:t>
      </w:r>
      <w:r w:rsidR="00263BA2" w:rsidRPr="00C11F21">
        <w:rPr>
          <w:rFonts w:ascii="Book Antiqua" w:hAnsi="Book Antiqua" w:cstheme="minorHAnsi"/>
          <w:i/>
          <w:sz w:val="24"/>
          <w:szCs w:val="24"/>
          <w:lang w:val="en-US"/>
        </w:rPr>
        <w:t>SLC10A1</w:t>
      </w:r>
      <w:r w:rsidR="00263BA2" w:rsidRPr="00C11F21">
        <w:rPr>
          <w:rFonts w:ascii="Book Antiqua" w:hAnsi="Book Antiqua" w:cstheme="minorHAnsi"/>
          <w:sz w:val="24"/>
          <w:szCs w:val="24"/>
          <w:lang w:val="en-US"/>
        </w:rPr>
        <w:t xml:space="preserve"> have been found at relatively high allele frequencies in certain ethnic populations</w:t>
      </w:r>
      <w:r w:rsidR="001C0EB4" w:rsidRPr="00C11F21">
        <w:rPr>
          <w:rFonts w:ascii="Book Antiqua" w:hAnsi="Book Antiqua" w:cstheme="minorHAnsi"/>
          <w:sz w:val="24"/>
          <w:szCs w:val="24"/>
          <w:lang w:val="en-US"/>
        </w:rPr>
        <w:fldChar w:fldCharType="begin" w:fldLock="1"/>
      </w:r>
      <w:r w:rsidR="001C0EB4" w:rsidRPr="00C11F21">
        <w:rPr>
          <w:rFonts w:ascii="Book Antiqua" w:hAnsi="Book Antiqua" w:cstheme="minorHAnsi"/>
          <w:sz w:val="24"/>
          <w:szCs w:val="24"/>
          <w:lang w:val="en-US"/>
        </w:rPr>
        <w:instrText>ADDIN CSL_CITATION { "citationItems" : [ { "id" : "ITEM-1", "itemData" : { "DOI" : "10.1074/jbc.M305782200", "ISBN" : "6153437605", "ISSN" : "0021-9258", "PMID" : "14660639", "abstract" : "The key transporter responsible for hepatic uptake of bile acids from portal circulation is Na+-taurocholate cotransporting polypeptide (NTCP, SLC10A1). This transporter is thought to be critical for the maintenance of enterohepatic recirculation of bile acids and hepatocyte function. Therefore, functionally relevant polymorphisms in this transporter would be predicted to have an important impact on bile acid homeostasis/liver function. However, little is known regarding genetic heterogeneity in NTCP. In this study, we demonstrate the presence of multiple single nucleotide polymorphisms in NTCP in populations of European, African, Chinese, and Hispanic Americans. Specifically four nonsynonymous single nucleotide polymorphisms associated with a significant loss of transport function were identified. Cell surface biotinylation experiments indicated that the altered transport activity of T668C (Ile223--&gt;Thr), a variant seen only in African Americans, was due at least in part to decreased plasma membrane expression. Similar expression patterns were observed when the variant alleles were expressed in HepG2 cells, and plasma membrane expression was assessed using immunofluorescence confocal microscopy. Interestingly the C800T (Ser267--&gt;Phe) variant, seen only in Chinese Americans, exhibited a near complete loss of function for bile acid uptake yet fully normal transport function for the non-bile acid substrate estrone sulfate, suggesting this position may be part of a region in the transporter critical and specific for bile acid substrate recognition. Accordingly, our study indicates functionally important polymorphisms in NTCP exist and that the likelihood of being carriers of such polymorphisms is dependent on ethnicity.", "author" : [ { "dropping-particle" : "", "family" : "Ho", "given" : "Richard H.", "non-dropping-particle" : "", "parse-names" : false, "suffix" : "" }, { "dropping-particle" : "", "family" : "Leake", "given" : "Brenda F.", "non-dropping-particle" : "", "parse-names" : false, "suffix" : "" }, { "dropping-particle" : "", "family" : "Roberts", "given" : "Richard L.", "non-dropping-particle" : "", "parse-names" : false, "suffix" : "" }, { "dropping-particle" : "", "family" : "Lee", "given" : "Wooin", "non-dropping-particle" : "", "parse-names" : false, "suffix" : "" }, { "dropping-particle" : "", "family" : "Kim", "given" : "Richard B.", "non-dropping-particle" : "", "parse-names" : false, "suffix" : "" } ], "container-title" : "The Journal of biological chemistry", "id" : "ITEM-1", "issue" : "8", "issued" : { "date-parts" : [ [ "2004", "2", "20" ] ] }, "page" : "7213-22", "title" : "Ethnicity-dependent polymorphism in Na+-taurocholate cotransporting polypeptide (SLC10A1) reveals a domain critical for bile acid substrate recognition.", "type" : "article-journal", "volume" : "279" }, "uris" : [ "http://www.mendeley.com/documents/?uuid=2f919f57-7d9d-4115-80c1-795627b625e5" ] }, { "id" : "ITEM-2", "itemData" : { "DOI" : "10.3109/00498254.2011.555567", "ISBN" : "0049-8254", "ISSN" : "1366-5928", "PMID" : "21341987", "abstract" : "Genetic variants of Na(+)-taurocholate co-transporting polypeptide (NTCP; SLC10A1) and ileal apical sodium-dependent bile acid transporter (ASBT; SLC10A2), which greatly contribute to bile acid homeostasis, were extensively explored in the Korean population and functional variants of NTCP were compared among Asian populations. From direct DNA sequencing, six SNPs were identified in the SLC10A1 gene and 14 SNPs in the SLC10A2 gene. Three of seven coding variants were non-synonymous SNPs: two variants from SLC10A1 (A64T, S267F) and one from SLC10A2 (A171S). No linkage was analysed in the SLC10A1 gene because of low frequencies of genetic variants, and the SLC10A2 gene was composed of two separated linkage disequilibrium blocks contrary to the white population. The stably transfected NTCP-A64T variant showed significantly decreased uptakes of taurocholate and rosuvastatin compared with wild-type NTCP. The decreased taurocholate uptake and increased rosuvastatin uptake were shown in the NTCP-S267F variant. The allele frequencies of these functional variants were 1.0% and 3.1%, respectively, in a Korean population. However, NTCP-A64T was not found in Chinese and Vietnamese subjects. The frequency distribution of NTCP-S267F in Koreans was significantly lower than those in Chinese and Vietnamese populations. Our data suggest that NTCP-A64T and -S267F variants cause substrate-dependent functional change in vitro, and show ethnic difference in their allelic frequencies among Asian populations although the clinical relevance of these variants is remained to be evaluated.", "author" : [ { "dropping-particle" : "", "family" : "Pan", "given" : "Wei", "non-dropping-particle" : "", "parse-names" : false, "suffix" : "" }, { "dropping-particle" : "", "family" : "Song", "given" : "Im-Sook", "non-dropping-particle" : "", "parse-names" : false, "suffix" : "" }, { "dropping-particle" : "", "family" : "Shin", "given" : "Ho-Jung", "non-dropping-particle" : "", "parse-names" : false, "suffix" : "" }, { "dropping-particle" : "", "family" : "Kim", "given" : "Min-Hye", "non-dropping-particle" : "", "parse-names" : false, "suffix" : "" }, { "dropping-particle" : "", "family" : "Choi", "given" : "Yeong-Lim", "non-dropping-particle" : "", "parse-names" : false, "suffix" : "" }, { "dropping-particle" : "", "family" : "Lim", "given" : "Su-Jeong", "non-dropping-particle" : "", "parse-names" : false, "suffix" : "" }, { "dropping-particle" : "", "family" : "Kim", "given" : "Woo-Young", "non-dropping-particle" : "", "parse-names" : false, "suffix" : "" }, { "dropping-particle" : "", "family" : "Lee", "given" : "Sang-Seop", "non-dropping-particle" : "", "parse-names" : false, "suffix" : "" }, { "dropping-particle" : "", "family" : "Shin", "given" : "Jae-Gook", "non-dropping-particle" : "", "parse-names" : false, "suffix" : "" } ], "container-title" : "Xenobiotica; the fate of foreign compounds in biological systems", "id" : "ITEM-2", "issue" : "6", "issued" : { "date-parts" : [ [ "2011" ] ] }, "page" : "501-10", "title" : "Genetic polymorphisms in Na+-taurocholate co-transporting polypeptide (NTCP) and ileal apical sodium-dependent bile acid transporter (ASBT) and ethnic comparisons of functional variants of NTCP among Asian populations.", "type" : "article-journal", "volume" : "41" }, "uris" : [ "http://www.mendeley.com/documents/?uuid=bd0a1e5f-4cc8-4098-bd80-f0134f6098c6" ] }, { "id" : "ITEM-3", "itemData" : { "DOI" : "10.1016/j.meegid.2016.07.043", "ISSN" : "1567-7257", "PMID" : "27491457", "abstract" : "The Na/taurocholate cotransporter NTCP (encoded by SLC10A1) was identified as a cellular entry receptor for the human hepatitis B virus (HBV), advancing our understanding of the molecular mechanism of HBV infection. An alternative hypothesis was put forward that regulatory variants in SLC10A1 might play an important role in HBV susceptibility by potentially influencing expression levels of NTCP. The three regulatory SNPs (rs8011311, rs7154439, rs111409076) were genotyped in 1023 HBV-persistent carriers, 735 subjects with HBV natural clearance and 732 HBV marker-negative subjects in a Han Chinese population. Real-time reverse transcription PCR analysis and luciferase assays have been performed to dissect the potential functionality. In logistic regression analysis, when subjects with HBV natural clearance were compared with HBV marker-negative subjects, no significant associations with the risk of HBV infection were observed for any of the three SNPs after adjusting for age, sex, smoking status and alcohol consumption (P&gt;0.05). Similar negative results were also found for the three SNPs when HBV-persistent carriers were compared with HBV marker-negative subjects. Likewise, no significant associations with the risk of HBV clearance were observed when HBV-persistent carriers were compared with subjects with HBV natural clearance (P&gt;0.05). Quantitative RT/PCR showed no significant difference in NTCP expression levels in normal liver tissue amongst individuals with different rs111409076 genotypes (P=0.317 for the general linear model). Moreover, no evident effect of the SLC10A1 rs111409076 AACA/- polymorphism on transcriptional activity was found by luciferase assay in either HepG2 (P=0.161) or Hep3b (P=0.129) cell lines. The present study indicated that the common variants in the regulatory region of SLC10A1 may not influence the expression of NTCP at the level of transcriptional regulation, and ultimately may not be associated with HBV susceptibility in this Chinese population.", "author" : [ { "dropping-particle" : "", "family" : "Chen", "given" : "Xueqin", "non-dropping-particle" : "", "parse-names" : false, "suffix" : "" }, { "dropping-particle" : "", "family" : "Wang", "given" : "Ying", "non-dropping-particle" : "", "parse-names" : false, "suffix" : "" }, { "dropping-particle" : "", "family" : "Chen", "given" : "Xiaohua", "non-dropping-particle" : "", "parse-names" : false, "suffix" : "" }, { "dropping-particle" : "", "family" : "Cheng", "given" : "Kailiang", "non-dropping-particle" : "", "parse-names" : false, "suffix" : "" }, { "dropping-particle" : "", "family" : "Li", "given" : "Jiaoyuan", "non-dropping-particle" : "", "parse-names" : false, "suffix" : "" }, { "dropping-particle" : "", "family" : "Lou", "given" : "Jiao", "non-dropping-particle" : "", "parse-names" : false, "suffix" : "" }, { "dropping-particle" : "", "family" : "Ke", "given" : "Juntao", "non-dropping-particle" : "", "parse-names" : false, "suffix" : "" }, { "dropping-particle" : "", "family" : "Yang", "given" : "Yang", "non-dropping-particle" : "", "parse-names" : false, "suffix" : "" }, { "dropping-particle" : "", "family" : "Gong", "given" : "Yajie", "non-dropping-particle" : "", "parse-names" : false, "suffix" : "" }, { "dropping-particle" : "", "family" : "Zhu", "given" : "Ying", "non-dropping-particle" : "", "parse-names" : false, "suffix" : "" }, { "dropping-particle" : "", "family" : "Wang", "given" : "Li", "non-dropping-particle" : "", "parse-names" : false, "suffix" : "" }, { "dropping-particle" : "", "family" : "Zhong", "given" : "Rong", "non-dropping-particle" : "", "parse-names" : false, "suffix" : "" } ], "container-title" : "Infection, genetics and evolution : journal of molecular epidemiology and evolutionary genetics in infectious diseases", "id" : "ITEM-3", "issued" : { "date-parts" : [ [ "2016", "10" ] ] }, "page" : "495-500", "publisher" : "Elsevier B.V.", "title" : "Genetic variants in the regulatory region of SLC10A1 are not associated with the risk of hepatitis B virus infection and clearance.", "type" : "article-journal", "volume" : "44" }, "uris" : [ "http://www.mendeley.com/documents/?uuid=2f13eaca-0561-48f9-bd96-17ac6243cc33" ] }, { "id" : "ITEM-4", "itemData" : { "DOI" : "10.1136/gutjnl-2015-310686", "ISSN" : "1468-3288", "PMID" : "26642861", "abstract" : "OBJECTIVE The sodium taurocholate co-transporting polypeptide (NTCP), encoded by SLC10A1, was recently identified as a receptor for HBV. We assessed the association of the p.Ser267Phe variant (rs2296651) with chronic hepatitis B (CHB) serostatus, cirrhosis and hepatocellular carcinoma (HCC) in patients with CHB. DESIGN The variant was genotyped in 3801 patients with CHB and 3801 matched hepatitis B surface antigen (HBsAg) seronegative individuals. ORs with 95% CIs for the variant's association with CHB, cirrhosis and HCC were estimated using logistic regression. RESULTS In patients with CHB, the S267F variant was observed in 515 (18.5%) controls, 40 (17.2%) cirrhosis only cases, 49 (13.2%) non-cirrhotic HCC cases, and 52 (12.7%) cirrhotic-HCC cases. After adjustment for known risk factors, S267F was significantly associated with decreased risk for cirrhosis (OR 0.65 (95% CI 0.49 to 0.86), p=0.002) and HCC (OR 0.55 (95% CI 0.42 to 0.72), p&lt;0.001). This association persisted for non-cirrhotic and cirrhotic-HCC. Compared with patients with HBV DNA levels greater than 10(5) copies/mL who carried the GG genotype, patients who had undetectable HBV DNA and the GA or AA genotypes had a 25-fold decreased risk of developing HCC (OR 0.04 (95% CI 0.02 to 0.11), p&lt;0.001). The AA genotype was also associated with HBsAg seronegativity (OR 0.13 (95% CI 0.05 to 0.34), p&lt;0.001). CONCLUSIONS The SLC10A1 (NTCP) S267F variant is independently associated with decreased risk of cirrhosis and HCC, and resistance to CHB infection. Together with serum HBV DNA levels, S267F may help to identify patients with CHB with very low risk of HCC.", "author" : [ { "dropping-particle" : "", "family" : "Hu", "given" : "Hui-han", "non-dropping-particle" : "", "parse-names" : false, "suffix" : "" }, { "dropping-particle" : "", "family" : "Liu", "given" : "Jessica", "non-dropping-particle" : "", "parse-names" : false, "suffix" : "" }, { "dropping-particle" : "", "family" : "Lin", "given" : "Yu-ling", "non-dropping-particle" : "", "parse-names" : false, "suffix" : "" }, { "dropping-particle" : "", "family" : "Luo", "given" : "Wun-sheng", "non-dropping-particle" : "", "parse-names" : false, "suffix" : "" }, { "dropping-particle" : "", "family" : "Chu", "given" : "Yu-ju", "non-dropping-particle" : "", "parse-names" : false, "suffix" : "" }, { "dropping-particle" : "", "family" : "Chang", "given" : "Chia-lin", "non-dropping-particle" : "", "parse-names" : false, "suffix" : "" }, { "dropping-particle" : "", "family" : "Jen", "given" : "Chin-lan", "non-dropping-particle" : "", "parse-names" : false, "suffix" : "" }, { "dropping-particle" : "", "family" : "Lee", "given" : "Mei-hsuan", "non-dropping-particle" : "", "parse-names" : false, "suffix" : "" }, { "dropping-particle" : "", "family" : "Lu", "given" : "Sheng-nan", "non-dropping-particle" : "", "parse-names" : false, "suffix" : "" }, { "dropping-particle" : "", "family" : "Wang", "given" : "Li-yu", "non-dropping-particle" : "", "parse-names" : false, "suffix" : "" }, { "dropping-particle" : "", "family" : "You", "given" : "San-lin", "non-dropping-particle" : "", "parse-names" : false, "suffix" : "" }, { "dropping-particle" : "", "family" : "Yang", "given" : "Hwai-i", "non-dropping-particle" : "", "parse-names" : false, "suffix" : "" }, { "dropping-particle" : "", "family" : "Chen", "given" : "Chien-jen", "non-dropping-particle" : "", "parse-names" : false, "suffix" : "" }, { "dropping-particle" : "", "family" : "REVEAL-HBV Study Group", "given" : "", "non-dropping-particle" : "", "parse-names" : false, "suffix" : "" } ], "container-title" : "Gut", "id" : "ITEM-4", "issue" : "9", "issued" : { "date-parts" : [ [ "2016", "9" ] ] }, "page" : "1514-21", "title" : "The rs2296651 (S267F) variant on NTCP (SLC10A1) is inversely associated with chronic hepatitis B and progression to cirrhosis and hepatocellular carcinoma in patients with chronic hepatitis B.", "type" : "article-journal", "volume" : "65" }, "uris" : [ "http://www.mendeley.com/documents/?uuid=c41d825c-e602-42d0-85b5-69823761bafb" ] }, { "id" : "ITEM-5", "itemData" : { "DOI" : "10.1089/gtmb.2013.0491", "ISSN" : "1945-0257", "PMID" : "24735529", "abstract" : "Background: Sodium taurocholate cotransporting polypeptide (NTCP) plays an important role in the enterohepatic circulation of bile acids and hepatocyte function and was recently proposed to be a functional receptor for hepatitis B virus (HBV). Objective: This study investigated the association of the functional polymorphism c.800C&gt;T (p.S267F) (rs2296651) of the NTCP gene with HBV infection. Methods: The study included 244 patients with chronic HBV infection, 76 HBV infection resolvers, and 113 healthy controls. The polymorphism was genotyped using the polymerase chain reaction-restriction fragment length polymorphism method. Results: The distribution of the genotype and allele frequency of rs2296651 polymorphism was significantly different among the HBV patients, HBV infection resolvers, and healthy controls (p=0.034 and p=0.039, respectively). The frequency of genotype CT in HBV patients was significantly higher than that in healthy controls (11.9% vs. 4.4%, p=0.026, odds ratios [OR]=2.913, 95% confidence intervals [95% CI]=1.097-7.738). The frequency of allele T in HBV patients was also significantly higher than that in healthy controls (5.9% vs. 2.2%, p=0.029, OR=2.793, 95% CI=1.067-7.312). The frequency of genotype CT and allele T in HBV patients was higher than that in HBV infection resolvers although the difference was not significant. The genotype and allele frequency between infection resolvers and healthy controls and between HBV patients with different clinical diseases had no significant difference. Conclusion: These findings suggest that the rs2296651 polymorphism may predispose the susceptibility to and chronicity of HBV infection.", "author" : [ { "dropping-particle" : "", "family" : "Li", "given" : "Na", "non-dropping-particle" : "", "parse-names" : false, "suffix" : "" }, { "dropping-particle" : "", "family" : "Zhang", "given" : "Pingping", "non-dropping-particle" : "", "parse-names" : false, "suffix" : "" }, { "dropping-particle" : "", "family" : "Yang", "given" : "Cuiling", "non-dropping-particle" : "", "parse-names" : false, "suffix" : "" }, { "dropping-particle" : "", "family" : "Zhu", "given" : "Qianqian", "non-dropping-particle" : "", "parse-names" : false, "suffix" : "" }, { "dropping-particle" : "", "family" : "Li", "given" : "Zhu", "non-dropping-particle" : "", "parse-names" : false, "suffix" : "" }, { "dropping-particle" : "", "family" : "Li", "given" : "Fang", "non-dropping-particle" : "", "parse-names" : false, "suffix" : "" }, { "dropping-particle" : "", "family" : "Han", "given" : "Qunying", "non-dropping-particle" : "", "parse-names" : false, "suffix" : "" }, { "dropping-particle" : "", "family" : "Wang", "given" : "Yawen", "non-dropping-particle" : "", "parse-names" : false, "suffix" : "" }, { "dropping-particle" : "", "family" : "Lv", "given" : "Yi", "non-dropping-particle" : "", "parse-names" : false, "suffix" : "" }, { "dropping-particle" : "", "family" : "Wei", "given" : "Ping", "non-dropping-particle" : "", "parse-names" : false, "suffix" : "" }, { "dropping-particle" : "", "family" : "Liu", "given" : "Zhengwen", "non-dropping-particle" : "", "parse-names" : false, "suffix" : "" } ], "container-title" : "Genetic testing and molecular biomarkers", "id" : "ITEM-5", "issue" : "6", "issued" : { "date-parts" : [ [ "2014" ] ] }, "page" : "425-9", "title" : "Association of genetic variation of sodium taurocholate cotransporting polypeptide with chronic hepatitis B virus infection.", "type" : "article-journal", "volume" : "18" }, "uris" : [ "http://www.mendeley.com/documents/?uuid=8eb07e90-b6cc-48a5-9b76-9905f52cadde" ] }, { "id" : "ITEM-6", "itemData" : { "DOI" : "10.1002/hep.27608", "ISSN" : "02709139", "abstract" : "In the past 50 years there have been considerable efforts to identify the cellular receptor of hepatitis B virus (HBV). Recently, in vitro evidence from several groups has shown that the sodium\u2013taurocholate cotransporting polypeptide (NTCP, which is encoded by SLC10A1 and transports bile acids into hepatic cells in enterohepatic recirculation) is a strong candidate. In particular, in vitro the p.Ser267Phe variation of SLC10A1 results in loss of HBV receptor function. We tested the role of NTCP as a receptor for HBV in chronic hepatitis B patients using a genetic association study. We selected SLC10A1 variants from 189 exomes. We used Sanger sequencing to follow up the association of the various SLC10A1 variants in a Han Chinese cohort of 1899 chronic hepatitis B patients and 1828 healthy controls. We further investigated the potential impact of the p.Ser267Phe variant on NTCP function using structural analysis. The p.Ser267Phe variant was associated with healthy status (P = 5.7 \u00d7 10\u221223, odds ratio = 0.36) irrespective of hepatitis B virus surface antibody status (P = 6.2 \u00d7 10\u221221 and 1.5 \u00d7 10\u221210, respectively, when the cases were compared with hepatitis B virus surface antibody\u2013positive and \u2013negative controls). The variation was also associated with a lower incidence of acute-on-chronic liver failure (P = 0.007). The estimated heritability explained by this single variation was \u223c3.2%. The population prevented fraction was around 13.0% among the southern Chinese. Our structural modeling showed that the p.Ser267Phe variant might interfere with ligand binding, thereby preventing HBV from cellular entry. Conclusion: The p.Ser267Phe NTCP variant is significantly associated with resistance to chronic hepatitis B and a lower incidence of acute-on-chronic liver failure. Our results support that NTCP is a cellular receptor for HBV in human infection. (Hepatology 2015;61:1251\u20131260)", "author" : [ { "dropping-particle" : "", "family" : "Peng", "given" : "Liang", "non-dropping-particle" : "", "parse-names" : false, "suffix" : "" }, { "dropping-particle" : "", "family" : "Zhao", "given" : "Qiang", "non-dropping-particle" : "", "parse-names" : false, "suffix" : "" }, { "dropping-particle" : "", "family" : "Li", "given" : "Qibin", "non-dropping-particle" : "", "parse-names" : false, "suffix" : "" }, { "dropping-particle" : "", "family" : "Li", "given" : "Miaoxin", "non-dropping-particle" : "", "parse-names" : false, "suffix" : "" }, { "dropping-particle" : "", "family" : "Li", "given" : "Caixia", "non-dropping-particle" : "", "parse-names" : false, "suffix" : "" }, { "dropping-particle" : "", "family" : "Xu", "given" : "Tingting", "non-dropping-particle" : "", "parse-names" : false, "suffix" : "" }, { "dropping-particle" : "", "family" : "Jing", "given" : "Xiangyi", "non-dropping-particle" : "", "parse-names" : false, "suffix" : "" }, { "dropping-particle" : "", "family" : "Zhu", "given" : "Xiang", "non-dropping-particle" : "", "parse-names" : false, "suffix" : "" }, { "dropping-particle" : "", "family" : "Wang", "given" : "Ye", "non-dropping-particle" : "", "parse-names" : false, "suffix" : "" }, { "dropping-particle" : "", "family" : "Li", "given" : "Fucheng", "non-dropping-particle" : "", "parse-names" : false, "suffix" : "" }, { "dropping-particle" : "", "family" : "Liu", "given" : "Ruihong", "non-dropping-particle" : "", "parse-names" : false, "suffix" : "" }, { "dropping-particle" : "", "family" : "Zhong", "given" : "Cheng", "non-dropping-particle" : "", "parse-names" : false, "suffix" : "" }, { "dropping-particle" : "", "family" : "Pan", "given" : "Qihao", "non-dropping-particle" : "", "parse-names" : false, "suffix" : "" }, { "dropping-particle" : "", "family" : "Zeng", "given" : "Binghui", "non-dropping-particle" : "", "parse-names" : false, "suffix" : "" }, { "dropping-particle" : "", "family" : "Liao", "given" : "Qijun", "non-dropping-particle" : "", "parse-names" : false, "suffix" : "" }, { "dropping-particle" : "", "family" : "Hu", "given" : "Bin", "non-dropping-particle" : "", "parse-names" : false, "suffix" : "" }, { "dropping-particle" : "", "family" : "Hu", "given" : "Zhao\u2010xia", "non-dropping-particle" : "", "parse-names" : false, "suffix" : "" }, { "dropping-particle" : "", "family" : "Huang", "given" : "Yang\u2010su", "non-dropping-particle" : "", "parse-names" : false, "suffix" : "" }, { "dropping-particle" : "", "family" : "Sham", "given" : "Pak", "non-dropping-particle" : "", "parse-names" : false, "suffix" : "" }, { "dropping-particle" : "", "family" : "Liu", "given" : "Jinsong", "non-dropping-particle" : "", "parse-names" : false, "suffix" : "" }, { "dropping-particle" : "", "family" : "Xu", "given" : "Shuhua", "non-dropping-particle" : "", "parse-names" : false, "suffix" : "" }, { "dropping-particle" : "", "family" : "Wang", "given" : "Jun", "non-dropping-particle" : "", "parse-names" : false, "suffix" : "" }, { "dropping-particle" : "", "family" : "Gao", "given" : "Zhi\u2010liang", "non-dropping-particle" : "", "parse-names" : false, "suffix" : "" }, { "dropping-particle" : "", "family" : "Wang", "given" : "Yiming", "non-dropping-particle" : "", "parse-names" : false, "suffix" : "" } ], "container-title" : "Hepatology", "id" : "ITEM-6", "issue" : "4", "issued" : { "date-parts" : [ [ "2015", "4" ] ] }, "page" : "1251-1260", "publisher" : "Wiley Online Library", "title" : "The p.Ser267Phe variant in SLC10A1 is associated with resistance to chronic hepatitis B", "type" : "article-journal", "volume" : "61" }, "uris" : [ "http://www.mendeley.com/documents/?uuid=cea3b429-6f35-4111-b481-768ce768bbce" ] }, { "id" : "ITEM-7", "itemData" : { "DOI" : "10.1128/JVI.03478-13", "ISBN" : "1098-5514 (Electronic)\\n0022-538X (Linking)", "ISSN" : "1098-5514", "PMID" : "24390325", "abstract" : "UNLABELLED: The liver bile acids transporter sodium taurocholate cotransporting polypeptide (NTCP) is responsible for the majority of sodium-dependent bile salts uptake by hepatocytes. NTCP also functions as a cellular receptor for viral entry of hepatitis B virus (HBV) and hepatitis D virus (HDV) through a specific interaction between NTCP and the pre-S1 domain of HBV large envelope protein. However, it remains unknown if these two functions of NTCP are independent or if they interfere with each other. Here we show that binding of the pre-S1 domain to human NTCP blocks taurocholate uptake by the receptor; conversely, some bile acid substrates of NTCP inhibit HBV and HDV entry. Mutations of NTCP residues critical for bile salts binding severely impair viral infection by HDV and HBV; to a lesser extent, the residues important for sodium binding also inhibit viral infection. The mutation S267F, corresponding to a single nucleotide polymorphism (SNP) found in about 9% of the East Asian population, renders NTCP without either taurocholate transporting activity or the ability to support HBV or HDV infection in cell culture. These results demonstrate that molecular determinants critical for HBV and HDV entry overlap with that for bile salts uptake by NTCP, indicating that viral infection may interfere with the normal function of NTCP, and bile acids and their derivatives hold the potential for further development into antiviral drugs.\\n\\nIMPORTANCE: Human hepatitis B virus (HBV) and its satellite virus, hepatitis D virus (HDV), are important human pathogens. Available therapeutics against HBV are limited, and there is no drug that is clinically available for HDV infection. A liver bile acids transporter (sodium taurocholate cotransporting polypeptide [NTCP]) critical for maintaining homeostasis of bile acids serves as a functional receptor for HBV and HDV. We report here that the NTCP-binding lipopeptide that originates from the first 47 amino acids of the pre-S1 domain of the HBV L protein blocks taurocholate transport. Some bile salts dose dependently inhibit HBV and HDV infection mediated by NTCP; molecular determinants of NTCP critical for HBV and HDV entry overlap with that for bile acids transport. This work advances our understanding of NTCP-mediated HBV and HDV infection in relation to NTCP's physiological function. Our results also suggest that bile acids or their derivatives hold potential for development into novel drugs against HBV and HDV infection.", "author" : [ { "dropping-particle" : "", "family" : "Yan", "given" : "Huan", "non-dropping-particle" : "", "parse-names" : false, "suffix" : "" }, { "dropping-particle" : "", "family" : "Peng", "given" : "Bo", "non-dropping-particle" : "", "parse-names" : false, "suffix" : "" }, { "dropping-particle" : "", "family" : "Liu", "given" : "Yang", "non-dropping-particle" : "", "parse-names" : false, "suffix" : "" }, { "dropping-particle" : "", "family" : "Xu", "given" : "Guangwei", "non-dropping-particle" : "", "parse-names" : false, "suffix" : "" }, { "dropping-particle" : "", "family" : "He", "given" : "Wenhui", "non-dropping-particle" : "", "parse-names" : false, "suffix" : "" }, { "dropping-particle" : "", "family" : "Ren", "given" : "Bijie", "non-dropping-particle" : "", "parse-names" : false, "suffix" : "" }, { "dropping-particle" : "", "family" : "Jing", "given" : "Zhiyi", "non-dropping-particle" : "", "parse-names" : false, "suffix" : "" }, { "dropping-particle" : "", "family" : "Sui", "given" : "Jianhua", "non-dropping-particle" : "", "parse-names" : false, "suffix" : "" }, { "dropping-particle" : "", "family" : "Li", "given" : "Wenhui", "non-dropping-particle" : "", "parse-names" : false, "suffix" : "" } ], "container-title" : "Journal of virology", "id" : "ITEM-7", "issue" : "6", "issued" : { "date-parts" : [ [ "2014" ] ] }, "page" : "3273-84", "title" : "Viral entry of hepatitis B and D viruses and bile salts transportation share common molecular determinants on sodium taurocholate cotransporting polypeptide.", "type" : "article-journal", "volume" : "88" }, "uris" : [ "http://www.mendeley.com/documents/?uuid=cef1f10c-4b25-48a4-88c7-798739798b1a" ] } ], "mendeley" : { "formattedCitation" : "&lt;sup&gt;[21\u201326,52]&lt;/sup&gt;", "plainTextFormattedCitation" : "[21\u201326,52]", "previouslyFormattedCitation" : "&lt;sup&gt;[17\u201322,53]&lt;/sup&gt;" }, "properties" : {  }, "schema" : "https://github.com/citation-style-language/schema/raw/master/csl-citation.json" }</w:instrText>
      </w:r>
      <w:r w:rsidR="001C0EB4" w:rsidRPr="00C11F21">
        <w:rPr>
          <w:rFonts w:ascii="Book Antiqua" w:hAnsi="Book Antiqua" w:cstheme="minorHAnsi"/>
          <w:sz w:val="24"/>
          <w:szCs w:val="24"/>
          <w:lang w:val="en-US"/>
        </w:rPr>
        <w:fldChar w:fldCharType="separate"/>
      </w:r>
      <w:r w:rsidR="001C0EB4" w:rsidRPr="00C11F21">
        <w:rPr>
          <w:rFonts w:ascii="Book Antiqua" w:hAnsi="Book Antiqua" w:cstheme="minorHAnsi"/>
          <w:noProof/>
          <w:sz w:val="24"/>
          <w:szCs w:val="24"/>
          <w:vertAlign w:val="superscript"/>
          <w:lang w:val="en-US"/>
        </w:rPr>
        <w:t>[21</w:t>
      </w:r>
      <w:r w:rsidR="001C0EB4" w:rsidRPr="00C11F21">
        <w:rPr>
          <w:rFonts w:ascii="Book Antiqua" w:hAnsi="Book Antiqua" w:cstheme="minorHAnsi" w:hint="eastAsia"/>
          <w:noProof/>
          <w:sz w:val="24"/>
          <w:szCs w:val="24"/>
          <w:vertAlign w:val="superscript"/>
          <w:lang w:val="en-US" w:eastAsia="zh-CN"/>
        </w:rPr>
        <w:t>-</w:t>
      </w:r>
      <w:r w:rsidR="001C0EB4" w:rsidRPr="00C11F21">
        <w:rPr>
          <w:rFonts w:ascii="Book Antiqua" w:hAnsi="Book Antiqua" w:cstheme="minorHAnsi"/>
          <w:noProof/>
          <w:sz w:val="24"/>
          <w:szCs w:val="24"/>
          <w:vertAlign w:val="superscript"/>
          <w:lang w:val="en-US"/>
        </w:rPr>
        <w:t>26,52]</w:t>
      </w:r>
      <w:r w:rsidR="001C0EB4" w:rsidRPr="00C11F21">
        <w:rPr>
          <w:rFonts w:ascii="Book Antiqua" w:hAnsi="Book Antiqua" w:cstheme="minorHAnsi"/>
          <w:sz w:val="24"/>
          <w:szCs w:val="24"/>
          <w:lang w:val="en-US"/>
        </w:rPr>
        <w:fldChar w:fldCharType="end"/>
      </w:r>
      <w:r w:rsidR="00263BA2" w:rsidRPr="00C11F21">
        <w:rPr>
          <w:rFonts w:ascii="Book Antiqua" w:hAnsi="Book Antiqua" w:cstheme="minorHAnsi"/>
          <w:sz w:val="24"/>
          <w:szCs w:val="24"/>
          <w:lang w:val="en-US"/>
        </w:rPr>
        <w:t xml:space="preserve">. As an </w:t>
      </w:r>
      <w:r w:rsidR="00263BA2" w:rsidRPr="00C11F21">
        <w:rPr>
          <w:rFonts w:ascii="Book Antiqua" w:hAnsi="Book Antiqua" w:cstheme="minorHAnsi"/>
          <w:sz w:val="24"/>
          <w:szCs w:val="24"/>
          <w:lang w:val="en-US"/>
        </w:rPr>
        <w:lastRenderedPageBreak/>
        <w:t xml:space="preserve">example, </w:t>
      </w:r>
      <w:r w:rsidR="005B043F" w:rsidRPr="00C11F21">
        <w:rPr>
          <w:rFonts w:ascii="Book Antiqua" w:hAnsi="Book Antiqua" w:cstheme="minorHAnsi"/>
          <w:sz w:val="24"/>
          <w:szCs w:val="24"/>
          <w:lang w:val="en-US"/>
        </w:rPr>
        <w:t xml:space="preserve">Ho </w:t>
      </w:r>
      <w:r w:rsidR="005B043F" w:rsidRPr="00C11F21">
        <w:rPr>
          <w:rFonts w:ascii="Book Antiqua" w:hAnsi="Book Antiqua" w:cstheme="minorHAnsi"/>
          <w:i/>
          <w:sz w:val="24"/>
          <w:szCs w:val="24"/>
          <w:lang w:val="en-US"/>
        </w:rPr>
        <w:t>et al</w:t>
      </w:r>
      <w:r w:rsidR="006326CD" w:rsidRPr="00C11F21">
        <w:rPr>
          <w:rFonts w:ascii="Book Antiqua" w:hAnsi="Book Antiqua" w:cstheme="minorHAnsi"/>
          <w:sz w:val="24"/>
          <w:szCs w:val="24"/>
          <w:lang w:val="en-US"/>
        </w:rPr>
        <w:fldChar w:fldCharType="begin" w:fldLock="1"/>
      </w:r>
      <w:r w:rsidR="0092490D" w:rsidRPr="00C11F21">
        <w:rPr>
          <w:rFonts w:ascii="Book Antiqua" w:hAnsi="Book Antiqua" w:cstheme="minorHAnsi"/>
          <w:sz w:val="24"/>
          <w:szCs w:val="24"/>
          <w:lang w:val="en-US"/>
        </w:rPr>
        <w:instrText>ADDIN CSL_CITATION { "citationItems" : [ { "id" : "ITEM-1", "itemData" : { "DOI" : "10.1074/jbc.M305782200", "ISBN" : "6153437605", "ISSN" : "0021-9258", "PMID" : "14660639", "abstract" : "The key transporter responsible for hepatic uptake of bile acids from portal circulation is Na+-taurocholate cotransporting polypeptide (NTCP, SLC10A1). This transporter is thought to be critical for the maintenance of enterohepatic recirculation of bile acids and hepatocyte function. Therefore, functionally relevant polymorphisms in this transporter would be predicted to have an important impact on bile acid homeostasis/liver function. However, little is known regarding genetic heterogeneity in NTCP. In this study, we demonstrate the presence of multiple single nucleotide polymorphisms in NTCP in populations of European, African, Chinese, and Hispanic Americans. Specifically four nonsynonymous single nucleotide polymorphisms associated with a significant loss of transport function were identified. Cell surface biotinylation experiments indicated that the altered transport activity of T668C (Ile223--&gt;Thr), a variant seen only in African Americans, was due at least in part to decreased plasma membrane expression. Similar expression patterns were observed when the variant alleles were expressed in HepG2 cells, and plasma membrane expression was assessed using immunofluorescence confocal microscopy. Interestingly the C800T (Ser267--&gt;Phe) variant, seen only in Chinese Americans, exhibited a near complete loss of function for bile acid uptake yet fully normal transport function for the non-bile acid substrate estrone sulfate, suggesting this position may be part of a region in the transporter critical and specific for bile acid substrate recognition. Accordingly, our study indicates functionally important polymorphisms in NTCP exist and that the likelihood of being carriers of such polymorphisms is dependent on ethnicity.", "author" : [ { "dropping-particle" : "", "family" : "Ho", "given" : "Richard H.", "non-dropping-particle" : "", "parse-names" : false, "suffix" : "" }, { "dropping-particle" : "", "family" : "Leake", "given" : "Brenda F.", "non-dropping-particle" : "", "parse-names" : false, "suffix" : "" }, { "dropping-particle" : "", "family" : "Roberts", "given" : "Richard L.", "non-dropping-particle" : "", "parse-names" : false, "suffix" : "" }, { "dropping-particle" : "", "family" : "Lee", "given" : "Wooin", "non-dropping-particle" : "", "parse-names" : false, "suffix" : "" }, { "dropping-particle" : "", "family" : "Kim", "given" : "Richard B.", "non-dropping-particle" : "", "parse-names" : false, "suffix" : "" } ], "container-title" : "The Journal of biological chemistry", "id" : "ITEM-1", "issue" : "8", "issued" : { "date-parts" : [ [ "2004", "2", "20" ] ] }, "page" : "7213-22", "title" : "Ethnicity-dependent polymorphism in Na+-taurocholate cotransporting polypeptide (SLC10A1) reveals a domain critical for bile acid substrate recognition.", "type" : "article-journal", "volume" : "279" }, "uris" : [ "http://www.mendeley.com/documents/?uuid=2f919f57-7d9d-4115-80c1-795627b625e5" ] } ], "mendeley" : { "formattedCitation" : "&lt;sup&gt;[22]&lt;/sup&gt;", "plainTextFormattedCitation" : "[22]", "previouslyFormattedCitation" : "&lt;sup&gt;[18]&lt;/sup&gt;" }, "properties" : {  }, "schema" : "https://github.com/citation-style-language/schema/raw/master/csl-citation.json" }</w:instrText>
      </w:r>
      <w:r w:rsidR="006326CD" w:rsidRPr="00C11F21">
        <w:rPr>
          <w:rFonts w:ascii="Book Antiqua" w:hAnsi="Book Antiqua" w:cstheme="minorHAnsi"/>
          <w:sz w:val="24"/>
          <w:szCs w:val="24"/>
          <w:lang w:val="en-US"/>
        </w:rPr>
        <w:fldChar w:fldCharType="separate"/>
      </w:r>
      <w:r w:rsidR="0092490D" w:rsidRPr="00C11F21">
        <w:rPr>
          <w:rFonts w:ascii="Book Antiqua" w:hAnsi="Book Antiqua" w:cstheme="minorHAnsi"/>
          <w:noProof/>
          <w:sz w:val="24"/>
          <w:szCs w:val="24"/>
          <w:vertAlign w:val="superscript"/>
          <w:lang w:val="en-US"/>
        </w:rPr>
        <w:t>[22]</w:t>
      </w:r>
      <w:r w:rsidR="006326CD" w:rsidRPr="00C11F21">
        <w:rPr>
          <w:rFonts w:ascii="Book Antiqua" w:hAnsi="Book Antiqua" w:cstheme="minorHAnsi"/>
          <w:sz w:val="24"/>
          <w:szCs w:val="24"/>
          <w:lang w:val="en-US"/>
        </w:rPr>
        <w:fldChar w:fldCharType="end"/>
      </w:r>
      <w:r w:rsidR="00735F68" w:rsidRPr="00C11F21">
        <w:rPr>
          <w:rFonts w:ascii="Book Antiqua" w:hAnsi="Book Antiqua" w:cstheme="minorHAnsi"/>
          <w:sz w:val="24"/>
          <w:szCs w:val="24"/>
          <w:lang w:val="en-US"/>
        </w:rPr>
        <w:t xml:space="preserve"> reported 6 additional ethnicity-dependent SNPs in the 5 exonic regions of </w:t>
      </w:r>
      <w:r w:rsidR="00735F68" w:rsidRPr="00C11F21">
        <w:rPr>
          <w:rFonts w:ascii="Book Antiqua" w:hAnsi="Book Antiqua" w:cstheme="minorHAnsi"/>
          <w:i/>
          <w:sz w:val="24"/>
          <w:szCs w:val="24"/>
          <w:lang w:val="en-US"/>
        </w:rPr>
        <w:t>SLC10A1</w:t>
      </w:r>
      <w:r w:rsidR="00735F68" w:rsidRPr="00C11F21">
        <w:rPr>
          <w:rFonts w:ascii="Book Antiqua" w:hAnsi="Book Antiqua" w:cstheme="minorHAnsi"/>
          <w:sz w:val="24"/>
          <w:szCs w:val="24"/>
          <w:lang w:val="en-US"/>
        </w:rPr>
        <w:t xml:space="preserve"> (3 were non-synonymous and caused aa changes: I223T, I279T, K314E). </w:t>
      </w:r>
      <w:r w:rsidR="00263BA2" w:rsidRPr="00C11F21">
        <w:rPr>
          <w:rFonts w:ascii="Book Antiqua" w:hAnsi="Book Antiqua" w:cstheme="minorHAnsi"/>
          <w:sz w:val="24"/>
          <w:szCs w:val="24"/>
          <w:lang w:val="en-US"/>
        </w:rPr>
        <w:t xml:space="preserve">The </w:t>
      </w:r>
      <w:r w:rsidR="00263BA2" w:rsidRPr="00C11F21">
        <w:rPr>
          <w:rFonts w:ascii="Book Antiqua" w:hAnsi="Book Antiqua" w:cs="TimesNewRoman,Bold"/>
          <w:bCs/>
          <w:sz w:val="24"/>
          <w:szCs w:val="24"/>
          <w:lang w:val="en-US"/>
        </w:rPr>
        <w:t>f</w:t>
      </w:r>
      <w:r w:rsidR="00735F68" w:rsidRPr="00C11F21">
        <w:rPr>
          <w:rFonts w:ascii="Book Antiqua" w:hAnsi="Book Antiqua" w:cs="TimesNewRoman,Bold"/>
          <w:bCs/>
          <w:sz w:val="24"/>
          <w:szCs w:val="24"/>
          <w:lang w:val="en-US"/>
        </w:rPr>
        <w:t>unctionally relevant NTCP polymorphisms would be expected to modify bile acid homeostasis and HBV cellular entry; hence</w:t>
      </w:r>
      <w:r w:rsidR="00735F68" w:rsidRPr="00C11F21">
        <w:rPr>
          <w:rFonts w:ascii="Book Antiqua" w:hAnsi="Book Antiqua" w:cstheme="minorHAnsi"/>
          <w:sz w:val="24"/>
          <w:szCs w:val="24"/>
          <w:lang w:val="en-US"/>
        </w:rPr>
        <w:t xml:space="preserve">, it cannot be excluded that Caucasian individuals might have additional, still undescribed NTCP SNPs that </w:t>
      </w:r>
      <w:r w:rsidR="00BA695B" w:rsidRPr="00C11F21">
        <w:rPr>
          <w:rFonts w:ascii="Book Antiqua" w:hAnsi="Book Antiqua" w:cstheme="minorHAnsi"/>
          <w:sz w:val="24"/>
          <w:szCs w:val="24"/>
          <w:lang w:val="en-US"/>
        </w:rPr>
        <w:t>could</w:t>
      </w:r>
      <w:r w:rsidR="00735F68" w:rsidRPr="00C11F21">
        <w:rPr>
          <w:rFonts w:ascii="Book Antiqua" w:hAnsi="Book Antiqua" w:cstheme="minorHAnsi"/>
          <w:sz w:val="24"/>
          <w:szCs w:val="24"/>
          <w:lang w:val="en-US"/>
        </w:rPr>
        <w:t xml:space="preserve"> interfere with HBV infectivity</w:t>
      </w:r>
      <w:r w:rsidR="00BD7AE7" w:rsidRPr="00C11F21">
        <w:rPr>
          <w:rFonts w:ascii="Book Antiqua" w:hAnsi="Book Antiqua" w:cstheme="minorHAnsi"/>
          <w:sz w:val="24"/>
          <w:szCs w:val="24"/>
          <w:lang w:val="en-US"/>
        </w:rPr>
        <w:t>.</w:t>
      </w:r>
      <w:r w:rsidR="00735F68" w:rsidRPr="00C11F21">
        <w:rPr>
          <w:rFonts w:ascii="Book Antiqua" w:hAnsi="Book Antiqua" w:cstheme="minorHAnsi"/>
          <w:sz w:val="24"/>
          <w:szCs w:val="24"/>
          <w:lang w:val="en-US"/>
        </w:rPr>
        <w:t xml:space="preserve"> Therefore, further studies should be performed to characterize and determine the prevalence of NTCP SNPs in </w:t>
      </w:r>
      <w:r w:rsidR="003741E9" w:rsidRPr="00C11F21">
        <w:rPr>
          <w:rFonts w:ascii="Book Antiqua" w:hAnsi="Book Antiqua" w:cstheme="minorHAnsi"/>
          <w:sz w:val="24"/>
          <w:szCs w:val="24"/>
          <w:lang w:val="en-US"/>
        </w:rPr>
        <w:t>different ethnic populations</w:t>
      </w:r>
      <w:r w:rsidR="00735F68" w:rsidRPr="00C11F21">
        <w:rPr>
          <w:rFonts w:ascii="Book Antiqua" w:hAnsi="Book Antiqua" w:cstheme="minorHAnsi"/>
          <w:sz w:val="24"/>
          <w:szCs w:val="24"/>
          <w:lang w:val="en-US"/>
        </w:rPr>
        <w:t xml:space="preserve"> and their implications in NTCP function.</w:t>
      </w:r>
    </w:p>
    <w:p w14:paraId="5F009844" w14:textId="7F189E3A" w:rsidR="00971497" w:rsidRPr="00C11F21" w:rsidRDefault="005C659B" w:rsidP="001C0EB4">
      <w:pPr>
        <w:snapToGrid w:val="0"/>
        <w:spacing w:after="0" w:line="360" w:lineRule="auto"/>
        <w:ind w:firstLineChars="100" w:firstLine="240"/>
        <w:jc w:val="both"/>
        <w:rPr>
          <w:rFonts w:ascii="Book Antiqua" w:hAnsi="Book Antiqua" w:cstheme="minorHAnsi"/>
          <w:sz w:val="24"/>
          <w:szCs w:val="24"/>
          <w:lang w:val="en-US"/>
        </w:rPr>
      </w:pPr>
      <w:r w:rsidRPr="00C11F21">
        <w:rPr>
          <w:rFonts w:ascii="Book Antiqua" w:hAnsi="Book Antiqua" w:cstheme="minorHAnsi"/>
          <w:sz w:val="24"/>
          <w:szCs w:val="24"/>
          <w:lang w:val="en-US"/>
        </w:rPr>
        <w:t xml:space="preserve">This study includes </w:t>
      </w:r>
      <w:r w:rsidR="00700E50" w:rsidRPr="00C11F21">
        <w:rPr>
          <w:rFonts w:ascii="Book Antiqua" w:hAnsi="Book Antiqua" w:cstheme="minorHAnsi"/>
          <w:sz w:val="24"/>
          <w:szCs w:val="24"/>
          <w:lang w:val="en-US"/>
        </w:rPr>
        <w:t xml:space="preserve">a representative sample of </w:t>
      </w:r>
      <w:r w:rsidR="00810542" w:rsidRPr="00C11F21">
        <w:rPr>
          <w:rFonts w:ascii="Book Antiqua" w:hAnsi="Book Antiqua" w:cstheme="minorHAnsi"/>
          <w:sz w:val="24"/>
          <w:szCs w:val="24"/>
          <w:lang w:val="en-US"/>
        </w:rPr>
        <w:t xml:space="preserve">CHB </w:t>
      </w:r>
      <w:r w:rsidRPr="00C11F21">
        <w:rPr>
          <w:rFonts w:ascii="Book Antiqua" w:hAnsi="Book Antiqua" w:cstheme="minorHAnsi"/>
          <w:sz w:val="24"/>
          <w:szCs w:val="24"/>
          <w:lang w:val="en-US"/>
        </w:rPr>
        <w:t xml:space="preserve">patients </w:t>
      </w:r>
      <w:r w:rsidR="00700E50" w:rsidRPr="00C11F21">
        <w:rPr>
          <w:rFonts w:ascii="Book Antiqua" w:hAnsi="Book Antiqua" w:cstheme="minorHAnsi"/>
          <w:sz w:val="24"/>
          <w:szCs w:val="24"/>
          <w:lang w:val="en-US"/>
        </w:rPr>
        <w:t xml:space="preserve">attended in our center and includes most </w:t>
      </w:r>
      <w:r w:rsidRPr="00C11F21">
        <w:rPr>
          <w:rFonts w:ascii="Book Antiqua" w:hAnsi="Book Antiqua" w:cstheme="minorHAnsi"/>
          <w:sz w:val="24"/>
          <w:szCs w:val="24"/>
          <w:lang w:val="en-US"/>
        </w:rPr>
        <w:t>HBV genotypes (A to F and H)</w:t>
      </w:r>
      <w:r w:rsidR="00700E50" w:rsidRPr="00C11F21">
        <w:rPr>
          <w:rFonts w:ascii="Book Antiqua" w:hAnsi="Book Antiqua" w:cstheme="minorHAnsi"/>
          <w:sz w:val="24"/>
          <w:szCs w:val="24"/>
          <w:lang w:val="en-US"/>
        </w:rPr>
        <w:t>.</w:t>
      </w:r>
      <w:r w:rsidRPr="00C11F21">
        <w:rPr>
          <w:rFonts w:ascii="Book Antiqua" w:hAnsi="Book Antiqua" w:cstheme="minorHAnsi"/>
          <w:sz w:val="24"/>
          <w:szCs w:val="24"/>
          <w:lang w:val="en-US"/>
        </w:rPr>
        <w:t xml:space="preserve"> </w:t>
      </w:r>
      <w:r w:rsidR="00700E50" w:rsidRPr="00C11F21">
        <w:rPr>
          <w:rFonts w:ascii="Book Antiqua" w:hAnsi="Book Antiqua" w:cstheme="minorHAnsi"/>
          <w:sz w:val="24"/>
          <w:szCs w:val="24"/>
          <w:lang w:val="en-US"/>
        </w:rPr>
        <w:t xml:space="preserve">Necessarily, the number of patients carrying the less prevalent genotypes in our area was low. </w:t>
      </w:r>
      <w:r w:rsidRPr="00C11F21">
        <w:rPr>
          <w:rFonts w:ascii="Book Antiqua" w:hAnsi="Book Antiqua" w:cstheme="minorHAnsi"/>
          <w:sz w:val="24"/>
          <w:szCs w:val="24"/>
          <w:lang w:val="en-US"/>
        </w:rPr>
        <w:t xml:space="preserve">This limitation </w:t>
      </w:r>
      <w:r w:rsidR="00DC2A2C" w:rsidRPr="00C11F21">
        <w:rPr>
          <w:rFonts w:ascii="Book Antiqua" w:hAnsi="Book Antiqua" w:cstheme="minorHAnsi"/>
          <w:sz w:val="24"/>
          <w:szCs w:val="24"/>
          <w:lang w:val="en-US"/>
        </w:rPr>
        <w:t xml:space="preserve">may </w:t>
      </w:r>
      <w:r w:rsidRPr="00C11F21">
        <w:rPr>
          <w:rFonts w:ascii="Book Antiqua" w:hAnsi="Book Antiqua" w:cstheme="minorHAnsi"/>
          <w:sz w:val="24"/>
          <w:szCs w:val="24"/>
          <w:lang w:val="en-US"/>
        </w:rPr>
        <w:t>have biased the conservation</w:t>
      </w:r>
      <w:r w:rsidR="00803CA5" w:rsidRPr="00C11F21">
        <w:rPr>
          <w:rFonts w:ascii="Book Antiqua" w:hAnsi="Book Antiqua" w:cstheme="minorHAnsi"/>
          <w:sz w:val="24"/>
          <w:szCs w:val="24"/>
          <w:lang w:val="en-US"/>
        </w:rPr>
        <w:t>/variability</w:t>
      </w:r>
      <w:r w:rsidRPr="00C11F21">
        <w:rPr>
          <w:rFonts w:ascii="Book Antiqua" w:hAnsi="Book Antiqua" w:cstheme="minorHAnsi"/>
          <w:sz w:val="24"/>
          <w:szCs w:val="24"/>
          <w:lang w:val="en-US"/>
        </w:rPr>
        <w:t xml:space="preserve"> </w:t>
      </w:r>
      <w:r w:rsidR="00DC2A2C" w:rsidRPr="00C11F21">
        <w:rPr>
          <w:rFonts w:ascii="Book Antiqua" w:hAnsi="Book Antiqua" w:cstheme="minorHAnsi"/>
          <w:sz w:val="24"/>
          <w:szCs w:val="24"/>
          <w:lang w:val="en-US"/>
        </w:rPr>
        <w:t xml:space="preserve">findings in some </w:t>
      </w:r>
      <w:r w:rsidRPr="00C11F21">
        <w:rPr>
          <w:rFonts w:ascii="Book Antiqua" w:hAnsi="Book Antiqua" w:cstheme="minorHAnsi"/>
          <w:sz w:val="24"/>
          <w:szCs w:val="24"/>
          <w:lang w:val="en-US"/>
        </w:rPr>
        <w:t>genotype</w:t>
      </w:r>
      <w:r w:rsidR="00DC2A2C" w:rsidRPr="00C11F21">
        <w:rPr>
          <w:rFonts w:ascii="Book Antiqua" w:hAnsi="Book Antiqua" w:cstheme="minorHAnsi"/>
          <w:sz w:val="24"/>
          <w:szCs w:val="24"/>
          <w:lang w:val="en-US"/>
        </w:rPr>
        <w:t>s</w:t>
      </w:r>
      <w:r w:rsidRPr="00C11F21">
        <w:rPr>
          <w:rFonts w:ascii="Book Antiqua" w:hAnsi="Book Antiqua" w:cstheme="minorHAnsi"/>
          <w:sz w:val="24"/>
          <w:szCs w:val="24"/>
          <w:lang w:val="en-US"/>
        </w:rPr>
        <w:t xml:space="preserve"> due to individual variability </w:t>
      </w:r>
      <w:r w:rsidR="00DC2A2C" w:rsidRPr="00C11F21">
        <w:rPr>
          <w:rFonts w:ascii="Book Antiqua" w:hAnsi="Book Antiqua" w:cstheme="minorHAnsi"/>
          <w:sz w:val="24"/>
          <w:szCs w:val="24"/>
          <w:lang w:val="en-US"/>
        </w:rPr>
        <w:t>in</w:t>
      </w:r>
      <w:r w:rsidRPr="00C11F21">
        <w:rPr>
          <w:rFonts w:ascii="Book Antiqua" w:hAnsi="Book Antiqua" w:cstheme="minorHAnsi"/>
          <w:sz w:val="24"/>
          <w:szCs w:val="24"/>
          <w:lang w:val="en-US"/>
        </w:rPr>
        <w:t xml:space="preserve"> some patients, as </w:t>
      </w:r>
      <w:r w:rsidR="00DC2A2C" w:rsidRPr="00C11F21">
        <w:rPr>
          <w:rFonts w:ascii="Book Antiqua" w:hAnsi="Book Antiqua" w:cstheme="minorHAnsi"/>
          <w:sz w:val="24"/>
          <w:szCs w:val="24"/>
          <w:lang w:val="en-US"/>
        </w:rPr>
        <w:t xml:space="preserve">was likely the case of </w:t>
      </w:r>
      <w:r w:rsidR="00BA695B" w:rsidRPr="00C11F21">
        <w:rPr>
          <w:rFonts w:ascii="Book Antiqua" w:hAnsi="Book Antiqua" w:cstheme="minorHAnsi"/>
          <w:sz w:val="24"/>
          <w:szCs w:val="24"/>
          <w:lang w:val="en-US"/>
        </w:rPr>
        <w:t xml:space="preserve">the </w:t>
      </w:r>
      <w:r w:rsidRPr="00C11F21">
        <w:rPr>
          <w:rFonts w:ascii="Book Antiqua" w:hAnsi="Book Antiqua" w:cstheme="minorHAnsi"/>
          <w:sz w:val="24"/>
          <w:szCs w:val="24"/>
          <w:lang w:val="en-US"/>
        </w:rPr>
        <w:t xml:space="preserve">variability </w:t>
      </w:r>
      <w:r w:rsidR="00DC2A2C" w:rsidRPr="00C11F21">
        <w:rPr>
          <w:rFonts w:ascii="Book Antiqua" w:hAnsi="Book Antiqua" w:cstheme="minorHAnsi"/>
          <w:sz w:val="24"/>
          <w:szCs w:val="24"/>
          <w:lang w:val="en-US"/>
        </w:rPr>
        <w:t>in</w:t>
      </w:r>
      <w:r w:rsidRPr="00C11F21">
        <w:rPr>
          <w:rFonts w:ascii="Book Antiqua" w:hAnsi="Book Antiqua" w:cstheme="minorHAnsi"/>
          <w:sz w:val="24"/>
          <w:szCs w:val="24"/>
          <w:lang w:val="en-US"/>
        </w:rPr>
        <w:t xml:space="preserve"> genotype E. Th</w:t>
      </w:r>
      <w:r w:rsidR="00DC2A2C" w:rsidRPr="00C11F21">
        <w:rPr>
          <w:rFonts w:ascii="Book Antiqua" w:hAnsi="Book Antiqua" w:cstheme="minorHAnsi"/>
          <w:sz w:val="24"/>
          <w:szCs w:val="24"/>
          <w:lang w:val="en-US"/>
        </w:rPr>
        <w:t>us</w:t>
      </w:r>
      <w:r w:rsidR="00FA1797" w:rsidRPr="00C11F21">
        <w:rPr>
          <w:rFonts w:ascii="Book Antiqua" w:hAnsi="Book Antiqua" w:cstheme="minorHAnsi"/>
          <w:sz w:val="24"/>
          <w:szCs w:val="24"/>
          <w:lang w:val="en-US"/>
        </w:rPr>
        <w:t>,</w:t>
      </w:r>
      <w:r w:rsidR="00DC2A2C" w:rsidRPr="00C11F21">
        <w:rPr>
          <w:rFonts w:ascii="Book Antiqua" w:hAnsi="Book Antiqua" w:cstheme="minorHAnsi"/>
          <w:sz w:val="24"/>
          <w:szCs w:val="24"/>
          <w:lang w:val="en-US"/>
        </w:rPr>
        <w:t xml:space="preserve"> th</w:t>
      </w:r>
      <w:r w:rsidR="00355653" w:rsidRPr="00C11F21">
        <w:rPr>
          <w:rFonts w:ascii="Book Antiqua" w:hAnsi="Book Antiqua" w:cstheme="minorHAnsi"/>
          <w:sz w:val="24"/>
          <w:szCs w:val="24"/>
          <w:lang w:val="en-US"/>
        </w:rPr>
        <w:t>e</w:t>
      </w:r>
      <w:r w:rsidR="00DC2A2C" w:rsidRPr="00C11F21">
        <w:rPr>
          <w:rFonts w:ascii="Book Antiqua" w:hAnsi="Book Antiqua" w:cstheme="minorHAnsi"/>
          <w:sz w:val="24"/>
          <w:szCs w:val="24"/>
          <w:lang w:val="en-US"/>
        </w:rPr>
        <w:t xml:space="preserve"> findings should be considered </w:t>
      </w:r>
      <w:r w:rsidR="00E060D9" w:rsidRPr="00C11F21">
        <w:rPr>
          <w:rFonts w:ascii="Book Antiqua" w:hAnsi="Book Antiqua" w:cstheme="minorHAnsi"/>
          <w:sz w:val="24"/>
          <w:szCs w:val="24"/>
          <w:lang w:val="en-US"/>
        </w:rPr>
        <w:t>preliminary</w:t>
      </w:r>
      <w:r w:rsidR="00803CA5" w:rsidRPr="00C11F21">
        <w:rPr>
          <w:rFonts w:ascii="Book Antiqua" w:hAnsi="Book Antiqua" w:cstheme="minorHAnsi"/>
          <w:sz w:val="24"/>
          <w:szCs w:val="24"/>
          <w:lang w:val="en-US"/>
        </w:rPr>
        <w:t>, requiring confirmation in</w:t>
      </w:r>
      <w:r w:rsidRPr="00C11F21">
        <w:rPr>
          <w:rFonts w:ascii="Book Antiqua" w:hAnsi="Book Antiqua" w:cstheme="minorHAnsi"/>
          <w:sz w:val="24"/>
          <w:szCs w:val="24"/>
          <w:lang w:val="en-US"/>
        </w:rPr>
        <w:t xml:space="preserve"> further studies with </w:t>
      </w:r>
      <w:r w:rsidR="00E060D9" w:rsidRPr="00C11F21">
        <w:rPr>
          <w:rFonts w:ascii="Book Antiqua" w:hAnsi="Book Antiqua" w:cstheme="minorHAnsi"/>
          <w:sz w:val="24"/>
          <w:szCs w:val="24"/>
          <w:lang w:val="en-US"/>
        </w:rPr>
        <w:t>larger populations</w:t>
      </w:r>
      <w:r w:rsidRPr="00C11F21">
        <w:rPr>
          <w:rFonts w:ascii="Book Antiqua" w:hAnsi="Book Antiqua" w:cstheme="minorHAnsi"/>
          <w:sz w:val="24"/>
          <w:szCs w:val="24"/>
          <w:lang w:val="en-US"/>
        </w:rPr>
        <w:t xml:space="preserve">. </w:t>
      </w:r>
      <w:r w:rsidR="00DC2A2C" w:rsidRPr="00C11F21">
        <w:rPr>
          <w:rFonts w:ascii="Book Antiqua" w:hAnsi="Book Antiqua" w:cstheme="minorHAnsi"/>
          <w:sz w:val="24"/>
          <w:szCs w:val="24"/>
          <w:lang w:val="en-US"/>
        </w:rPr>
        <w:t xml:space="preserve">Another potential limitation is </w:t>
      </w:r>
      <w:r w:rsidR="00DC2A2C" w:rsidRPr="00C11F21">
        <w:rPr>
          <w:rFonts w:ascii="Book Antiqua" w:hAnsi="Book Antiqua"/>
          <w:sz w:val="24"/>
          <w:szCs w:val="24"/>
          <w:lang w:val="en-US"/>
        </w:rPr>
        <w:t>that the</w:t>
      </w:r>
      <w:r w:rsidRPr="00C11F21">
        <w:rPr>
          <w:rFonts w:ascii="Book Antiqua" w:hAnsi="Book Antiqua"/>
          <w:sz w:val="24"/>
          <w:szCs w:val="24"/>
          <w:lang w:val="en-US"/>
        </w:rPr>
        <w:t xml:space="preserve"> NGS technology used in this study (</w:t>
      </w:r>
      <w:r w:rsidR="00DC2A2C" w:rsidRPr="00C11F21">
        <w:rPr>
          <w:rFonts w:ascii="Book Antiqua" w:hAnsi="Book Antiqua"/>
          <w:sz w:val="24"/>
          <w:szCs w:val="24"/>
          <w:lang w:val="en-US"/>
        </w:rPr>
        <w:t>u</w:t>
      </w:r>
      <w:r w:rsidRPr="00C11F21">
        <w:rPr>
          <w:rFonts w:ascii="Book Antiqua" w:hAnsi="Book Antiqua"/>
          <w:sz w:val="24"/>
          <w:szCs w:val="24"/>
          <w:lang w:val="en-US"/>
        </w:rPr>
        <w:t>ltra-deep pyrosequencing in the GS-Junior platform, 454/Roche) has been discontinued by the supplier. Wh</w:t>
      </w:r>
      <w:r w:rsidR="00DC2A2C" w:rsidRPr="00C11F21">
        <w:rPr>
          <w:rFonts w:ascii="Book Antiqua" w:hAnsi="Book Antiqua"/>
          <w:sz w:val="24"/>
          <w:szCs w:val="24"/>
          <w:lang w:val="en-US"/>
        </w:rPr>
        <w:t>en the study was designed</w:t>
      </w:r>
      <w:r w:rsidRPr="00C11F21">
        <w:rPr>
          <w:rFonts w:ascii="Book Antiqua" w:hAnsi="Book Antiqua"/>
          <w:sz w:val="24"/>
          <w:szCs w:val="24"/>
          <w:lang w:val="en-US"/>
        </w:rPr>
        <w:t>, this techn</w:t>
      </w:r>
      <w:r w:rsidR="00DC2A2C" w:rsidRPr="00C11F21">
        <w:rPr>
          <w:rFonts w:ascii="Book Antiqua" w:hAnsi="Book Antiqua"/>
          <w:sz w:val="24"/>
          <w:szCs w:val="24"/>
          <w:lang w:val="en-US"/>
        </w:rPr>
        <w:t>ique</w:t>
      </w:r>
      <w:r w:rsidRPr="00C11F21">
        <w:rPr>
          <w:rFonts w:ascii="Book Antiqua" w:hAnsi="Book Antiqua"/>
          <w:sz w:val="24"/>
          <w:szCs w:val="24"/>
          <w:lang w:val="en-US"/>
        </w:rPr>
        <w:t xml:space="preserve"> was selected as the best available</w:t>
      </w:r>
      <w:r w:rsidR="00E060D9" w:rsidRPr="00C11F21">
        <w:rPr>
          <w:rFonts w:ascii="Book Antiqua" w:hAnsi="Book Antiqua"/>
          <w:sz w:val="24"/>
          <w:szCs w:val="24"/>
          <w:lang w:val="en-US"/>
        </w:rPr>
        <w:t xml:space="preserve"> one</w:t>
      </w:r>
      <w:r w:rsidR="00DC2A2C" w:rsidRPr="00C11F21">
        <w:rPr>
          <w:rFonts w:ascii="Book Antiqua" w:hAnsi="Book Antiqua"/>
          <w:sz w:val="24"/>
          <w:szCs w:val="24"/>
          <w:lang w:val="en-US"/>
        </w:rPr>
        <w:t xml:space="preserve"> for our purposes</w:t>
      </w:r>
      <w:r w:rsidRPr="00C11F21">
        <w:rPr>
          <w:rFonts w:ascii="Book Antiqua" w:hAnsi="Book Antiqua"/>
          <w:sz w:val="24"/>
          <w:szCs w:val="24"/>
          <w:lang w:val="en-US"/>
        </w:rPr>
        <w:t xml:space="preserve">, </w:t>
      </w:r>
      <w:r w:rsidR="00DC2A2C" w:rsidRPr="00C11F21">
        <w:rPr>
          <w:rFonts w:ascii="Book Antiqua" w:hAnsi="Book Antiqua"/>
          <w:sz w:val="24"/>
          <w:szCs w:val="24"/>
          <w:lang w:val="en-US"/>
        </w:rPr>
        <w:t xml:space="preserve">as it enabled </w:t>
      </w:r>
      <w:r w:rsidRPr="00C11F21">
        <w:rPr>
          <w:rFonts w:ascii="Book Antiqua" w:hAnsi="Book Antiqua"/>
          <w:sz w:val="24"/>
          <w:szCs w:val="24"/>
          <w:lang w:val="en-US"/>
        </w:rPr>
        <w:t>inclu</w:t>
      </w:r>
      <w:r w:rsidR="00DC2A2C" w:rsidRPr="00C11F21">
        <w:rPr>
          <w:rFonts w:ascii="Book Antiqua" w:hAnsi="Book Antiqua"/>
          <w:sz w:val="24"/>
          <w:szCs w:val="24"/>
          <w:lang w:val="en-US"/>
        </w:rPr>
        <w:t>sion of t</w:t>
      </w:r>
      <w:r w:rsidRPr="00C11F21">
        <w:rPr>
          <w:rFonts w:ascii="Book Antiqua" w:hAnsi="Book Antiqua"/>
          <w:sz w:val="24"/>
          <w:szCs w:val="24"/>
          <w:lang w:val="en-US"/>
        </w:rPr>
        <w:t xml:space="preserve">he </w:t>
      </w:r>
      <w:r w:rsidR="007C11B1" w:rsidRPr="00C11F21">
        <w:rPr>
          <w:rFonts w:ascii="Book Antiqua" w:hAnsi="Book Antiqua"/>
          <w:sz w:val="24"/>
          <w:szCs w:val="24"/>
          <w:lang w:val="en-US"/>
        </w:rPr>
        <w:t xml:space="preserve">preS1 regions of </w:t>
      </w:r>
      <w:r w:rsidRPr="00C11F21">
        <w:rPr>
          <w:rFonts w:ascii="Book Antiqua" w:hAnsi="Book Antiqua"/>
          <w:sz w:val="24"/>
          <w:szCs w:val="24"/>
          <w:lang w:val="en-US"/>
        </w:rPr>
        <w:t xml:space="preserve">NTCP </w:t>
      </w:r>
      <w:r w:rsidR="007C11B1" w:rsidRPr="00C11F21">
        <w:rPr>
          <w:rFonts w:ascii="Book Antiqua" w:hAnsi="Book Antiqua"/>
          <w:sz w:val="24"/>
          <w:szCs w:val="24"/>
          <w:lang w:val="en-US"/>
        </w:rPr>
        <w:t>interaction</w:t>
      </w:r>
      <w:r w:rsidR="00BA695B" w:rsidRPr="00C11F21">
        <w:rPr>
          <w:rFonts w:ascii="Book Antiqua" w:hAnsi="Book Antiqua"/>
          <w:sz w:val="24"/>
          <w:szCs w:val="24"/>
          <w:lang w:val="en-US"/>
        </w:rPr>
        <w:t>s</w:t>
      </w:r>
      <w:r w:rsidR="007C11B1" w:rsidRPr="00C11F21">
        <w:rPr>
          <w:rFonts w:ascii="Book Antiqua" w:hAnsi="Book Antiqua"/>
          <w:sz w:val="24"/>
          <w:szCs w:val="24"/>
          <w:lang w:val="en-US"/>
        </w:rPr>
        <w:t xml:space="preserve"> and virion morphogenesis</w:t>
      </w:r>
      <w:r w:rsidRPr="00C11F21">
        <w:rPr>
          <w:rFonts w:ascii="Book Antiqua" w:hAnsi="Book Antiqua"/>
          <w:sz w:val="24"/>
          <w:szCs w:val="24"/>
          <w:lang w:val="en-US"/>
        </w:rPr>
        <w:t xml:space="preserve"> in the same sequence read, </w:t>
      </w:r>
      <w:r w:rsidR="00DC2A2C" w:rsidRPr="00C11F21">
        <w:rPr>
          <w:rFonts w:ascii="Book Antiqua" w:hAnsi="Book Antiqua"/>
          <w:sz w:val="24"/>
          <w:szCs w:val="24"/>
          <w:lang w:val="en-US"/>
        </w:rPr>
        <w:t>using a single</w:t>
      </w:r>
      <w:r w:rsidRPr="00C11F21">
        <w:rPr>
          <w:rFonts w:ascii="Book Antiqua" w:hAnsi="Book Antiqua"/>
          <w:sz w:val="24"/>
          <w:szCs w:val="24"/>
          <w:lang w:val="en-US"/>
        </w:rPr>
        <w:t xml:space="preserve"> amplicon. </w:t>
      </w:r>
      <w:r w:rsidR="00DF0B54" w:rsidRPr="00C11F21">
        <w:rPr>
          <w:rFonts w:ascii="Book Antiqua" w:hAnsi="Book Antiqua"/>
          <w:sz w:val="24"/>
          <w:szCs w:val="24"/>
          <w:lang w:val="en-US"/>
        </w:rPr>
        <w:t xml:space="preserve">A suitable alternative </w:t>
      </w:r>
      <w:r w:rsidR="00BA695B" w:rsidRPr="00C11F21">
        <w:rPr>
          <w:rFonts w:ascii="Book Antiqua" w:hAnsi="Book Antiqua"/>
          <w:sz w:val="24"/>
          <w:szCs w:val="24"/>
          <w:lang w:val="en-US"/>
        </w:rPr>
        <w:t>to enable future studies aimed at confirming and expanding the results of the present report, and in general to analy</w:t>
      </w:r>
      <w:r w:rsidR="00FA1797" w:rsidRPr="00C11F21">
        <w:rPr>
          <w:rFonts w:ascii="Book Antiqua" w:hAnsi="Book Antiqua"/>
          <w:sz w:val="24"/>
          <w:szCs w:val="24"/>
          <w:lang w:val="en-US"/>
        </w:rPr>
        <w:t>z</w:t>
      </w:r>
      <w:r w:rsidR="00BA695B" w:rsidRPr="00C11F21">
        <w:rPr>
          <w:rFonts w:ascii="Book Antiqua" w:hAnsi="Book Antiqua"/>
          <w:sz w:val="24"/>
          <w:szCs w:val="24"/>
          <w:lang w:val="en-US"/>
        </w:rPr>
        <w:t xml:space="preserve">e the viral quasispecies, </w:t>
      </w:r>
      <w:r w:rsidR="00DF0B54" w:rsidRPr="00C11F21">
        <w:rPr>
          <w:rFonts w:ascii="Book Antiqua" w:hAnsi="Book Antiqua"/>
          <w:sz w:val="24"/>
          <w:szCs w:val="24"/>
          <w:lang w:val="en-US"/>
        </w:rPr>
        <w:t>could be</w:t>
      </w:r>
      <w:r w:rsidR="00E27AE1" w:rsidRPr="00C11F21">
        <w:rPr>
          <w:rFonts w:ascii="Book Antiqua" w:hAnsi="Book Antiqua"/>
          <w:sz w:val="24"/>
          <w:szCs w:val="24"/>
          <w:lang w:val="en-US"/>
        </w:rPr>
        <w:t xml:space="preserve"> Sequencing </w:t>
      </w:r>
      <w:r w:rsidR="00493182" w:rsidRPr="00C11F21">
        <w:rPr>
          <w:rFonts w:ascii="Book Antiqua" w:hAnsi="Book Antiqua"/>
          <w:sz w:val="24"/>
          <w:szCs w:val="24"/>
          <w:lang w:val="en-US"/>
        </w:rPr>
        <w:t>B</w:t>
      </w:r>
      <w:r w:rsidR="00E27AE1" w:rsidRPr="00C11F21">
        <w:rPr>
          <w:rFonts w:ascii="Book Antiqua" w:hAnsi="Book Antiqua"/>
          <w:sz w:val="24"/>
          <w:szCs w:val="24"/>
          <w:lang w:val="en-US"/>
        </w:rPr>
        <w:t xml:space="preserve">y Synthesis technology </w:t>
      </w:r>
      <w:r w:rsidR="00E060D9" w:rsidRPr="00C11F21">
        <w:rPr>
          <w:rFonts w:ascii="Book Antiqua" w:hAnsi="Book Antiqua"/>
          <w:sz w:val="24"/>
          <w:szCs w:val="24"/>
          <w:lang w:val="en-US"/>
        </w:rPr>
        <w:t>on</w:t>
      </w:r>
      <w:r w:rsidR="00E27AE1" w:rsidRPr="00C11F21">
        <w:rPr>
          <w:rFonts w:ascii="Book Antiqua" w:hAnsi="Book Antiqua"/>
          <w:sz w:val="24"/>
          <w:szCs w:val="24"/>
          <w:lang w:val="en-US"/>
        </w:rPr>
        <w:t xml:space="preserve"> MiSeq platforms (Illumina, San Diego, U</w:t>
      </w:r>
      <w:r w:rsidR="001C0EB4" w:rsidRPr="00C11F21">
        <w:rPr>
          <w:rFonts w:ascii="Book Antiqua" w:hAnsi="Book Antiqua" w:hint="eastAsia"/>
          <w:sz w:val="24"/>
          <w:szCs w:val="24"/>
          <w:lang w:val="en-US" w:eastAsia="zh-CN"/>
        </w:rPr>
        <w:t>nited States</w:t>
      </w:r>
      <w:r w:rsidR="00E27AE1" w:rsidRPr="00C11F21">
        <w:rPr>
          <w:rFonts w:ascii="Book Antiqua" w:hAnsi="Book Antiqua"/>
          <w:sz w:val="24"/>
          <w:szCs w:val="24"/>
          <w:lang w:val="en-US"/>
        </w:rPr>
        <w:t>)</w:t>
      </w:r>
      <w:r w:rsidR="00DF0B54" w:rsidRPr="00C11F21">
        <w:rPr>
          <w:rFonts w:ascii="Book Antiqua" w:hAnsi="Book Antiqua"/>
          <w:sz w:val="24"/>
          <w:szCs w:val="24"/>
          <w:lang w:val="en-US"/>
        </w:rPr>
        <w:t>,</w:t>
      </w:r>
      <w:r w:rsidR="00EC4F0B" w:rsidRPr="00C11F21">
        <w:rPr>
          <w:rFonts w:ascii="Book Antiqua" w:hAnsi="Book Antiqua"/>
          <w:sz w:val="24"/>
          <w:szCs w:val="24"/>
          <w:lang w:val="en-US"/>
        </w:rPr>
        <w:t xml:space="preserve"> </w:t>
      </w:r>
      <w:r w:rsidR="00BD00B1" w:rsidRPr="00C11F21">
        <w:rPr>
          <w:rFonts w:ascii="Book Antiqua" w:hAnsi="Book Antiqua"/>
          <w:sz w:val="24"/>
          <w:szCs w:val="24"/>
          <w:lang w:val="en-US"/>
        </w:rPr>
        <w:t>as this technique can generate sequence reads with a length similar to that of the fragment analyzed in this study</w:t>
      </w:r>
      <w:r w:rsidR="00E27AE1" w:rsidRPr="00C11F21">
        <w:rPr>
          <w:rFonts w:ascii="Book Antiqua" w:hAnsi="Book Antiqua"/>
          <w:sz w:val="24"/>
          <w:szCs w:val="24"/>
          <w:lang w:val="en-US"/>
        </w:rPr>
        <w:t>.</w:t>
      </w:r>
      <w:r w:rsidR="000466B7" w:rsidRPr="00C11F21">
        <w:rPr>
          <w:rFonts w:ascii="Book Antiqua" w:hAnsi="Book Antiqua"/>
          <w:sz w:val="24"/>
          <w:szCs w:val="24"/>
          <w:lang w:val="en-US"/>
        </w:rPr>
        <w:t xml:space="preserve"> </w:t>
      </w:r>
    </w:p>
    <w:p w14:paraId="5111240F" w14:textId="7867E202" w:rsidR="00803CA5" w:rsidRPr="00C11F21" w:rsidRDefault="006A778D" w:rsidP="001C0EB4">
      <w:pPr>
        <w:snapToGrid w:val="0"/>
        <w:spacing w:after="0" w:line="360" w:lineRule="auto"/>
        <w:ind w:firstLineChars="100" w:firstLine="240"/>
        <w:jc w:val="both"/>
        <w:rPr>
          <w:rFonts w:ascii="Book Antiqua" w:hAnsi="Book Antiqua" w:cstheme="minorHAnsi"/>
          <w:sz w:val="24"/>
          <w:szCs w:val="24"/>
          <w:lang w:val="en-US"/>
        </w:rPr>
      </w:pPr>
      <w:r w:rsidRPr="00C11F21">
        <w:rPr>
          <w:rFonts w:ascii="Book Antiqua" w:hAnsi="Book Antiqua" w:cstheme="minorHAnsi"/>
          <w:sz w:val="24"/>
          <w:szCs w:val="24"/>
          <w:lang w:val="en-US"/>
        </w:rPr>
        <w:t xml:space="preserve">In conclusion, NGS analysis of preS1 </w:t>
      </w:r>
      <w:r w:rsidR="00971497" w:rsidRPr="00C11F21">
        <w:rPr>
          <w:rFonts w:ascii="Book Antiqua" w:hAnsi="Book Antiqua" w:cstheme="minorHAnsi"/>
          <w:sz w:val="24"/>
          <w:szCs w:val="24"/>
          <w:lang w:val="en-US"/>
        </w:rPr>
        <w:t xml:space="preserve">domains </w:t>
      </w:r>
      <w:r w:rsidRPr="00C11F21">
        <w:rPr>
          <w:rFonts w:ascii="Book Antiqua" w:hAnsi="Book Antiqua" w:cstheme="minorHAnsi"/>
          <w:sz w:val="24"/>
          <w:szCs w:val="24"/>
          <w:lang w:val="en-US"/>
        </w:rPr>
        <w:t xml:space="preserve">in strains from 7 of the 8 main HBV genotypes showed a high degree of conservation of essential amino acids related with </w:t>
      </w:r>
      <w:r w:rsidR="005318D7" w:rsidRPr="00C11F21">
        <w:rPr>
          <w:rFonts w:ascii="Book Antiqua" w:hAnsi="Book Antiqua" w:cstheme="minorHAnsi"/>
          <w:sz w:val="24"/>
          <w:szCs w:val="24"/>
          <w:lang w:val="en-US"/>
        </w:rPr>
        <w:t xml:space="preserve">the </w:t>
      </w:r>
      <w:r w:rsidRPr="00C11F21">
        <w:rPr>
          <w:rFonts w:ascii="Book Antiqua" w:hAnsi="Book Antiqua" w:cstheme="minorHAnsi"/>
          <w:sz w:val="24"/>
          <w:szCs w:val="24"/>
          <w:lang w:val="en-US"/>
        </w:rPr>
        <w:t xml:space="preserve">NTCP interaction. Proline residues in both domains and potential phosphorylation targets in the virion morphogenesis domain were </w:t>
      </w:r>
      <w:r w:rsidRPr="00C11F21">
        <w:rPr>
          <w:rFonts w:ascii="Book Antiqua" w:hAnsi="Book Antiqua" w:cstheme="minorHAnsi"/>
          <w:sz w:val="24"/>
          <w:szCs w:val="24"/>
          <w:lang w:val="en-US"/>
        </w:rPr>
        <w:lastRenderedPageBreak/>
        <w:t xml:space="preserve">also highly conserved. Given the low to null prevalence of the rs2296651 SNP of the </w:t>
      </w:r>
      <w:r w:rsidRPr="00C11F21">
        <w:rPr>
          <w:rFonts w:ascii="Book Antiqua" w:hAnsi="Book Antiqua" w:cstheme="minorHAnsi"/>
          <w:i/>
          <w:sz w:val="24"/>
          <w:szCs w:val="24"/>
          <w:lang w:val="en-US"/>
        </w:rPr>
        <w:t>SLC10A1</w:t>
      </w:r>
      <w:r w:rsidRPr="00C11F21">
        <w:rPr>
          <w:rFonts w:ascii="Book Antiqua" w:hAnsi="Book Antiqua" w:cstheme="minorHAnsi"/>
          <w:sz w:val="24"/>
          <w:szCs w:val="24"/>
          <w:lang w:val="en-US"/>
        </w:rPr>
        <w:t xml:space="preserve"> gene in our patient population, we </w:t>
      </w:r>
      <w:r w:rsidR="00EA5497" w:rsidRPr="00C11F21">
        <w:rPr>
          <w:rFonts w:ascii="Book Antiqua" w:hAnsi="Book Antiqua" w:cstheme="minorHAnsi"/>
          <w:sz w:val="24"/>
          <w:szCs w:val="24"/>
          <w:lang w:val="en-US"/>
        </w:rPr>
        <w:t>would</w:t>
      </w:r>
      <w:r w:rsidRPr="00C11F21">
        <w:rPr>
          <w:rFonts w:ascii="Book Antiqua" w:hAnsi="Book Antiqua" w:cstheme="minorHAnsi"/>
          <w:sz w:val="24"/>
          <w:szCs w:val="24"/>
          <w:lang w:val="en-US"/>
        </w:rPr>
        <w:t xml:space="preserve"> not expect interference from NTCP in its interaction with preS1 or </w:t>
      </w:r>
      <w:r w:rsidR="00793929" w:rsidRPr="00C11F21">
        <w:rPr>
          <w:rFonts w:ascii="Book Antiqua" w:hAnsi="Book Antiqua" w:cstheme="minorHAnsi"/>
          <w:sz w:val="24"/>
          <w:szCs w:val="24"/>
          <w:lang w:val="en-US"/>
        </w:rPr>
        <w:t>preS1-derived</w:t>
      </w:r>
      <w:r w:rsidR="00EA5497" w:rsidRPr="00C11F21">
        <w:rPr>
          <w:rFonts w:ascii="Book Antiqua" w:hAnsi="Book Antiqua" w:cstheme="minorHAnsi"/>
          <w:sz w:val="24"/>
          <w:szCs w:val="24"/>
          <w:lang w:val="en-US"/>
        </w:rPr>
        <w:t xml:space="preserve"> synthetic lipopeptide molecules.</w:t>
      </w:r>
      <w:r w:rsidRPr="00C11F21">
        <w:rPr>
          <w:rFonts w:ascii="Book Antiqua" w:hAnsi="Book Antiqua" w:cstheme="minorHAnsi"/>
          <w:sz w:val="24"/>
          <w:szCs w:val="24"/>
          <w:lang w:val="en-US"/>
        </w:rPr>
        <w:t xml:space="preserve"> </w:t>
      </w:r>
      <w:r w:rsidR="00EA5497" w:rsidRPr="00C11F21">
        <w:rPr>
          <w:rFonts w:ascii="Book Antiqua" w:hAnsi="Book Antiqua" w:cstheme="minorHAnsi"/>
          <w:sz w:val="24"/>
          <w:szCs w:val="24"/>
          <w:lang w:val="en-US"/>
        </w:rPr>
        <w:t>Thus, these preliminary</w:t>
      </w:r>
      <w:r w:rsidRPr="00C11F21">
        <w:rPr>
          <w:rFonts w:ascii="Book Antiqua" w:hAnsi="Book Antiqua" w:cstheme="minorHAnsi"/>
          <w:sz w:val="24"/>
          <w:szCs w:val="24"/>
          <w:lang w:val="en-US"/>
        </w:rPr>
        <w:t xml:space="preserve"> </w:t>
      </w:r>
      <w:r w:rsidR="00EA5497" w:rsidRPr="00C11F21">
        <w:rPr>
          <w:rFonts w:ascii="Book Antiqua" w:hAnsi="Book Antiqua" w:cstheme="minorHAnsi"/>
          <w:sz w:val="24"/>
          <w:szCs w:val="24"/>
          <w:lang w:val="en-US"/>
        </w:rPr>
        <w:t>results</w:t>
      </w:r>
      <w:r w:rsidRPr="00C11F21">
        <w:rPr>
          <w:rFonts w:ascii="Book Antiqua" w:hAnsi="Book Antiqua" w:cstheme="minorHAnsi"/>
          <w:sz w:val="24"/>
          <w:szCs w:val="24"/>
          <w:lang w:val="en-US"/>
        </w:rPr>
        <w:t xml:space="preserve"> </w:t>
      </w:r>
      <w:r w:rsidR="00EA5497" w:rsidRPr="00C11F21">
        <w:rPr>
          <w:rFonts w:ascii="Book Antiqua" w:hAnsi="Book Antiqua" w:cstheme="minorHAnsi"/>
          <w:sz w:val="24"/>
          <w:szCs w:val="24"/>
          <w:lang w:val="en-US"/>
        </w:rPr>
        <w:t xml:space="preserve">indicate </w:t>
      </w:r>
      <w:r w:rsidRPr="00C11F21">
        <w:rPr>
          <w:rFonts w:ascii="Book Antiqua" w:hAnsi="Book Antiqua" w:cstheme="minorHAnsi"/>
          <w:sz w:val="24"/>
          <w:szCs w:val="24"/>
          <w:lang w:val="en-US"/>
        </w:rPr>
        <w:t xml:space="preserve">that inhibition of HBV entry by NTCP block therapies would be </w:t>
      </w:r>
      <w:r w:rsidR="00EA5497" w:rsidRPr="00C11F21">
        <w:rPr>
          <w:rFonts w:ascii="Book Antiqua" w:hAnsi="Book Antiqua" w:cstheme="minorHAnsi"/>
          <w:sz w:val="24"/>
          <w:szCs w:val="24"/>
          <w:lang w:val="en-US"/>
        </w:rPr>
        <w:t xml:space="preserve">a </w:t>
      </w:r>
      <w:r w:rsidRPr="00C11F21">
        <w:rPr>
          <w:rFonts w:ascii="Book Antiqua" w:hAnsi="Book Antiqua" w:cstheme="minorHAnsi"/>
          <w:sz w:val="24"/>
          <w:szCs w:val="24"/>
          <w:lang w:val="en-US"/>
        </w:rPr>
        <w:t xml:space="preserve">suitable treatment in our CHB population. </w:t>
      </w:r>
    </w:p>
    <w:p w14:paraId="5C11B76E" w14:textId="0FA7C72B" w:rsidR="00971497" w:rsidRPr="00C11F21" w:rsidRDefault="006A778D" w:rsidP="001C0EB4">
      <w:pPr>
        <w:pStyle w:val="BodyText"/>
        <w:snapToGrid w:val="0"/>
        <w:spacing w:after="0" w:line="360" w:lineRule="auto"/>
        <w:ind w:firstLineChars="100" w:firstLine="240"/>
        <w:jc w:val="both"/>
        <w:rPr>
          <w:rFonts w:ascii="Book Antiqua" w:hAnsi="Book Antiqua" w:cstheme="minorHAnsi"/>
        </w:rPr>
      </w:pPr>
      <w:r w:rsidRPr="00C11F21">
        <w:rPr>
          <w:rFonts w:ascii="Book Antiqua" w:hAnsi="Book Antiqua" w:cstheme="minorHAnsi"/>
        </w:rPr>
        <w:t>The findings from this exploratory study are locally relevant as they provide preliminary information on a population previously uncharacterized in this regard.</w:t>
      </w:r>
      <w:r w:rsidR="00EA5497" w:rsidRPr="00C11F21">
        <w:rPr>
          <w:rFonts w:ascii="Book Antiqua" w:hAnsi="Book Antiqua" w:cstheme="minorHAnsi"/>
        </w:rPr>
        <w:t xml:space="preserve"> However, they have limited robustness for generalizations. </w:t>
      </w:r>
      <w:r w:rsidR="00971497" w:rsidRPr="00C11F21">
        <w:rPr>
          <w:rFonts w:ascii="Book Antiqua" w:hAnsi="Book Antiqua" w:cstheme="minorHAnsi"/>
        </w:rPr>
        <w:t xml:space="preserve">Nonetheless, the study illustrates the value of </w:t>
      </w:r>
      <w:r w:rsidR="00EA5497" w:rsidRPr="00C11F21">
        <w:rPr>
          <w:rFonts w:ascii="Book Antiqua" w:hAnsi="Book Antiqua" w:cstheme="minorHAnsi"/>
        </w:rPr>
        <w:t xml:space="preserve">NGS </w:t>
      </w:r>
      <w:r w:rsidR="005554B5" w:rsidRPr="00C11F21">
        <w:rPr>
          <w:rFonts w:ascii="Book Antiqua" w:hAnsi="Book Antiqua" w:cstheme="minorHAnsi"/>
        </w:rPr>
        <w:t xml:space="preserve">to investigate the variability of </w:t>
      </w:r>
      <w:r w:rsidR="005554B5" w:rsidRPr="00C11F21">
        <w:rPr>
          <w:rFonts w:ascii="Book Antiqua" w:hAnsi="Book Antiqua"/>
        </w:rPr>
        <w:t xml:space="preserve">the preS1 </w:t>
      </w:r>
      <w:r w:rsidR="00B42A7C" w:rsidRPr="00C11F21">
        <w:rPr>
          <w:rFonts w:ascii="Book Antiqua" w:hAnsi="Book Antiqua"/>
        </w:rPr>
        <w:t>region</w:t>
      </w:r>
      <w:r w:rsidR="005554B5" w:rsidRPr="00C11F21">
        <w:rPr>
          <w:rFonts w:ascii="Book Antiqua" w:hAnsi="Book Antiqua"/>
        </w:rPr>
        <w:t xml:space="preserve"> of the LHB</w:t>
      </w:r>
      <w:r w:rsidR="00887F38" w:rsidRPr="00C11F21">
        <w:rPr>
          <w:rFonts w:ascii="Book Antiqua" w:hAnsi="Book Antiqua"/>
        </w:rPr>
        <w:t>s</w:t>
      </w:r>
      <w:r w:rsidR="0095607D" w:rsidRPr="00C11F21">
        <w:rPr>
          <w:rFonts w:ascii="Book Antiqua" w:hAnsi="Book Antiqua"/>
        </w:rPr>
        <w:t>,</w:t>
      </w:r>
      <w:r w:rsidR="005554B5" w:rsidRPr="00C11F21">
        <w:rPr>
          <w:rFonts w:ascii="Book Antiqua" w:hAnsi="Book Antiqua"/>
        </w:rPr>
        <w:t xml:space="preserve"> and </w:t>
      </w:r>
      <w:r w:rsidR="005554B5" w:rsidRPr="00C11F21">
        <w:rPr>
          <w:rFonts w:ascii="Book Antiqua" w:hAnsi="Book Antiqua" w:cstheme="minorHAnsi"/>
        </w:rPr>
        <w:t xml:space="preserve">real-time PCR </w:t>
      </w:r>
      <w:r w:rsidR="0095607D" w:rsidRPr="00C11F21">
        <w:rPr>
          <w:rFonts w:ascii="Book Antiqua" w:hAnsi="Book Antiqua"/>
        </w:rPr>
        <w:t xml:space="preserve">melting curve </w:t>
      </w:r>
      <w:r w:rsidR="009E7F42" w:rsidRPr="00C11F21">
        <w:rPr>
          <w:rFonts w:ascii="Book Antiqua" w:hAnsi="Book Antiqua"/>
        </w:rPr>
        <w:t xml:space="preserve">analysis </w:t>
      </w:r>
      <w:r w:rsidR="005554B5" w:rsidRPr="00C11F21">
        <w:rPr>
          <w:rFonts w:ascii="Book Antiqua" w:hAnsi="Book Antiqua"/>
        </w:rPr>
        <w:t xml:space="preserve">to detect the rs2296651 polymorphism </w:t>
      </w:r>
      <w:r w:rsidR="00472361" w:rsidRPr="00C11F21">
        <w:rPr>
          <w:rFonts w:ascii="Book Antiqua" w:hAnsi="Book Antiqua"/>
        </w:rPr>
        <w:t xml:space="preserve">causing S267F variant </w:t>
      </w:r>
      <w:r w:rsidR="005554B5" w:rsidRPr="00C11F21">
        <w:rPr>
          <w:rFonts w:ascii="Book Antiqua" w:hAnsi="Book Antiqua"/>
        </w:rPr>
        <w:t>in NTCP</w:t>
      </w:r>
      <w:r w:rsidR="0095607D" w:rsidRPr="00C11F21">
        <w:rPr>
          <w:rFonts w:ascii="Book Antiqua" w:hAnsi="Book Antiqua"/>
        </w:rPr>
        <w:t>,</w:t>
      </w:r>
      <w:r w:rsidR="00971497" w:rsidRPr="00C11F21">
        <w:rPr>
          <w:rFonts w:ascii="Book Antiqua" w:hAnsi="Book Antiqua" w:cstheme="minorHAnsi"/>
        </w:rPr>
        <w:t xml:space="preserve"> </w:t>
      </w:r>
      <w:r w:rsidR="00887F38" w:rsidRPr="00C11F21">
        <w:rPr>
          <w:rFonts w:ascii="Book Antiqua" w:hAnsi="Book Antiqua" w:cstheme="minorHAnsi"/>
        </w:rPr>
        <w:t>the HBV</w:t>
      </w:r>
      <w:r w:rsidR="009E7F42" w:rsidRPr="00C11F21">
        <w:rPr>
          <w:rFonts w:ascii="Book Antiqua" w:hAnsi="Book Antiqua"/>
        </w:rPr>
        <w:t xml:space="preserve"> cellular receptor.</w:t>
      </w:r>
      <w:r w:rsidR="00971497" w:rsidRPr="00C11F21">
        <w:rPr>
          <w:rFonts w:ascii="Book Antiqua" w:hAnsi="Book Antiqua" w:cstheme="minorHAnsi"/>
        </w:rPr>
        <w:t xml:space="preserve"> </w:t>
      </w:r>
      <w:r w:rsidR="00803CA5" w:rsidRPr="00C11F21">
        <w:rPr>
          <w:rFonts w:ascii="Book Antiqua" w:hAnsi="Book Antiqua" w:cstheme="minorHAnsi"/>
        </w:rPr>
        <w:t>F</w:t>
      </w:r>
      <w:r w:rsidR="00971497" w:rsidRPr="00C11F21">
        <w:rPr>
          <w:rFonts w:ascii="Book Antiqua" w:hAnsi="Book Antiqua" w:cstheme="minorHAnsi"/>
        </w:rPr>
        <w:t xml:space="preserve">uture studies </w:t>
      </w:r>
      <w:r w:rsidR="002B3A89" w:rsidRPr="00C11F21">
        <w:rPr>
          <w:rFonts w:ascii="Book Antiqua" w:hAnsi="Book Antiqua" w:cstheme="minorHAnsi"/>
        </w:rPr>
        <w:t>with larger patient</w:t>
      </w:r>
      <w:r w:rsidR="00971497" w:rsidRPr="00C11F21">
        <w:rPr>
          <w:rFonts w:ascii="Book Antiqua" w:hAnsi="Book Antiqua" w:cstheme="minorHAnsi"/>
        </w:rPr>
        <w:t xml:space="preserve"> </w:t>
      </w:r>
      <w:r w:rsidR="002562FC" w:rsidRPr="00C11F21">
        <w:rPr>
          <w:rFonts w:ascii="Book Antiqua" w:hAnsi="Book Antiqua" w:cstheme="minorHAnsi"/>
        </w:rPr>
        <w:t xml:space="preserve">samples </w:t>
      </w:r>
      <w:r w:rsidR="00971497" w:rsidRPr="00C11F21">
        <w:rPr>
          <w:rFonts w:ascii="Book Antiqua" w:hAnsi="Book Antiqua" w:cstheme="minorHAnsi"/>
        </w:rPr>
        <w:t xml:space="preserve">are needed to support </w:t>
      </w:r>
      <w:r w:rsidR="00D04C8D" w:rsidRPr="00C11F21">
        <w:rPr>
          <w:rFonts w:ascii="Book Antiqua" w:hAnsi="Book Antiqua" w:cstheme="minorHAnsi"/>
        </w:rPr>
        <w:t>the</w:t>
      </w:r>
      <w:r w:rsidR="00971497" w:rsidRPr="00C11F21">
        <w:rPr>
          <w:rFonts w:ascii="Book Antiqua" w:hAnsi="Book Antiqua" w:cstheme="minorHAnsi"/>
        </w:rPr>
        <w:t xml:space="preserve"> </w:t>
      </w:r>
      <w:r w:rsidR="00355653" w:rsidRPr="00C11F21">
        <w:rPr>
          <w:rFonts w:ascii="Book Antiqua" w:hAnsi="Book Antiqua" w:cstheme="minorHAnsi"/>
        </w:rPr>
        <w:t xml:space="preserve">preS1 </w:t>
      </w:r>
      <w:r w:rsidR="00971497" w:rsidRPr="00C11F21">
        <w:rPr>
          <w:rFonts w:ascii="Book Antiqua" w:hAnsi="Book Antiqua" w:cstheme="minorHAnsi"/>
        </w:rPr>
        <w:t xml:space="preserve">results and investigate additional NTCP polymorphisms. </w:t>
      </w:r>
      <w:r w:rsidR="00E10E96" w:rsidRPr="00C11F21">
        <w:rPr>
          <w:rFonts w:ascii="Book Antiqua" w:hAnsi="Book Antiqua" w:cstheme="minorHAnsi"/>
        </w:rPr>
        <w:t>Finally</w:t>
      </w:r>
      <w:r w:rsidR="002B3A89" w:rsidRPr="00C11F21">
        <w:rPr>
          <w:rFonts w:ascii="Book Antiqua" w:hAnsi="Book Antiqua" w:cstheme="minorHAnsi"/>
        </w:rPr>
        <w:t xml:space="preserve">, functional and structural studies </w:t>
      </w:r>
      <w:r w:rsidR="00E10E96" w:rsidRPr="00C11F21">
        <w:rPr>
          <w:rFonts w:ascii="Book Antiqua" w:hAnsi="Book Antiqua" w:cstheme="minorHAnsi"/>
        </w:rPr>
        <w:t>will help</w:t>
      </w:r>
      <w:r w:rsidR="002B3A89" w:rsidRPr="00C11F21">
        <w:rPr>
          <w:rFonts w:ascii="Book Antiqua" w:hAnsi="Book Antiqua" w:cstheme="minorHAnsi"/>
        </w:rPr>
        <w:t xml:space="preserve"> decipher the implications of the high degree of conservation of </w:t>
      </w:r>
      <w:r w:rsidR="00E10E96" w:rsidRPr="00C11F21">
        <w:rPr>
          <w:rFonts w:ascii="Book Antiqua" w:hAnsi="Book Antiqua" w:cstheme="minorHAnsi"/>
        </w:rPr>
        <w:t xml:space="preserve">the </w:t>
      </w:r>
      <w:r w:rsidR="002B3A89" w:rsidRPr="00C11F21">
        <w:rPr>
          <w:rFonts w:ascii="Book Antiqua" w:hAnsi="Book Antiqua" w:cstheme="minorHAnsi"/>
        </w:rPr>
        <w:t xml:space="preserve">preS1 domains </w:t>
      </w:r>
      <w:r w:rsidR="00E10E96" w:rsidRPr="00C11F21">
        <w:rPr>
          <w:rFonts w:ascii="Book Antiqua" w:hAnsi="Book Antiqua" w:cstheme="minorHAnsi"/>
        </w:rPr>
        <w:t>o</w:t>
      </w:r>
      <w:r w:rsidR="002B3A89" w:rsidRPr="00C11F21">
        <w:rPr>
          <w:rFonts w:ascii="Book Antiqua" w:hAnsi="Book Antiqua" w:cstheme="minorHAnsi"/>
        </w:rPr>
        <w:t>n HBV activity.</w:t>
      </w:r>
    </w:p>
    <w:p w14:paraId="584385AD" w14:textId="77777777" w:rsidR="006A778D" w:rsidRPr="00C11F21" w:rsidRDefault="006A778D" w:rsidP="00F33187">
      <w:pPr>
        <w:snapToGrid w:val="0"/>
        <w:spacing w:after="0" w:line="360" w:lineRule="auto"/>
        <w:jc w:val="both"/>
        <w:rPr>
          <w:rFonts w:ascii="Book Antiqua" w:hAnsi="Book Antiqua" w:cstheme="minorHAnsi"/>
          <w:sz w:val="24"/>
          <w:szCs w:val="24"/>
          <w:lang w:val="en-US" w:eastAsia="zh-CN"/>
        </w:rPr>
      </w:pPr>
    </w:p>
    <w:p w14:paraId="7B8CEF01" w14:textId="5ED57A52" w:rsidR="00FE6754" w:rsidRPr="00C11F21" w:rsidRDefault="00FE6754" w:rsidP="00FE6754">
      <w:pPr>
        <w:snapToGrid w:val="0"/>
        <w:spacing w:after="0" w:line="360" w:lineRule="auto"/>
        <w:jc w:val="both"/>
        <w:rPr>
          <w:rFonts w:ascii="Book Antiqua" w:hAnsi="Book Antiqua"/>
          <w:b/>
          <w:caps/>
          <w:sz w:val="24"/>
          <w:szCs w:val="24"/>
          <w:lang w:eastAsia="zh-CN"/>
        </w:rPr>
      </w:pPr>
      <w:r w:rsidRPr="00C11F21">
        <w:rPr>
          <w:rFonts w:ascii="Book Antiqua" w:hAnsi="Book Antiqua" w:cs="Segoe UI"/>
          <w:b/>
          <w:caps/>
          <w:sz w:val="24"/>
          <w:szCs w:val="24"/>
          <w:shd w:val="clear" w:color="auto" w:fill="FFFFFF"/>
        </w:rPr>
        <w:t>Article Highlights</w:t>
      </w:r>
    </w:p>
    <w:p w14:paraId="68B9E987" w14:textId="77777777" w:rsidR="00FE6754" w:rsidRPr="00C11F21" w:rsidRDefault="00FE6754" w:rsidP="00FE6754">
      <w:pPr>
        <w:snapToGrid w:val="0"/>
        <w:spacing w:after="0" w:line="360" w:lineRule="auto"/>
        <w:jc w:val="both"/>
        <w:rPr>
          <w:rFonts w:ascii="Book Antiqua" w:hAnsi="Book Antiqua"/>
          <w:b/>
          <w:i/>
          <w:sz w:val="24"/>
          <w:szCs w:val="24"/>
        </w:rPr>
      </w:pPr>
      <w:r w:rsidRPr="00C11F21">
        <w:rPr>
          <w:rFonts w:ascii="Book Antiqua" w:hAnsi="Book Antiqua"/>
          <w:b/>
          <w:i/>
          <w:sz w:val="24"/>
          <w:szCs w:val="24"/>
        </w:rPr>
        <w:t>Research background</w:t>
      </w:r>
    </w:p>
    <w:p w14:paraId="7F6B27B5" w14:textId="35F34EBC" w:rsidR="00C11F21" w:rsidRPr="00C11F21" w:rsidRDefault="00C11F21" w:rsidP="00C11F21">
      <w:pPr>
        <w:snapToGrid w:val="0"/>
        <w:spacing w:after="0" w:line="360" w:lineRule="auto"/>
        <w:jc w:val="both"/>
        <w:rPr>
          <w:rFonts w:ascii="Book Antiqua" w:hAnsi="Book Antiqua"/>
          <w:sz w:val="24"/>
          <w:szCs w:val="24"/>
          <w:lang w:val="en-US" w:eastAsia="zh-CN"/>
        </w:rPr>
      </w:pPr>
      <w:r w:rsidRPr="00C11F21">
        <w:rPr>
          <w:rFonts w:ascii="Book Antiqua" w:hAnsi="Book Antiqua"/>
          <w:sz w:val="24"/>
          <w:szCs w:val="24"/>
          <w:lang w:val="en-US" w:eastAsia="zh-CN"/>
        </w:rPr>
        <w:t xml:space="preserve">Since its identification as a specific receptor for </w:t>
      </w:r>
      <w:r w:rsidR="0062564A" w:rsidRPr="0062564A">
        <w:rPr>
          <w:rFonts w:ascii="Book Antiqua" w:hAnsi="Book Antiqua"/>
          <w:sz w:val="24"/>
          <w:szCs w:val="24"/>
          <w:lang w:val="en-US" w:eastAsia="zh-CN"/>
        </w:rPr>
        <w:t>hepatitis B virus (HBV)</w:t>
      </w:r>
      <w:r w:rsidR="0062564A">
        <w:rPr>
          <w:rFonts w:ascii="Book Antiqua" w:hAnsi="Book Antiqua" w:hint="eastAsia"/>
          <w:sz w:val="24"/>
          <w:szCs w:val="24"/>
          <w:lang w:val="en-US" w:eastAsia="zh-CN"/>
        </w:rPr>
        <w:t xml:space="preserve"> </w:t>
      </w:r>
      <w:r w:rsidRPr="00C11F21">
        <w:rPr>
          <w:rFonts w:ascii="Book Antiqua" w:hAnsi="Book Antiqua"/>
          <w:sz w:val="24"/>
          <w:szCs w:val="24"/>
          <w:lang w:val="en-US" w:eastAsia="zh-CN"/>
        </w:rPr>
        <w:t>entry into hepatocytes, sodium-taurocholate cotransporting polypeptide (NTCP) has gained significant attention as a</w:t>
      </w:r>
      <w:r w:rsidR="0062564A">
        <w:rPr>
          <w:rFonts w:ascii="Book Antiqua" w:hAnsi="Book Antiqua" w:hint="eastAsia"/>
          <w:sz w:val="24"/>
          <w:szCs w:val="24"/>
          <w:lang w:val="en-US" w:eastAsia="zh-CN"/>
        </w:rPr>
        <w:t xml:space="preserve"> </w:t>
      </w:r>
      <w:r w:rsidRPr="00C11F21">
        <w:rPr>
          <w:rFonts w:ascii="Book Antiqua" w:hAnsi="Book Antiqua"/>
          <w:sz w:val="24"/>
          <w:szCs w:val="24"/>
          <w:lang w:val="en-US" w:eastAsia="zh-CN"/>
        </w:rPr>
        <w:t>HBV</w:t>
      </w:r>
      <w:r w:rsidR="0062564A">
        <w:rPr>
          <w:rFonts w:ascii="Book Antiqua" w:hAnsi="Book Antiqua" w:hint="eastAsia"/>
          <w:sz w:val="24"/>
          <w:szCs w:val="24"/>
          <w:lang w:val="en-US" w:eastAsia="zh-CN"/>
        </w:rPr>
        <w:t xml:space="preserve"> </w:t>
      </w:r>
      <w:r w:rsidRPr="00C11F21">
        <w:rPr>
          <w:rFonts w:ascii="Book Antiqua" w:hAnsi="Book Antiqua"/>
          <w:sz w:val="24"/>
          <w:szCs w:val="24"/>
          <w:lang w:val="en-US" w:eastAsia="zh-CN"/>
        </w:rPr>
        <w:t xml:space="preserve">therapeutic target. Synthetic lipopeptides that mimic the 47 amino acid (aa) domain at the N-terminal end of the preS1 region of large hepatitis B envelope proteins, such as Myrcludex-B, can bind to NTCP and effectively block HBV cellular entry. The single nucleotide polymorphism (SNP) in the </w:t>
      </w:r>
      <w:r w:rsidRPr="00C11F21">
        <w:rPr>
          <w:rFonts w:ascii="Book Antiqua" w:hAnsi="Book Antiqua"/>
          <w:i/>
          <w:sz w:val="24"/>
          <w:szCs w:val="24"/>
          <w:lang w:val="en-US" w:eastAsia="zh-CN"/>
        </w:rPr>
        <w:t>SLC10A1</w:t>
      </w:r>
      <w:r w:rsidRPr="00C11F21">
        <w:rPr>
          <w:rFonts w:ascii="Book Antiqua" w:hAnsi="Book Antiqua"/>
          <w:sz w:val="24"/>
          <w:szCs w:val="24"/>
          <w:lang w:val="en-US" w:eastAsia="zh-CN"/>
        </w:rPr>
        <w:t xml:space="preserve"> gene, rs2296651, causes the S267F variant in NTCP, which may affect interactions between this receptor and viral particles. Therefore, preS1 N-terminal domain variability and presence of the rs2296651 SNP may have an impact on interactions between synthetic preS1-derived lipopeptides and NTCP, weakening the effectiveness of therapies against this interaction.</w:t>
      </w:r>
    </w:p>
    <w:p w14:paraId="06AA1C89" w14:textId="77777777" w:rsidR="00C11F21" w:rsidRPr="00C11F21" w:rsidRDefault="00C11F21" w:rsidP="00FE6754">
      <w:pPr>
        <w:snapToGrid w:val="0"/>
        <w:spacing w:after="0" w:line="360" w:lineRule="auto"/>
        <w:jc w:val="both"/>
        <w:rPr>
          <w:rFonts w:ascii="Book Antiqua" w:hAnsi="Book Antiqua"/>
          <w:sz w:val="24"/>
          <w:szCs w:val="24"/>
          <w:lang w:eastAsia="zh-CN"/>
        </w:rPr>
      </w:pPr>
    </w:p>
    <w:p w14:paraId="57C6C1EE" w14:textId="77777777" w:rsidR="00FE6754" w:rsidRPr="00C11F21" w:rsidRDefault="00FE6754" w:rsidP="00FE6754">
      <w:pPr>
        <w:snapToGrid w:val="0"/>
        <w:spacing w:after="0" w:line="360" w:lineRule="auto"/>
        <w:jc w:val="both"/>
        <w:rPr>
          <w:rFonts w:ascii="Book Antiqua" w:hAnsi="Book Antiqua"/>
          <w:b/>
          <w:i/>
          <w:sz w:val="24"/>
          <w:szCs w:val="24"/>
        </w:rPr>
      </w:pPr>
      <w:r w:rsidRPr="00C11F21">
        <w:rPr>
          <w:rFonts w:ascii="Book Antiqua" w:hAnsi="Book Antiqua"/>
          <w:b/>
          <w:i/>
          <w:sz w:val="24"/>
          <w:szCs w:val="24"/>
        </w:rPr>
        <w:lastRenderedPageBreak/>
        <w:t>Research motivation</w:t>
      </w:r>
    </w:p>
    <w:p w14:paraId="578165A2" w14:textId="0EAF83E6" w:rsidR="00FE6754" w:rsidRPr="00C11F21" w:rsidRDefault="00C11F21" w:rsidP="00FE6754">
      <w:pPr>
        <w:snapToGrid w:val="0"/>
        <w:spacing w:after="0" w:line="360" w:lineRule="auto"/>
        <w:jc w:val="both"/>
        <w:rPr>
          <w:rFonts w:ascii="Book Antiqua" w:hAnsi="Book Antiqua"/>
          <w:b/>
          <w:sz w:val="24"/>
          <w:szCs w:val="24"/>
        </w:rPr>
      </w:pPr>
      <w:r w:rsidRPr="00C11F21">
        <w:rPr>
          <w:rFonts w:ascii="Book Antiqua" w:hAnsi="Book Antiqua"/>
          <w:caps/>
          <w:sz w:val="24"/>
          <w:szCs w:val="24"/>
        </w:rPr>
        <w:t>t</w:t>
      </w:r>
      <w:r w:rsidRPr="00C11F21">
        <w:rPr>
          <w:rFonts w:ascii="Book Antiqua" w:hAnsi="Book Antiqua"/>
          <w:sz w:val="24"/>
          <w:szCs w:val="24"/>
        </w:rPr>
        <w:t>o our knowledge, there are no studies investigating the prevalence of rs2296651 in</w:t>
      </w:r>
      <w:r>
        <w:rPr>
          <w:rFonts w:ascii="Book Antiqua" w:hAnsi="Book Antiqua" w:hint="eastAsia"/>
          <w:sz w:val="24"/>
          <w:szCs w:val="24"/>
          <w:lang w:eastAsia="zh-CN"/>
        </w:rPr>
        <w:t xml:space="preserve"> </w:t>
      </w:r>
      <w:r>
        <w:rPr>
          <w:rFonts w:ascii="Book Antiqua" w:hAnsi="Book Antiqua"/>
          <w:sz w:val="24"/>
          <w:szCs w:val="24"/>
        </w:rPr>
        <w:t>Spain</w:t>
      </w:r>
      <w:r w:rsidRPr="00C11F21">
        <w:rPr>
          <w:rFonts w:ascii="Book Antiqua" w:hAnsi="Book Antiqua"/>
          <w:sz w:val="24"/>
          <w:szCs w:val="24"/>
        </w:rPr>
        <w:t>, where a Caucasian population mainly of</w:t>
      </w:r>
      <w:r>
        <w:rPr>
          <w:rFonts w:ascii="Book Antiqua" w:hAnsi="Book Antiqua" w:hint="eastAsia"/>
          <w:sz w:val="24"/>
          <w:szCs w:val="24"/>
          <w:lang w:eastAsia="zh-CN"/>
        </w:rPr>
        <w:t xml:space="preserve"> </w:t>
      </w:r>
      <w:r w:rsidRPr="00C11F21">
        <w:rPr>
          <w:rFonts w:ascii="Book Antiqua" w:hAnsi="Book Antiqua"/>
          <w:sz w:val="24"/>
          <w:szCs w:val="24"/>
        </w:rPr>
        <w:t>European Mediterranean origin is prevalent.</w:t>
      </w:r>
    </w:p>
    <w:p w14:paraId="04C584AE" w14:textId="77777777" w:rsidR="00C11F21" w:rsidRPr="00C11F21" w:rsidRDefault="00C11F21" w:rsidP="00FE6754">
      <w:pPr>
        <w:snapToGrid w:val="0"/>
        <w:spacing w:after="0" w:line="360" w:lineRule="auto"/>
        <w:jc w:val="both"/>
        <w:rPr>
          <w:rFonts w:ascii="Book Antiqua" w:hAnsi="Book Antiqua"/>
          <w:b/>
          <w:i/>
          <w:sz w:val="24"/>
          <w:szCs w:val="24"/>
          <w:lang w:eastAsia="zh-CN"/>
        </w:rPr>
      </w:pPr>
    </w:p>
    <w:p w14:paraId="1A24D956" w14:textId="77777777" w:rsidR="00FE6754" w:rsidRPr="00C11F21" w:rsidRDefault="00FE6754" w:rsidP="00FE6754">
      <w:pPr>
        <w:snapToGrid w:val="0"/>
        <w:spacing w:after="0" w:line="360" w:lineRule="auto"/>
        <w:jc w:val="both"/>
        <w:rPr>
          <w:rFonts w:ascii="Book Antiqua" w:hAnsi="Book Antiqua"/>
          <w:b/>
          <w:i/>
          <w:sz w:val="24"/>
          <w:szCs w:val="24"/>
        </w:rPr>
      </w:pPr>
      <w:r w:rsidRPr="00C11F21">
        <w:rPr>
          <w:rFonts w:ascii="Book Antiqua" w:hAnsi="Book Antiqua"/>
          <w:b/>
          <w:i/>
          <w:sz w:val="24"/>
          <w:szCs w:val="24"/>
        </w:rPr>
        <w:t>Research objectives</w:t>
      </w:r>
    </w:p>
    <w:p w14:paraId="6914B658" w14:textId="16C79B5C" w:rsidR="00C11F21" w:rsidRPr="00C11F21" w:rsidRDefault="00C11F21" w:rsidP="00C11F21">
      <w:pPr>
        <w:widowControl w:val="0"/>
        <w:autoSpaceDE w:val="0"/>
        <w:autoSpaceDN w:val="0"/>
        <w:adjustRightInd w:val="0"/>
        <w:snapToGrid w:val="0"/>
        <w:spacing w:after="0" w:line="360" w:lineRule="auto"/>
        <w:jc w:val="both"/>
        <w:rPr>
          <w:rFonts w:ascii="Book Antiqua" w:hAnsi="Book Antiqua" w:cstheme="minorHAnsi"/>
          <w:sz w:val="24"/>
          <w:szCs w:val="24"/>
          <w:lang w:val="en-US" w:eastAsia="zh-CN"/>
        </w:rPr>
      </w:pPr>
      <w:r w:rsidRPr="00C11F21">
        <w:rPr>
          <w:rFonts w:ascii="Book Antiqua" w:hAnsi="Book Antiqua" w:cstheme="minorHAnsi"/>
          <w:sz w:val="24"/>
          <w:szCs w:val="24"/>
          <w:lang w:val="en-US"/>
        </w:rPr>
        <w:t>The main aims of this study were</w:t>
      </w:r>
      <w:r w:rsidRPr="00C11F21">
        <w:rPr>
          <w:rFonts w:ascii="Book Antiqua" w:hAnsi="Book Antiqua" w:cstheme="minorHAnsi" w:hint="eastAsia"/>
          <w:sz w:val="24"/>
          <w:szCs w:val="24"/>
          <w:lang w:val="en-US" w:eastAsia="zh-CN"/>
        </w:rPr>
        <w:t xml:space="preserve"> </w:t>
      </w:r>
      <w:r w:rsidRPr="00C11F21">
        <w:rPr>
          <w:rFonts w:ascii="Book Antiqua" w:hAnsi="Book Antiqua" w:cstheme="minorHAnsi"/>
          <w:sz w:val="24"/>
          <w:szCs w:val="24"/>
          <w:lang w:val="en-US"/>
        </w:rPr>
        <w:t xml:space="preserve">to </w:t>
      </w:r>
      <w:r w:rsidRPr="00C11F21">
        <w:rPr>
          <w:rFonts w:ascii="Book Antiqua" w:hAnsi="Book Antiqua"/>
          <w:sz w:val="24"/>
          <w:szCs w:val="24"/>
          <w:lang w:val="en-US"/>
        </w:rPr>
        <w:t>analyze</w:t>
      </w:r>
      <w:r>
        <w:rPr>
          <w:rFonts w:ascii="Book Antiqua" w:hAnsi="Book Antiqua" w:cstheme="minorHAnsi" w:hint="eastAsia"/>
          <w:sz w:val="24"/>
          <w:szCs w:val="24"/>
          <w:lang w:val="en-US" w:eastAsia="zh-CN"/>
        </w:rPr>
        <w:t xml:space="preserve"> </w:t>
      </w:r>
      <w:r w:rsidRPr="00C11F21">
        <w:rPr>
          <w:rFonts w:ascii="Book Antiqua" w:hAnsi="Book Antiqua" w:cstheme="minorHAnsi"/>
          <w:sz w:val="24"/>
          <w:szCs w:val="24"/>
          <w:lang w:val="en-US"/>
        </w:rPr>
        <w:t>the variability and conservation of the NTCP-interacting domain</w:t>
      </w:r>
      <w:r>
        <w:rPr>
          <w:rFonts w:ascii="Book Antiqua" w:hAnsi="Book Antiqua" w:cstheme="minorHAnsi" w:hint="eastAsia"/>
          <w:sz w:val="24"/>
          <w:szCs w:val="24"/>
          <w:lang w:val="en-US" w:eastAsia="zh-CN"/>
        </w:rPr>
        <w:t xml:space="preserve"> (</w:t>
      </w:r>
      <w:r w:rsidRPr="00C11F21">
        <w:rPr>
          <w:rFonts w:ascii="Book Antiqua" w:hAnsi="Book Antiqua" w:cstheme="minorHAnsi"/>
          <w:sz w:val="24"/>
          <w:szCs w:val="24"/>
          <w:lang w:val="en-US"/>
        </w:rPr>
        <w:t>HBV preS1 region</w:t>
      </w:r>
      <w:r>
        <w:rPr>
          <w:rFonts w:ascii="Book Antiqua" w:hAnsi="Book Antiqua" w:cstheme="minorHAnsi" w:hint="eastAsia"/>
          <w:sz w:val="24"/>
          <w:szCs w:val="24"/>
          <w:lang w:val="en-US" w:eastAsia="zh-CN"/>
        </w:rPr>
        <w:t>)</w:t>
      </w:r>
      <w:r w:rsidRPr="00C11F21">
        <w:rPr>
          <w:rFonts w:ascii="Book Antiqua" w:hAnsi="Book Antiqua" w:cstheme="minorHAnsi"/>
          <w:sz w:val="24"/>
          <w:szCs w:val="24"/>
          <w:lang w:val="en-US"/>
        </w:rPr>
        <w:t>,</w:t>
      </w:r>
      <w:r>
        <w:rPr>
          <w:rFonts w:ascii="Book Antiqua" w:hAnsi="Book Antiqua" w:cstheme="minorHAnsi" w:hint="eastAsia"/>
          <w:sz w:val="24"/>
          <w:szCs w:val="24"/>
          <w:lang w:val="en-US" w:eastAsia="zh-CN"/>
        </w:rPr>
        <w:t xml:space="preserve"> </w:t>
      </w:r>
      <w:r w:rsidRPr="00C11F21">
        <w:rPr>
          <w:rFonts w:ascii="Book Antiqua" w:hAnsi="Book Antiqua" w:cstheme="minorHAnsi"/>
          <w:sz w:val="24"/>
          <w:szCs w:val="24"/>
          <w:lang w:val="en-US"/>
        </w:rPr>
        <w:t xml:space="preserve">involved in HBV entry into hepatocytes, and to determine the prevalence of the rs2296651 SNP, causing the S267F NTCP variant, in an HBV patient </w:t>
      </w:r>
      <w:r>
        <w:rPr>
          <w:rFonts w:ascii="Book Antiqua" w:hAnsi="Book Antiqua" w:cstheme="minorHAnsi" w:hint="eastAsia"/>
          <w:sz w:val="24"/>
          <w:szCs w:val="24"/>
          <w:lang w:val="en-US" w:eastAsia="zh-CN"/>
        </w:rPr>
        <w:t xml:space="preserve">of </w:t>
      </w:r>
      <w:r w:rsidRPr="00C11F21">
        <w:rPr>
          <w:rFonts w:ascii="Book Antiqua" w:hAnsi="Book Antiqua"/>
          <w:sz w:val="24"/>
          <w:szCs w:val="24"/>
          <w:lang w:val="en-US"/>
        </w:rPr>
        <w:t xml:space="preserve">Spanish </w:t>
      </w:r>
      <w:r w:rsidRPr="00C11F21">
        <w:rPr>
          <w:rFonts w:ascii="Book Antiqua" w:hAnsi="Book Antiqua" w:cstheme="minorHAnsi"/>
          <w:sz w:val="24"/>
          <w:szCs w:val="24"/>
          <w:lang w:val="en-US"/>
        </w:rPr>
        <w:t>population</w:t>
      </w:r>
      <w:r>
        <w:rPr>
          <w:rFonts w:ascii="Book Antiqua" w:hAnsi="Book Antiqua" w:cstheme="minorHAnsi" w:hint="eastAsia"/>
          <w:sz w:val="24"/>
          <w:szCs w:val="24"/>
          <w:lang w:val="en-US" w:eastAsia="zh-CN"/>
        </w:rPr>
        <w:t>.</w:t>
      </w:r>
    </w:p>
    <w:p w14:paraId="35D2A9C7" w14:textId="77777777" w:rsidR="00C11F21" w:rsidRPr="00C11F21" w:rsidRDefault="00C11F21" w:rsidP="00FE6754">
      <w:pPr>
        <w:snapToGrid w:val="0"/>
        <w:spacing w:after="0" w:line="360" w:lineRule="auto"/>
        <w:jc w:val="both"/>
        <w:rPr>
          <w:rFonts w:ascii="Book Antiqua" w:hAnsi="Book Antiqua"/>
          <w:b/>
          <w:sz w:val="24"/>
          <w:szCs w:val="24"/>
          <w:lang w:val="en-US" w:eastAsia="zh-CN"/>
        </w:rPr>
      </w:pPr>
    </w:p>
    <w:p w14:paraId="0E0290BE" w14:textId="77777777" w:rsidR="00FE6754" w:rsidRPr="00C11F21" w:rsidRDefault="00FE6754" w:rsidP="00FE6754">
      <w:pPr>
        <w:snapToGrid w:val="0"/>
        <w:spacing w:after="0" w:line="360" w:lineRule="auto"/>
        <w:jc w:val="both"/>
        <w:rPr>
          <w:rFonts w:ascii="Book Antiqua" w:hAnsi="Book Antiqua"/>
          <w:b/>
          <w:i/>
          <w:sz w:val="24"/>
          <w:szCs w:val="24"/>
        </w:rPr>
      </w:pPr>
      <w:r w:rsidRPr="00C11F21">
        <w:rPr>
          <w:rFonts w:ascii="Book Antiqua" w:hAnsi="Book Antiqua"/>
          <w:b/>
          <w:i/>
          <w:sz w:val="24"/>
          <w:szCs w:val="24"/>
        </w:rPr>
        <w:t>Research methods</w:t>
      </w:r>
    </w:p>
    <w:p w14:paraId="44FFF511" w14:textId="41D03334" w:rsidR="0062564A" w:rsidRDefault="0062564A" w:rsidP="0062564A">
      <w:pPr>
        <w:snapToGrid w:val="0"/>
        <w:spacing w:after="0" w:line="360" w:lineRule="auto"/>
        <w:jc w:val="both"/>
        <w:rPr>
          <w:rFonts w:ascii="Book Antiqua" w:hAnsi="Book Antiqua"/>
          <w:sz w:val="24"/>
          <w:szCs w:val="24"/>
          <w:lang w:val="en-US"/>
        </w:rPr>
      </w:pPr>
      <w:r w:rsidRPr="0062564A">
        <w:rPr>
          <w:rFonts w:ascii="Book Antiqua" w:hAnsi="Book Antiqua"/>
          <w:sz w:val="24"/>
          <w:szCs w:val="24"/>
          <w:lang w:val="en-US"/>
        </w:rPr>
        <w:t>In total, 246 patients were included and divided into 3 groups:</w:t>
      </w:r>
      <w:r w:rsidR="00707A0E">
        <w:rPr>
          <w:rFonts w:ascii="Book Antiqua" w:hAnsi="Book Antiqua" w:hint="eastAsia"/>
          <w:sz w:val="24"/>
          <w:szCs w:val="24"/>
          <w:lang w:val="en-US" w:eastAsia="zh-CN"/>
        </w:rPr>
        <w:t xml:space="preserve"> </w:t>
      </w:r>
      <w:r w:rsidRPr="0062564A">
        <w:rPr>
          <w:rFonts w:ascii="Book Antiqua" w:hAnsi="Book Antiqua"/>
          <w:sz w:val="24"/>
          <w:szCs w:val="24"/>
          <w:lang w:val="en-US"/>
        </w:rPr>
        <w:t xml:space="preserve">patients with chronic hepatitis B </w:t>
      </w:r>
      <w:r w:rsidR="00164DB3">
        <w:rPr>
          <w:rFonts w:ascii="Book Antiqua" w:hAnsi="Book Antiqua" w:hint="eastAsia"/>
          <w:sz w:val="24"/>
          <w:szCs w:val="24"/>
          <w:lang w:val="en-US" w:eastAsia="zh-CN"/>
        </w:rPr>
        <w:t>(</w:t>
      </w:r>
      <w:r w:rsidR="00164DB3" w:rsidRPr="0062564A">
        <w:rPr>
          <w:rFonts w:ascii="Book Antiqua" w:hAnsi="Book Antiqua"/>
          <w:sz w:val="24"/>
          <w:szCs w:val="24"/>
          <w:lang w:val="en-US"/>
        </w:rPr>
        <w:t>CHB</w:t>
      </w:r>
      <w:r w:rsidR="00164DB3">
        <w:rPr>
          <w:rFonts w:ascii="Book Antiqua" w:hAnsi="Book Antiqua" w:hint="eastAsia"/>
          <w:sz w:val="24"/>
          <w:szCs w:val="24"/>
          <w:lang w:val="en-US" w:eastAsia="zh-CN"/>
        </w:rPr>
        <w:t xml:space="preserve">) </w:t>
      </w:r>
      <w:r w:rsidRPr="0062564A">
        <w:rPr>
          <w:rFonts w:ascii="Book Antiqua" w:hAnsi="Book Antiqua"/>
          <w:sz w:val="24"/>
          <w:szCs w:val="24"/>
          <w:lang w:val="en-US"/>
        </w:rPr>
        <w:t>infection, patients with resolved HBV infection</w:t>
      </w:r>
      <w:r w:rsidR="00DC09AF">
        <w:rPr>
          <w:rFonts w:ascii="Book Antiqua" w:hAnsi="Book Antiqua" w:hint="eastAsia"/>
          <w:sz w:val="24"/>
          <w:szCs w:val="24"/>
          <w:lang w:val="en-US" w:eastAsia="zh-CN"/>
        </w:rPr>
        <w:t>,</w:t>
      </w:r>
      <w:r w:rsidR="001466C9">
        <w:rPr>
          <w:rFonts w:ascii="Book Antiqua" w:hAnsi="Book Antiqua" w:hint="eastAsia"/>
          <w:sz w:val="24"/>
          <w:szCs w:val="24"/>
          <w:lang w:val="en-US" w:eastAsia="zh-CN"/>
        </w:rPr>
        <w:t xml:space="preserve"> </w:t>
      </w:r>
      <w:r w:rsidRPr="0062564A">
        <w:rPr>
          <w:rFonts w:ascii="Book Antiqua" w:hAnsi="Book Antiqua"/>
          <w:sz w:val="24"/>
          <w:szCs w:val="24"/>
          <w:lang w:val="en-US"/>
        </w:rPr>
        <w:t>and</w:t>
      </w:r>
      <w:r w:rsidR="001466C9">
        <w:rPr>
          <w:rFonts w:ascii="Book Antiqua" w:hAnsi="Book Antiqua" w:hint="eastAsia"/>
          <w:sz w:val="24"/>
          <w:szCs w:val="24"/>
          <w:lang w:val="en-US" w:eastAsia="zh-CN"/>
        </w:rPr>
        <w:t xml:space="preserve"> </w:t>
      </w:r>
      <w:r w:rsidRPr="0062564A">
        <w:rPr>
          <w:rFonts w:ascii="Book Antiqua" w:hAnsi="Book Antiqua"/>
          <w:sz w:val="24"/>
          <w:szCs w:val="24"/>
          <w:lang w:val="en-US"/>
        </w:rPr>
        <w:t>an HBV uninfected control group. Variability/conservation of the large surface protein domain which interacts with NTCP</w:t>
      </w:r>
      <w:r w:rsidR="00164DB3">
        <w:rPr>
          <w:rFonts w:ascii="Book Antiqua" w:hAnsi="Book Antiqua" w:hint="eastAsia"/>
          <w:sz w:val="24"/>
          <w:szCs w:val="24"/>
          <w:lang w:val="en-US" w:eastAsia="zh-CN"/>
        </w:rPr>
        <w:t xml:space="preserve"> </w:t>
      </w:r>
      <w:r w:rsidRPr="0062564A">
        <w:rPr>
          <w:rFonts w:ascii="Book Antiqua" w:hAnsi="Book Antiqua"/>
          <w:sz w:val="24"/>
          <w:szCs w:val="24"/>
          <w:lang w:val="en-US"/>
        </w:rPr>
        <w:t>(aa 2-48 in genotype D) and anothe</w:t>
      </w:r>
      <w:r w:rsidR="00164DB3">
        <w:rPr>
          <w:rFonts w:ascii="Book Antiqua" w:hAnsi="Book Antiqua"/>
          <w:sz w:val="24"/>
          <w:szCs w:val="24"/>
          <w:lang w:val="en-US"/>
        </w:rPr>
        <w:t>r</w:t>
      </w:r>
      <w:r w:rsidR="00164DB3">
        <w:rPr>
          <w:rFonts w:ascii="Book Antiqua" w:hAnsi="Book Antiqua" w:hint="eastAsia"/>
          <w:sz w:val="24"/>
          <w:szCs w:val="24"/>
          <w:lang w:val="en-US" w:eastAsia="zh-CN"/>
        </w:rPr>
        <w:t xml:space="preserve"> </w:t>
      </w:r>
      <w:r w:rsidRPr="0062564A">
        <w:rPr>
          <w:rFonts w:ascii="Book Antiqua" w:hAnsi="Book Antiqua"/>
          <w:sz w:val="24"/>
          <w:szCs w:val="24"/>
          <w:lang w:val="en-US"/>
        </w:rPr>
        <w:t>conserved domain associated with virion morphogenesis (aa 92-103 in genotype D), both in the HBV preS1 region, were analyzed by next-generation sequencing and compared in 18 CHB patients with viremia &gt;</w:t>
      </w:r>
      <w:r w:rsidR="00164DB3">
        <w:rPr>
          <w:rFonts w:ascii="Book Antiqua" w:hAnsi="Book Antiqua" w:hint="eastAsia"/>
          <w:sz w:val="24"/>
          <w:szCs w:val="24"/>
          <w:lang w:val="en-US" w:eastAsia="zh-CN"/>
        </w:rPr>
        <w:t xml:space="preserve"> </w:t>
      </w:r>
      <w:r w:rsidRPr="0062564A">
        <w:rPr>
          <w:rFonts w:ascii="Book Antiqua" w:hAnsi="Book Antiqua"/>
          <w:sz w:val="24"/>
          <w:szCs w:val="24"/>
          <w:lang w:val="en-US"/>
        </w:rPr>
        <w:t>4 log</w:t>
      </w:r>
      <w:r w:rsidR="003B7A7B">
        <w:rPr>
          <w:rFonts w:ascii="Book Antiqua" w:hAnsi="Book Antiqua" w:hint="eastAsia"/>
          <w:sz w:val="24"/>
          <w:szCs w:val="24"/>
          <w:lang w:val="en-US" w:eastAsia="zh-CN"/>
        </w:rPr>
        <w:t xml:space="preserve"> </w:t>
      </w:r>
      <w:r w:rsidRPr="0062564A">
        <w:rPr>
          <w:rFonts w:ascii="Book Antiqua" w:hAnsi="Book Antiqua"/>
          <w:sz w:val="24"/>
          <w:szCs w:val="24"/>
          <w:lang w:val="en-US"/>
        </w:rPr>
        <w:t>IU/mL.</w:t>
      </w:r>
      <w:r w:rsidR="00164DB3">
        <w:rPr>
          <w:rFonts w:ascii="Book Antiqua" w:hAnsi="Book Antiqua" w:hint="eastAsia"/>
          <w:sz w:val="24"/>
          <w:szCs w:val="24"/>
          <w:lang w:val="en-US" w:eastAsia="zh-CN"/>
        </w:rPr>
        <w:t xml:space="preserve"> </w:t>
      </w:r>
      <w:r w:rsidRPr="0062564A">
        <w:rPr>
          <w:rFonts w:ascii="Book Antiqua" w:hAnsi="Book Antiqua"/>
          <w:sz w:val="24"/>
          <w:szCs w:val="24"/>
          <w:lang w:val="en-US"/>
        </w:rPr>
        <w:t>The rs2296651 SNP</w:t>
      </w:r>
      <w:r w:rsidR="00164DB3">
        <w:rPr>
          <w:rFonts w:ascii="Book Antiqua" w:hAnsi="Book Antiqua" w:hint="eastAsia"/>
          <w:sz w:val="24"/>
          <w:szCs w:val="24"/>
          <w:lang w:val="en-US" w:eastAsia="zh-CN"/>
        </w:rPr>
        <w:t xml:space="preserve"> </w:t>
      </w:r>
      <w:r w:rsidRPr="0062564A">
        <w:rPr>
          <w:rFonts w:ascii="Book Antiqua" w:hAnsi="Book Antiqua"/>
          <w:sz w:val="24"/>
          <w:szCs w:val="24"/>
          <w:lang w:val="en-US"/>
        </w:rPr>
        <w:t>was determined using an in-house real-time PCR melting curve analysis.</w:t>
      </w:r>
    </w:p>
    <w:p w14:paraId="6AA62520" w14:textId="77777777" w:rsidR="0062564A" w:rsidRPr="00164DB3" w:rsidRDefault="0062564A" w:rsidP="0062564A">
      <w:pPr>
        <w:snapToGrid w:val="0"/>
        <w:spacing w:after="0" w:line="360" w:lineRule="auto"/>
        <w:jc w:val="both"/>
        <w:rPr>
          <w:rFonts w:ascii="Book Antiqua" w:hAnsi="Book Antiqua"/>
          <w:b/>
          <w:i/>
          <w:sz w:val="24"/>
          <w:szCs w:val="24"/>
          <w:lang w:val="en-US" w:eastAsia="zh-CN"/>
        </w:rPr>
      </w:pPr>
    </w:p>
    <w:p w14:paraId="2B04E249" w14:textId="77777777" w:rsidR="00FE6754" w:rsidRPr="00C11F21" w:rsidRDefault="00FE6754" w:rsidP="00FE6754">
      <w:pPr>
        <w:snapToGrid w:val="0"/>
        <w:spacing w:after="0" w:line="360" w:lineRule="auto"/>
        <w:jc w:val="both"/>
        <w:rPr>
          <w:rFonts w:ascii="Book Antiqua" w:hAnsi="Book Antiqua"/>
          <w:b/>
          <w:i/>
          <w:sz w:val="24"/>
          <w:szCs w:val="24"/>
        </w:rPr>
      </w:pPr>
      <w:r w:rsidRPr="00C11F21">
        <w:rPr>
          <w:rFonts w:ascii="Book Antiqua" w:hAnsi="Book Antiqua"/>
          <w:b/>
          <w:i/>
          <w:sz w:val="24"/>
          <w:szCs w:val="24"/>
        </w:rPr>
        <w:t>Research results</w:t>
      </w:r>
    </w:p>
    <w:p w14:paraId="657CFA71" w14:textId="77777777" w:rsidR="0062564A" w:rsidRPr="0062564A" w:rsidRDefault="0062564A" w:rsidP="0062564A">
      <w:pPr>
        <w:spacing w:line="360" w:lineRule="auto"/>
        <w:jc w:val="both"/>
        <w:rPr>
          <w:rFonts w:ascii="Book Antiqua" w:hAnsi="Book Antiqua" w:cstheme="minorHAnsi"/>
          <w:sz w:val="24"/>
          <w:szCs w:val="24"/>
          <w:lang w:val="en-US"/>
        </w:rPr>
      </w:pPr>
      <w:r w:rsidRPr="0062564A">
        <w:rPr>
          <w:rFonts w:ascii="Book Antiqua" w:hAnsi="Book Antiqua" w:cstheme="minorHAnsi"/>
          <w:sz w:val="24"/>
          <w:szCs w:val="24"/>
          <w:lang w:val="en-US"/>
        </w:rPr>
        <w:t xml:space="preserve">In this study, we analyzed the preS1 NTCP-interacting domain in a group of patients with several HBV genotypes (A to F and H) by next-generation sequencing (NGS). This high-throughput method enabled us to obtain a detailed picture of the variability/conservation of this domain, which showed a high degree of conservation, in particular certain aa sequence motifs and single residues. Comparison with another essential preS1 domain, known to be highly conserved, confirmed this considerable conservation. In addition, we developed a new real-time PCR method that provided fast, reliable analysis of the prevalence of the rs2296651 SNP in HBV-infected and uninfected patients </w:t>
      </w:r>
      <w:r w:rsidRPr="0062564A">
        <w:rPr>
          <w:rFonts w:ascii="Book Antiqua" w:hAnsi="Book Antiqua" w:cstheme="minorHAnsi"/>
          <w:sz w:val="24"/>
          <w:szCs w:val="24"/>
          <w:lang w:val="en-US"/>
        </w:rPr>
        <w:lastRenderedPageBreak/>
        <w:t xml:space="preserve">attending our center, mainly Caucasian of European Mediterranean origin, in whom the prevalence of the SNP was low to null. </w:t>
      </w:r>
    </w:p>
    <w:p w14:paraId="7AAF6BFD" w14:textId="77777777" w:rsidR="00FE6754" w:rsidRPr="0062564A" w:rsidRDefault="00FE6754" w:rsidP="00164DB3">
      <w:pPr>
        <w:snapToGrid w:val="0"/>
        <w:spacing w:after="0" w:line="360" w:lineRule="auto"/>
        <w:jc w:val="both"/>
        <w:rPr>
          <w:rFonts w:ascii="Book Antiqua" w:hAnsi="Book Antiqua" w:cs="Segoe UI"/>
          <w:sz w:val="24"/>
          <w:szCs w:val="24"/>
          <w:shd w:val="clear" w:color="auto" w:fill="FFFFFF"/>
          <w:lang w:val="en-US" w:eastAsia="zh-CN"/>
        </w:rPr>
      </w:pPr>
    </w:p>
    <w:p w14:paraId="36CEB27C" w14:textId="77777777" w:rsidR="00FE6754" w:rsidRPr="00C11F21" w:rsidRDefault="00FE6754" w:rsidP="00FE6754">
      <w:pPr>
        <w:snapToGrid w:val="0"/>
        <w:spacing w:after="0" w:line="360" w:lineRule="auto"/>
        <w:jc w:val="both"/>
        <w:rPr>
          <w:rFonts w:ascii="Book Antiqua" w:hAnsi="Book Antiqua" w:cs="Segoe UI"/>
          <w:b/>
          <w:i/>
          <w:sz w:val="24"/>
          <w:szCs w:val="24"/>
          <w:shd w:val="clear" w:color="auto" w:fill="FFFFFF"/>
        </w:rPr>
      </w:pPr>
      <w:r w:rsidRPr="00C11F21">
        <w:rPr>
          <w:rFonts w:ascii="Book Antiqua" w:hAnsi="Book Antiqua"/>
          <w:b/>
          <w:i/>
          <w:sz w:val="24"/>
          <w:szCs w:val="24"/>
        </w:rPr>
        <w:t>Research conclusions</w:t>
      </w:r>
    </w:p>
    <w:p w14:paraId="7D2CB78E" w14:textId="70D80E63" w:rsidR="00164DB3" w:rsidRPr="00C11F21" w:rsidRDefault="00164DB3" w:rsidP="00164DB3">
      <w:pPr>
        <w:snapToGrid w:val="0"/>
        <w:spacing w:after="0" w:line="360" w:lineRule="auto"/>
        <w:jc w:val="both"/>
        <w:rPr>
          <w:rFonts w:ascii="Book Antiqua" w:hAnsi="Book Antiqua" w:cstheme="minorHAnsi"/>
          <w:sz w:val="24"/>
          <w:szCs w:val="24"/>
          <w:lang w:val="en-US"/>
        </w:rPr>
      </w:pPr>
      <w:r w:rsidRPr="00237297">
        <w:rPr>
          <w:rFonts w:ascii="Book Antiqua" w:hAnsi="Book Antiqua" w:cstheme="minorHAnsi"/>
          <w:caps/>
          <w:sz w:val="24"/>
          <w:szCs w:val="24"/>
          <w:lang w:val="en-US"/>
        </w:rPr>
        <w:t>t</w:t>
      </w:r>
      <w:r w:rsidRPr="00C11F21">
        <w:rPr>
          <w:rFonts w:ascii="Book Antiqua" w:hAnsi="Book Antiqua" w:cstheme="minorHAnsi"/>
          <w:sz w:val="24"/>
          <w:szCs w:val="24"/>
          <w:lang w:val="en-US"/>
        </w:rPr>
        <w:t xml:space="preserve">he </w:t>
      </w:r>
      <w:r w:rsidRPr="00C11F21">
        <w:rPr>
          <w:rFonts w:ascii="Book Antiqua" w:hAnsi="Book Antiqua"/>
          <w:sz w:val="24"/>
          <w:szCs w:val="24"/>
          <w:lang w:val="en-US"/>
        </w:rPr>
        <w:t>NTCP-interacting domain was highly conserved</w:t>
      </w:r>
      <w:r w:rsidR="00237297">
        <w:rPr>
          <w:rFonts w:ascii="Book Antiqua" w:hAnsi="Book Antiqua" w:hint="eastAsia"/>
          <w:sz w:val="24"/>
          <w:szCs w:val="24"/>
          <w:lang w:val="en-US" w:eastAsia="zh-CN"/>
        </w:rPr>
        <w:t xml:space="preserve"> </w:t>
      </w:r>
      <w:r w:rsidR="00237297" w:rsidRPr="00C11F21">
        <w:rPr>
          <w:rFonts w:ascii="Book Antiqua" w:hAnsi="Book Antiqua"/>
          <w:sz w:val="24"/>
          <w:szCs w:val="24"/>
          <w:lang w:val="en-US"/>
        </w:rPr>
        <w:t>i</w:t>
      </w:r>
      <w:r w:rsidR="00237297" w:rsidRPr="00C11F21">
        <w:rPr>
          <w:rFonts w:ascii="Book Antiqua" w:hAnsi="Book Antiqua" w:cstheme="minorHAnsi"/>
          <w:sz w:val="24"/>
          <w:szCs w:val="24"/>
          <w:lang w:val="en-US"/>
        </w:rPr>
        <w:t>n</w:t>
      </w:r>
      <w:r w:rsidR="00237297">
        <w:rPr>
          <w:rFonts w:ascii="Book Antiqua" w:hAnsi="Book Antiqua" w:cstheme="minorHAnsi" w:hint="eastAsia"/>
          <w:sz w:val="24"/>
          <w:szCs w:val="24"/>
          <w:lang w:val="en-US" w:eastAsia="zh-CN"/>
        </w:rPr>
        <w:t xml:space="preserve"> the </w:t>
      </w:r>
      <w:r w:rsidR="00237297" w:rsidRPr="00C11F21">
        <w:rPr>
          <w:rFonts w:ascii="Book Antiqua" w:hAnsi="Book Antiqua"/>
          <w:sz w:val="24"/>
          <w:szCs w:val="24"/>
          <w:lang w:val="en-US"/>
        </w:rPr>
        <w:t>Spanish</w:t>
      </w:r>
      <w:r w:rsidR="00237297" w:rsidRPr="00C11F21">
        <w:rPr>
          <w:rFonts w:ascii="Book Antiqua" w:hAnsi="Book Antiqua" w:cstheme="minorHAnsi"/>
          <w:sz w:val="24"/>
          <w:szCs w:val="24"/>
          <w:lang w:val="en-US"/>
        </w:rPr>
        <w:t xml:space="preserve"> CHB population,</w:t>
      </w:r>
      <w:r w:rsidR="00237297">
        <w:rPr>
          <w:rFonts w:ascii="Book Antiqua" w:hAnsi="Book Antiqua" w:hint="eastAsia"/>
          <w:sz w:val="24"/>
          <w:szCs w:val="24"/>
          <w:lang w:val="en-US" w:eastAsia="zh-CN"/>
        </w:rPr>
        <w:t xml:space="preserve"> </w:t>
      </w:r>
      <w:r w:rsidRPr="00C11F21">
        <w:rPr>
          <w:rFonts w:ascii="Book Antiqua" w:hAnsi="Book Antiqua"/>
          <w:sz w:val="24"/>
          <w:szCs w:val="24"/>
          <w:lang w:val="en-US"/>
        </w:rPr>
        <w:t xml:space="preserve">particularly the </w:t>
      </w:r>
      <w:r w:rsidRPr="00C11F21">
        <w:rPr>
          <w:rFonts w:ascii="Book Antiqua" w:hAnsi="Book Antiqua" w:cstheme="minorHAnsi"/>
          <w:sz w:val="24"/>
          <w:szCs w:val="24"/>
          <w:lang w:val="en-US"/>
        </w:rPr>
        <w:t>proline residues and essential amino acids related with the NTCP interaction</w:t>
      </w:r>
      <w:r w:rsidRPr="00C11F21">
        <w:rPr>
          <w:rFonts w:ascii="Book Antiqua" w:hAnsi="Book Antiqua"/>
          <w:sz w:val="24"/>
          <w:szCs w:val="24"/>
          <w:lang w:val="en-US"/>
        </w:rPr>
        <w:t xml:space="preserve">, and the </w:t>
      </w:r>
      <w:r w:rsidRPr="00C11F21">
        <w:rPr>
          <w:rFonts w:ascii="Book Antiqua" w:hAnsi="Book Antiqua" w:cstheme="minorHAnsi"/>
          <w:sz w:val="24"/>
          <w:szCs w:val="24"/>
          <w:lang w:val="en-US"/>
        </w:rPr>
        <w:t>prevalence of rs2296651 was low/null</w:t>
      </w:r>
      <w:r w:rsidRPr="00C11F21">
        <w:rPr>
          <w:rFonts w:ascii="Book Antiqua" w:hAnsi="Book Antiqua"/>
          <w:sz w:val="24"/>
          <w:szCs w:val="24"/>
          <w:lang w:val="en-US"/>
        </w:rPr>
        <w:t>.</w:t>
      </w:r>
    </w:p>
    <w:p w14:paraId="55B526BB" w14:textId="77777777" w:rsidR="00FE6754" w:rsidRPr="00237297" w:rsidRDefault="00FE6754" w:rsidP="00FE6754">
      <w:pPr>
        <w:snapToGrid w:val="0"/>
        <w:spacing w:after="0" w:line="360" w:lineRule="auto"/>
        <w:jc w:val="both"/>
        <w:rPr>
          <w:rFonts w:ascii="Book Antiqua" w:hAnsi="Book Antiqua" w:cs="Segoe UI"/>
          <w:sz w:val="24"/>
          <w:szCs w:val="24"/>
          <w:shd w:val="clear" w:color="auto" w:fill="FFFFFF"/>
          <w:lang w:val="en-US"/>
        </w:rPr>
      </w:pPr>
    </w:p>
    <w:p w14:paraId="219BC860" w14:textId="77777777" w:rsidR="00FE6754" w:rsidRPr="00C11F21" w:rsidRDefault="00FE6754" w:rsidP="00FE6754">
      <w:pPr>
        <w:snapToGrid w:val="0"/>
        <w:spacing w:after="0" w:line="360" w:lineRule="auto"/>
        <w:rPr>
          <w:rFonts w:ascii="Book Antiqua" w:hAnsi="Book Antiqua" w:cs="Segoe UI"/>
          <w:b/>
          <w:i/>
          <w:sz w:val="24"/>
          <w:szCs w:val="24"/>
          <w:shd w:val="clear" w:color="auto" w:fill="FFFFFF"/>
        </w:rPr>
      </w:pPr>
      <w:r w:rsidRPr="00C11F21">
        <w:rPr>
          <w:rFonts w:ascii="Book Antiqua" w:hAnsi="Book Antiqua" w:cs="Segoe UI"/>
          <w:b/>
          <w:i/>
          <w:sz w:val="24"/>
          <w:szCs w:val="24"/>
          <w:shd w:val="clear" w:color="auto" w:fill="FFFFFF"/>
        </w:rPr>
        <w:t>Research perspectives</w:t>
      </w:r>
    </w:p>
    <w:p w14:paraId="748447FA" w14:textId="18AA7291" w:rsidR="00FE6754" w:rsidRPr="0062564A" w:rsidRDefault="0062564A" w:rsidP="00F33187">
      <w:pPr>
        <w:snapToGrid w:val="0"/>
        <w:spacing w:after="0" w:line="360" w:lineRule="auto"/>
        <w:jc w:val="both"/>
        <w:rPr>
          <w:rFonts w:ascii="Book Antiqua" w:hAnsi="Book Antiqua" w:cstheme="minorHAnsi"/>
          <w:sz w:val="24"/>
          <w:szCs w:val="24"/>
          <w:lang w:eastAsia="zh-CN"/>
        </w:rPr>
      </w:pPr>
      <w:r w:rsidRPr="0062564A">
        <w:rPr>
          <w:rFonts w:ascii="Book Antiqua" w:hAnsi="Book Antiqua" w:cstheme="minorHAnsi" w:hint="eastAsia"/>
          <w:sz w:val="24"/>
          <w:szCs w:val="24"/>
          <w:lang w:val="en-US" w:eastAsia="zh-CN"/>
        </w:rPr>
        <w:t>T</w:t>
      </w:r>
      <w:r w:rsidRPr="0062564A">
        <w:rPr>
          <w:rFonts w:ascii="Book Antiqua" w:hAnsi="Book Antiqua" w:cstheme="minorHAnsi"/>
          <w:sz w:val="24"/>
          <w:szCs w:val="24"/>
          <w:lang w:val="en-US"/>
        </w:rPr>
        <w:t>he combined results of this study</w:t>
      </w:r>
      <w:r w:rsidRPr="0062564A">
        <w:rPr>
          <w:rFonts w:ascii="Book Antiqua" w:hAnsi="Book Antiqua" w:cstheme="minorHAnsi" w:hint="eastAsia"/>
          <w:sz w:val="24"/>
          <w:szCs w:val="24"/>
          <w:lang w:val="en-US" w:eastAsia="zh-CN"/>
        </w:rPr>
        <w:t xml:space="preserve"> </w:t>
      </w:r>
      <w:r w:rsidRPr="0062564A">
        <w:rPr>
          <w:rFonts w:ascii="Book Antiqua" w:hAnsi="Book Antiqua" w:cstheme="minorHAnsi"/>
          <w:sz w:val="24"/>
          <w:szCs w:val="24"/>
          <w:lang w:val="en-US"/>
        </w:rPr>
        <w:t>—</w:t>
      </w:r>
      <w:r w:rsidRPr="0062564A">
        <w:rPr>
          <w:rFonts w:ascii="Book Antiqua" w:hAnsi="Book Antiqua" w:cstheme="minorHAnsi" w:hint="eastAsia"/>
          <w:sz w:val="24"/>
          <w:szCs w:val="24"/>
          <w:lang w:val="en-US" w:eastAsia="zh-CN"/>
        </w:rPr>
        <w:t xml:space="preserve"> </w:t>
      </w:r>
      <w:r w:rsidRPr="0062564A">
        <w:rPr>
          <w:rFonts w:ascii="Book Antiqua" w:hAnsi="Book Antiqua" w:cstheme="minorHAnsi"/>
          <w:sz w:val="24"/>
          <w:szCs w:val="24"/>
          <w:lang w:val="en-US"/>
        </w:rPr>
        <w:t>high conservation of the preS1 NTCP-interacting domain and low/null prevalence of the rs2296651 SNP in our CHB population</w:t>
      </w:r>
      <w:r w:rsidRPr="0062564A">
        <w:rPr>
          <w:rFonts w:ascii="Book Antiqua" w:hAnsi="Book Antiqua" w:cstheme="minorHAnsi" w:hint="eastAsia"/>
          <w:sz w:val="24"/>
          <w:szCs w:val="24"/>
          <w:lang w:val="en-US" w:eastAsia="zh-CN"/>
        </w:rPr>
        <w:t xml:space="preserve"> </w:t>
      </w:r>
      <w:r w:rsidRPr="0062564A">
        <w:rPr>
          <w:rFonts w:ascii="Book Antiqua" w:hAnsi="Book Antiqua" w:cstheme="minorHAnsi"/>
          <w:sz w:val="24"/>
          <w:szCs w:val="24"/>
          <w:lang w:val="en-US"/>
        </w:rPr>
        <w:t>—</w:t>
      </w:r>
      <w:r w:rsidRPr="0062564A">
        <w:rPr>
          <w:rFonts w:ascii="Book Antiqua" w:hAnsi="Book Antiqua" w:cstheme="minorHAnsi" w:hint="eastAsia"/>
          <w:sz w:val="24"/>
          <w:szCs w:val="24"/>
          <w:lang w:val="en-US" w:eastAsia="zh-CN"/>
        </w:rPr>
        <w:t xml:space="preserve"> </w:t>
      </w:r>
      <w:r w:rsidRPr="0062564A">
        <w:rPr>
          <w:rFonts w:ascii="Book Antiqua" w:hAnsi="Book Antiqua" w:cstheme="minorHAnsi"/>
          <w:sz w:val="24"/>
          <w:szCs w:val="24"/>
          <w:lang w:val="en-US"/>
        </w:rPr>
        <w:t>indicate that NTCP block therapies would be suitable treatment for our patients. In addition, the results open the door to functional phenotypic studies that could help to better understand the mechanisms of the interaction between HBV viral particles and NTCP, and the morphogenesis of these particles.</w:t>
      </w:r>
      <w:r w:rsidR="00D05640">
        <w:rPr>
          <w:rFonts w:ascii="Book Antiqua" w:hAnsi="Book Antiqua" w:cstheme="minorHAnsi" w:hint="eastAsia"/>
          <w:sz w:val="24"/>
          <w:szCs w:val="24"/>
          <w:lang w:val="en-US" w:eastAsia="zh-CN"/>
        </w:rPr>
        <w:t xml:space="preserve"> The </w:t>
      </w:r>
      <w:r w:rsidR="00D05640" w:rsidRPr="00D05640">
        <w:rPr>
          <w:rFonts w:ascii="Book Antiqua" w:hAnsi="Book Antiqua" w:cstheme="minorHAnsi"/>
          <w:sz w:val="24"/>
          <w:szCs w:val="24"/>
          <w:lang w:val="en-US" w:eastAsia="zh-CN"/>
        </w:rPr>
        <w:t>larger patient samples are needed to support the preS1 results and investigate additional NTCP polymorphisms</w:t>
      </w:r>
      <w:r w:rsidR="00D05640">
        <w:rPr>
          <w:rFonts w:ascii="Book Antiqua" w:hAnsi="Book Antiqua" w:cstheme="minorHAnsi" w:hint="eastAsia"/>
          <w:sz w:val="24"/>
          <w:szCs w:val="24"/>
          <w:lang w:val="en-US" w:eastAsia="zh-CN"/>
        </w:rPr>
        <w:t xml:space="preserve"> in the </w:t>
      </w:r>
      <w:r w:rsidR="00D05640" w:rsidRPr="00D05640">
        <w:rPr>
          <w:rFonts w:ascii="Book Antiqua" w:hAnsi="Book Antiqua" w:cstheme="minorHAnsi"/>
          <w:sz w:val="24"/>
          <w:szCs w:val="24"/>
          <w:lang w:val="en-US" w:eastAsia="zh-CN"/>
        </w:rPr>
        <w:t>future studies.</w:t>
      </w:r>
    </w:p>
    <w:p w14:paraId="11CA2CBF" w14:textId="77777777" w:rsidR="00FE6754" w:rsidRPr="00C11F21" w:rsidRDefault="00FE6754" w:rsidP="00F33187">
      <w:pPr>
        <w:snapToGrid w:val="0"/>
        <w:spacing w:after="0" w:line="360" w:lineRule="auto"/>
        <w:jc w:val="both"/>
        <w:rPr>
          <w:rFonts w:ascii="Book Antiqua" w:hAnsi="Book Antiqua" w:cstheme="minorHAnsi"/>
          <w:sz w:val="24"/>
          <w:szCs w:val="24"/>
          <w:lang w:val="en-US" w:eastAsia="zh-CN"/>
        </w:rPr>
      </w:pPr>
    </w:p>
    <w:p w14:paraId="283F14EE" w14:textId="04975A67" w:rsidR="005C659B" w:rsidRPr="00C11F21" w:rsidRDefault="001C0EB4" w:rsidP="00F33187">
      <w:pPr>
        <w:snapToGrid w:val="0"/>
        <w:spacing w:after="0" w:line="360" w:lineRule="auto"/>
        <w:rPr>
          <w:rFonts w:ascii="Book Antiqua" w:hAnsi="Book Antiqua"/>
          <w:b/>
          <w:sz w:val="24"/>
          <w:szCs w:val="24"/>
          <w:lang w:val="en-US" w:eastAsia="zh-CN"/>
        </w:rPr>
      </w:pPr>
      <w:r w:rsidRPr="00C11F21">
        <w:rPr>
          <w:rFonts w:ascii="Book Antiqua" w:hAnsi="Book Antiqua"/>
          <w:b/>
          <w:sz w:val="24"/>
          <w:szCs w:val="24"/>
          <w:lang w:val="en-US"/>
        </w:rPr>
        <w:t>ACKNOWLEDGEMENTS</w:t>
      </w:r>
    </w:p>
    <w:p w14:paraId="1712B559" w14:textId="77777777" w:rsidR="00915388" w:rsidRPr="00C11F21" w:rsidRDefault="005C659B" w:rsidP="00F33187">
      <w:pPr>
        <w:snapToGrid w:val="0"/>
        <w:spacing w:after="0" w:line="360" w:lineRule="auto"/>
        <w:jc w:val="both"/>
        <w:rPr>
          <w:rFonts w:ascii="Book Antiqua" w:hAnsi="Book Antiqua" w:cstheme="minorHAnsi"/>
          <w:sz w:val="24"/>
          <w:szCs w:val="24"/>
          <w:lang w:val="en-US"/>
        </w:rPr>
      </w:pPr>
      <w:r w:rsidRPr="00C11F21">
        <w:rPr>
          <w:rFonts w:ascii="Book Antiqua" w:hAnsi="Book Antiqua" w:cstheme="minorHAnsi"/>
          <w:sz w:val="24"/>
          <w:szCs w:val="24"/>
          <w:lang w:val="en-US"/>
        </w:rPr>
        <w:t>The authors thank Celine Cavallo for English language support and helpful editing suggestions.</w:t>
      </w:r>
    </w:p>
    <w:p w14:paraId="43C3C45D" w14:textId="77777777" w:rsidR="00915388" w:rsidRPr="00C11F21" w:rsidRDefault="00915388" w:rsidP="00F33187">
      <w:pPr>
        <w:snapToGrid w:val="0"/>
        <w:spacing w:after="0" w:line="360" w:lineRule="auto"/>
        <w:jc w:val="both"/>
        <w:rPr>
          <w:rFonts w:ascii="Book Antiqua" w:hAnsi="Book Antiqua" w:cstheme="minorHAnsi"/>
          <w:sz w:val="24"/>
          <w:szCs w:val="24"/>
          <w:lang w:val="en-US"/>
        </w:rPr>
      </w:pPr>
      <w:bookmarkStart w:id="29" w:name="_GoBack"/>
      <w:bookmarkEnd w:id="29"/>
    </w:p>
    <w:p w14:paraId="2959C917" w14:textId="77777777" w:rsidR="00FE6754" w:rsidRPr="00C11F21" w:rsidRDefault="00FE6754">
      <w:pPr>
        <w:spacing w:after="160" w:line="259" w:lineRule="auto"/>
        <w:rPr>
          <w:rFonts w:ascii="Book Antiqua" w:hAnsi="Book Antiqua" w:cstheme="minorHAnsi"/>
          <w:b/>
          <w:sz w:val="24"/>
          <w:szCs w:val="24"/>
          <w:lang w:val="en-US"/>
        </w:rPr>
      </w:pPr>
      <w:r w:rsidRPr="00C11F21">
        <w:rPr>
          <w:rFonts w:ascii="Book Antiqua" w:hAnsi="Book Antiqua" w:cstheme="minorHAnsi"/>
          <w:b/>
          <w:sz w:val="24"/>
          <w:szCs w:val="24"/>
          <w:lang w:val="en-US"/>
        </w:rPr>
        <w:br w:type="page"/>
      </w:r>
    </w:p>
    <w:p w14:paraId="3D0D08E1" w14:textId="35200B2F" w:rsidR="005C659B" w:rsidRPr="00C11F21" w:rsidRDefault="005C659B" w:rsidP="00F33187">
      <w:pPr>
        <w:snapToGrid w:val="0"/>
        <w:spacing w:after="0" w:line="360" w:lineRule="auto"/>
        <w:jc w:val="both"/>
        <w:rPr>
          <w:rFonts w:ascii="Book Antiqua" w:hAnsi="Book Antiqua" w:cstheme="minorHAnsi"/>
          <w:sz w:val="24"/>
          <w:szCs w:val="24"/>
          <w:lang w:val="en-US"/>
        </w:rPr>
      </w:pPr>
      <w:r w:rsidRPr="00C11F21">
        <w:rPr>
          <w:rFonts w:ascii="Book Antiqua" w:hAnsi="Book Antiqua" w:cstheme="minorHAnsi"/>
          <w:b/>
          <w:sz w:val="24"/>
          <w:szCs w:val="24"/>
          <w:lang w:val="en-US"/>
        </w:rPr>
        <w:lastRenderedPageBreak/>
        <w:t>REFERENCES</w:t>
      </w:r>
    </w:p>
    <w:p w14:paraId="78BFE684"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1 </w:t>
      </w:r>
      <w:r w:rsidRPr="00C11F21">
        <w:rPr>
          <w:rFonts w:ascii="Book Antiqua" w:eastAsia="SimSun" w:hAnsi="Book Antiqua" w:cs="Times New Roman"/>
          <w:b/>
          <w:kern w:val="2"/>
          <w:sz w:val="24"/>
          <w:szCs w:val="24"/>
          <w:lang w:val="en-US" w:eastAsia="zh-CN"/>
        </w:rPr>
        <w:t>Schweitzer A</w:t>
      </w:r>
      <w:r w:rsidRPr="00C11F21">
        <w:rPr>
          <w:rFonts w:ascii="Book Antiqua" w:eastAsia="SimSun" w:hAnsi="Book Antiqua" w:cs="Times New Roman"/>
          <w:kern w:val="2"/>
          <w:sz w:val="24"/>
          <w:szCs w:val="24"/>
          <w:lang w:val="en-US" w:eastAsia="zh-CN"/>
        </w:rPr>
        <w:t xml:space="preserve">, Horn J, Mikolajczyk RT, Krause G, Ott JJ. Estimations of worldwide prevalence of chronic hepatitis B virus infection: a systematic review of data published between 1965 and 2013. </w:t>
      </w:r>
      <w:r w:rsidRPr="00C11F21">
        <w:rPr>
          <w:rFonts w:ascii="Book Antiqua" w:eastAsia="SimSun" w:hAnsi="Book Antiqua" w:cs="Times New Roman"/>
          <w:i/>
          <w:kern w:val="2"/>
          <w:sz w:val="24"/>
          <w:szCs w:val="24"/>
          <w:lang w:val="en-US" w:eastAsia="zh-CN"/>
        </w:rPr>
        <w:t>Lancet</w:t>
      </w:r>
      <w:r w:rsidRPr="00C11F21">
        <w:rPr>
          <w:rFonts w:ascii="Book Antiqua" w:eastAsia="SimSun" w:hAnsi="Book Antiqua" w:cs="Times New Roman"/>
          <w:kern w:val="2"/>
          <w:sz w:val="24"/>
          <w:szCs w:val="24"/>
          <w:lang w:val="en-US" w:eastAsia="zh-CN"/>
        </w:rPr>
        <w:t xml:space="preserve"> 2015; </w:t>
      </w:r>
      <w:r w:rsidRPr="00C11F21">
        <w:rPr>
          <w:rFonts w:ascii="Book Antiqua" w:eastAsia="SimSun" w:hAnsi="Book Antiqua" w:cs="Times New Roman"/>
          <w:b/>
          <w:kern w:val="2"/>
          <w:sz w:val="24"/>
          <w:szCs w:val="24"/>
          <w:lang w:val="en-US" w:eastAsia="zh-CN"/>
        </w:rPr>
        <w:t>386</w:t>
      </w:r>
      <w:r w:rsidRPr="00C11F21">
        <w:rPr>
          <w:rFonts w:ascii="Book Antiqua" w:eastAsia="SimSun" w:hAnsi="Book Antiqua" w:cs="Times New Roman"/>
          <w:kern w:val="2"/>
          <w:sz w:val="24"/>
          <w:szCs w:val="24"/>
          <w:lang w:val="en-US" w:eastAsia="zh-CN"/>
        </w:rPr>
        <w:t>: 1546-1555 [PMID: 26231459 DOI: 10.1016/S0140-6736(15)61412-X]</w:t>
      </w:r>
    </w:p>
    <w:p w14:paraId="74FB4F8F"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2 </w:t>
      </w:r>
      <w:r w:rsidRPr="00C11F21">
        <w:rPr>
          <w:rFonts w:ascii="Book Antiqua" w:eastAsia="SimSun" w:hAnsi="Book Antiqua" w:cs="Times New Roman"/>
          <w:b/>
          <w:kern w:val="2"/>
          <w:sz w:val="24"/>
          <w:szCs w:val="24"/>
          <w:lang w:val="en-US" w:eastAsia="zh-CN"/>
        </w:rPr>
        <w:t>Kwon H</w:t>
      </w:r>
      <w:r w:rsidRPr="00C11F21">
        <w:rPr>
          <w:rFonts w:ascii="Book Antiqua" w:eastAsia="SimSun" w:hAnsi="Book Antiqua" w:cs="Times New Roman"/>
          <w:kern w:val="2"/>
          <w:sz w:val="24"/>
          <w:szCs w:val="24"/>
          <w:lang w:val="en-US" w:eastAsia="zh-CN"/>
        </w:rPr>
        <w:t xml:space="preserve">, Lok AS. Hepatitis B therapy. </w:t>
      </w:r>
      <w:r w:rsidRPr="00C11F21">
        <w:rPr>
          <w:rFonts w:ascii="Book Antiqua" w:eastAsia="SimSun" w:hAnsi="Book Antiqua" w:cs="Times New Roman"/>
          <w:i/>
          <w:kern w:val="2"/>
          <w:sz w:val="24"/>
          <w:szCs w:val="24"/>
          <w:lang w:val="en-US" w:eastAsia="zh-CN"/>
        </w:rPr>
        <w:t>Nat Rev Gastroenterol Hepatol</w:t>
      </w:r>
      <w:r w:rsidRPr="00C11F21">
        <w:rPr>
          <w:rFonts w:ascii="Book Antiqua" w:eastAsia="SimSun" w:hAnsi="Book Antiqua" w:cs="Times New Roman"/>
          <w:kern w:val="2"/>
          <w:sz w:val="24"/>
          <w:szCs w:val="24"/>
          <w:lang w:val="en-US" w:eastAsia="zh-CN"/>
        </w:rPr>
        <w:t xml:space="preserve"> 2011; </w:t>
      </w:r>
      <w:r w:rsidRPr="00C11F21">
        <w:rPr>
          <w:rFonts w:ascii="Book Antiqua" w:eastAsia="SimSun" w:hAnsi="Book Antiqua" w:cs="Times New Roman"/>
          <w:b/>
          <w:kern w:val="2"/>
          <w:sz w:val="24"/>
          <w:szCs w:val="24"/>
          <w:lang w:val="en-US" w:eastAsia="zh-CN"/>
        </w:rPr>
        <w:t>8</w:t>
      </w:r>
      <w:r w:rsidRPr="00C11F21">
        <w:rPr>
          <w:rFonts w:ascii="Book Antiqua" w:eastAsia="SimSun" w:hAnsi="Book Antiqua" w:cs="Times New Roman"/>
          <w:kern w:val="2"/>
          <w:sz w:val="24"/>
          <w:szCs w:val="24"/>
          <w:lang w:val="en-US" w:eastAsia="zh-CN"/>
        </w:rPr>
        <w:t>: 275-284 [PMID: 21423260 DOI: 10.1038/nrgastro.2011.33]</w:t>
      </w:r>
    </w:p>
    <w:p w14:paraId="682819A8"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3 </w:t>
      </w:r>
      <w:r w:rsidRPr="00C11F21">
        <w:rPr>
          <w:rFonts w:ascii="Book Antiqua" w:eastAsia="SimSun" w:hAnsi="Book Antiqua" w:cs="Times New Roman"/>
          <w:b/>
          <w:kern w:val="2"/>
          <w:sz w:val="24"/>
          <w:szCs w:val="24"/>
          <w:lang w:val="en-US" w:eastAsia="zh-CN"/>
        </w:rPr>
        <w:t>Block TM</w:t>
      </w:r>
      <w:r w:rsidRPr="00C11F21">
        <w:rPr>
          <w:rFonts w:ascii="Book Antiqua" w:eastAsia="SimSun" w:hAnsi="Book Antiqua" w:cs="Times New Roman"/>
          <w:kern w:val="2"/>
          <w:sz w:val="24"/>
          <w:szCs w:val="24"/>
          <w:lang w:val="en-US" w:eastAsia="zh-CN"/>
        </w:rPr>
        <w:t xml:space="preserve">, Guo H, Guo JT. Molecular virology of hepatitis B virus for clinicians. </w:t>
      </w:r>
      <w:r w:rsidRPr="00C11F21">
        <w:rPr>
          <w:rFonts w:ascii="Book Antiqua" w:eastAsia="SimSun" w:hAnsi="Book Antiqua" w:cs="Times New Roman"/>
          <w:i/>
          <w:kern w:val="2"/>
          <w:sz w:val="24"/>
          <w:szCs w:val="24"/>
          <w:lang w:val="en-US" w:eastAsia="zh-CN"/>
        </w:rPr>
        <w:t>Clin Liver Dis</w:t>
      </w:r>
      <w:r w:rsidRPr="00C11F21">
        <w:rPr>
          <w:rFonts w:ascii="Book Antiqua" w:eastAsia="SimSun" w:hAnsi="Book Antiqua" w:cs="Times New Roman"/>
          <w:kern w:val="2"/>
          <w:sz w:val="24"/>
          <w:szCs w:val="24"/>
          <w:lang w:val="en-US" w:eastAsia="zh-CN"/>
        </w:rPr>
        <w:t xml:space="preserve"> 2007; </w:t>
      </w:r>
      <w:r w:rsidRPr="00C11F21">
        <w:rPr>
          <w:rFonts w:ascii="Book Antiqua" w:eastAsia="SimSun" w:hAnsi="Book Antiqua" w:cs="Times New Roman"/>
          <w:b/>
          <w:kern w:val="2"/>
          <w:sz w:val="24"/>
          <w:szCs w:val="24"/>
          <w:lang w:val="en-US" w:eastAsia="zh-CN"/>
        </w:rPr>
        <w:t>11</w:t>
      </w:r>
      <w:r w:rsidRPr="00C11F21">
        <w:rPr>
          <w:rFonts w:ascii="Book Antiqua" w:eastAsia="SimSun" w:hAnsi="Book Antiqua" w:cs="Times New Roman"/>
          <w:kern w:val="2"/>
          <w:sz w:val="24"/>
          <w:szCs w:val="24"/>
          <w:lang w:val="en-US" w:eastAsia="zh-CN"/>
        </w:rPr>
        <w:t>: 685-706, vii [PMID: 17981225 DOI: 10.1016/j.cld.2007.08.002]</w:t>
      </w:r>
    </w:p>
    <w:p w14:paraId="656D33D8"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4 </w:t>
      </w:r>
      <w:r w:rsidRPr="00C11F21">
        <w:rPr>
          <w:rFonts w:ascii="Book Antiqua" w:eastAsia="SimSun" w:hAnsi="Book Antiqua" w:cs="Times New Roman"/>
          <w:b/>
          <w:kern w:val="2"/>
          <w:sz w:val="24"/>
          <w:szCs w:val="24"/>
          <w:lang w:val="en-US" w:eastAsia="zh-CN"/>
        </w:rPr>
        <w:t>European Association for the Study of the Liver</w:t>
      </w:r>
      <w:r w:rsidRPr="00C11F21">
        <w:rPr>
          <w:rFonts w:ascii="Book Antiqua" w:eastAsia="SimSun" w:hAnsi="Book Antiqua" w:cs="Times New Roman"/>
          <w:kern w:val="2"/>
          <w:sz w:val="24"/>
          <w:szCs w:val="24"/>
          <w:lang w:val="en-US" w:eastAsia="zh-CN"/>
        </w:rPr>
        <w:t xml:space="preserve">; European Association for the Study of the Liver. EASL 2017 Clinical Practice Guidelines on the management of hepatitis B virus infection. </w:t>
      </w:r>
      <w:r w:rsidRPr="00C11F21">
        <w:rPr>
          <w:rFonts w:ascii="Book Antiqua" w:eastAsia="SimSun" w:hAnsi="Book Antiqua" w:cs="Times New Roman"/>
          <w:i/>
          <w:kern w:val="2"/>
          <w:sz w:val="24"/>
          <w:szCs w:val="24"/>
          <w:lang w:val="en-US" w:eastAsia="zh-CN"/>
        </w:rPr>
        <w:t>J Hepatol</w:t>
      </w:r>
      <w:r w:rsidRPr="00C11F21">
        <w:rPr>
          <w:rFonts w:ascii="Book Antiqua" w:eastAsia="SimSun" w:hAnsi="Book Antiqua" w:cs="Times New Roman"/>
          <w:kern w:val="2"/>
          <w:sz w:val="24"/>
          <w:szCs w:val="24"/>
          <w:lang w:val="en-US" w:eastAsia="zh-CN"/>
        </w:rPr>
        <w:t xml:space="preserve"> 2017; </w:t>
      </w:r>
      <w:r w:rsidRPr="00C11F21">
        <w:rPr>
          <w:rFonts w:ascii="Book Antiqua" w:eastAsia="SimSun" w:hAnsi="Book Antiqua" w:cs="Times New Roman"/>
          <w:b/>
          <w:kern w:val="2"/>
          <w:sz w:val="24"/>
          <w:szCs w:val="24"/>
          <w:lang w:val="en-US" w:eastAsia="zh-CN"/>
        </w:rPr>
        <w:t>67</w:t>
      </w:r>
      <w:r w:rsidRPr="00C11F21">
        <w:rPr>
          <w:rFonts w:ascii="Book Antiqua" w:eastAsia="SimSun" w:hAnsi="Book Antiqua" w:cs="Times New Roman"/>
          <w:kern w:val="2"/>
          <w:sz w:val="24"/>
          <w:szCs w:val="24"/>
          <w:lang w:val="en-US" w:eastAsia="zh-CN"/>
        </w:rPr>
        <w:t>: 370-398 [PMID: 28427875 DOI: 10.1016/j.jhep.2017.03.021]</w:t>
      </w:r>
    </w:p>
    <w:p w14:paraId="296AE24D"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5 </w:t>
      </w:r>
      <w:r w:rsidRPr="00C11F21">
        <w:rPr>
          <w:rFonts w:ascii="Book Antiqua" w:eastAsia="SimSun" w:hAnsi="Book Antiqua" w:cs="Times New Roman"/>
          <w:b/>
          <w:kern w:val="2"/>
          <w:sz w:val="24"/>
          <w:szCs w:val="24"/>
          <w:lang w:val="en-US" w:eastAsia="zh-CN"/>
        </w:rPr>
        <w:t>Marcellin P</w:t>
      </w:r>
      <w:r w:rsidRPr="00C11F21">
        <w:rPr>
          <w:rFonts w:ascii="Book Antiqua" w:eastAsia="SimSun" w:hAnsi="Book Antiqua" w:cs="Times New Roman"/>
          <w:kern w:val="2"/>
          <w:sz w:val="24"/>
          <w:szCs w:val="24"/>
          <w:lang w:val="en-US" w:eastAsia="zh-CN"/>
        </w:rPr>
        <w:t xml:space="preserve">, Bonino F, Yurdaydin C, Hadziyannis S, Moucari R, Kapprell HP, Rothe V, Popescu M, Brunetto MR. Hepatitis B surface antigen levels: association with 5-year response to peginterferon alfa-2a in hepatitis B e-antigen-negative patients. </w:t>
      </w:r>
      <w:r w:rsidRPr="00C11F21">
        <w:rPr>
          <w:rFonts w:ascii="Book Antiqua" w:eastAsia="SimSun" w:hAnsi="Book Antiqua" w:cs="Times New Roman"/>
          <w:i/>
          <w:kern w:val="2"/>
          <w:sz w:val="24"/>
          <w:szCs w:val="24"/>
          <w:lang w:val="en-US" w:eastAsia="zh-CN"/>
        </w:rPr>
        <w:t>Hepatol Int</w:t>
      </w:r>
      <w:r w:rsidRPr="00C11F21">
        <w:rPr>
          <w:rFonts w:ascii="Book Antiqua" w:eastAsia="SimSun" w:hAnsi="Book Antiqua" w:cs="Times New Roman"/>
          <w:kern w:val="2"/>
          <w:sz w:val="24"/>
          <w:szCs w:val="24"/>
          <w:lang w:val="en-US" w:eastAsia="zh-CN"/>
        </w:rPr>
        <w:t xml:space="preserve"> 2013; </w:t>
      </w:r>
      <w:r w:rsidRPr="00C11F21">
        <w:rPr>
          <w:rFonts w:ascii="Book Antiqua" w:eastAsia="SimSun" w:hAnsi="Book Antiqua" w:cs="Times New Roman"/>
          <w:b/>
          <w:kern w:val="2"/>
          <w:sz w:val="24"/>
          <w:szCs w:val="24"/>
          <w:lang w:val="en-US" w:eastAsia="zh-CN"/>
        </w:rPr>
        <w:t>7</w:t>
      </w:r>
      <w:r w:rsidRPr="00C11F21">
        <w:rPr>
          <w:rFonts w:ascii="Book Antiqua" w:eastAsia="SimSun" w:hAnsi="Book Antiqua" w:cs="Times New Roman"/>
          <w:kern w:val="2"/>
          <w:sz w:val="24"/>
          <w:szCs w:val="24"/>
          <w:lang w:val="en-US" w:eastAsia="zh-CN"/>
        </w:rPr>
        <w:t>: 88-97 [PMID: 23518903 DOI: 10.1007/s12072-012-9343-x]</w:t>
      </w:r>
    </w:p>
    <w:p w14:paraId="04786EFB"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6 </w:t>
      </w:r>
      <w:r w:rsidRPr="00C11F21">
        <w:rPr>
          <w:rFonts w:ascii="Book Antiqua" w:eastAsia="SimSun" w:hAnsi="Book Antiqua" w:cs="Times New Roman"/>
          <w:b/>
          <w:kern w:val="2"/>
          <w:sz w:val="24"/>
          <w:szCs w:val="24"/>
          <w:lang w:val="en-US" w:eastAsia="zh-CN"/>
        </w:rPr>
        <w:t>Lauret E</w:t>
      </w:r>
      <w:r w:rsidRPr="00C11F21">
        <w:rPr>
          <w:rFonts w:ascii="Book Antiqua" w:eastAsia="SimSun" w:hAnsi="Book Antiqua" w:cs="Times New Roman"/>
          <w:kern w:val="2"/>
          <w:sz w:val="24"/>
          <w:szCs w:val="24"/>
          <w:lang w:val="en-US" w:eastAsia="zh-CN"/>
        </w:rPr>
        <w:t xml:space="preserve">, González-Diéguez ML, Rodríguez M, González M, Melón S, Rodrigo L, Rodríguez M. Long-term outcome in Caucasian patients with chronic hepatitis B virus infection after HBsAg seroclearance. </w:t>
      </w:r>
      <w:r w:rsidRPr="00C11F21">
        <w:rPr>
          <w:rFonts w:ascii="Book Antiqua" w:eastAsia="SimSun" w:hAnsi="Book Antiqua" w:cs="Times New Roman"/>
          <w:i/>
          <w:kern w:val="2"/>
          <w:sz w:val="24"/>
          <w:szCs w:val="24"/>
          <w:lang w:val="en-US" w:eastAsia="zh-CN"/>
        </w:rPr>
        <w:t>Liver Int</w:t>
      </w:r>
      <w:r w:rsidRPr="00C11F21">
        <w:rPr>
          <w:rFonts w:ascii="Book Antiqua" w:eastAsia="SimSun" w:hAnsi="Book Antiqua" w:cs="Times New Roman"/>
          <w:kern w:val="2"/>
          <w:sz w:val="24"/>
          <w:szCs w:val="24"/>
          <w:lang w:val="en-US" w:eastAsia="zh-CN"/>
        </w:rPr>
        <w:t xml:space="preserve"> 2015; </w:t>
      </w:r>
      <w:r w:rsidRPr="00C11F21">
        <w:rPr>
          <w:rFonts w:ascii="Book Antiqua" w:eastAsia="SimSun" w:hAnsi="Book Antiqua" w:cs="Times New Roman"/>
          <w:b/>
          <w:kern w:val="2"/>
          <w:sz w:val="24"/>
          <w:szCs w:val="24"/>
          <w:lang w:val="en-US" w:eastAsia="zh-CN"/>
        </w:rPr>
        <w:t>35</w:t>
      </w:r>
      <w:r w:rsidRPr="00C11F21">
        <w:rPr>
          <w:rFonts w:ascii="Book Antiqua" w:eastAsia="SimSun" w:hAnsi="Book Antiqua" w:cs="Times New Roman"/>
          <w:kern w:val="2"/>
          <w:sz w:val="24"/>
          <w:szCs w:val="24"/>
          <w:lang w:val="en-US" w:eastAsia="zh-CN"/>
        </w:rPr>
        <w:t>: 140-147 [PMID: 24393326 DOI: 10.1111/liv.12461]</w:t>
      </w:r>
    </w:p>
    <w:p w14:paraId="1B463FD8"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7 </w:t>
      </w:r>
      <w:r w:rsidRPr="00C11F21">
        <w:rPr>
          <w:rFonts w:ascii="Book Antiqua" w:eastAsia="SimSun" w:hAnsi="Book Antiqua" w:cs="Times New Roman"/>
          <w:b/>
          <w:kern w:val="2"/>
          <w:sz w:val="24"/>
          <w:szCs w:val="24"/>
          <w:lang w:val="en-US" w:eastAsia="zh-CN"/>
        </w:rPr>
        <w:t>Liu J</w:t>
      </w:r>
      <w:r w:rsidRPr="00C11F21">
        <w:rPr>
          <w:rFonts w:ascii="Book Antiqua" w:eastAsia="SimSun" w:hAnsi="Book Antiqua" w:cs="Times New Roman"/>
          <w:kern w:val="2"/>
          <w:sz w:val="24"/>
          <w:szCs w:val="24"/>
          <w:lang w:val="en-US" w:eastAsia="zh-CN"/>
        </w:rPr>
        <w:t xml:space="preserve">, Lee MH, Batrla-Utermann R, Jen CL, Iloeje UH, Lu SN, Wang LY, You SL, Hsiao CK, Yang HI, Chen CJ. A predictive scoring system for the seroclearance of HBsAg in HBeAg-seronegative chronic hepatitis B patients with genotype B or C infection. </w:t>
      </w:r>
      <w:r w:rsidRPr="00C11F21">
        <w:rPr>
          <w:rFonts w:ascii="Book Antiqua" w:eastAsia="SimSun" w:hAnsi="Book Antiqua" w:cs="Times New Roman"/>
          <w:i/>
          <w:kern w:val="2"/>
          <w:sz w:val="24"/>
          <w:szCs w:val="24"/>
          <w:lang w:val="en-US" w:eastAsia="zh-CN"/>
        </w:rPr>
        <w:t>J Hepatol</w:t>
      </w:r>
      <w:r w:rsidRPr="00C11F21">
        <w:rPr>
          <w:rFonts w:ascii="Book Antiqua" w:eastAsia="SimSun" w:hAnsi="Book Antiqua" w:cs="Times New Roman"/>
          <w:kern w:val="2"/>
          <w:sz w:val="24"/>
          <w:szCs w:val="24"/>
          <w:lang w:val="en-US" w:eastAsia="zh-CN"/>
        </w:rPr>
        <w:t xml:space="preserve"> 2013; </w:t>
      </w:r>
      <w:r w:rsidRPr="00C11F21">
        <w:rPr>
          <w:rFonts w:ascii="Book Antiqua" w:eastAsia="SimSun" w:hAnsi="Book Antiqua" w:cs="Times New Roman"/>
          <w:b/>
          <w:kern w:val="2"/>
          <w:sz w:val="24"/>
          <w:szCs w:val="24"/>
          <w:lang w:val="en-US" w:eastAsia="zh-CN"/>
        </w:rPr>
        <w:t>58</w:t>
      </w:r>
      <w:r w:rsidRPr="00C11F21">
        <w:rPr>
          <w:rFonts w:ascii="Book Antiqua" w:eastAsia="SimSun" w:hAnsi="Book Antiqua" w:cs="Times New Roman"/>
          <w:kern w:val="2"/>
          <w:sz w:val="24"/>
          <w:szCs w:val="24"/>
          <w:lang w:val="en-US" w:eastAsia="zh-CN"/>
        </w:rPr>
        <w:t>: 853-860 [PMID: 23246508 DOI: 10.1016/j.jhep.2012.12.006]</w:t>
      </w:r>
    </w:p>
    <w:p w14:paraId="710BFED5"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8 </w:t>
      </w:r>
      <w:r w:rsidRPr="00C11F21">
        <w:rPr>
          <w:rFonts w:ascii="Book Antiqua" w:eastAsia="SimSun" w:hAnsi="Book Antiqua" w:cs="Times New Roman"/>
          <w:b/>
          <w:kern w:val="2"/>
          <w:sz w:val="24"/>
          <w:szCs w:val="24"/>
          <w:lang w:val="en-US" w:eastAsia="zh-CN"/>
        </w:rPr>
        <w:t>Phyo WW</w:t>
      </w:r>
      <w:r w:rsidRPr="00C11F21">
        <w:rPr>
          <w:rFonts w:ascii="Book Antiqua" w:eastAsia="SimSun" w:hAnsi="Book Antiqua" w:cs="Times New Roman"/>
          <w:kern w:val="2"/>
          <w:sz w:val="24"/>
          <w:szCs w:val="24"/>
          <w:lang w:val="en-US" w:eastAsia="zh-CN"/>
        </w:rPr>
        <w:t xml:space="preserve">, Soh AY, Lim SG, Lee GH. Search for a cure for chronic hepatitis B infection: How close are we? </w:t>
      </w:r>
      <w:r w:rsidRPr="00C11F21">
        <w:rPr>
          <w:rFonts w:ascii="Book Antiqua" w:eastAsia="SimSun" w:hAnsi="Book Antiqua" w:cs="Times New Roman"/>
          <w:i/>
          <w:kern w:val="2"/>
          <w:sz w:val="24"/>
          <w:szCs w:val="24"/>
          <w:lang w:val="en-US" w:eastAsia="zh-CN"/>
        </w:rPr>
        <w:t>World J Hepatol</w:t>
      </w:r>
      <w:r w:rsidRPr="00C11F21">
        <w:rPr>
          <w:rFonts w:ascii="Book Antiqua" w:eastAsia="SimSun" w:hAnsi="Book Antiqua" w:cs="Times New Roman"/>
          <w:kern w:val="2"/>
          <w:sz w:val="24"/>
          <w:szCs w:val="24"/>
          <w:lang w:val="en-US" w:eastAsia="zh-CN"/>
        </w:rPr>
        <w:t xml:space="preserve"> 2015; </w:t>
      </w:r>
      <w:r w:rsidRPr="00C11F21">
        <w:rPr>
          <w:rFonts w:ascii="Book Antiqua" w:eastAsia="SimSun" w:hAnsi="Book Antiqua" w:cs="Times New Roman"/>
          <w:b/>
          <w:kern w:val="2"/>
          <w:sz w:val="24"/>
          <w:szCs w:val="24"/>
          <w:lang w:val="en-US" w:eastAsia="zh-CN"/>
        </w:rPr>
        <w:t>7</w:t>
      </w:r>
      <w:r w:rsidRPr="00C11F21">
        <w:rPr>
          <w:rFonts w:ascii="Book Antiqua" w:eastAsia="SimSun" w:hAnsi="Book Antiqua" w:cs="Times New Roman"/>
          <w:kern w:val="2"/>
          <w:sz w:val="24"/>
          <w:szCs w:val="24"/>
          <w:lang w:val="en-US" w:eastAsia="zh-CN"/>
        </w:rPr>
        <w:t>: 1272-1281 [PMID: 26019743 DOI: 10.4254/wjh.v7.i9.1272]</w:t>
      </w:r>
    </w:p>
    <w:p w14:paraId="743C2883"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lastRenderedPageBreak/>
        <w:t xml:space="preserve">9 </w:t>
      </w:r>
      <w:r w:rsidRPr="00C11F21">
        <w:rPr>
          <w:rFonts w:ascii="Book Antiqua" w:eastAsia="SimSun" w:hAnsi="Book Antiqua" w:cs="Times New Roman"/>
          <w:b/>
          <w:kern w:val="2"/>
          <w:sz w:val="24"/>
          <w:szCs w:val="24"/>
          <w:lang w:val="en-US" w:eastAsia="zh-CN"/>
        </w:rPr>
        <w:t>Lin CL</w:t>
      </w:r>
      <w:r w:rsidRPr="00C11F21">
        <w:rPr>
          <w:rFonts w:ascii="Book Antiqua" w:eastAsia="SimSun" w:hAnsi="Book Antiqua" w:cs="Times New Roman"/>
          <w:kern w:val="2"/>
          <w:sz w:val="24"/>
          <w:szCs w:val="24"/>
          <w:lang w:val="en-US" w:eastAsia="zh-CN"/>
        </w:rPr>
        <w:t xml:space="preserve">, Kao JH. Review article: novel therapies for hepatitis B virus cure - advances and perspectives. </w:t>
      </w:r>
      <w:r w:rsidRPr="00C11F21">
        <w:rPr>
          <w:rFonts w:ascii="Book Antiqua" w:eastAsia="SimSun" w:hAnsi="Book Antiqua" w:cs="Times New Roman"/>
          <w:i/>
          <w:kern w:val="2"/>
          <w:sz w:val="24"/>
          <w:szCs w:val="24"/>
          <w:lang w:val="en-US" w:eastAsia="zh-CN"/>
        </w:rPr>
        <w:t>Aliment Pharmacol Ther</w:t>
      </w:r>
      <w:r w:rsidRPr="00C11F21">
        <w:rPr>
          <w:rFonts w:ascii="Book Antiqua" w:eastAsia="SimSun" w:hAnsi="Book Antiqua" w:cs="Times New Roman"/>
          <w:kern w:val="2"/>
          <w:sz w:val="24"/>
          <w:szCs w:val="24"/>
          <w:lang w:val="en-US" w:eastAsia="zh-CN"/>
        </w:rPr>
        <w:t xml:space="preserve"> 2016; </w:t>
      </w:r>
      <w:r w:rsidRPr="00C11F21">
        <w:rPr>
          <w:rFonts w:ascii="Book Antiqua" w:eastAsia="SimSun" w:hAnsi="Book Antiqua" w:cs="Times New Roman"/>
          <w:b/>
          <w:kern w:val="2"/>
          <w:sz w:val="24"/>
          <w:szCs w:val="24"/>
          <w:lang w:val="en-US" w:eastAsia="zh-CN"/>
        </w:rPr>
        <w:t>44</w:t>
      </w:r>
      <w:r w:rsidRPr="00C11F21">
        <w:rPr>
          <w:rFonts w:ascii="Book Antiqua" w:eastAsia="SimSun" w:hAnsi="Book Antiqua" w:cs="Times New Roman"/>
          <w:kern w:val="2"/>
          <w:sz w:val="24"/>
          <w:szCs w:val="24"/>
          <w:lang w:val="en-US" w:eastAsia="zh-CN"/>
        </w:rPr>
        <w:t>: 213-222 [PMID: 27302653 DOI: 10.1111/apt.13694]</w:t>
      </w:r>
    </w:p>
    <w:p w14:paraId="42EB2273"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10 </w:t>
      </w:r>
      <w:r w:rsidRPr="00C11F21">
        <w:rPr>
          <w:rFonts w:ascii="Book Antiqua" w:eastAsia="SimSun" w:hAnsi="Book Antiqua" w:cs="Times New Roman"/>
          <w:b/>
          <w:kern w:val="2"/>
          <w:sz w:val="24"/>
          <w:szCs w:val="24"/>
          <w:lang w:val="en-US" w:eastAsia="zh-CN"/>
        </w:rPr>
        <w:t>Hagenbuch B</w:t>
      </w:r>
      <w:r w:rsidRPr="00C11F21">
        <w:rPr>
          <w:rFonts w:ascii="Book Antiqua" w:eastAsia="SimSun" w:hAnsi="Book Antiqua" w:cs="Times New Roman"/>
          <w:kern w:val="2"/>
          <w:sz w:val="24"/>
          <w:szCs w:val="24"/>
          <w:lang w:val="en-US" w:eastAsia="zh-CN"/>
        </w:rPr>
        <w:t xml:space="preserve">, Meier PJ. Molecular cloning, chromosomal localization, and functional characterization of a human liver Na+/bile acid cotransporter. </w:t>
      </w:r>
      <w:r w:rsidRPr="00C11F21">
        <w:rPr>
          <w:rFonts w:ascii="Book Antiqua" w:eastAsia="SimSun" w:hAnsi="Book Antiqua" w:cs="Times New Roman"/>
          <w:i/>
          <w:kern w:val="2"/>
          <w:sz w:val="24"/>
          <w:szCs w:val="24"/>
          <w:lang w:val="en-US" w:eastAsia="zh-CN"/>
        </w:rPr>
        <w:t>J Clin Invest</w:t>
      </w:r>
      <w:r w:rsidRPr="00C11F21">
        <w:rPr>
          <w:rFonts w:ascii="Book Antiqua" w:eastAsia="SimSun" w:hAnsi="Book Antiqua" w:cs="Times New Roman"/>
          <w:kern w:val="2"/>
          <w:sz w:val="24"/>
          <w:szCs w:val="24"/>
          <w:lang w:val="en-US" w:eastAsia="zh-CN"/>
        </w:rPr>
        <w:t xml:space="preserve"> 1994; </w:t>
      </w:r>
      <w:r w:rsidRPr="00C11F21">
        <w:rPr>
          <w:rFonts w:ascii="Book Antiqua" w:eastAsia="SimSun" w:hAnsi="Book Antiqua" w:cs="Times New Roman"/>
          <w:b/>
          <w:kern w:val="2"/>
          <w:sz w:val="24"/>
          <w:szCs w:val="24"/>
          <w:lang w:val="en-US" w:eastAsia="zh-CN"/>
        </w:rPr>
        <w:t>93</w:t>
      </w:r>
      <w:r w:rsidRPr="00C11F21">
        <w:rPr>
          <w:rFonts w:ascii="Book Antiqua" w:eastAsia="SimSun" w:hAnsi="Book Antiqua" w:cs="Times New Roman"/>
          <w:kern w:val="2"/>
          <w:sz w:val="24"/>
          <w:szCs w:val="24"/>
          <w:lang w:val="en-US" w:eastAsia="zh-CN"/>
        </w:rPr>
        <w:t>: 1326-1331 [PMID: 8132774 DOI: 10.1172/JCI117091]</w:t>
      </w:r>
    </w:p>
    <w:p w14:paraId="51956F2B"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11 </w:t>
      </w:r>
      <w:r w:rsidRPr="00C11F21">
        <w:rPr>
          <w:rFonts w:ascii="Book Antiqua" w:eastAsia="SimSun" w:hAnsi="Book Antiqua" w:cs="Times New Roman"/>
          <w:b/>
          <w:kern w:val="2"/>
          <w:sz w:val="24"/>
          <w:szCs w:val="24"/>
          <w:lang w:val="en-US" w:eastAsia="zh-CN"/>
        </w:rPr>
        <w:t>Stieger B</w:t>
      </w:r>
      <w:r w:rsidRPr="00C11F21">
        <w:rPr>
          <w:rFonts w:ascii="Book Antiqua" w:eastAsia="SimSun" w:hAnsi="Book Antiqua" w:cs="Times New Roman"/>
          <w:kern w:val="2"/>
          <w:sz w:val="24"/>
          <w:szCs w:val="24"/>
          <w:lang w:val="en-US" w:eastAsia="zh-CN"/>
        </w:rPr>
        <w:t xml:space="preserve">. The role of the sodium-taurocholate cotransporting polypeptide (NTCP) and of the bile salt export pump (BSEP) in physiology and pathophysiology of bile formation. </w:t>
      </w:r>
      <w:r w:rsidRPr="00C11F21">
        <w:rPr>
          <w:rFonts w:ascii="Book Antiqua" w:eastAsia="SimSun" w:hAnsi="Book Antiqua" w:cs="Times New Roman"/>
          <w:i/>
          <w:kern w:val="2"/>
          <w:sz w:val="24"/>
          <w:szCs w:val="24"/>
          <w:lang w:val="en-US" w:eastAsia="zh-CN"/>
        </w:rPr>
        <w:t>Handb Exp Pharmacol</w:t>
      </w:r>
      <w:r w:rsidRPr="00C11F21">
        <w:rPr>
          <w:rFonts w:ascii="Book Antiqua" w:eastAsia="SimSun" w:hAnsi="Book Antiqua" w:cs="Times New Roman"/>
          <w:kern w:val="2"/>
          <w:sz w:val="24"/>
          <w:szCs w:val="24"/>
          <w:lang w:val="en-US" w:eastAsia="zh-CN"/>
        </w:rPr>
        <w:t xml:space="preserve"> 2011; : 205-259 [PMID: 21103971 DOI: 10.1007/978-3-642-14541-4_5]</w:t>
      </w:r>
    </w:p>
    <w:p w14:paraId="6CD692D8"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12 </w:t>
      </w:r>
      <w:r w:rsidRPr="00C11F21">
        <w:rPr>
          <w:rFonts w:ascii="Book Antiqua" w:eastAsia="SimSun" w:hAnsi="Book Antiqua" w:cs="Times New Roman"/>
          <w:b/>
          <w:kern w:val="2"/>
          <w:sz w:val="24"/>
          <w:szCs w:val="24"/>
          <w:lang w:val="en-US" w:eastAsia="zh-CN"/>
        </w:rPr>
        <w:t>Yan H</w:t>
      </w:r>
      <w:r w:rsidRPr="00C11F21">
        <w:rPr>
          <w:rFonts w:ascii="Book Antiqua" w:eastAsia="SimSun" w:hAnsi="Book Antiqua" w:cs="Times New Roman"/>
          <w:kern w:val="2"/>
          <w:sz w:val="24"/>
          <w:szCs w:val="24"/>
          <w:lang w:val="en-US" w:eastAsia="zh-CN"/>
        </w:rPr>
        <w:t xml:space="preserve">, Zhong G, Xu G, He W, Jing Z, Gao Z, Huang Y, Qi Y, Peng B, Wang H, Fu L, Song M, Chen P, Gao W, Ren B, Sun Y, Cai T, Feng X, Sui J, Li W. Sodium taurocholate cotransporting polypeptide is a functional receptor for human hepatitis B and D virus. </w:t>
      </w:r>
      <w:r w:rsidRPr="00C11F21">
        <w:rPr>
          <w:rFonts w:ascii="Book Antiqua" w:eastAsia="SimSun" w:hAnsi="Book Antiqua" w:cs="Times New Roman"/>
          <w:i/>
          <w:kern w:val="2"/>
          <w:sz w:val="24"/>
          <w:szCs w:val="24"/>
          <w:lang w:val="en-US" w:eastAsia="zh-CN"/>
        </w:rPr>
        <w:t>Elife</w:t>
      </w:r>
      <w:r w:rsidRPr="00C11F21">
        <w:rPr>
          <w:rFonts w:ascii="Book Antiqua" w:eastAsia="SimSun" w:hAnsi="Book Antiqua" w:cs="Times New Roman"/>
          <w:kern w:val="2"/>
          <w:sz w:val="24"/>
          <w:szCs w:val="24"/>
          <w:lang w:val="en-US" w:eastAsia="zh-CN"/>
        </w:rPr>
        <w:t xml:space="preserve"> 2012; </w:t>
      </w:r>
      <w:r w:rsidRPr="00C11F21">
        <w:rPr>
          <w:rFonts w:ascii="Book Antiqua" w:eastAsia="SimSun" w:hAnsi="Book Antiqua" w:cs="Times New Roman"/>
          <w:b/>
          <w:kern w:val="2"/>
          <w:sz w:val="24"/>
          <w:szCs w:val="24"/>
          <w:lang w:val="en-US" w:eastAsia="zh-CN"/>
        </w:rPr>
        <w:t>1</w:t>
      </w:r>
      <w:r w:rsidRPr="00C11F21">
        <w:rPr>
          <w:rFonts w:ascii="Book Antiqua" w:eastAsia="SimSun" w:hAnsi="Book Antiqua" w:cs="Times New Roman"/>
          <w:kern w:val="2"/>
          <w:sz w:val="24"/>
          <w:szCs w:val="24"/>
          <w:lang w:val="en-US" w:eastAsia="zh-CN"/>
        </w:rPr>
        <w:t>: e00049 [PMID: 23150796 DOI: 10.7554/eLife.00049]</w:t>
      </w:r>
    </w:p>
    <w:p w14:paraId="7ECC5A95"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13 </w:t>
      </w:r>
      <w:r w:rsidRPr="00C11F21">
        <w:rPr>
          <w:rFonts w:ascii="Book Antiqua" w:eastAsia="SimSun" w:hAnsi="Book Antiqua" w:cs="Times New Roman"/>
          <w:b/>
          <w:kern w:val="2"/>
          <w:sz w:val="24"/>
          <w:szCs w:val="24"/>
          <w:lang w:val="en-US" w:eastAsia="zh-CN"/>
        </w:rPr>
        <w:t>Seeger C</w:t>
      </w:r>
      <w:r w:rsidRPr="00C11F21">
        <w:rPr>
          <w:rFonts w:ascii="Book Antiqua" w:eastAsia="SimSun" w:hAnsi="Book Antiqua" w:cs="Times New Roman"/>
          <w:kern w:val="2"/>
          <w:sz w:val="24"/>
          <w:szCs w:val="24"/>
          <w:lang w:val="en-US" w:eastAsia="zh-CN"/>
        </w:rPr>
        <w:t xml:space="preserve">, Mason WS. Hepatitis B virus biology. </w:t>
      </w:r>
      <w:r w:rsidRPr="00C11F21">
        <w:rPr>
          <w:rFonts w:ascii="Book Antiqua" w:eastAsia="SimSun" w:hAnsi="Book Antiqua" w:cs="Times New Roman"/>
          <w:i/>
          <w:kern w:val="2"/>
          <w:sz w:val="24"/>
          <w:szCs w:val="24"/>
          <w:lang w:val="en-US" w:eastAsia="zh-CN"/>
        </w:rPr>
        <w:t>Microbiol Mol Biol Rev</w:t>
      </w:r>
      <w:r w:rsidRPr="00C11F21">
        <w:rPr>
          <w:rFonts w:ascii="Book Antiqua" w:eastAsia="SimSun" w:hAnsi="Book Antiqua" w:cs="Times New Roman"/>
          <w:kern w:val="2"/>
          <w:sz w:val="24"/>
          <w:szCs w:val="24"/>
          <w:lang w:val="en-US" w:eastAsia="zh-CN"/>
        </w:rPr>
        <w:t xml:space="preserve"> 2000; </w:t>
      </w:r>
      <w:r w:rsidRPr="00C11F21">
        <w:rPr>
          <w:rFonts w:ascii="Book Antiqua" w:eastAsia="SimSun" w:hAnsi="Book Antiqua" w:cs="Times New Roman"/>
          <w:b/>
          <w:kern w:val="2"/>
          <w:sz w:val="24"/>
          <w:szCs w:val="24"/>
          <w:lang w:val="en-US" w:eastAsia="zh-CN"/>
        </w:rPr>
        <w:t>64</w:t>
      </w:r>
      <w:r w:rsidRPr="00C11F21">
        <w:rPr>
          <w:rFonts w:ascii="Book Antiqua" w:eastAsia="SimSun" w:hAnsi="Book Antiqua" w:cs="Times New Roman"/>
          <w:kern w:val="2"/>
          <w:sz w:val="24"/>
          <w:szCs w:val="24"/>
          <w:lang w:val="en-US" w:eastAsia="zh-CN"/>
        </w:rPr>
        <w:t>: 51-68 [PMID: 10704474 DOI: 10.1128/MMBR.64.1.51-68.2000]</w:t>
      </w:r>
    </w:p>
    <w:p w14:paraId="00BBF88C"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14 </w:t>
      </w:r>
      <w:r w:rsidRPr="00C11F21">
        <w:rPr>
          <w:rFonts w:ascii="Book Antiqua" w:eastAsia="SimSun" w:hAnsi="Book Antiqua" w:cs="Times New Roman"/>
          <w:b/>
          <w:kern w:val="2"/>
          <w:sz w:val="24"/>
          <w:szCs w:val="24"/>
          <w:lang w:val="en-US" w:eastAsia="zh-CN"/>
        </w:rPr>
        <w:t xml:space="preserve">Nassal M. Hepatitis B Virus Morphogenesis. </w:t>
      </w:r>
      <w:r w:rsidRPr="00C11F21">
        <w:rPr>
          <w:rFonts w:ascii="Book Antiqua" w:eastAsia="SimSun" w:hAnsi="Book Antiqua" w:cs="Times New Roman"/>
          <w:kern w:val="2"/>
          <w:sz w:val="24"/>
          <w:szCs w:val="24"/>
          <w:lang w:val="en-US" w:eastAsia="zh-CN"/>
        </w:rPr>
        <w:t>In: Kräusslich H-G. Morphogenesis and Maturation of Retroviruses. Berlin,</w:t>
      </w:r>
      <w:r w:rsidRPr="00C11F21">
        <w:rPr>
          <w:rFonts w:ascii="Book Antiqua" w:eastAsia="SimSun" w:hAnsi="Book Antiqua" w:cs="Times New Roman" w:hint="eastAsia"/>
          <w:kern w:val="2"/>
          <w:sz w:val="24"/>
          <w:szCs w:val="24"/>
          <w:lang w:val="en-US" w:eastAsia="zh-CN"/>
        </w:rPr>
        <w:t xml:space="preserve"> </w:t>
      </w:r>
      <w:r w:rsidRPr="00C11F21">
        <w:rPr>
          <w:rFonts w:ascii="Book Antiqua" w:eastAsia="SimSun" w:hAnsi="Book Antiqua" w:cs="Times New Roman"/>
          <w:kern w:val="2"/>
          <w:sz w:val="24"/>
          <w:szCs w:val="24"/>
          <w:lang w:val="en-US" w:eastAsia="zh-CN"/>
        </w:rPr>
        <w:t>Heidelberg: Springer Berlin Heidelberg; 1996: 297</w:t>
      </w:r>
      <w:r w:rsidRPr="00C11F21">
        <w:rPr>
          <w:rFonts w:ascii="Book Antiqua" w:eastAsia="SimSun" w:hAnsi="Book Antiqua" w:cs="Times New Roman" w:hint="eastAsia"/>
          <w:kern w:val="2"/>
          <w:sz w:val="24"/>
          <w:szCs w:val="24"/>
          <w:lang w:val="en-US" w:eastAsia="zh-CN"/>
        </w:rPr>
        <w:t>-</w:t>
      </w:r>
      <w:r w:rsidRPr="00C11F21">
        <w:rPr>
          <w:rFonts w:ascii="Book Antiqua" w:eastAsia="SimSun" w:hAnsi="Book Antiqua" w:cs="Times New Roman"/>
          <w:kern w:val="2"/>
          <w:sz w:val="24"/>
          <w:szCs w:val="24"/>
          <w:lang w:val="en-US" w:eastAsia="zh-CN"/>
        </w:rPr>
        <w:t>337</w:t>
      </w:r>
    </w:p>
    <w:p w14:paraId="463AD46C"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15 </w:t>
      </w:r>
      <w:r w:rsidRPr="00C11F21">
        <w:rPr>
          <w:rFonts w:ascii="Book Antiqua" w:eastAsia="SimSun" w:hAnsi="Book Antiqua" w:cs="Times New Roman"/>
          <w:b/>
          <w:kern w:val="2"/>
          <w:sz w:val="24"/>
          <w:szCs w:val="24"/>
          <w:lang w:val="en-US" w:eastAsia="zh-CN"/>
        </w:rPr>
        <w:t>Le Seyec J</w:t>
      </w:r>
      <w:r w:rsidRPr="00C11F21">
        <w:rPr>
          <w:rFonts w:ascii="Book Antiqua" w:eastAsia="SimSun" w:hAnsi="Book Antiqua" w:cs="Times New Roman"/>
          <w:kern w:val="2"/>
          <w:sz w:val="24"/>
          <w:szCs w:val="24"/>
          <w:lang w:val="en-US" w:eastAsia="zh-CN"/>
        </w:rPr>
        <w:t xml:space="preserve">, Chouteau P, Cannie I, Guguen-Guillouzo C, Gripon P. Infection process of the hepatitis B virus depends on the presence of a defined sequence in the pre-S1 domain. </w:t>
      </w:r>
      <w:r w:rsidRPr="00C11F21">
        <w:rPr>
          <w:rFonts w:ascii="Book Antiqua" w:eastAsia="SimSun" w:hAnsi="Book Antiqua" w:cs="Times New Roman"/>
          <w:i/>
          <w:kern w:val="2"/>
          <w:sz w:val="24"/>
          <w:szCs w:val="24"/>
          <w:lang w:val="en-US" w:eastAsia="zh-CN"/>
        </w:rPr>
        <w:t>J Virol</w:t>
      </w:r>
      <w:r w:rsidRPr="00C11F21">
        <w:rPr>
          <w:rFonts w:ascii="Book Antiqua" w:eastAsia="SimSun" w:hAnsi="Book Antiqua" w:cs="Times New Roman"/>
          <w:kern w:val="2"/>
          <w:sz w:val="24"/>
          <w:szCs w:val="24"/>
          <w:lang w:val="en-US" w:eastAsia="zh-CN"/>
        </w:rPr>
        <w:t xml:space="preserve"> 1999; </w:t>
      </w:r>
      <w:r w:rsidRPr="00C11F21">
        <w:rPr>
          <w:rFonts w:ascii="Book Antiqua" w:eastAsia="SimSun" w:hAnsi="Book Antiqua" w:cs="Times New Roman"/>
          <w:b/>
          <w:kern w:val="2"/>
          <w:sz w:val="24"/>
          <w:szCs w:val="24"/>
          <w:lang w:val="en-US" w:eastAsia="zh-CN"/>
        </w:rPr>
        <w:t>73</w:t>
      </w:r>
      <w:r w:rsidRPr="00C11F21">
        <w:rPr>
          <w:rFonts w:ascii="Book Antiqua" w:eastAsia="SimSun" w:hAnsi="Book Antiqua" w:cs="Times New Roman"/>
          <w:kern w:val="2"/>
          <w:sz w:val="24"/>
          <w:szCs w:val="24"/>
          <w:lang w:val="en-US" w:eastAsia="zh-CN"/>
        </w:rPr>
        <w:t>: 2052-2057 [PMID: 9971786]</w:t>
      </w:r>
    </w:p>
    <w:p w14:paraId="59F40A9A"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16 </w:t>
      </w:r>
      <w:r w:rsidRPr="00C11F21">
        <w:rPr>
          <w:rFonts w:ascii="Book Antiqua" w:eastAsia="SimSun" w:hAnsi="Book Antiqua" w:cs="Times New Roman"/>
          <w:b/>
          <w:kern w:val="2"/>
          <w:sz w:val="24"/>
          <w:szCs w:val="24"/>
          <w:lang w:val="en-US" w:eastAsia="zh-CN"/>
        </w:rPr>
        <w:t>Blanchet M</w:t>
      </w:r>
      <w:r w:rsidRPr="00C11F21">
        <w:rPr>
          <w:rFonts w:ascii="Book Antiqua" w:eastAsia="SimSun" w:hAnsi="Book Antiqua" w:cs="Times New Roman"/>
          <w:kern w:val="2"/>
          <w:sz w:val="24"/>
          <w:szCs w:val="24"/>
          <w:lang w:val="en-US" w:eastAsia="zh-CN"/>
        </w:rPr>
        <w:t xml:space="preserve">, Sureau C. Infectivity determinants of the hepatitis B virus pre-S domain are confined to the N-terminal 75 amino acid residues. </w:t>
      </w:r>
      <w:r w:rsidRPr="00C11F21">
        <w:rPr>
          <w:rFonts w:ascii="Book Antiqua" w:eastAsia="SimSun" w:hAnsi="Book Antiqua" w:cs="Times New Roman"/>
          <w:i/>
          <w:kern w:val="2"/>
          <w:sz w:val="24"/>
          <w:szCs w:val="24"/>
          <w:lang w:val="en-US" w:eastAsia="zh-CN"/>
        </w:rPr>
        <w:t>J Virol</w:t>
      </w:r>
      <w:r w:rsidRPr="00C11F21">
        <w:rPr>
          <w:rFonts w:ascii="Book Antiqua" w:eastAsia="SimSun" w:hAnsi="Book Antiqua" w:cs="Times New Roman"/>
          <w:kern w:val="2"/>
          <w:sz w:val="24"/>
          <w:szCs w:val="24"/>
          <w:lang w:val="en-US" w:eastAsia="zh-CN"/>
        </w:rPr>
        <w:t xml:space="preserve"> 2007; </w:t>
      </w:r>
      <w:r w:rsidRPr="00C11F21">
        <w:rPr>
          <w:rFonts w:ascii="Book Antiqua" w:eastAsia="SimSun" w:hAnsi="Book Antiqua" w:cs="Times New Roman"/>
          <w:b/>
          <w:kern w:val="2"/>
          <w:sz w:val="24"/>
          <w:szCs w:val="24"/>
          <w:lang w:val="en-US" w:eastAsia="zh-CN"/>
        </w:rPr>
        <w:t>81</w:t>
      </w:r>
      <w:r w:rsidRPr="00C11F21">
        <w:rPr>
          <w:rFonts w:ascii="Book Antiqua" w:eastAsia="SimSun" w:hAnsi="Book Antiqua" w:cs="Times New Roman"/>
          <w:kern w:val="2"/>
          <w:sz w:val="24"/>
          <w:szCs w:val="24"/>
          <w:lang w:val="en-US" w:eastAsia="zh-CN"/>
        </w:rPr>
        <w:t>: 5841-5849 [PMID: 17376925 DOI: 10.1128/JVI.00096-07]</w:t>
      </w:r>
    </w:p>
    <w:p w14:paraId="0247934F"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17 </w:t>
      </w:r>
      <w:r w:rsidRPr="00C11F21">
        <w:rPr>
          <w:rFonts w:ascii="Book Antiqua" w:eastAsia="SimSun" w:hAnsi="Book Antiqua" w:cs="Times New Roman"/>
          <w:b/>
          <w:kern w:val="2"/>
          <w:sz w:val="24"/>
          <w:szCs w:val="24"/>
          <w:lang w:val="en-US" w:eastAsia="zh-CN"/>
        </w:rPr>
        <w:t>Glebe D</w:t>
      </w:r>
      <w:r w:rsidRPr="00C11F21">
        <w:rPr>
          <w:rFonts w:ascii="Book Antiqua" w:eastAsia="SimSun" w:hAnsi="Book Antiqua" w:cs="Times New Roman"/>
          <w:kern w:val="2"/>
          <w:sz w:val="24"/>
          <w:szCs w:val="24"/>
          <w:lang w:val="en-US" w:eastAsia="zh-CN"/>
        </w:rPr>
        <w:t xml:space="preserve">, Urban S, Knoop EV, Cag N, Krass P, Grün S, Bulavaite A, Sasnauskas K, Gerlich WH. Mapping of the hepatitis B virus attachment site by use of infection-inhibiting preS1 lipopeptides and tupaia hepatocytes. </w:t>
      </w:r>
      <w:r w:rsidRPr="00C11F21">
        <w:rPr>
          <w:rFonts w:ascii="Book Antiqua" w:eastAsia="SimSun" w:hAnsi="Book Antiqua" w:cs="Times New Roman"/>
          <w:i/>
          <w:kern w:val="2"/>
          <w:sz w:val="24"/>
          <w:szCs w:val="24"/>
          <w:lang w:val="en-US" w:eastAsia="zh-CN"/>
        </w:rPr>
        <w:t>Gastroenterology</w:t>
      </w:r>
      <w:r w:rsidRPr="00C11F21">
        <w:rPr>
          <w:rFonts w:ascii="Book Antiqua" w:eastAsia="SimSun" w:hAnsi="Book Antiqua" w:cs="Times New Roman"/>
          <w:kern w:val="2"/>
          <w:sz w:val="24"/>
          <w:szCs w:val="24"/>
          <w:lang w:val="en-US" w:eastAsia="zh-CN"/>
        </w:rPr>
        <w:t xml:space="preserve"> 2005; </w:t>
      </w:r>
      <w:r w:rsidRPr="00C11F21">
        <w:rPr>
          <w:rFonts w:ascii="Book Antiqua" w:eastAsia="SimSun" w:hAnsi="Book Antiqua" w:cs="Times New Roman"/>
          <w:b/>
          <w:kern w:val="2"/>
          <w:sz w:val="24"/>
          <w:szCs w:val="24"/>
          <w:lang w:val="en-US" w:eastAsia="zh-CN"/>
        </w:rPr>
        <w:t>129</w:t>
      </w:r>
      <w:r w:rsidRPr="00C11F21">
        <w:rPr>
          <w:rFonts w:ascii="Book Antiqua" w:eastAsia="SimSun" w:hAnsi="Book Antiqua" w:cs="Times New Roman"/>
          <w:kern w:val="2"/>
          <w:sz w:val="24"/>
          <w:szCs w:val="24"/>
          <w:lang w:val="en-US" w:eastAsia="zh-CN"/>
        </w:rPr>
        <w:t>: 234-245 [PMID: 16012950 DOI: 10.1053/j.gastro.2005.03.090]</w:t>
      </w:r>
    </w:p>
    <w:p w14:paraId="0EEAFD9E"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lastRenderedPageBreak/>
        <w:t xml:space="preserve">18 </w:t>
      </w:r>
      <w:r w:rsidRPr="00C11F21">
        <w:rPr>
          <w:rFonts w:ascii="Book Antiqua" w:eastAsia="SimSun" w:hAnsi="Book Antiqua" w:cs="Times New Roman"/>
          <w:b/>
          <w:kern w:val="2"/>
          <w:sz w:val="24"/>
          <w:szCs w:val="24"/>
          <w:lang w:val="en-US" w:eastAsia="zh-CN"/>
        </w:rPr>
        <w:t>Gripon P</w:t>
      </w:r>
      <w:r w:rsidRPr="00C11F21">
        <w:rPr>
          <w:rFonts w:ascii="Book Antiqua" w:eastAsia="SimSun" w:hAnsi="Book Antiqua" w:cs="Times New Roman"/>
          <w:kern w:val="2"/>
          <w:sz w:val="24"/>
          <w:szCs w:val="24"/>
          <w:lang w:val="en-US" w:eastAsia="zh-CN"/>
        </w:rPr>
        <w:t xml:space="preserve">, Cannie I, Urban S. Efficient inhibition of hepatitis B virus infection by acylated peptides derived from the large viral surface protein. </w:t>
      </w:r>
      <w:r w:rsidRPr="00C11F21">
        <w:rPr>
          <w:rFonts w:ascii="Book Antiqua" w:eastAsia="SimSun" w:hAnsi="Book Antiqua" w:cs="Times New Roman"/>
          <w:i/>
          <w:kern w:val="2"/>
          <w:sz w:val="24"/>
          <w:szCs w:val="24"/>
          <w:lang w:val="en-US" w:eastAsia="zh-CN"/>
        </w:rPr>
        <w:t>J Virol</w:t>
      </w:r>
      <w:r w:rsidRPr="00C11F21">
        <w:rPr>
          <w:rFonts w:ascii="Book Antiqua" w:eastAsia="SimSun" w:hAnsi="Book Antiqua" w:cs="Times New Roman"/>
          <w:kern w:val="2"/>
          <w:sz w:val="24"/>
          <w:szCs w:val="24"/>
          <w:lang w:val="en-US" w:eastAsia="zh-CN"/>
        </w:rPr>
        <w:t xml:space="preserve"> 2005; </w:t>
      </w:r>
      <w:r w:rsidRPr="00C11F21">
        <w:rPr>
          <w:rFonts w:ascii="Book Antiqua" w:eastAsia="SimSun" w:hAnsi="Book Antiqua" w:cs="Times New Roman"/>
          <w:b/>
          <w:kern w:val="2"/>
          <w:sz w:val="24"/>
          <w:szCs w:val="24"/>
          <w:lang w:val="en-US" w:eastAsia="zh-CN"/>
        </w:rPr>
        <w:t>79</w:t>
      </w:r>
      <w:r w:rsidRPr="00C11F21">
        <w:rPr>
          <w:rFonts w:ascii="Book Antiqua" w:eastAsia="SimSun" w:hAnsi="Book Antiqua" w:cs="Times New Roman"/>
          <w:kern w:val="2"/>
          <w:sz w:val="24"/>
          <w:szCs w:val="24"/>
          <w:lang w:val="en-US" w:eastAsia="zh-CN"/>
        </w:rPr>
        <w:t>: 1613-1622 [PMID: 15650187 DOI: 10.1128/JVI.79.3.1613]</w:t>
      </w:r>
    </w:p>
    <w:p w14:paraId="6810478D"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19 </w:t>
      </w:r>
      <w:r w:rsidRPr="00C11F21">
        <w:rPr>
          <w:rFonts w:ascii="Book Antiqua" w:eastAsia="SimSun" w:hAnsi="Book Antiqua" w:cs="Times New Roman"/>
          <w:b/>
          <w:kern w:val="2"/>
          <w:sz w:val="24"/>
          <w:szCs w:val="24"/>
          <w:lang w:val="en-US" w:eastAsia="zh-CN"/>
        </w:rPr>
        <w:t>Roberts K,</w:t>
      </w:r>
      <w:r w:rsidRPr="00C11F21">
        <w:rPr>
          <w:rFonts w:ascii="Book Antiqua" w:eastAsia="SimSun" w:hAnsi="Book Antiqua" w:cs="Times New Roman" w:hint="eastAsia"/>
          <w:kern w:val="2"/>
          <w:sz w:val="24"/>
          <w:szCs w:val="24"/>
          <w:lang w:val="en-US" w:eastAsia="zh-CN"/>
        </w:rPr>
        <w:t xml:space="preserve"> </w:t>
      </w:r>
      <w:r w:rsidRPr="00C11F21">
        <w:rPr>
          <w:rFonts w:ascii="Book Antiqua" w:eastAsia="SimSun" w:hAnsi="Book Antiqua" w:cs="Times New Roman"/>
          <w:kern w:val="2"/>
          <w:sz w:val="24"/>
          <w:szCs w:val="24"/>
          <w:lang w:val="en-US" w:eastAsia="zh-CN"/>
        </w:rPr>
        <w:t>Mao R, O’Fallon B, Lyon E. Reporting of clinical genomics test results. In: Kulkarni S, Pfeifer J. Clinical Genomics. A guide to clinical next generation sequencing. USA: Elsevier Academic Press; 2015: 219</w:t>
      </w:r>
      <w:r w:rsidRPr="00C11F21">
        <w:rPr>
          <w:rFonts w:ascii="Book Antiqua" w:eastAsia="SimSun" w:hAnsi="Book Antiqua" w:cs="Times New Roman" w:hint="eastAsia"/>
          <w:kern w:val="2"/>
          <w:sz w:val="24"/>
          <w:szCs w:val="24"/>
          <w:lang w:val="en-US" w:eastAsia="zh-CN"/>
        </w:rPr>
        <w:t>-</w:t>
      </w:r>
      <w:r w:rsidRPr="00C11F21">
        <w:rPr>
          <w:rFonts w:ascii="Book Antiqua" w:eastAsia="SimSun" w:hAnsi="Book Antiqua" w:cs="Times New Roman"/>
          <w:kern w:val="2"/>
          <w:sz w:val="24"/>
          <w:szCs w:val="24"/>
          <w:lang w:val="en-US" w:eastAsia="zh-CN"/>
        </w:rPr>
        <w:t>231</w:t>
      </w:r>
    </w:p>
    <w:p w14:paraId="5395E30F"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20 </w:t>
      </w:r>
      <w:r w:rsidRPr="00C11F21">
        <w:rPr>
          <w:rFonts w:ascii="Book Antiqua" w:eastAsia="SimSun" w:hAnsi="Book Antiqua" w:cs="Times New Roman"/>
          <w:b/>
          <w:kern w:val="2"/>
          <w:sz w:val="24"/>
          <w:szCs w:val="24"/>
          <w:lang w:val="en-US" w:eastAsia="zh-CN"/>
        </w:rPr>
        <w:t>Urban S</w:t>
      </w:r>
      <w:r w:rsidRPr="00C11F21">
        <w:rPr>
          <w:rFonts w:ascii="Book Antiqua" w:eastAsia="SimSun" w:hAnsi="Book Antiqua" w:cs="Times New Roman"/>
          <w:kern w:val="2"/>
          <w:sz w:val="24"/>
          <w:szCs w:val="24"/>
          <w:lang w:val="en-US" w:eastAsia="zh-CN"/>
        </w:rPr>
        <w:t xml:space="preserve">, Bartenschlager R, Kubitz R, Zoulim F. Strategies to inhibit entry of HBV and HDV into hepatocytes. </w:t>
      </w:r>
      <w:r w:rsidRPr="00C11F21">
        <w:rPr>
          <w:rFonts w:ascii="Book Antiqua" w:eastAsia="SimSun" w:hAnsi="Book Antiqua" w:cs="Times New Roman"/>
          <w:i/>
          <w:kern w:val="2"/>
          <w:sz w:val="24"/>
          <w:szCs w:val="24"/>
          <w:lang w:val="en-US" w:eastAsia="zh-CN"/>
        </w:rPr>
        <w:t>Gastroenterology</w:t>
      </w:r>
      <w:r w:rsidRPr="00C11F21">
        <w:rPr>
          <w:rFonts w:ascii="Book Antiqua" w:eastAsia="SimSun" w:hAnsi="Book Antiqua" w:cs="Times New Roman"/>
          <w:kern w:val="2"/>
          <w:sz w:val="24"/>
          <w:szCs w:val="24"/>
          <w:lang w:val="en-US" w:eastAsia="zh-CN"/>
        </w:rPr>
        <w:t xml:space="preserve"> 2014; </w:t>
      </w:r>
      <w:r w:rsidRPr="00C11F21">
        <w:rPr>
          <w:rFonts w:ascii="Book Antiqua" w:eastAsia="SimSun" w:hAnsi="Book Antiqua" w:cs="Times New Roman"/>
          <w:b/>
          <w:kern w:val="2"/>
          <w:sz w:val="24"/>
          <w:szCs w:val="24"/>
          <w:lang w:val="en-US" w:eastAsia="zh-CN"/>
        </w:rPr>
        <w:t>147</w:t>
      </w:r>
      <w:r w:rsidRPr="00C11F21">
        <w:rPr>
          <w:rFonts w:ascii="Book Antiqua" w:eastAsia="SimSun" w:hAnsi="Book Antiqua" w:cs="Times New Roman"/>
          <w:kern w:val="2"/>
          <w:sz w:val="24"/>
          <w:szCs w:val="24"/>
          <w:lang w:val="en-US" w:eastAsia="zh-CN"/>
        </w:rPr>
        <w:t>: 48-64 [PMID: 24768844 DOI: 10.1053/j.gastro.2014.04.030]</w:t>
      </w:r>
    </w:p>
    <w:p w14:paraId="38349370"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21 </w:t>
      </w:r>
      <w:r w:rsidRPr="00C11F21">
        <w:rPr>
          <w:rFonts w:ascii="Book Antiqua" w:eastAsia="SimSun" w:hAnsi="Book Antiqua" w:cs="Times New Roman"/>
          <w:b/>
          <w:kern w:val="2"/>
          <w:sz w:val="24"/>
          <w:szCs w:val="24"/>
          <w:lang w:val="en-US" w:eastAsia="zh-CN"/>
        </w:rPr>
        <w:t>Yan H</w:t>
      </w:r>
      <w:r w:rsidRPr="00C11F21">
        <w:rPr>
          <w:rFonts w:ascii="Book Antiqua" w:eastAsia="SimSun" w:hAnsi="Book Antiqua" w:cs="Times New Roman"/>
          <w:kern w:val="2"/>
          <w:sz w:val="24"/>
          <w:szCs w:val="24"/>
          <w:lang w:val="en-US" w:eastAsia="zh-CN"/>
        </w:rPr>
        <w:t xml:space="preserve">, Peng B, Liu Y, Xu G, He W, Ren B, Jing Z, Sui J, Li W. Viral entry of hepatitis B and D viruses and bile salts transportation share common molecular determinants on sodium taurocholate cotransporting polypeptide. </w:t>
      </w:r>
      <w:r w:rsidRPr="00C11F21">
        <w:rPr>
          <w:rFonts w:ascii="Book Antiqua" w:eastAsia="SimSun" w:hAnsi="Book Antiqua" w:cs="Times New Roman"/>
          <w:i/>
          <w:kern w:val="2"/>
          <w:sz w:val="24"/>
          <w:szCs w:val="24"/>
          <w:lang w:val="en-US" w:eastAsia="zh-CN"/>
        </w:rPr>
        <w:t>J Virol</w:t>
      </w:r>
      <w:r w:rsidRPr="00C11F21">
        <w:rPr>
          <w:rFonts w:ascii="Book Antiqua" w:eastAsia="SimSun" w:hAnsi="Book Antiqua" w:cs="Times New Roman"/>
          <w:kern w:val="2"/>
          <w:sz w:val="24"/>
          <w:szCs w:val="24"/>
          <w:lang w:val="en-US" w:eastAsia="zh-CN"/>
        </w:rPr>
        <w:t xml:space="preserve"> 2014; </w:t>
      </w:r>
      <w:r w:rsidRPr="00C11F21">
        <w:rPr>
          <w:rFonts w:ascii="Book Antiqua" w:eastAsia="SimSun" w:hAnsi="Book Antiqua" w:cs="Times New Roman"/>
          <w:b/>
          <w:kern w:val="2"/>
          <w:sz w:val="24"/>
          <w:szCs w:val="24"/>
          <w:lang w:val="en-US" w:eastAsia="zh-CN"/>
        </w:rPr>
        <w:t>88</w:t>
      </w:r>
      <w:r w:rsidRPr="00C11F21">
        <w:rPr>
          <w:rFonts w:ascii="Book Antiqua" w:eastAsia="SimSun" w:hAnsi="Book Antiqua" w:cs="Times New Roman"/>
          <w:kern w:val="2"/>
          <w:sz w:val="24"/>
          <w:szCs w:val="24"/>
          <w:lang w:val="en-US" w:eastAsia="zh-CN"/>
        </w:rPr>
        <w:t>: 3273-3284 [PMID: 24390325 DOI: 10.1128/JVI.03478-13]</w:t>
      </w:r>
    </w:p>
    <w:p w14:paraId="5408F31F"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22 </w:t>
      </w:r>
      <w:r w:rsidRPr="00C11F21">
        <w:rPr>
          <w:rFonts w:ascii="Book Antiqua" w:eastAsia="SimSun" w:hAnsi="Book Antiqua" w:cs="Times New Roman"/>
          <w:b/>
          <w:kern w:val="2"/>
          <w:sz w:val="24"/>
          <w:szCs w:val="24"/>
          <w:lang w:val="en-US" w:eastAsia="zh-CN"/>
        </w:rPr>
        <w:t>Ho RH</w:t>
      </w:r>
      <w:r w:rsidRPr="00C11F21">
        <w:rPr>
          <w:rFonts w:ascii="Book Antiqua" w:eastAsia="SimSun" w:hAnsi="Book Antiqua" w:cs="Times New Roman"/>
          <w:kern w:val="2"/>
          <w:sz w:val="24"/>
          <w:szCs w:val="24"/>
          <w:lang w:val="en-US" w:eastAsia="zh-CN"/>
        </w:rPr>
        <w:t xml:space="preserve">, Leake BF, Roberts RL, Lee W, Kim RB. Ethnicity-dependent polymorphism in Na+-taurocholate cotransporting polypeptide (SLC10A1) reveals a domain critical for bile acid substrate recognition. </w:t>
      </w:r>
      <w:r w:rsidRPr="00C11F21">
        <w:rPr>
          <w:rFonts w:ascii="Book Antiqua" w:eastAsia="SimSun" w:hAnsi="Book Antiqua" w:cs="Times New Roman"/>
          <w:i/>
          <w:kern w:val="2"/>
          <w:sz w:val="24"/>
          <w:szCs w:val="24"/>
          <w:lang w:val="en-US" w:eastAsia="zh-CN"/>
        </w:rPr>
        <w:t>J Biol Chem</w:t>
      </w:r>
      <w:r w:rsidRPr="00C11F21">
        <w:rPr>
          <w:rFonts w:ascii="Book Antiqua" w:eastAsia="SimSun" w:hAnsi="Book Antiqua" w:cs="Times New Roman"/>
          <w:kern w:val="2"/>
          <w:sz w:val="24"/>
          <w:szCs w:val="24"/>
          <w:lang w:val="en-US" w:eastAsia="zh-CN"/>
        </w:rPr>
        <w:t xml:space="preserve"> 2004; </w:t>
      </w:r>
      <w:r w:rsidRPr="00C11F21">
        <w:rPr>
          <w:rFonts w:ascii="Book Antiqua" w:eastAsia="SimSun" w:hAnsi="Book Antiqua" w:cs="Times New Roman"/>
          <w:b/>
          <w:kern w:val="2"/>
          <w:sz w:val="24"/>
          <w:szCs w:val="24"/>
          <w:lang w:val="en-US" w:eastAsia="zh-CN"/>
        </w:rPr>
        <w:t>279</w:t>
      </w:r>
      <w:r w:rsidRPr="00C11F21">
        <w:rPr>
          <w:rFonts w:ascii="Book Antiqua" w:eastAsia="SimSun" w:hAnsi="Book Antiqua" w:cs="Times New Roman"/>
          <w:kern w:val="2"/>
          <w:sz w:val="24"/>
          <w:szCs w:val="24"/>
          <w:lang w:val="en-US" w:eastAsia="zh-CN"/>
        </w:rPr>
        <w:t>: 7213-7222 [PMID: 14660639 DOI: 10.1074/jbc.M305782200]</w:t>
      </w:r>
    </w:p>
    <w:p w14:paraId="7663D861"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23 </w:t>
      </w:r>
      <w:r w:rsidRPr="00C11F21">
        <w:rPr>
          <w:rFonts w:ascii="Book Antiqua" w:eastAsia="SimSun" w:hAnsi="Book Antiqua" w:cs="Times New Roman"/>
          <w:b/>
          <w:kern w:val="2"/>
          <w:sz w:val="24"/>
          <w:szCs w:val="24"/>
          <w:lang w:val="en-US" w:eastAsia="zh-CN"/>
        </w:rPr>
        <w:t>Pan W</w:t>
      </w:r>
      <w:r w:rsidRPr="00C11F21">
        <w:rPr>
          <w:rFonts w:ascii="Book Antiqua" w:eastAsia="SimSun" w:hAnsi="Book Antiqua" w:cs="Times New Roman"/>
          <w:kern w:val="2"/>
          <w:sz w:val="24"/>
          <w:szCs w:val="24"/>
          <w:lang w:val="en-US" w:eastAsia="zh-CN"/>
        </w:rPr>
        <w:t xml:space="preserve">, Song IS, Shin HJ, Kim MH, Choi YL, Lim SJ, Kim WY, Lee SS, Shin JG. Genetic polymorphisms in Na+-taurocholate co-transporting polypeptide (NTCP) and ileal apical sodium-dependent bile acid transporter (ASBT) and ethnic comparisons of functional variants of NTCP among Asian populations. </w:t>
      </w:r>
      <w:r w:rsidRPr="00C11F21">
        <w:rPr>
          <w:rFonts w:ascii="Book Antiqua" w:eastAsia="SimSun" w:hAnsi="Book Antiqua" w:cs="Times New Roman"/>
          <w:i/>
          <w:kern w:val="2"/>
          <w:sz w:val="24"/>
          <w:szCs w:val="24"/>
          <w:lang w:val="en-US" w:eastAsia="zh-CN"/>
        </w:rPr>
        <w:t>Xenobiotica</w:t>
      </w:r>
      <w:r w:rsidRPr="00C11F21">
        <w:rPr>
          <w:rFonts w:ascii="Book Antiqua" w:eastAsia="SimSun" w:hAnsi="Book Antiqua" w:cs="Times New Roman"/>
          <w:kern w:val="2"/>
          <w:sz w:val="24"/>
          <w:szCs w:val="24"/>
          <w:lang w:val="en-US" w:eastAsia="zh-CN"/>
        </w:rPr>
        <w:t xml:space="preserve"> 2011; </w:t>
      </w:r>
      <w:r w:rsidRPr="00C11F21">
        <w:rPr>
          <w:rFonts w:ascii="Book Antiqua" w:eastAsia="SimSun" w:hAnsi="Book Antiqua" w:cs="Times New Roman"/>
          <w:b/>
          <w:kern w:val="2"/>
          <w:sz w:val="24"/>
          <w:szCs w:val="24"/>
          <w:lang w:val="en-US" w:eastAsia="zh-CN"/>
        </w:rPr>
        <w:t>41</w:t>
      </w:r>
      <w:r w:rsidRPr="00C11F21">
        <w:rPr>
          <w:rFonts w:ascii="Book Antiqua" w:eastAsia="SimSun" w:hAnsi="Book Antiqua" w:cs="Times New Roman"/>
          <w:kern w:val="2"/>
          <w:sz w:val="24"/>
          <w:szCs w:val="24"/>
          <w:lang w:val="en-US" w:eastAsia="zh-CN"/>
        </w:rPr>
        <w:t>: 501-510 [PMID: 21341987 DOI: 10.3109/00498254.2011.555567]</w:t>
      </w:r>
    </w:p>
    <w:p w14:paraId="6F71058F"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24 </w:t>
      </w:r>
      <w:r w:rsidRPr="00C11F21">
        <w:rPr>
          <w:rFonts w:ascii="Book Antiqua" w:eastAsia="SimSun" w:hAnsi="Book Antiqua" w:cs="Times New Roman"/>
          <w:b/>
          <w:kern w:val="2"/>
          <w:sz w:val="24"/>
          <w:szCs w:val="24"/>
          <w:lang w:val="en-US" w:eastAsia="zh-CN"/>
        </w:rPr>
        <w:t>Peng L</w:t>
      </w:r>
      <w:r w:rsidRPr="00C11F21">
        <w:rPr>
          <w:rFonts w:ascii="Book Antiqua" w:eastAsia="SimSun" w:hAnsi="Book Antiqua" w:cs="Times New Roman"/>
          <w:kern w:val="2"/>
          <w:sz w:val="24"/>
          <w:szCs w:val="24"/>
          <w:lang w:val="en-US" w:eastAsia="zh-CN"/>
        </w:rPr>
        <w:t xml:space="preserve">, Zhao Q, Li Q, Li M, Li C, Xu T, Jing X, Zhu X, Wang Y, Li F, Liu R, Zhong C, Pan Q, Zeng B, Liao Q, Hu B, Hu ZX, Huang YS, Sham P, Liu J, Xu S, Wang J, Gao ZL, Wang Y. The p.Ser267Phe variant in SLC10A1 is associated with resistance to chronic hepatitis B. </w:t>
      </w:r>
      <w:r w:rsidRPr="00C11F21">
        <w:rPr>
          <w:rFonts w:ascii="Book Antiqua" w:eastAsia="SimSun" w:hAnsi="Book Antiqua" w:cs="Times New Roman"/>
          <w:i/>
          <w:kern w:val="2"/>
          <w:sz w:val="24"/>
          <w:szCs w:val="24"/>
          <w:lang w:val="en-US" w:eastAsia="zh-CN"/>
        </w:rPr>
        <w:t>Hepatology</w:t>
      </w:r>
      <w:r w:rsidRPr="00C11F21">
        <w:rPr>
          <w:rFonts w:ascii="Book Antiqua" w:eastAsia="SimSun" w:hAnsi="Book Antiqua" w:cs="Times New Roman"/>
          <w:kern w:val="2"/>
          <w:sz w:val="24"/>
          <w:szCs w:val="24"/>
          <w:lang w:val="en-US" w:eastAsia="zh-CN"/>
        </w:rPr>
        <w:t xml:space="preserve"> 2015; </w:t>
      </w:r>
      <w:r w:rsidRPr="00C11F21">
        <w:rPr>
          <w:rFonts w:ascii="Book Antiqua" w:eastAsia="SimSun" w:hAnsi="Book Antiqua" w:cs="Times New Roman"/>
          <w:b/>
          <w:kern w:val="2"/>
          <w:sz w:val="24"/>
          <w:szCs w:val="24"/>
          <w:lang w:val="en-US" w:eastAsia="zh-CN"/>
        </w:rPr>
        <w:t>61</w:t>
      </w:r>
      <w:r w:rsidRPr="00C11F21">
        <w:rPr>
          <w:rFonts w:ascii="Book Antiqua" w:eastAsia="SimSun" w:hAnsi="Book Antiqua" w:cs="Times New Roman"/>
          <w:kern w:val="2"/>
          <w:sz w:val="24"/>
          <w:szCs w:val="24"/>
          <w:lang w:val="en-US" w:eastAsia="zh-CN"/>
        </w:rPr>
        <w:t>: 1251-1260 [PMID: 25418280 DOI: 10.1002/hep.27608]</w:t>
      </w:r>
    </w:p>
    <w:p w14:paraId="5DEF369C"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25 </w:t>
      </w:r>
      <w:r w:rsidRPr="00C11F21">
        <w:rPr>
          <w:rFonts w:ascii="Book Antiqua" w:eastAsia="SimSun" w:hAnsi="Book Antiqua" w:cs="Times New Roman"/>
          <w:b/>
          <w:kern w:val="2"/>
          <w:sz w:val="24"/>
          <w:szCs w:val="24"/>
          <w:lang w:val="en-US" w:eastAsia="zh-CN"/>
        </w:rPr>
        <w:t>Li N</w:t>
      </w:r>
      <w:r w:rsidRPr="00C11F21">
        <w:rPr>
          <w:rFonts w:ascii="Book Antiqua" w:eastAsia="SimSun" w:hAnsi="Book Antiqua" w:cs="Times New Roman"/>
          <w:kern w:val="2"/>
          <w:sz w:val="24"/>
          <w:szCs w:val="24"/>
          <w:lang w:val="en-US" w:eastAsia="zh-CN"/>
        </w:rPr>
        <w:t xml:space="preserve">, Zhang P, Yang C, Zhu Q, Li Z, Li F, Han Q, Wang Y, Lv Y, Wei P, Liu Z. Association of genetic variation of sodium taurocholate cotransporting polypeptide with chronic hepatitis B virus infection. </w:t>
      </w:r>
      <w:r w:rsidRPr="00C11F21">
        <w:rPr>
          <w:rFonts w:ascii="Book Antiqua" w:eastAsia="SimSun" w:hAnsi="Book Antiqua" w:cs="Times New Roman"/>
          <w:i/>
          <w:kern w:val="2"/>
          <w:sz w:val="24"/>
          <w:szCs w:val="24"/>
          <w:lang w:val="en-US" w:eastAsia="zh-CN"/>
        </w:rPr>
        <w:t>Genet Test Mol Biomarkers</w:t>
      </w:r>
      <w:r w:rsidRPr="00C11F21">
        <w:rPr>
          <w:rFonts w:ascii="Book Antiqua" w:eastAsia="SimSun" w:hAnsi="Book Antiqua" w:cs="Times New Roman"/>
          <w:kern w:val="2"/>
          <w:sz w:val="24"/>
          <w:szCs w:val="24"/>
          <w:lang w:val="en-US" w:eastAsia="zh-CN"/>
        </w:rPr>
        <w:t xml:space="preserve"> </w:t>
      </w:r>
      <w:r w:rsidRPr="00C11F21">
        <w:rPr>
          <w:rFonts w:ascii="Book Antiqua" w:eastAsia="SimSun" w:hAnsi="Book Antiqua" w:cs="Times New Roman"/>
          <w:kern w:val="2"/>
          <w:sz w:val="24"/>
          <w:szCs w:val="24"/>
          <w:lang w:val="en-US" w:eastAsia="zh-CN"/>
        </w:rPr>
        <w:lastRenderedPageBreak/>
        <w:t xml:space="preserve">2014; </w:t>
      </w:r>
      <w:r w:rsidRPr="00C11F21">
        <w:rPr>
          <w:rFonts w:ascii="Book Antiqua" w:eastAsia="SimSun" w:hAnsi="Book Antiqua" w:cs="Times New Roman"/>
          <w:b/>
          <w:kern w:val="2"/>
          <w:sz w:val="24"/>
          <w:szCs w:val="24"/>
          <w:lang w:val="en-US" w:eastAsia="zh-CN"/>
        </w:rPr>
        <w:t>18</w:t>
      </w:r>
      <w:r w:rsidRPr="00C11F21">
        <w:rPr>
          <w:rFonts w:ascii="Book Antiqua" w:eastAsia="SimSun" w:hAnsi="Book Antiqua" w:cs="Times New Roman"/>
          <w:kern w:val="2"/>
          <w:sz w:val="24"/>
          <w:szCs w:val="24"/>
          <w:lang w:val="en-US" w:eastAsia="zh-CN"/>
        </w:rPr>
        <w:t>: 425-429 [PMID: 24735529 DOI: 10.1089/gtmb.2013.0491]</w:t>
      </w:r>
    </w:p>
    <w:p w14:paraId="3D0EDBA9"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26 </w:t>
      </w:r>
      <w:r w:rsidRPr="00C11F21">
        <w:rPr>
          <w:rFonts w:ascii="Book Antiqua" w:eastAsia="SimSun" w:hAnsi="Book Antiqua" w:cs="Times New Roman"/>
          <w:b/>
          <w:kern w:val="2"/>
          <w:sz w:val="24"/>
          <w:szCs w:val="24"/>
          <w:lang w:val="en-US" w:eastAsia="zh-CN"/>
        </w:rPr>
        <w:t>Hu HH</w:t>
      </w:r>
      <w:r w:rsidRPr="00C11F21">
        <w:rPr>
          <w:rFonts w:ascii="Book Antiqua" w:eastAsia="SimSun" w:hAnsi="Book Antiqua" w:cs="Times New Roman"/>
          <w:kern w:val="2"/>
          <w:sz w:val="24"/>
          <w:szCs w:val="24"/>
          <w:lang w:val="en-US" w:eastAsia="zh-CN"/>
        </w:rPr>
        <w:t xml:space="preserve">, Liu J, Lin YL, Luo WS, Chu YJ, Chang CL, Jen CL, Lee MH, Lu SN, Wang LY, You SL, Yang HI, Chen CJ; REVEAL-HBV Study Group. The rs2296651 (S267F) variant on NTCP (SLC10A1) is inversely associated with chronic hepatitis B and progression to cirrhosis and hepatocellular carcinoma in patients with chronic hepatitis B. </w:t>
      </w:r>
      <w:r w:rsidRPr="00C11F21">
        <w:rPr>
          <w:rFonts w:ascii="Book Antiqua" w:eastAsia="SimSun" w:hAnsi="Book Antiqua" w:cs="Times New Roman"/>
          <w:i/>
          <w:kern w:val="2"/>
          <w:sz w:val="24"/>
          <w:szCs w:val="24"/>
          <w:lang w:val="en-US" w:eastAsia="zh-CN"/>
        </w:rPr>
        <w:t>Gut</w:t>
      </w:r>
      <w:r w:rsidRPr="00C11F21">
        <w:rPr>
          <w:rFonts w:ascii="Book Antiqua" w:eastAsia="SimSun" w:hAnsi="Book Antiqua" w:cs="Times New Roman"/>
          <w:kern w:val="2"/>
          <w:sz w:val="24"/>
          <w:szCs w:val="24"/>
          <w:lang w:val="en-US" w:eastAsia="zh-CN"/>
        </w:rPr>
        <w:t xml:space="preserve"> 2016; </w:t>
      </w:r>
      <w:r w:rsidRPr="00C11F21">
        <w:rPr>
          <w:rFonts w:ascii="Book Antiqua" w:eastAsia="SimSun" w:hAnsi="Book Antiqua" w:cs="Times New Roman"/>
          <w:b/>
          <w:kern w:val="2"/>
          <w:sz w:val="24"/>
          <w:szCs w:val="24"/>
          <w:lang w:val="en-US" w:eastAsia="zh-CN"/>
        </w:rPr>
        <w:t>65</w:t>
      </w:r>
      <w:r w:rsidRPr="00C11F21">
        <w:rPr>
          <w:rFonts w:ascii="Book Antiqua" w:eastAsia="SimSun" w:hAnsi="Book Antiqua" w:cs="Times New Roman"/>
          <w:kern w:val="2"/>
          <w:sz w:val="24"/>
          <w:szCs w:val="24"/>
          <w:lang w:val="en-US" w:eastAsia="zh-CN"/>
        </w:rPr>
        <w:t>: 1514-1521 [PMID: 26642861 DOI: 10.1136/gutjnl-2015-310686]</w:t>
      </w:r>
    </w:p>
    <w:p w14:paraId="7E0DA5D4"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27 </w:t>
      </w:r>
      <w:r w:rsidRPr="00C11F21">
        <w:rPr>
          <w:rFonts w:ascii="Book Antiqua" w:eastAsia="SimSun" w:hAnsi="Book Antiqua" w:cs="Times New Roman"/>
          <w:b/>
          <w:kern w:val="2"/>
          <w:sz w:val="24"/>
          <w:szCs w:val="24"/>
          <w:lang w:val="en-US" w:eastAsia="zh-CN"/>
        </w:rPr>
        <w:t>Belmonte I</w:t>
      </w:r>
      <w:r w:rsidRPr="00C11F21">
        <w:rPr>
          <w:rFonts w:ascii="Book Antiqua" w:eastAsia="SimSun" w:hAnsi="Book Antiqua" w:cs="Times New Roman"/>
          <w:kern w:val="2"/>
          <w:sz w:val="24"/>
          <w:szCs w:val="24"/>
          <w:lang w:val="en-US" w:eastAsia="zh-CN"/>
        </w:rPr>
        <w:t xml:space="preserve">, Montoto L, Miravitlles M, Barrecheguren M, Esquinas C, Rodríguez E, Giralt M, Rodríguez-Frías F. Rapid detection of Mmalton α1-antitrypsin deficiency allele by real-time PCR and melting curves in whole blood, serum and dried blood spot samples. </w:t>
      </w:r>
      <w:r w:rsidRPr="00C11F21">
        <w:rPr>
          <w:rFonts w:ascii="Book Antiqua" w:eastAsia="SimSun" w:hAnsi="Book Antiqua" w:cs="Times New Roman"/>
          <w:i/>
          <w:kern w:val="2"/>
          <w:sz w:val="24"/>
          <w:szCs w:val="24"/>
          <w:lang w:val="en-US" w:eastAsia="zh-CN"/>
        </w:rPr>
        <w:t>Clin Chem Lab Med</w:t>
      </w:r>
      <w:r w:rsidRPr="00C11F21">
        <w:rPr>
          <w:rFonts w:ascii="Book Antiqua" w:eastAsia="SimSun" w:hAnsi="Book Antiqua" w:cs="Times New Roman"/>
          <w:kern w:val="2"/>
          <w:sz w:val="24"/>
          <w:szCs w:val="24"/>
          <w:lang w:val="en-US" w:eastAsia="zh-CN"/>
        </w:rPr>
        <w:t xml:space="preserve"> 2016; </w:t>
      </w:r>
      <w:r w:rsidRPr="00C11F21">
        <w:rPr>
          <w:rFonts w:ascii="Book Antiqua" w:eastAsia="SimSun" w:hAnsi="Book Antiqua" w:cs="Times New Roman"/>
          <w:b/>
          <w:kern w:val="2"/>
          <w:sz w:val="24"/>
          <w:szCs w:val="24"/>
          <w:lang w:val="en-US" w:eastAsia="zh-CN"/>
        </w:rPr>
        <w:t>54</w:t>
      </w:r>
      <w:r w:rsidRPr="00C11F21">
        <w:rPr>
          <w:rFonts w:ascii="Book Antiqua" w:eastAsia="SimSun" w:hAnsi="Book Antiqua" w:cs="Times New Roman"/>
          <w:kern w:val="2"/>
          <w:sz w:val="24"/>
          <w:szCs w:val="24"/>
          <w:lang w:val="en-US" w:eastAsia="zh-CN"/>
        </w:rPr>
        <w:t>: 241-248 [PMID: 26154193 DOI: 10.1515/cclm-2015-0297]</w:t>
      </w:r>
    </w:p>
    <w:p w14:paraId="6C9FA222"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28 </w:t>
      </w:r>
      <w:r w:rsidRPr="00C11F21">
        <w:rPr>
          <w:rFonts w:ascii="Book Antiqua" w:eastAsia="SimSun" w:hAnsi="Book Antiqua" w:cs="Times New Roman"/>
          <w:b/>
          <w:kern w:val="2"/>
          <w:sz w:val="24"/>
          <w:szCs w:val="24"/>
          <w:lang w:val="en-US" w:eastAsia="zh-CN"/>
        </w:rPr>
        <w:t>Ramírez C</w:t>
      </w:r>
      <w:r w:rsidRPr="00C11F21">
        <w:rPr>
          <w:rFonts w:ascii="Book Antiqua" w:eastAsia="SimSun" w:hAnsi="Book Antiqua" w:cs="Times New Roman"/>
          <w:kern w:val="2"/>
          <w:sz w:val="24"/>
          <w:szCs w:val="24"/>
          <w:lang w:val="en-US" w:eastAsia="zh-CN"/>
        </w:rPr>
        <w:t xml:space="preserve">, Gregori J, Buti M, Tabernero D, Camós S, Casillas R, Quer J, Esteban R, Homs M, Rodriguez-Frías F. A comparative study of ultra-deep pyrosequencing and cloning to quantitatively analyze the viral quasispecies using hepatitis B virus infection as a model. </w:t>
      </w:r>
      <w:r w:rsidRPr="00C11F21">
        <w:rPr>
          <w:rFonts w:ascii="Book Antiqua" w:eastAsia="SimSun" w:hAnsi="Book Antiqua" w:cs="Times New Roman"/>
          <w:i/>
          <w:kern w:val="2"/>
          <w:sz w:val="24"/>
          <w:szCs w:val="24"/>
          <w:lang w:val="en-US" w:eastAsia="zh-CN"/>
        </w:rPr>
        <w:t>Antiviral Res</w:t>
      </w:r>
      <w:r w:rsidRPr="00C11F21">
        <w:rPr>
          <w:rFonts w:ascii="Book Antiqua" w:eastAsia="SimSun" w:hAnsi="Book Antiqua" w:cs="Times New Roman"/>
          <w:kern w:val="2"/>
          <w:sz w:val="24"/>
          <w:szCs w:val="24"/>
          <w:lang w:val="en-US" w:eastAsia="zh-CN"/>
        </w:rPr>
        <w:t xml:space="preserve"> 2013; </w:t>
      </w:r>
      <w:r w:rsidRPr="00C11F21">
        <w:rPr>
          <w:rFonts w:ascii="Book Antiqua" w:eastAsia="SimSun" w:hAnsi="Book Antiqua" w:cs="Times New Roman"/>
          <w:b/>
          <w:kern w:val="2"/>
          <w:sz w:val="24"/>
          <w:szCs w:val="24"/>
          <w:lang w:val="en-US" w:eastAsia="zh-CN"/>
        </w:rPr>
        <w:t>98</w:t>
      </w:r>
      <w:r w:rsidRPr="00C11F21">
        <w:rPr>
          <w:rFonts w:ascii="Book Antiqua" w:eastAsia="SimSun" w:hAnsi="Book Antiqua" w:cs="Times New Roman"/>
          <w:kern w:val="2"/>
          <w:sz w:val="24"/>
          <w:szCs w:val="24"/>
          <w:lang w:val="en-US" w:eastAsia="zh-CN"/>
        </w:rPr>
        <w:t>: 273-283 [PMID: 23523552 DOI: 10.1016/j.antiviral.2013.03.007]</w:t>
      </w:r>
    </w:p>
    <w:p w14:paraId="431BF6C0"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29 </w:t>
      </w:r>
      <w:r w:rsidRPr="00C11F21">
        <w:rPr>
          <w:rFonts w:ascii="Book Antiqua" w:eastAsia="SimSun" w:hAnsi="Book Antiqua" w:cs="Times New Roman"/>
          <w:b/>
          <w:kern w:val="2"/>
          <w:sz w:val="24"/>
          <w:szCs w:val="24"/>
          <w:lang w:val="en-US" w:eastAsia="zh-CN"/>
        </w:rPr>
        <w:t>R Development Core Team.</w:t>
      </w:r>
      <w:r w:rsidRPr="00C11F21">
        <w:rPr>
          <w:rFonts w:ascii="Book Antiqua" w:eastAsia="SimSun" w:hAnsi="Book Antiqua" w:cs="Times New Roman" w:hint="eastAsia"/>
          <w:b/>
          <w:kern w:val="2"/>
          <w:sz w:val="24"/>
          <w:szCs w:val="24"/>
          <w:lang w:val="en-US" w:eastAsia="zh-CN"/>
        </w:rPr>
        <w:t xml:space="preserve"> </w:t>
      </w:r>
      <w:r w:rsidRPr="00C11F21">
        <w:rPr>
          <w:rFonts w:ascii="Book Antiqua" w:eastAsia="SimSun" w:hAnsi="Book Antiqua" w:cs="Times New Roman"/>
          <w:kern w:val="2"/>
          <w:sz w:val="24"/>
          <w:szCs w:val="24"/>
          <w:lang w:val="en-US" w:eastAsia="zh-CN"/>
        </w:rPr>
        <w:t>R: A Language and Environment for Statistical Computing. R Foundation for Statistical Computing 2016,</w:t>
      </w:r>
      <w:r w:rsidRPr="00C11F21">
        <w:rPr>
          <w:rFonts w:ascii="Book Antiqua" w:eastAsia="SimSun" w:hAnsi="Book Antiqua" w:cs="Times New Roman" w:hint="eastAsia"/>
          <w:kern w:val="2"/>
          <w:sz w:val="24"/>
          <w:szCs w:val="24"/>
          <w:lang w:val="en-US" w:eastAsia="zh-CN"/>
        </w:rPr>
        <w:t xml:space="preserve"> </w:t>
      </w:r>
      <w:r w:rsidRPr="00C11F21">
        <w:rPr>
          <w:rFonts w:ascii="Book Antiqua" w:eastAsia="SimSun" w:hAnsi="Book Antiqua" w:cs="Times New Roman"/>
          <w:kern w:val="2"/>
          <w:sz w:val="24"/>
          <w:szCs w:val="24"/>
          <w:lang w:val="en-US" w:eastAsia="zh-CN"/>
        </w:rPr>
        <w:t>Vienna Austria.</w:t>
      </w:r>
      <w:r w:rsidRPr="00C11F21">
        <w:rPr>
          <w:rFonts w:ascii="Book Antiqua" w:eastAsia="SimSun" w:hAnsi="Book Antiqua" w:cs="Times New Roman" w:hint="eastAsia"/>
          <w:kern w:val="2"/>
          <w:sz w:val="24"/>
          <w:szCs w:val="24"/>
          <w:lang w:val="en-US" w:eastAsia="zh-CN"/>
        </w:rPr>
        <w:t xml:space="preserve"> </w:t>
      </w:r>
      <w:r w:rsidRPr="00C11F21">
        <w:rPr>
          <w:rFonts w:ascii="Book Antiqua" w:eastAsia="SimSun" w:hAnsi="Book Antiqua" w:cs="Times New Roman"/>
          <w:kern w:val="2"/>
          <w:sz w:val="24"/>
          <w:szCs w:val="24"/>
          <w:lang w:val="en-US" w:eastAsia="zh-CN"/>
        </w:rPr>
        <w:t>Available from:</w:t>
      </w:r>
      <w:r w:rsidRPr="00C11F21">
        <w:rPr>
          <w:rFonts w:ascii="Book Antiqua" w:eastAsia="SimSun" w:hAnsi="Book Antiqua" w:cs="Times New Roman" w:hint="eastAsia"/>
          <w:kern w:val="2"/>
          <w:sz w:val="24"/>
          <w:szCs w:val="24"/>
          <w:lang w:val="en-US" w:eastAsia="zh-CN"/>
        </w:rPr>
        <w:t xml:space="preserve"> </w:t>
      </w:r>
      <w:r w:rsidRPr="00C11F21">
        <w:rPr>
          <w:rFonts w:ascii="Book Antiqua" w:eastAsia="SimSun" w:hAnsi="Book Antiqua" w:cs="Times New Roman"/>
          <w:kern w:val="2"/>
          <w:sz w:val="24"/>
          <w:szCs w:val="24"/>
          <w:lang w:val="en-US" w:eastAsia="zh-CN"/>
        </w:rPr>
        <w:t xml:space="preserve">URL: </w:t>
      </w:r>
      <w:hyperlink r:id="rId9" w:history="1">
        <w:r w:rsidRPr="00C11F21">
          <w:rPr>
            <w:rFonts w:ascii="Book Antiqua" w:eastAsia="SimSun" w:hAnsi="Book Antiqua" w:cs="Times New Roman"/>
            <w:kern w:val="2"/>
            <w:sz w:val="24"/>
            <w:szCs w:val="24"/>
            <w:u w:val="single"/>
            <w:lang w:val="en-US" w:eastAsia="zh-CN"/>
          </w:rPr>
          <w:t>http://www.r-project.org/</w:t>
        </w:r>
      </w:hyperlink>
      <w:r w:rsidRPr="00C11F21">
        <w:rPr>
          <w:rFonts w:ascii="Book Antiqua" w:eastAsia="SimSun" w:hAnsi="Book Antiqua" w:cs="Times New Roman" w:hint="eastAsia"/>
          <w:kern w:val="2"/>
          <w:sz w:val="24"/>
          <w:szCs w:val="24"/>
          <w:lang w:val="en-US" w:eastAsia="zh-CN"/>
        </w:rPr>
        <w:t xml:space="preserve"> </w:t>
      </w:r>
    </w:p>
    <w:p w14:paraId="22D5FC18"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30 </w:t>
      </w:r>
      <w:r w:rsidRPr="00C11F21">
        <w:rPr>
          <w:rFonts w:ascii="Book Antiqua" w:eastAsia="SimSun" w:hAnsi="Book Antiqua" w:cs="Times New Roman"/>
          <w:b/>
          <w:kern w:val="2"/>
          <w:sz w:val="24"/>
          <w:szCs w:val="24"/>
          <w:lang w:val="en-US" w:eastAsia="zh-CN"/>
        </w:rPr>
        <w:t>Gregori J</w:t>
      </w:r>
      <w:r w:rsidRPr="00C11F21">
        <w:rPr>
          <w:rFonts w:ascii="Book Antiqua" w:eastAsia="SimSun" w:hAnsi="Book Antiqua" w:cs="Times New Roman"/>
          <w:kern w:val="2"/>
          <w:sz w:val="24"/>
          <w:szCs w:val="24"/>
          <w:lang w:val="en-US" w:eastAsia="zh-CN"/>
        </w:rPr>
        <w:t xml:space="preserve">, Perales C, Rodriguez-Frias F, Esteban JI, Quer J, Domingo E. Viral quasispecies complexity measures. </w:t>
      </w:r>
      <w:r w:rsidRPr="00C11F21">
        <w:rPr>
          <w:rFonts w:ascii="Book Antiqua" w:eastAsia="SimSun" w:hAnsi="Book Antiqua" w:cs="Times New Roman"/>
          <w:i/>
          <w:kern w:val="2"/>
          <w:sz w:val="24"/>
          <w:szCs w:val="24"/>
          <w:lang w:val="en-US" w:eastAsia="zh-CN"/>
        </w:rPr>
        <w:t>Virology</w:t>
      </w:r>
      <w:r w:rsidRPr="00C11F21">
        <w:rPr>
          <w:rFonts w:ascii="Book Antiqua" w:eastAsia="SimSun" w:hAnsi="Book Antiqua" w:cs="Times New Roman"/>
          <w:kern w:val="2"/>
          <w:sz w:val="24"/>
          <w:szCs w:val="24"/>
          <w:lang w:val="en-US" w:eastAsia="zh-CN"/>
        </w:rPr>
        <w:t xml:space="preserve"> 2016; </w:t>
      </w:r>
      <w:r w:rsidRPr="00C11F21">
        <w:rPr>
          <w:rFonts w:ascii="Book Antiqua" w:eastAsia="SimSun" w:hAnsi="Book Antiqua" w:cs="Times New Roman"/>
          <w:b/>
          <w:kern w:val="2"/>
          <w:sz w:val="24"/>
          <w:szCs w:val="24"/>
          <w:lang w:val="en-US" w:eastAsia="zh-CN"/>
        </w:rPr>
        <w:t>493</w:t>
      </w:r>
      <w:r w:rsidRPr="00C11F21">
        <w:rPr>
          <w:rFonts w:ascii="Book Antiqua" w:eastAsia="SimSun" w:hAnsi="Book Antiqua" w:cs="Times New Roman"/>
          <w:kern w:val="2"/>
          <w:sz w:val="24"/>
          <w:szCs w:val="24"/>
          <w:lang w:val="en-US" w:eastAsia="zh-CN"/>
        </w:rPr>
        <w:t>: 227-237 [PMID: 27060566 DOI: 10.1016/j.virol.2016.03.017]</w:t>
      </w:r>
    </w:p>
    <w:p w14:paraId="0634DE1E"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31</w:t>
      </w:r>
      <w:r w:rsidRPr="00C11F21">
        <w:rPr>
          <w:rFonts w:ascii="Book Antiqua" w:eastAsia="SimSun" w:hAnsi="Book Antiqua" w:cs="Times New Roman" w:hint="eastAsia"/>
          <w:kern w:val="2"/>
          <w:sz w:val="24"/>
          <w:szCs w:val="24"/>
          <w:lang w:val="en-US" w:eastAsia="zh-CN"/>
        </w:rPr>
        <w:t xml:space="preserve"> </w:t>
      </w:r>
      <w:r w:rsidRPr="00C11F21">
        <w:rPr>
          <w:rFonts w:ascii="Book Antiqua" w:eastAsia="SimSun" w:hAnsi="Book Antiqua" w:cs="Times New Roman"/>
          <w:b/>
          <w:kern w:val="2"/>
          <w:sz w:val="24"/>
          <w:szCs w:val="24"/>
          <w:lang w:val="en-US" w:eastAsia="zh-CN"/>
        </w:rPr>
        <w:t>Bruss V</w:t>
      </w:r>
      <w:r w:rsidRPr="00C11F21">
        <w:rPr>
          <w:rFonts w:ascii="Book Antiqua" w:eastAsia="SimSun" w:hAnsi="Book Antiqua" w:cs="Times New Roman"/>
          <w:kern w:val="2"/>
          <w:sz w:val="24"/>
          <w:szCs w:val="24"/>
          <w:lang w:val="en-US" w:eastAsia="zh-CN"/>
        </w:rPr>
        <w:t xml:space="preserve">. A short linear sequence in the pre-S domain of the large hepatitis B virus envelope protein required for virion formation. </w:t>
      </w:r>
      <w:r w:rsidRPr="00C11F21">
        <w:rPr>
          <w:rFonts w:ascii="Book Antiqua" w:eastAsia="SimSun" w:hAnsi="Book Antiqua" w:cs="Times New Roman"/>
          <w:i/>
          <w:kern w:val="2"/>
          <w:sz w:val="24"/>
          <w:szCs w:val="24"/>
          <w:lang w:val="en-US" w:eastAsia="zh-CN"/>
        </w:rPr>
        <w:t>J Virol</w:t>
      </w:r>
      <w:r w:rsidRPr="00C11F21">
        <w:rPr>
          <w:rFonts w:ascii="Book Antiqua" w:eastAsia="SimSun" w:hAnsi="Book Antiqua" w:cs="Times New Roman"/>
          <w:kern w:val="2"/>
          <w:sz w:val="24"/>
          <w:szCs w:val="24"/>
          <w:lang w:val="en-US" w:eastAsia="zh-CN"/>
        </w:rPr>
        <w:t xml:space="preserve"> 1997; </w:t>
      </w:r>
      <w:r w:rsidRPr="00C11F21">
        <w:rPr>
          <w:rFonts w:ascii="Book Antiqua" w:eastAsia="SimSun" w:hAnsi="Book Antiqua" w:cs="Times New Roman"/>
          <w:b/>
          <w:kern w:val="2"/>
          <w:sz w:val="24"/>
          <w:szCs w:val="24"/>
          <w:lang w:val="en-US" w:eastAsia="zh-CN"/>
        </w:rPr>
        <w:t>71</w:t>
      </w:r>
      <w:r w:rsidRPr="00C11F21">
        <w:rPr>
          <w:rFonts w:ascii="Book Antiqua" w:eastAsia="SimSun" w:hAnsi="Book Antiqua" w:cs="Times New Roman"/>
          <w:kern w:val="2"/>
          <w:sz w:val="24"/>
          <w:szCs w:val="24"/>
          <w:lang w:val="en-US" w:eastAsia="zh-CN"/>
        </w:rPr>
        <w:t>: 9350-9357 [PMID: 9371594]</w:t>
      </w:r>
    </w:p>
    <w:p w14:paraId="3539DD9F"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32 </w:t>
      </w:r>
      <w:r w:rsidRPr="00C11F21">
        <w:rPr>
          <w:rFonts w:ascii="Book Antiqua" w:eastAsia="SimSun" w:hAnsi="Book Antiqua" w:cs="Times New Roman"/>
          <w:b/>
          <w:kern w:val="2"/>
          <w:sz w:val="24"/>
          <w:szCs w:val="24"/>
          <w:lang w:val="en-US" w:eastAsia="zh-CN"/>
        </w:rPr>
        <w:t>Schneider TD</w:t>
      </w:r>
      <w:r w:rsidRPr="00C11F21">
        <w:rPr>
          <w:rFonts w:ascii="Book Antiqua" w:eastAsia="SimSun" w:hAnsi="Book Antiqua" w:cs="Times New Roman"/>
          <w:kern w:val="2"/>
          <w:sz w:val="24"/>
          <w:szCs w:val="24"/>
          <w:lang w:val="en-US" w:eastAsia="zh-CN"/>
        </w:rPr>
        <w:t xml:space="preserve">. Information content of individual genetic sequences. </w:t>
      </w:r>
      <w:r w:rsidRPr="00C11F21">
        <w:rPr>
          <w:rFonts w:ascii="Book Antiqua" w:eastAsia="SimSun" w:hAnsi="Book Antiqua" w:cs="Times New Roman"/>
          <w:i/>
          <w:kern w:val="2"/>
          <w:sz w:val="24"/>
          <w:szCs w:val="24"/>
          <w:lang w:val="en-US" w:eastAsia="zh-CN"/>
        </w:rPr>
        <w:t>J Theor Biol</w:t>
      </w:r>
      <w:r w:rsidRPr="00C11F21">
        <w:rPr>
          <w:rFonts w:ascii="Book Antiqua" w:eastAsia="SimSun" w:hAnsi="Book Antiqua" w:cs="Times New Roman"/>
          <w:kern w:val="2"/>
          <w:sz w:val="24"/>
          <w:szCs w:val="24"/>
          <w:lang w:val="en-US" w:eastAsia="zh-CN"/>
        </w:rPr>
        <w:t xml:space="preserve"> 1997; </w:t>
      </w:r>
      <w:r w:rsidRPr="00C11F21">
        <w:rPr>
          <w:rFonts w:ascii="Book Antiqua" w:eastAsia="SimSun" w:hAnsi="Book Antiqua" w:cs="Times New Roman"/>
          <w:b/>
          <w:kern w:val="2"/>
          <w:sz w:val="24"/>
          <w:szCs w:val="24"/>
          <w:lang w:val="en-US" w:eastAsia="zh-CN"/>
        </w:rPr>
        <w:t>189</w:t>
      </w:r>
      <w:r w:rsidRPr="00C11F21">
        <w:rPr>
          <w:rFonts w:ascii="Book Antiqua" w:eastAsia="SimSun" w:hAnsi="Book Antiqua" w:cs="Times New Roman"/>
          <w:kern w:val="2"/>
          <w:sz w:val="24"/>
          <w:szCs w:val="24"/>
          <w:lang w:val="en-US" w:eastAsia="zh-CN"/>
        </w:rPr>
        <w:t>: 427-441 [PMID: 9446751 DOI: 10.1006/jtbi.1997.0540]</w:t>
      </w:r>
    </w:p>
    <w:p w14:paraId="07F7E37F"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33</w:t>
      </w:r>
      <w:r w:rsidRPr="00C11F21">
        <w:rPr>
          <w:rFonts w:ascii="Book Antiqua" w:eastAsia="SimSun" w:hAnsi="Book Antiqua" w:cs="Times New Roman" w:hint="eastAsia"/>
          <w:kern w:val="2"/>
          <w:sz w:val="24"/>
          <w:szCs w:val="24"/>
          <w:lang w:val="en-US" w:eastAsia="zh-CN"/>
        </w:rPr>
        <w:t xml:space="preserve"> </w:t>
      </w:r>
      <w:r w:rsidRPr="00C11F21">
        <w:rPr>
          <w:rFonts w:ascii="Book Antiqua" w:eastAsia="SimSun" w:hAnsi="Book Antiqua" w:cs="Times New Roman"/>
          <w:b/>
          <w:kern w:val="2"/>
          <w:sz w:val="24"/>
          <w:szCs w:val="24"/>
          <w:lang w:val="en-US" w:eastAsia="zh-CN"/>
        </w:rPr>
        <w:t>Ou J,</w:t>
      </w:r>
      <w:r w:rsidRPr="00C11F21">
        <w:rPr>
          <w:rFonts w:ascii="Book Antiqua" w:eastAsia="SimSun" w:hAnsi="Book Antiqua" w:cs="Times New Roman" w:hint="eastAsia"/>
          <w:kern w:val="2"/>
          <w:sz w:val="24"/>
          <w:szCs w:val="24"/>
          <w:lang w:val="en-US" w:eastAsia="zh-CN"/>
        </w:rPr>
        <w:t xml:space="preserve"> </w:t>
      </w:r>
      <w:r w:rsidRPr="00C11F21">
        <w:rPr>
          <w:rFonts w:ascii="Book Antiqua" w:eastAsia="SimSun" w:hAnsi="Book Antiqua" w:cs="Times New Roman"/>
          <w:kern w:val="2"/>
          <w:sz w:val="24"/>
          <w:szCs w:val="24"/>
          <w:lang w:val="en-US" w:eastAsia="zh-CN"/>
        </w:rPr>
        <w:t>Zhu LJ. motifStack: Plot stacked logos for single or multiple DNA, RNA and amino acid sequence.</w:t>
      </w:r>
      <w:r w:rsidRPr="00C11F21">
        <w:rPr>
          <w:rFonts w:ascii="Book Antiqua" w:eastAsia="SimSun" w:hAnsi="Book Antiqua" w:cs="Times New Roman" w:hint="eastAsia"/>
          <w:kern w:val="2"/>
          <w:sz w:val="24"/>
          <w:szCs w:val="24"/>
          <w:lang w:val="en-US" w:eastAsia="zh-CN"/>
        </w:rPr>
        <w:t xml:space="preserve"> </w:t>
      </w:r>
      <w:r w:rsidRPr="00C11F21">
        <w:rPr>
          <w:rFonts w:ascii="Book Antiqua" w:eastAsia="SimSun" w:hAnsi="Book Antiqua" w:cs="Times New Roman"/>
          <w:kern w:val="2"/>
          <w:sz w:val="24"/>
          <w:szCs w:val="24"/>
          <w:lang w:val="en-US" w:eastAsia="zh-CN"/>
        </w:rPr>
        <w:t>R package version 1.14.0. 2016. Available from:</w:t>
      </w:r>
      <w:r w:rsidRPr="00C11F21">
        <w:rPr>
          <w:rFonts w:ascii="Book Antiqua" w:eastAsia="SimSun" w:hAnsi="Book Antiqua" w:cs="Times New Roman" w:hint="eastAsia"/>
          <w:kern w:val="2"/>
          <w:sz w:val="24"/>
          <w:szCs w:val="24"/>
          <w:lang w:val="en-US" w:eastAsia="zh-CN"/>
        </w:rPr>
        <w:t xml:space="preserve"> </w:t>
      </w:r>
      <w:r w:rsidRPr="00C11F21">
        <w:rPr>
          <w:rFonts w:ascii="Book Antiqua" w:eastAsia="SimSun" w:hAnsi="Book Antiqua" w:cs="Times New Roman"/>
          <w:kern w:val="2"/>
          <w:sz w:val="24"/>
          <w:szCs w:val="24"/>
          <w:lang w:val="en-US" w:eastAsia="zh-CN"/>
        </w:rPr>
        <w:t xml:space="preserve">URL: </w:t>
      </w:r>
      <w:hyperlink r:id="rId10" w:history="1">
        <w:r w:rsidRPr="00C11F21">
          <w:rPr>
            <w:rFonts w:ascii="Book Antiqua" w:eastAsia="SimSun" w:hAnsi="Book Antiqua" w:cs="Times New Roman"/>
            <w:kern w:val="2"/>
            <w:sz w:val="24"/>
            <w:szCs w:val="24"/>
            <w:u w:val="single"/>
            <w:lang w:val="en-US" w:eastAsia="zh-CN"/>
          </w:rPr>
          <w:t>https://www.bioconductor.org/packages/release/bioc/html/motifStack.html</w:t>
        </w:r>
      </w:hyperlink>
      <w:r w:rsidRPr="00C11F21">
        <w:rPr>
          <w:rFonts w:ascii="Book Antiqua" w:eastAsia="SimSun" w:hAnsi="Book Antiqua" w:cs="Times New Roman" w:hint="eastAsia"/>
          <w:kern w:val="2"/>
          <w:sz w:val="24"/>
          <w:szCs w:val="24"/>
          <w:lang w:val="en-US" w:eastAsia="zh-CN"/>
        </w:rPr>
        <w:t xml:space="preserve"> </w:t>
      </w:r>
    </w:p>
    <w:p w14:paraId="4BDF4498"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34 </w:t>
      </w:r>
      <w:r w:rsidRPr="00C11F21">
        <w:rPr>
          <w:rFonts w:ascii="Book Antiqua" w:eastAsia="SimSun" w:hAnsi="Book Antiqua" w:cs="Times New Roman"/>
          <w:b/>
          <w:kern w:val="2"/>
          <w:sz w:val="24"/>
          <w:szCs w:val="24"/>
          <w:lang w:val="en-US" w:eastAsia="zh-CN"/>
        </w:rPr>
        <w:t>Sánchez-Tapias JM</w:t>
      </w:r>
      <w:r w:rsidRPr="00C11F21">
        <w:rPr>
          <w:rFonts w:ascii="Book Antiqua" w:eastAsia="SimSun" w:hAnsi="Book Antiqua" w:cs="Times New Roman"/>
          <w:kern w:val="2"/>
          <w:sz w:val="24"/>
          <w:szCs w:val="24"/>
          <w:lang w:val="en-US" w:eastAsia="zh-CN"/>
        </w:rPr>
        <w:t xml:space="preserve">, Costa J, Mas A, Bruguera M, Rodés J. Influence of hepatitis B virus genotype on the long-term outcome of chronic hepatitis B in western patients. </w:t>
      </w:r>
      <w:r w:rsidRPr="00C11F21">
        <w:rPr>
          <w:rFonts w:ascii="Book Antiqua" w:eastAsia="SimSun" w:hAnsi="Book Antiqua" w:cs="Times New Roman"/>
          <w:i/>
          <w:kern w:val="2"/>
          <w:sz w:val="24"/>
          <w:szCs w:val="24"/>
          <w:lang w:val="en-US" w:eastAsia="zh-CN"/>
        </w:rPr>
        <w:t>Gastroenterology</w:t>
      </w:r>
      <w:r w:rsidRPr="00C11F21">
        <w:rPr>
          <w:rFonts w:ascii="Book Antiqua" w:eastAsia="SimSun" w:hAnsi="Book Antiqua" w:cs="Times New Roman"/>
          <w:kern w:val="2"/>
          <w:sz w:val="24"/>
          <w:szCs w:val="24"/>
          <w:lang w:val="en-US" w:eastAsia="zh-CN"/>
        </w:rPr>
        <w:t xml:space="preserve"> 2002; </w:t>
      </w:r>
      <w:r w:rsidRPr="00C11F21">
        <w:rPr>
          <w:rFonts w:ascii="Book Antiqua" w:eastAsia="SimSun" w:hAnsi="Book Antiqua" w:cs="Times New Roman"/>
          <w:b/>
          <w:kern w:val="2"/>
          <w:sz w:val="24"/>
          <w:szCs w:val="24"/>
          <w:lang w:val="en-US" w:eastAsia="zh-CN"/>
        </w:rPr>
        <w:t>123</w:t>
      </w:r>
      <w:r w:rsidRPr="00C11F21">
        <w:rPr>
          <w:rFonts w:ascii="Book Antiqua" w:eastAsia="SimSun" w:hAnsi="Book Antiqua" w:cs="Times New Roman"/>
          <w:kern w:val="2"/>
          <w:sz w:val="24"/>
          <w:szCs w:val="24"/>
          <w:lang w:val="en-US" w:eastAsia="zh-CN"/>
        </w:rPr>
        <w:t>: 1848-1856 [PMID: 12454842 DOI: 10.1053/gast.2002.37041]</w:t>
      </w:r>
    </w:p>
    <w:p w14:paraId="4F5763AB"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35 </w:t>
      </w:r>
      <w:r w:rsidRPr="00C11F21">
        <w:rPr>
          <w:rFonts w:ascii="Book Antiqua" w:eastAsia="SimSun" w:hAnsi="Book Antiqua" w:cs="Times New Roman"/>
          <w:b/>
          <w:kern w:val="2"/>
          <w:sz w:val="24"/>
          <w:szCs w:val="24"/>
          <w:lang w:val="en-US" w:eastAsia="zh-CN"/>
        </w:rPr>
        <w:t>Hunter T</w:t>
      </w:r>
      <w:r w:rsidRPr="00C11F21">
        <w:rPr>
          <w:rFonts w:ascii="Book Antiqua" w:eastAsia="SimSun" w:hAnsi="Book Antiqua" w:cs="Times New Roman"/>
          <w:kern w:val="2"/>
          <w:sz w:val="24"/>
          <w:szCs w:val="24"/>
          <w:lang w:val="en-US" w:eastAsia="zh-CN"/>
        </w:rPr>
        <w:t xml:space="preserve">. Why nature chose phosphate to modify proteins. </w:t>
      </w:r>
      <w:r w:rsidRPr="00C11F21">
        <w:rPr>
          <w:rFonts w:ascii="Book Antiqua" w:eastAsia="SimSun" w:hAnsi="Book Antiqua" w:cs="Times New Roman"/>
          <w:i/>
          <w:kern w:val="2"/>
          <w:sz w:val="24"/>
          <w:szCs w:val="24"/>
          <w:lang w:val="en-US" w:eastAsia="zh-CN"/>
        </w:rPr>
        <w:t>Philos Trans R Soc Lond B Biol Sci</w:t>
      </w:r>
      <w:r w:rsidRPr="00C11F21">
        <w:rPr>
          <w:rFonts w:ascii="Book Antiqua" w:eastAsia="SimSun" w:hAnsi="Book Antiqua" w:cs="Times New Roman"/>
          <w:kern w:val="2"/>
          <w:sz w:val="24"/>
          <w:szCs w:val="24"/>
          <w:lang w:val="en-US" w:eastAsia="zh-CN"/>
        </w:rPr>
        <w:t xml:space="preserve"> 2012; </w:t>
      </w:r>
      <w:r w:rsidRPr="00C11F21">
        <w:rPr>
          <w:rFonts w:ascii="Book Antiqua" w:eastAsia="SimSun" w:hAnsi="Book Antiqua" w:cs="Times New Roman"/>
          <w:b/>
          <w:kern w:val="2"/>
          <w:sz w:val="24"/>
          <w:szCs w:val="24"/>
          <w:lang w:val="en-US" w:eastAsia="zh-CN"/>
        </w:rPr>
        <w:t>367</w:t>
      </w:r>
      <w:r w:rsidRPr="00C11F21">
        <w:rPr>
          <w:rFonts w:ascii="Book Antiqua" w:eastAsia="SimSun" w:hAnsi="Book Antiqua" w:cs="Times New Roman"/>
          <w:kern w:val="2"/>
          <w:sz w:val="24"/>
          <w:szCs w:val="24"/>
          <w:lang w:val="en-US" w:eastAsia="zh-CN"/>
        </w:rPr>
        <w:t>: 2513-2516 [PMID: 22889903 DOI: 10.1098/rstb.2012.0013]</w:t>
      </w:r>
    </w:p>
    <w:p w14:paraId="669778E7"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36 </w:t>
      </w:r>
      <w:r w:rsidRPr="00C11F21">
        <w:rPr>
          <w:rFonts w:ascii="Book Antiqua" w:eastAsia="SimSun" w:hAnsi="Book Antiqua" w:cs="Times New Roman"/>
          <w:b/>
          <w:kern w:val="2"/>
          <w:sz w:val="24"/>
          <w:szCs w:val="24"/>
          <w:lang w:val="en-US" w:eastAsia="zh-CN"/>
        </w:rPr>
        <w:t>Lempp FA</w:t>
      </w:r>
      <w:r w:rsidRPr="00C11F21">
        <w:rPr>
          <w:rFonts w:ascii="Book Antiqua" w:eastAsia="SimSun" w:hAnsi="Book Antiqua" w:cs="Times New Roman"/>
          <w:kern w:val="2"/>
          <w:sz w:val="24"/>
          <w:szCs w:val="24"/>
          <w:lang w:val="en-US" w:eastAsia="zh-CN"/>
        </w:rPr>
        <w:t xml:space="preserve">, Urban S. Inhibitors of hepatitis B virus attachment and entry. </w:t>
      </w:r>
      <w:r w:rsidRPr="00C11F21">
        <w:rPr>
          <w:rFonts w:ascii="Book Antiqua" w:eastAsia="SimSun" w:hAnsi="Book Antiqua" w:cs="Times New Roman"/>
          <w:i/>
          <w:kern w:val="2"/>
          <w:sz w:val="24"/>
          <w:szCs w:val="24"/>
          <w:lang w:val="en-US" w:eastAsia="zh-CN"/>
        </w:rPr>
        <w:t>Intervirology</w:t>
      </w:r>
      <w:r w:rsidRPr="00C11F21">
        <w:rPr>
          <w:rFonts w:ascii="Book Antiqua" w:eastAsia="SimSun" w:hAnsi="Book Antiqua" w:cs="Times New Roman" w:hint="eastAsia"/>
          <w:kern w:val="2"/>
          <w:sz w:val="24"/>
          <w:szCs w:val="24"/>
          <w:lang w:val="en-US" w:eastAsia="zh-CN"/>
        </w:rPr>
        <w:t xml:space="preserve"> </w:t>
      </w:r>
      <w:r w:rsidRPr="00C11F21">
        <w:rPr>
          <w:rFonts w:ascii="Book Antiqua" w:eastAsia="SimSun" w:hAnsi="Book Antiqua" w:cs="Times New Roman"/>
          <w:kern w:val="2"/>
          <w:sz w:val="24"/>
          <w:szCs w:val="24"/>
          <w:lang w:val="en-US" w:eastAsia="zh-CN"/>
        </w:rPr>
        <w:t xml:space="preserve">2014; </w:t>
      </w:r>
      <w:r w:rsidRPr="00C11F21">
        <w:rPr>
          <w:rFonts w:ascii="Book Antiqua" w:eastAsia="SimSun" w:hAnsi="Book Antiqua" w:cs="Times New Roman"/>
          <w:b/>
          <w:kern w:val="2"/>
          <w:sz w:val="24"/>
          <w:szCs w:val="24"/>
          <w:lang w:val="en-US" w:eastAsia="zh-CN"/>
        </w:rPr>
        <w:t>57</w:t>
      </w:r>
      <w:r w:rsidRPr="00C11F21">
        <w:rPr>
          <w:rFonts w:ascii="Book Antiqua" w:eastAsia="SimSun" w:hAnsi="Book Antiqua" w:cs="Times New Roman"/>
          <w:kern w:val="2"/>
          <w:sz w:val="24"/>
          <w:szCs w:val="24"/>
          <w:lang w:val="en-US" w:eastAsia="zh-CN"/>
        </w:rPr>
        <w:t>: 151-157 [PMID: 25034482 DOI: 10.1159/000360948]</w:t>
      </w:r>
    </w:p>
    <w:p w14:paraId="5C061154"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37 </w:t>
      </w:r>
      <w:r w:rsidRPr="00C11F21">
        <w:rPr>
          <w:rFonts w:ascii="Book Antiqua" w:eastAsia="SimSun" w:hAnsi="Book Antiqua" w:cs="Times New Roman"/>
          <w:b/>
          <w:kern w:val="2"/>
          <w:sz w:val="24"/>
          <w:szCs w:val="24"/>
          <w:lang w:val="en-US" w:eastAsia="zh-CN"/>
        </w:rPr>
        <w:t>Li W</w:t>
      </w:r>
      <w:r w:rsidRPr="00C11F21">
        <w:rPr>
          <w:rFonts w:ascii="Book Antiqua" w:eastAsia="SimSun" w:hAnsi="Book Antiqua" w:cs="Times New Roman"/>
          <w:kern w:val="2"/>
          <w:sz w:val="24"/>
          <w:szCs w:val="24"/>
          <w:lang w:val="en-US" w:eastAsia="zh-CN"/>
        </w:rPr>
        <w:t xml:space="preserve">. The hepatitis B virus receptor. </w:t>
      </w:r>
      <w:r w:rsidRPr="00C11F21">
        <w:rPr>
          <w:rFonts w:ascii="Book Antiqua" w:eastAsia="SimSun" w:hAnsi="Book Antiqua" w:cs="Times New Roman"/>
          <w:i/>
          <w:kern w:val="2"/>
          <w:sz w:val="24"/>
          <w:szCs w:val="24"/>
          <w:lang w:val="en-US" w:eastAsia="zh-CN"/>
        </w:rPr>
        <w:t>Annu Rev Cell Dev Biol</w:t>
      </w:r>
      <w:r w:rsidRPr="00C11F21">
        <w:rPr>
          <w:rFonts w:ascii="Book Antiqua" w:eastAsia="SimSun" w:hAnsi="Book Antiqua" w:cs="Times New Roman"/>
          <w:kern w:val="2"/>
          <w:sz w:val="24"/>
          <w:szCs w:val="24"/>
          <w:lang w:val="en-US" w:eastAsia="zh-CN"/>
        </w:rPr>
        <w:t xml:space="preserve"> 2015; </w:t>
      </w:r>
      <w:r w:rsidRPr="00C11F21">
        <w:rPr>
          <w:rFonts w:ascii="Book Antiqua" w:eastAsia="SimSun" w:hAnsi="Book Antiqua" w:cs="Times New Roman"/>
          <w:b/>
          <w:kern w:val="2"/>
          <w:sz w:val="24"/>
          <w:szCs w:val="24"/>
          <w:lang w:val="en-US" w:eastAsia="zh-CN"/>
        </w:rPr>
        <w:t>31</w:t>
      </w:r>
      <w:r w:rsidRPr="00C11F21">
        <w:rPr>
          <w:rFonts w:ascii="Book Antiqua" w:eastAsia="SimSun" w:hAnsi="Book Antiqua" w:cs="Times New Roman"/>
          <w:kern w:val="2"/>
          <w:sz w:val="24"/>
          <w:szCs w:val="24"/>
          <w:lang w:val="en-US" w:eastAsia="zh-CN"/>
        </w:rPr>
        <w:t>: 125-147 [PMID: 26436705 DOI: 10.1146/annurev-cellbio-100814-125241]</w:t>
      </w:r>
    </w:p>
    <w:p w14:paraId="6FD3B46E"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38 </w:t>
      </w:r>
      <w:r w:rsidRPr="00C11F21">
        <w:rPr>
          <w:rFonts w:ascii="Book Antiqua" w:eastAsia="SimSun" w:hAnsi="Book Antiqua" w:cs="Times New Roman"/>
          <w:b/>
          <w:kern w:val="2"/>
          <w:sz w:val="24"/>
          <w:szCs w:val="24"/>
          <w:lang w:val="en-US" w:eastAsia="zh-CN"/>
        </w:rPr>
        <w:t>Bruss V</w:t>
      </w:r>
      <w:r w:rsidRPr="00C11F21">
        <w:rPr>
          <w:rFonts w:ascii="Book Antiqua" w:eastAsia="SimSun" w:hAnsi="Book Antiqua" w:cs="Times New Roman"/>
          <w:kern w:val="2"/>
          <w:sz w:val="24"/>
          <w:szCs w:val="24"/>
          <w:lang w:val="en-US" w:eastAsia="zh-CN"/>
        </w:rPr>
        <w:t xml:space="preserve">, Hagelstein J, Gerhardt E, Galle PR. Myristylation of the large surface protein is required for hepatitis B virus in vitro infectivity. </w:t>
      </w:r>
      <w:r w:rsidRPr="00C11F21">
        <w:rPr>
          <w:rFonts w:ascii="Book Antiqua" w:eastAsia="SimSun" w:hAnsi="Book Antiqua" w:cs="Times New Roman"/>
          <w:i/>
          <w:kern w:val="2"/>
          <w:sz w:val="24"/>
          <w:szCs w:val="24"/>
          <w:lang w:val="en-US" w:eastAsia="zh-CN"/>
        </w:rPr>
        <w:t>Virology</w:t>
      </w:r>
      <w:r w:rsidRPr="00C11F21">
        <w:rPr>
          <w:rFonts w:ascii="Book Antiqua" w:eastAsia="SimSun" w:hAnsi="Book Antiqua" w:cs="Times New Roman"/>
          <w:kern w:val="2"/>
          <w:sz w:val="24"/>
          <w:szCs w:val="24"/>
          <w:lang w:val="en-US" w:eastAsia="zh-CN"/>
        </w:rPr>
        <w:t xml:space="preserve"> 1996; </w:t>
      </w:r>
      <w:r w:rsidRPr="00C11F21">
        <w:rPr>
          <w:rFonts w:ascii="Book Antiqua" w:eastAsia="SimSun" w:hAnsi="Book Antiqua" w:cs="Times New Roman"/>
          <w:b/>
          <w:kern w:val="2"/>
          <w:sz w:val="24"/>
          <w:szCs w:val="24"/>
          <w:lang w:val="en-US" w:eastAsia="zh-CN"/>
        </w:rPr>
        <w:t>218</w:t>
      </w:r>
      <w:r w:rsidRPr="00C11F21">
        <w:rPr>
          <w:rFonts w:ascii="Book Antiqua" w:eastAsia="SimSun" w:hAnsi="Book Antiqua" w:cs="Times New Roman"/>
          <w:kern w:val="2"/>
          <w:sz w:val="24"/>
          <w:szCs w:val="24"/>
          <w:lang w:val="en-US" w:eastAsia="zh-CN"/>
        </w:rPr>
        <w:t>: 396-399 [PMID: 8610467 DOI: 10.1006/viro.1996.0209]</w:t>
      </w:r>
    </w:p>
    <w:p w14:paraId="27BDD5E6"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39 </w:t>
      </w:r>
      <w:r w:rsidRPr="00C11F21">
        <w:rPr>
          <w:rFonts w:ascii="Book Antiqua" w:eastAsia="SimSun" w:hAnsi="Book Antiqua" w:cs="Times New Roman"/>
          <w:b/>
          <w:kern w:val="2"/>
          <w:sz w:val="24"/>
          <w:szCs w:val="24"/>
          <w:lang w:val="en-US" w:eastAsia="zh-CN"/>
        </w:rPr>
        <w:t>Gripon P</w:t>
      </w:r>
      <w:r w:rsidRPr="00C11F21">
        <w:rPr>
          <w:rFonts w:ascii="Book Antiqua" w:eastAsia="SimSun" w:hAnsi="Book Antiqua" w:cs="Times New Roman"/>
          <w:kern w:val="2"/>
          <w:sz w:val="24"/>
          <w:szCs w:val="24"/>
          <w:lang w:val="en-US" w:eastAsia="zh-CN"/>
        </w:rPr>
        <w:t xml:space="preserve">, Le Seyec J, Rumin S, Guguen-Guillouzo C. Myristylation of the hepatitis B virus large surface protein is essential for viral infectivity. </w:t>
      </w:r>
      <w:r w:rsidRPr="00C11F21">
        <w:rPr>
          <w:rFonts w:ascii="Book Antiqua" w:eastAsia="SimSun" w:hAnsi="Book Antiqua" w:cs="Times New Roman"/>
          <w:i/>
          <w:kern w:val="2"/>
          <w:sz w:val="24"/>
          <w:szCs w:val="24"/>
          <w:lang w:val="en-US" w:eastAsia="zh-CN"/>
        </w:rPr>
        <w:t>Virology</w:t>
      </w:r>
      <w:r w:rsidRPr="00C11F21">
        <w:rPr>
          <w:rFonts w:ascii="Book Antiqua" w:eastAsia="SimSun" w:hAnsi="Book Antiqua" w:cs="Times New Roman"/>
          <w:kern w:val="2"/>
          <w:sz w:val="24"/>
          <w:szCs w:val="24"/>
          <w:lang w:val="en-US" w:eastAsia="zh-CN"/>
        </w:rPr>
        <w:t xml:space="preserve"> 1995; </w:t>
      </w:r>
      <w:r w:rsidRPr="00C11F21">
        <w:rPr>
          <w:rFonts w:ascii="Book Antiqua" w:eastAsia="SimSun" w:hAnsi="Book Antiqua" w:cs="Times New Roman"/>
          <w:b/>
          <w:kern w:val="2"/>
          <w:sz w:val="24"/>
          <w:szCs w:val="24"/>
          <w:lang w:val="en-US" w:eastAsia="zh-CN"/>
        </w:rPr>
        <w:t>213</w:t>
      </w:r>
      <w:r w:rsidRPr="00C11F21">
        <w:rPr>
          <w:rFonts w:ascii="Book Antiqua" w:eastAsia="SimSun" w:hAnsi="Book Antiqua" w:cs="Times New Roman"/>
          <w:kern w:val="2"/>
          <w:sz w:val="24"/>
          <w:szCs w:val="24"/>
          <w:lang w:val="en-US" w:eastAsia="zh-CN"/>
        </w:rPr>
        <w:t>: 292-299 [PMID: 7491754 DOI: 10.1006/viro.1995.0002]</w:t>
      </w:r>
    </w:p>
    <w:p w14:paraId="38C3AEA6"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40 </w:t>
      </w:r>
      <w:r w:rsidRPr="00C11F21">
        <w:rPr>
          <w:rFonts w:ascii="Book Antiqua" w:eastAsia="SimSun" w:hAnsi="Book Antiqua" w:cs="Times New Roman"/>
          <w:b/>
          <w:kern w:val="2"/>
          <w:sz w:val="24"/>
          <w:szCs w:val="24"/>
          <w:lang w:val="en-US" w:eastAsia="zh-CN"/>
        </w:rPr>
        <w:t>Schulze A</w:t>
      </w:r>
      <w:r w:rsidRPr="00C11F21">
        <w:rPr>
          <w:rFonts w:ascii="Book Antiqua" w:eastAsia="SimSun" w:hAnsi="Book Antiqua" w:cs="Times New Roman"/>
          <w:kern w:val="2"/>
          <w:sz w:val="24"/>
          <w:szCs w:val="24"/>
          <w:lang w:val="en-US" w:eastAsia="zh-CN"/>
        </w:rPr>
        <w:t xml:space="preserve">, Schieck A, Ni Y, Mier W, Urban S. Fine mapping of pre-S sequence requirements for hepatitis B virus large envelope protein-mediated receptor interaction. </w:t>
      </w:r>
      <w:r w:rsidRPr="00C11F21">
        <w:rPr>
          <w:rFonts w:ascii="Book Antiqua" w:eastAsia="SimSun" w:hAnsi="Book Antiqua" w:cs="Times New Roman"/>
          <w:i/>
          <w:kern w:val="2"/>
          <w:sz w:val="24"/>
          <w:szCs w:val="24"/>
          <w:lang w:val="en-US" w:eastAsia="zh-CN"/>
        </w:rPr>
        <w:t>J Virol</w:t>
      </w:r>
      <w:r w:rsidRPr="00C11F21">
        <w:rPr>
          <w:rFonts w:ascii="Book Antiqua" w:eastAsia="SimSun" w:hAnsi="Book Antiqua" w:cs="Times New Roman"/>
          <w:kern w:val="2"/>
          <w:sz w:val="24"/>
          <w:szCs w:val="24"/>
          <w:lang w:val="en-US" w:eastAsia="zh-CN"/>
        </w:rPr>
        <w:t xml:space="preserve"> 2010; </w:t>
      </w:r>
      <w:r w:rsidRPr="00C11F21">
        <w:rPr>
          <w:rFonts w:ascii="Book Antiqua" w:eastAsia="SimSun" w:hAnsi="Book Antiqua" w:cs="Times New Roman"/>
          <w:b/>
          <w:kern w:val="2"/>
          <w:sz w:val="24"/>
          <w:szCs w:val="24"/>
          <w:lang w:val="en-US" w:eastAsia="zh-CN"/>
        </w:rPr>
        <w:t>84</w:t>
      </w:r>
      <w:r w:rsidRPr="00C11F21">
        <w:rPr>
          <w:rFonts w:ascii="Book Antiqua" w:eastAsia="SimSun" w:hAnsi="Book Antiqua" w:cs="Times New Roman"/>
          <w:kern w:val="2"/>
          <w:sz w:val="24"/>
          <w:szCs w:val="24"/>
          <w:lang w:val="en-US" w:eastAsia="zh-CN"/>
        </w:rPr>
        <w:t>: 1989-2000 [PMID: 20007265 DOI: 10.1128/JVI.01902-09]</w:t>
      </w:r>
    </w:p>
    <w:p w14:paraId="460FE4D4"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41 </w:t>
      </w:r>
      <w:r w:rsidRPr="00C11F21">
        <w:rPr>
          <w:rFonts w:ascii="Book Antiqua" w:eastAsia="SimSun" w:hAnsi="Book Antiqua" w:cs="Times New Roman"/>
          <w:b/>
          <w:kern w:val="2"/>
          <w:sz w:val="24"/>
          <w:szCs w:val="24"/>
          <w:lang w:val="en-US" w:eastAsia="zh-CN"/>
        </w:rPr>
        <w:t>Volz T</w:t>
      </w:r>
      <w:r w:rsidRPr="00C11F21">
        <w:rPr>
          <w:rFonts w:ascii="Book Antiqua" w:eastAsia="SimSun" w:hAnsi="Book Antiqua" w:cs="Times New Roman"/>
          <w:kern w:val="2"/>
          <w:sz w:val="24"/>
          <w:szCs w:val="24"/>
          <w:lang w:val="en-US" w:eastAsia="zh-CN"/>
        </w:rPr>
        <w:t xml:space="preserve">, Allweiss L, Ben MBarek M, Warlich M, Lohse AW, Pollok JM, Alexandrov A, Urban S, Petersen J, Lütgehetmann M, Dandri M. The entry inhibitor Myrcludex-B efficiently blocks intrahepatic virus spreading in humanized mice previously infected with hepatitis B virus. </w:t>
      </w:r>
      <w:r w:rsidRPr="00C11F21">
        <w:rPr>
          <w:rFonts w:ascii="Book Antiqua" w:eastAsia="SimSun" w:hAnsi="Book Antiqua" w:cs="Times New Roman"/>
          <w:i/>
          <w:kern w:val="2"/>
          <w:sz w:val="24"/>
          <w:szCs w:val="24"/>
          <w:lang w:val="en-US" w:eastAsia="zh-CN"/>
        </w:rPr>
        <w:t>J Hepatol</w:t>
      </w:r>
      <w:r w:rsidRPr="00C11F21">
        <w:rPr>
          <w:rFonts w:ascii="Book Antiqua" w:eastAsia="SimSun" w:hAnsi="Book Antiqua" w:cs="Times New Roman"/>
          <w:kern w:val="2"/>
          <w:sz w:val="24"/>
          <w:szCs w:val="24"/>
          <w:lang w:val="en-US" w:eastAsia="zh-CN"/>
        </w:rPr>
        <w:t xml:space="preserve"> 2013; </w:t>
      </w:r>
      <w:r w:rsidRPr="00C11F21">
        <w:rPr>
          <w:rFonts w:ascii="Book Antiqua" w:eastAsia="SimSun" w:hAnsi="Book Antiqua" w:cs="Times New Roman"/>
          <w:b/>
          <w:kern w:val="2"/>
          <w:sz w:val="24"/>
          <w:szCs w:val="24"/>
          <w:lang w:val="en-US" w:eastAsia="zh-CN"/>
        </w:rPr>
        <w:t>58</w:t>
      </w:r>
      <w:r w:rsidRPr="00C11F21">
        <w:rPr>
          <w:rFonts w:ascii="Book Antiqua" w:eastAsia="SimSun" w:hAnsi="Book Antiqua" w:cs="Times New Roman"/>
          <w:kern w:val="2"/>
          <w:sz w:val="24"/>
          <w:szCs w:val="24"/>
          <w:lang w:val="en-US" w:eastAsia="zh-CN"/>
        </w:rPr>
        <w:t>: 861-867 [PMID: 23246506 DOI: 10.1016/j.jhep.2012.12.008]</w:t>
      </w:r>
    </w:p>
    <w:p w14:paraId="6ACA80A4"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42 </w:t>
      </w:r>
      <w:r w:rsidRPr="00C11F21">
        <w:rPr>
          <w:rFonts w:ascii="Book Antiqua" w:eastAsia="SimSun" w:hAnsi="Book Antiqua" w:cs="Times New Roman"/>
          <w:b/>
          <w:kern w:val="2"/>
          <w:sz w:val="24"/>
          <w:szCs w:val="24"/>
          <w:lang w:val="en-US" w:eastAsia="zh-CN"/>
        </w:rPr>
        <w:t>Lütgehetmann M</w:t>
      </w:r>
      <w:r w:rsidRPr="00C11F21">
        <w:rPr>
          <w:rFonts w:ascii="Book Antiqua" w:eastAsia="SimSun" w:hAnsi="Book Antiqua" w:cs="Times New Roman"/>
          <w:kern w:val="2"/>
          <w:sz w:val="24"/>
          <w:szCs w:val="24"/>
          <w:lang w:val="en-US" w:eastAsia="zh-CN"/>
        </w:rPr>
        <w:t xml:space="preserve">, Mancke LV, Volz T, Helbig M, Allweiss L, Bornscheuer T, Pollok JM, Lohse AW, Petersen J, Urban S, Dandri M. Humanized chimeric uPA mouse model for the study of hepatitis B and D virus interactions and preclinical drug evaluation. </w:t>
      </w:r>
      <w:r w:rsidRPr="00C11F21">
        <w:rPr>
          <w:rFonts w:ascii="Book Antiqua" w:eastAsia="SimSun" w:hAnsi="Book Antiqua" w:cs="Times New Roman"/>
          <w:i/>
          <w:kern w:val="2"/>
          <w:sz w:val="24"/>
          <w:szCs w:val="24"/>
          <w:lang w:val="en-US" w:eastAsia="zh-CN"/>
        </w:rPr>
        <w:t>Hepatology</w:t>
      </w:r>
      <w:r w:rsidRPr="00C11F21">
        <w:rPr>
          <w:rFonts w:ascii="Book Antiqua" w:eastAsia="SimSun" w:hAnsi="Book Antiqua" w:cs="Times New Roman"/>
          <w:kern w:val="2"/>
          <w:sz w:val="24"/>
          <w:szCs w:val="24"/>
          <w:lang w:val="en-US" w:eastAsia="zh-CN"/>
        </w:rPr>
        <w:t xml:space="preserve"> 2012; </w:t>
      </w:r>
      <w:r w:rsidRPr="00C11F21">
        <w:rPr>
          <w:rFonts w:ascii="Book Antiqua" w:eastAsia="SimSun" w:hAnsi="Book Antiqua" w:cs="Times New Roman"/>
          <w:b/>
          <w:kern w:val="2"/>
          <w:sz w:val="24"/>
          <w:szCs w:val="24"/>
          <w:lang w:val="en-US" w:eastAsia="zh-CN"/>
        </w:rPr>
        <w:t>55</w:t>
      </w:r>
      <w:r w:rsidRPr="00C11F21">
        <w:rPr>
          <w:rFonts w:ascii="Book Antiqua" w:eastAsia="SimSun" w:hAnsi="Book Antiqua" w:cs="Times New Roman"/>
          <w:kern w:val="2"/>
          <w:sz w:val="24"/>
          <w:szCs w:val="24"/>
          <w:lang w:val="en-US" w:eastAsia="zh-CN"/>
        </w:rPr>
        <w:t xml:space="preserve">: 685-694 [PMID: 22031488 DOI: </w:t>
      </w:r>
      <w:r w:rsidRPr="00C11F21">
        <w:rPr>
          <w:rFonts w:ascii="Book Antiqua" w:eastAsia="SimSun" w:hAnsi="Book Antiqua" w:cs="Times New Roman"/>
          <w:kern w:val="2"/>
          <w:sz w:val="24"/>
          <w:szCs w:val="24"/>
          <w:lang w:val="en-US" w:eastAsia="zh-CN"/>
        </w:rPr>
        <w:lastRenderedPageBreak/>
        <w:t>10.1002/hep.24758]</w:t>
      </w:r>
    </w:p>
    <w:p w14:paraId="75B5F56E"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43 </w:t>
      </w:r>
      <w:r w:rsidRPr="00C11F21">
        <w:rPr>
          <w:rFonts w:ascii="Book Antiqua" w:eastAsia="SimSun" w:hAnsi="Book Antiqua" w:cs="Times New Roman"/>
          <w:b/>
          <w:kern w:val="2"/>
          <w:sz w:val="24"/>
          <w:szCs w:val="24"/>
          <w:lang w:val="en-US" w:eastAsia="zh-CN"/>
        </w:rPr>
        <w:t>Petersen J</w:t>
      </w:r>
      <w:r w:rsidRPr="00C11F21">
        <w:rPr>
          <w:rFonts w:ascii="Book Antiqua" w:eastAsia="SimSun" w:hAnsi="Book Antiqua" w:cs="Times New Roman"/>
          <w:kern w:val="2"/>
          <w:sz w:val="24"/>
          <w:szCs w:val="24"/>
          <w:lang w:val="en-US" w:eastAsia="zh-CN"/>
        </w:rPr>
        <w:t xml:space="preserve">, Dandri M, Mier W, Lütgehetmann M, Volz T, von Weizsäcker F, Haberkorn U, Fischer L, Pollok JM, Erbes B, Seitz S, Urban S. Prevention of hepatitis B virus infection in vivo by entry inhibitors derived from the large envelope protein. </w:t>
      </w:r>
      <w:r w:rsidRPr="00C11F21">
        <w:rPr>
          <w:rFonts w:ascii="Book Antiqua" w:eastAsia="SimSun" w:hAnsi="Book Antiqua" w:cs="Times New Roman"/>
          <w:i/>
          <w:kern w:val="2"/>
          <w:sz w:val="24"/>
          <w:szCs w:val="24"/>
          <w:lang w:val="en-US" w:eastAsia="zh-CN"/>
        </w:rPr>
        <w:t>Nat Biotechnol</w:t>
      </w:r>
      <w:r w:rsidRPr="00C11F21">
        <w:rPr>
          <w:rFonts w:ascii="Book Antiqua" w:eastAsia="SimSun" w:hAnsi="Book Antiqua" w:cs="Times New Roman"/>
          <w:kern w:val="2"/>
          <w:sz w:val="24"/>
          <w:szCs w:val="24"/>
          <w:lang w:val="en-US" w:eastAsia="zh-CN"/>
        </w:rPr>
        <w:t xml:space="preserve"> 2008; </w:t>
      </w:r>
      <w:r w:rsidRPr="00C11F21">
        <w:rPr>
          <w:rFonts w:ascii="Book Antiqua" w:eastAsia="SimSun" w:hAnsi="Book Antiqua" w:cs="Times New Roman"/>
          <w:b/>
          <w:kern w:val="2"/>
          <w:sz w:val="24"/>
          <w:szCs w:val="24"/>
          <w:lang w:val="en-US" w:eastAsia="zh-CN"/>
        </w:rPr>
        <w:t>26</w:t>
      </w:r>
      <w:r w:rsidRPr="00C11F21">
        <w:rPr>
          <w:rFonts w:ascii="Book Antiqua" w:eastAsia="SimSun" w:hAnsi="Book Antiqua" w:cs="Times New Roman"/>
          <w:kern w:val="2"/>
          <w:sz w:val="24"/>
          <w:szCs w:val="24"/>
          <w:lang w:val="en-US" w:eastAsia="zh-CN"/>
        </w:rPr>
        <w:t>: 335-341 [PMID: 18297057 DOI: 10.1038/nbt1389]</w:t>
      </w:r>
    </w:p>
    <w:p w14:paraId="609585B4"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44 </w:t>
      </w:r>
      <w:r w:rsidRPr="00C11F21">
        <w:rPr>
          <w:rFonts w:ascii="Book Antiqua" w:eastAsia="SimSun" w:hAnsi="Book Antiqua" w:cs="Times New Roman"/>
          <w:b/>
          <w:kern w:val="2"/>
          <w:sz w:val="24"/>
          <w:szCs w:val="24"/>
          <w:lang w:val="en-US" w:eastAsia="zh-CN"/>
        </w:rPr>
        <w:t>Bogomolov P</w:t>
      </w:r>
      <w:r w:rsidRPr="00C11F21">
        <w:rPr>
          <w:rFonts w:ascii="Book Antiqua" w:eastAsia="SimSun" w:hAnsi="Book Antiqua" w:cs="Times New Roman"/>
          <w:kern w:val="2"/>
          <w:sz w:val="24"/>
          <w:szCs w:val="24"/>
          <w:lang w:val="en-US" w:eastAsia="zh-CN"/>
        </w:rPr>
        <w:t xml:space="preserve">, Alexandrov A, Voronkova N, Macievich M, Kokina K, Petrachenkova M, Lehr T, Lempp FA, Wedemeyer H, Haag M, Schwab M, Haefeli WE, Blank A, Urban S. Treatment of chronic hepatitis D with the entry inhibitor myrcludex B: First results of a phase Ib/IIa study. </w:t>
      </w:r>
      <w:r w:rsidRPr="00C11F21">
        <w:rPr>
          <w:rFonts w:ascii="Book Antiqua" w:eastAsia="SimSun" w:hAnsi="Book Antiqua" w:cs="Times New Roman"/>
          <w:i/>
          <w:kern w:val="2"/>
          <w:sz w:val="24"/>
          <w:szCs w:val="24"/>
          <w:lang w:val="en-US" w:eastAsia="zh-CN"/>
        </w:rPr>
        <w:t>J Hepatol</w:t>
      </w:r>
      <w:r w:rsidRPr="00C11F21">
        <w:rPr>
          <w:rFonts w:ascii="Book Antiqua" w:eastAsia="SimSun" w:hAnsi="Book Antiqua" w:cs="Times New Roman"/>
          <w:kern w:val="2"/>
          <w:sz w:val="24"/>
          <w:szCs w:val="24"/>
          <w:lang w:val="en-US" w:eastAsia="zh-CN"/>
        </w:rPr>
        <w:t xml:space="preserve"> 2016; </w:t>
      </w:r>
      <w:r w:rsidRPr="00C11F21">
        <w:rPr>
          <w:rFonts w:ascii="Book Antiqua" w:eastAsia="SimSun" w:hAnsi="Book Antiqua" w:cs="Times New Roman"/>
          <w:b/>
          <w:kern w:val="2"/>
          <w:sz w:val="24"/>
          <w:szCs w:val="24"/>
          <w:lang w:val="en-US" w:eastAsia="zh-CN"/>
        </w:rPr>
        <w:t>65</w:t>
      </w:r>
      <w:r w:rsidRPr="00C11F21">
        <w:rPr>
          <w:rFonts w:ascii="Book Antiqua" w:eastAsia="SimSun" w:hAnsi="Book Antiqua" w:cs="Times New Roman"/>
          <w:kern w:val="2"/>
          <w:sz w:val="24"/>
          <w:szCs w:val="24"/>
          <w:lang w:val="en-US" w:eastAsia="zh-CN"/>
        </w:rPr>
        <w:t>: 490-498 [PMID: 27132170 DOI: 10.1016/j.jhep.2016.04.016]</w:t>
      </w:r>
    </w:p>
    <w:p w14:paraId="63373742"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45 </w:t>
      </w:r>
      <w:r w:rsidRPr="00C11F21">
        <w:rPr>
          <w:rFonts w:ascii="Book Antiqua" w:eastAsia="SimSun" w:hAnsi="Book Antiqua" w:cs="Times New Roman"/>
          <w:b/>
          <w:kern w:val="2"/>
          <w:sz w:val="24"/>
          <w:szCs w:val="24"/>
          <w:lang w:val="en-US" w:eastAsia="zh-CN"/>
        </w:rPr>
        <w:t>Blank A</w:t>
      </w:r>
      <w:r w:rsidRPr="00C11F21">
        <w:rPr>
          <w:rFonts w:ascii="Book Antiqua" w:eastAsia="SimSun" w:hAnsi="Book Antiqua" w:cs="Times New Roman"/>
          <w:kern w:val="2"/>
          <w:sz w:val="24"/>
          <w:szCs w:val="24"/>
          <w:lang w:val="en-US" w:eastAsia="zh-CN"/>
        </w:rPr>
        <w:t xml:space="preserve">, Markert C, Hohmann N, Carls A, Mikus G, Lehr T, Alexandrov A, Haag M, Schwab M, Urban S, Haefeli WE. First-in-human application of the novel hepatitis B and hepatitis D virus entry inhibitor myrcludex B. </w:t>
      </w:r>
      <w:r w:rsidRPr="00C11F21">
        <w:rPr>
          <w:rFonts w:ascii="Book Antiqua" w:eastAsia="SimSun" w:hAnsi="Book Antiqua" w:cs="Times New Roman"/>
          <w:i/>
          <w:kern w:val="2"/>
          <w:sz w:val="24"/>
          <w:szCs w:val="24"/>
          <w:lang w:val="en-US" w:eastAsia="zh-CN"/>
        </w:rPr>
        <w:t>J Hepatol</w:t>
      </w:r>
      <w:r w:rsidRPr="00C11F21">
        <w:rPr>
          <w:rFonts w:ascii="Book Antiqua" w:eastAsia="SimSun" w:hAnsi="Book Antiqua" w:cs="Times New Roman"/>
          <w:kern w:val="2"/>
          <w:sz w:val="24"/>
          <w:szCs w:val="24"/>
          <w:lang w:val="en-US" w:eastAsia="zh-CN"/>
        </w:rPr>
        <w:t xml:space="preserve"> 2016; </w:t>
      </w:r>
      <w:r w:rsidRPr="00C11F21">
        <w:rPr>
          <w:rFonts w:ascii="Book Antiqua" w:eastAsia="SimSun" w:hAnsi="Book Antiqua" w:cs="Times New Roman"/>
          <w:b/>
          <w:kern w:val="2"/>
          <w:sz w:val="24"/>
          <w:szCs w:val="24"/>
          <w:lang w:val="en-US" w:eastAsia="zh-CN"/>
        </w:rPr>
        <w:t>65</w:t>
      </w:r>
      <w:r w:rsidRPr="00C11F21">
        <w:rPr>
          <w:rFonts w:ascii="Book Antiqua" w:eastAsia="SimSun" w:hAnsi="Book Antiqua" w:cs="Times New Roman"/>
          <w:kern w:val="2"/>
          <w:sz w:val="24"/>
          <w:szCs w:val="24"/>
          <w:lang w:val="en-US" w:eastAsia="zh-CN"/>
        </w:rPr>
        <w:t>: 483-489 [PMID: 27132172 DOI: 10.1016/j.jhep.2016.04.013]</w:t>
      </w:r>
    </w:p>
    <w:p w14:paraId="584FDC41"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46 </w:t>
      </w:r>
      <w:r w:rsidRPr="00C11F21">
        <w:rPr>
          <w:rFonts w:ascii="Book Antiqua" w:eastAsia="SimSun" w:hAnsi="Book Antiqua" w:cs="Times New Roman"/>
          <w:b/>
          <w:kern w:val="2"/>
          <w:sz w:val="24"/>
          <w:szCs w:val="24"/>
          <w:lang w:val="en-US" w:eastAsia="zh-CN"/>
        </w:rPr>
        <w:t>Tsukuda S</w:t>
      </w:r>
      <w:r w:rsidRPr="00C11F21">
        <w:rPr>
          <w:rFonts w:ascii="Book Antiqua" w:eastAsia="SimSun" w:hAnsi="Book Antiqua" w:cs="Times New Roman"/>
          <w:kern w:val="2"/>
          <w:sz w:val="24"/>
          <w:szCs w:val="24"/>
          <w:lang w:val="en-US" w:eastAsia="zh-CN"/>
        </w:rPr>
        <w:t xml:space="preserve">, Watashi K, Hojima T, Isogawa M, Iwamoto M, Omagari K, Suzuki R, Aizaki H, Kojima S, Sugiyama M, Saito A, Tanaka Y, Mizokami M, Sureau C, Wakita T. A new class of hepatitis B and D virus entry inhibitors, proanthocyanidin and its analogs, that directly act on the viral large surface proteins. </w:t>
      </w:r>
      <w:r w:rsidRPr="00C11F21">
        <w:rPr>
          <w:rFonts w:ascii="Book Antiqua" w:eastAsia="SimSun" w:hAnsi="Book Antiqua" w:cs="Times New Roman"/>
          <w:i/>
          <w:kern w:val="2"/>
          <w:sz w:val="24"/>
          <w:szCs w:val="24"/>
          <w:lang w:val="en-US" w:eastAsia="zh-CN"/>
        </w:rPr>
        <w:t>Hepatology</w:t>
      </w:r>
      <w:r w:rsidRPr="00C11F21">
        <w:rPr>
          <w:rFonts w:ascii="Book Antiqua" w:eastAsia="SimSun" w:hAnsi="Book Antiqua" w:cs="Times New Roman"/>
          <w:kern w:val="2"/>
          <w:sz w:val="24"/>
          <w:szCs w:val="24"/>
          <w:lang w:val="en-US" w:eastAsia="zh-CN"/>
        </w:rPr>
        <w:t xml:space="preserve"> 2017; </w:t>
      </w:r>
      <w:r w:rsidRPr="00C11F21">
        <w:rPr>
          <w:rFonts w:ascii="Book Antiqua" w:eastAsia="SimSun" w:hAnsi="Book Antiqua" w:cs="Times New Roman"/>
          <w:b/>
          <w:kern w:val="2"/>
          <w:sz w:val="24"/>
          <w:szCs w:val="24"/>
          <w:lang w:val="en-US" w:eastAsia="zh-CN"/>
        </w:rPr>
        <w:t>65</w:t>
      </w:r>
      <w:r w:rsidRPr="00C11F21">
        <w:rPr>
          <w:rFonts w:ascii="Book Antiqua" w:eastAsia="SimSun" w:hAnsi="Book Antiqua" w:cs="Times New Roman"/>
          <w:kern w:val="2"/>
          <w:sz w:val="24"/>
          <w:szCs w:val="24"/>
          <w:lang w:val="en-US" w:eastAsia="zh-CN"/>
        </w:rPr>
        <w:t>: 1104-1116 [PMID: 27863453 DOI: 10.1002/hep.28952]</w:t>
      </w:r>
    </w:p>
    <w:p w14:paraId="0AC19E6E"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47 </w:t>
      </w:r>
      <w:r w:rsidRPr="00C11F21">
        <w:rPr>
          <w:rFonts w:ascii="Book Antiqua" w:eastAsia="SimSun" w:hAnsi="Book Antiqua" w:cs="Times New Roman"/>
          <w:b/>
          <w:kern w:val="2"/>
          <w:sz w:val="24"/>
          <w:szCs w:val="24"/>
          <w:lang w:val="en-US" w:eastAsia="zh-CN"/>
        </w:rPr>
        <w:t>Bruss V</w:t>
      </w:r>
      <w:r w:rsidRPr="00C11F21">
        <w:rPr>
          <w:rFonts w:ascii="Book Antiqua" w:eastAsia="SimSun" w:hAnsi="Book Antiqua" w:cs="Times New Roman"/>
          <w:kern w:val="2"/>
          <w:sz w:val="24"/>
          <w:szCs w:val="24"/>
          <w:lang w:val="en-US" w:eastAsia="zh-CN"/>
        </w:rPr>
        <w:t xml:space="preserve">, Lu X, Thomssen R, Gerlich WH. Post-translational alterations in transmembrane topology of the hepatitis B virus large envelope protein. </w:t>
      </w:r>
      <w:r w:rsidRPr="00C11F21">
        <w:rPr>
          <w:rFonts w:ascii="Book Antiqua" w:eastAsia="SimSun" w:hAnsi="Book Antiqua" w:cs="Times New Roman"/>
          <w:i/>
          <w:kern w:val="2"/>
          <w:sz w:val="24"/>
          <w:szCs w:val="24"/>
          <w:lang w:val="en-US" w:eastAsia="zh-CN"/>
        </w:rPr>
        <w:t>EMBO J</w:t>
      </w:r>
      <w:r w:rsidRPr="00C11F21">
        <w:rPr>
          <w:rFonts w:ascii="Book Antiqua" w:eastAsia="SimSun" w:hAnsi="Book Antiqua" w:cs="Times New Roman"/>
          <w:kern w:val="2"/>
          <w:sz w:val="24"/>
          <w:szCs w:val="24"/>
          <w:lang w:val="en-US" w:eastAsia="zh-CN"/>
        </w:rPr>
        <w:t xml:space="preserve"> 1994; </w:t>
      </w:r>
      <w:r w:rsidRPr="00C11F21">
        <w:rPr>
          <w:rFonts w:ascii="Book Antiqua" w:eastAsia="SimSun" w:hAnsi="Book Antiqua" w:cs="Times New Roman"/>
          <w:b/>
          <w:kern w:val="2"/>
          <w:sz w:val="24"/>
          <w:szCs w:val="24"/>
          <w:lang w:val="en-US" w:eastAsia="zh-CN"/>
        </w:rPr>
        <w:t>13</w:t>
      </w:r>
      <w:r w:rsidRPr="00C11F21">
        <w:rPr>
          <w:rFonts w:ascii="Book Antiqua" w:eastAsia="SimSun" w:hAnsi="Book Antiqua" w:cs="Times New Roman"/>
          <w:kern w:val="2"/>
          <w:sz w:val="24"/>
          <w:szCs w:val="24"/>
          <w:lang w:val="en-US" w:eastAsia="zh-CN"/>
        </w:rPr>
        <w:t>: 2273-2279 [PMID: 8194518]</w:t>
      </w:r>
    </w:p>
    <w:p w14:paraId="40E79C41"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48 </w:t>
      </w:r>
      <w:r w:rsidRPr="00C11F21">
        <w:rPr>
          <w:rFonts w:ascii="Book Antiqua" w:eastAsia="SimSun" w:hAnsi="Book Antiqua" w:cs="Times New Roman"/>
          <w:b/>
          <w:kern w:val="2"/>
          <w:sz w:val="24"/>
          <w:szCs w:val="24"/>
          <w:lang w:val="en-US" w:eastAsia="zh-CN"/>
        </w:rPr>
        <w:t>Krieger F</w:t>
      </w:r>
      <w:r w:rsidRPr="00C11F21">
        <w:rPr>
          <w:rFonts w:ascii="Book Antiqua" w:eastAsia="SimSun" w:hAnsi="Book Antiqua" w:cs="Times New Roman"/>
          <w:kern w:val="2"/>
          <w:sz w:val="24"/>
          <w:szCs w:val="24"/>
          <w:lang w:val="en-US" w:eastAsia="zh-CN"/>
        </w:rPr>
        <w:t xml:space="preserve">, Möglich A, Kiefhaber T. Effect of proline and glycine residues on dynamics and barriers of loop formation in polypeptide chains. </w:t>
      </w:r>
      <w:r w:rsidRPr="00C11F21">
        <w:rPr>
          <w:rFonts w:ascii="Book Antiqua" w:eastAsia="SimSun" w:hAnsi="Book Antiqua" w:cs="Times New Roman"/>
          <w:i/>
          <w:kern w:val="2"/>
          <w:sz w:val="24"/>
          <w:szCs w:val="24"/>
          <w:lang w:val="en-US" w:eastAsia="zh-CN"/>
        </w:rPr>
        <w:t>J Am Chem Soc</w:t>
      </w:r>
      <w:r w:rsidRPr="00C11F21">
        <w:rPr>
          <w:rFonts w:ascii="Book Antiqua" w:eastAsia="SimSun" w:hAnsi="Book Antiqua" w:cs="Times New Roman"/>
          <w:kern w:val="2"/>
          <w:sz w:val="24"/>
          <w:szCs w:val="24"/>
          <w:lang w:val="en-US" w:eastAsia="zh-CN"/>
        </w:rPr>
        <w:t xml:space="preserve"> 2005; </w:t>
      </w:r>
      <w:r w:rsidRPr="00C11F21">
        <w:rPr>
          <w:rFonts w:ascii="Book Antiqua" w:eastAsia="SimSun" w:hAnsi="Book Antiqua" w:cs="Times New Roman"/>
          <w:b/>
          <w:kern w:val="2"/>
          <w:sz w:val="24"/>
          <w:szCs w:val="24"/>
          <w:lang w:val="en-US" w:eastAsia="zh-CN"/>
        </w:rPr>
        <w:t>127</w:t>
      </w:r>
      <w:r w:rsidRPr="00C11F21">
        <w:rPr>
          <w:rFonts w:ascii="Book Antiqua" w:eastAsia="SimSun" w:hAnsi="Book Antiqua" w:cs="Times New Roman"/>
          <w:kern w:val="2"/>
          <w:sz w:val="24"/>
          <w:szCs w:val="24"/>
          <w:lang w:val="en-US" w:eastAsia="zh-CN"/>
        </w:rPr>
        <w:t>: 3346-3352 [PMID: 15755151 DOI: 10.1021/ja042798i]</w:t>
      </w:r>
    </w:p>
    <w:p w14:paraId="10624F98"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49 </w:t>
      </w:r>
      <w:r w:rsidRPr="00C11F21">
        <w:rPr>
          <w:rFonts w:ascii="Book Antiqua" w:eastAsia="SimSun" w:hAnsi="Book Antiqua" w:cs="Times New Roman"/>
          <w:b/>
          <w:kern w:val="2"/>
          <w:sz w:val="24"/>
          <w:szCs w:val="24"/>
          <w:lang w:val="en-US" w:eastAsia="zh-CN"/>
        </w:rPr>
        <w:t>Orzáez M</w:t>
      </w:r>
      <w:r w:rsidRPr="00C11F21">
        <w:rPr>
          <w:rFonts w:ascii="Book Antiqua" w:eastAsia="SimSun" w:hAnsi="Book Antiqua" w:cs="Times New Roman"/>
          <w:kern w:val="2"/>
          <w:sz w:val="24"/>
          <w:szCs w:val="24"/>
          <w:lang w:val="en-US" w:eastAsia="zh-CN"/>
        </w:rPr>
        <w:t xml:space="preserve">, Salgado J, Giménez-Giner A, Pérez-Payá E, Mingarro I. Influence of proline residues in transmembrane helix packing. </w:t>
      </w:r>
      <w:r w:rsidRPr="00C11F21">
        <w:rPr>
          <w:rFonts w:ascii="Book Antiqua" w:eastAsia="SimSun" w:hAnsi="Book Antiqua" w:cs="Times New Roman"/>
          <w:i/>
          <w:kern w:val="2"/>
          <w:sz w:val="24"/>
          <w:szCs w:val="24"/>
          <w:lang w:val="en-US" w:eastAsia="zh-CN"/>
        </w:rPr>
        <w:t>J Mol Biol</w:t>
      </w:r>
      <w:r w:rsidRPr="00C11F21">
        <w:rPr>
          <w:rFonts w:ascii="Book Antiqua" w:eastAsia="SimSun" w:hAnsi="Book Antiqua" w:cs="Times New Roman"/>
          <w:kern w:val="2"/>
          <w:sz w:val="24"/>
          <w:szCs w:val="24"/>
          <w:lang w:val="en-US" w:eastAsia="zh-CN"/>
        </w:rPr>
        <w:t xml:space="preserve"> 2004; </w:t>
      </w:r>
      <w:r w:rsidRPr="00C11F21">
        <w:rPr>
          <w:rFonts w:ascii="Book Antiqua" w:eastAsia="SimSun" w:hAnsi="Book Antiqua" w:cs="Times New Roman"/>
          <w:b/>
          <w:kern w:val="2"/>
          <w:sz w:val="24"/>
          <w:szCs w:val="24"/>
          <w:lang w:val="en-US" w:eastAsia="zh-CN"/>
        </w:rPr>
        <w:t>335</w:t>
      </w:r>
      <w:r w:rsidRPr="00C11F21">
        <w:rPr>
          <w:rFonts w:ascii="Book Antiqua" w:eastAsia="SimSun" w:hAnsi="Book Antiqua" w:cs="Times New Roman"/>
          <w:kern w:val="2"/>
          <w:sz w:val="24"/>
          <w:szCs w:val="24"/>
          <w:lang w:val="en-US" w:eastAsia="zh-CN"/>
        </w:rPr>
        <w:t>: 631-640 [PMID: 14672669 DOI: 10.1016/j.jmb.2003.10.062]</w:t>
      </w:r>
    </w:p>
    <w:p w14:paraId="269435DD"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50 </w:t>
      </w:r>
      <w:r w:rsidRPr="00C11F21">
        <w:rPr>
          <w:rFonts w:ascii="Book Antiqua" w:eastAsia="SimSun" w:hAnsi="Book Antiqua" w:cs="Times New Roman"/>
          <w:b/>
          <w:kern w:val="2"/>
          <w:sz w:val="24"/>
          <w:szCs w:val="24"/>
          <w:lang w:val="en-US" w:eastAsia="zh-CN"/>
        </w:rPr>
        <w:t>Hope VD</w:t>
      </w:r>
      <w:r w:rsidRPr="00C11F21">
        <w:rPr>
          <w:rFonts w:ascii="Book Antiqua" w:eastAsia="SimSun" w:hAnsi="Book Antiqua" w:cs="Times New Roman"/>
          <w:kern w:val="2"/>
          <w:sz w:val="24"/>
          <w:szCs w:val="24"/>
          <w:lang w:val="en-US" w:eastAsia="zh-CN"/>
        </w:rPr>
        <w:t xml:space="preserve">, Eramova I, Capurro D, Donoghoe MC. Prevalence and estimation </w:t>
      </w:r>
      <w:r w:rsidRPr="00C11F21">
        <w:rPr>
          <w:rFonts w:ascii="Book Antiqua" w:eastAsia="SimSun" w:hAnsi="Book Antiqua" w:cs="Times New Roman"/>
          <w:kern w:val="2"/>
          <w:sz w:val="24"/>
          <w:szCs w:val="24"/>
          <w:lang w:val="en-US" w:eastAsia="zh-CN"/>
        </w:rPr>
        <w:lastRenderedPageBreak/>
        <w:t xml:space="preserve">of hepatitis B and C infections in the WHO European Region: a review of data focusing on the countries outside the European Union and the European Free Trade Association. </w:t>
      </w:r>
      <w:r w:rsidRPr="00C11F21">
        <w:rPr>
          <w:rFonts w:ascii="Book Antiqua" w:eastAsia="SimSun" w:hAnsi="Book Antiqua" w:cs="Times New Roman"/>
          <w:i/>
          <w:kern w:val="2"/>
          <w:sz w:val="24"/>
          <w:szCs w:val="24"/>
          <w:lang w:val="en-US" w:eastAsia="zh-CN"/>
        </w:rPr>
        <w:t>Epidemiol Infect</w:t>
      </w:r>
      <w:r w:rsidRPr="00C11F21">
        <w:rPr>
          <w:rFonts w:ascii="Book Antiqua" w:eastAsia="SimSun" w:hAnsi="Book Antiqua" w:cs="Times New Roman"/>
          <w:kern w:val="2"/>
          <w:sz w:val="24"/>
          <w:szCs w:val="24"/>
          <w:lang w:val="en-US" w:eastAsia="zh-CN"/>
        </w:rPr>
        <w:t xml:space="preserve"> 2014; </w:t>
      </w:r>
      <w:r w:rsidRPr="00C11F21">
        <w:rPr>
          <w:rFonts w:ascii="Book Antiqua" w:eastAsia="SimSun" w:hAnsi="Book Antiqua" w:cs="Times New Roman"/>
          <w:b/>
          <w:kern w:val="2"/>
          <w:sz w:val="24"/>
          <w:szCs w:val="24"/>
          <w:lang w:val="en-US" w:eastAsia="zh-CN"/>
        </w:rPr>
        <w:t>142</w:t>
      </w:r>
      <w:r w:rsidRPr="00C11F21">
        <w:rPr>
          <w:rFonts w:ascii="Book Antiqua" w:eastAsia="SimSun" w:hAnsi="Book Antiqua" w:cs="Times New Roman"/>
          <w:kern w:val="2"/>
          <w:sz w:val="24"/>
          <w:szCs w:val="24"/>
          <w:lang w:val="en-US" w:eastAsia="zh-CN"/>
        </w:rPr>
        <w:t>: 270-286 [PMID: 23714072 DOI: 10.1017/S0950268813000940]</w:t>
      </w:r>
    </w:p>
    <w:p w14:paraId="1EE3293E"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51 </w:t>
      </w:r>
      <w:r w:rsidRPr="00C11F21">
        <w:rPr>
          <w:rFonts w:ascii="Book Antiqua" w:eastAsia="SimSun" w:hAnsi="Book Antiqua" w:cs="Times New Roman"/>
          <w:b/>
          <w:kern w:val="2"/>
          <w:sz w:val="24"/>
          <w:szCs w:val="24"/>
          <w:lang w:val="en-US" w:eastAsia="zh-CN"/>
        </w:rPr>
        <w:t>Ott JJ</w:t>
      </w:r>
      <w:r w:rsidRPr="00C11F21">
        <w:rPr>
          <w:rFonts w:ascii="Book Antiqua" w:eastAsia="SimSun" w:hAnsi="Book Antiqua" w:cs="Times New Roman"/>
          <w:kern w:val="2"/>
          <w:sz w:val="24"/>
          <w:szCs w:val="24"/>
          <w:lang w:val="en-US" w:eastAsia="zh-CN"/>
        </w:rPr>
        <w:t xml:space="preserve">, Stevens GA, Groeger J, Wiersma ST. Global epidemiology of hepatitis B virus infection: new estimates of age-specific HBsAg seroprevalence and endemicity. </w:t>
      </w:r>
      <w:r w:rsidRPr="00C11F21">
        <w:rPr>
          <w:rFonts w:ascii="Book Antiqua" w:eastAsia="SimSun" w:hAnsi="Book Antiqua" w:cs="Times New Roman"/>
          <w:i/>
          <w:kern w:val="2"/>
          <w:sz w:val="24"/>
          <w:szCs w:val="24"/>
          <w:lang w:val="en-US" w:eastAsia="zh-CN"/>
        </w:rPr>
        <w:t>Vaccine</w:t>
      </w:r>
      <w:r w:rsidRPr="00C11F21">
        <w:rPr>
          <w:rFonts w:ascii="Book Antiqua" w:eastAsia="SimSun" w:hAnsi="Book Antiqua" w:cs="Times New Roman"/>
          <w:kern w:val="2"/>
          <w:sz w:val="24"/>
          <w:szCs w:val="24"/>
          <w:lang w:val="en-US" w:eastAsia="zh-CN"/>
        </w:rPr>
        <w:t xml:space="preserve"> 2012; </w:t>
      </w:r>
      <w:r w:rsidRPr="00C11F21">
        <w:rPr>
          <w:rFonts w:ascii="Book Antiqua" w:eastAsia="SimSun" w:hAnsi="Book Antiqua" w:cs="Times New Roman"/>
          <w:b/>
          <w:kern w:val="2"/>
          <w:sz w:val="24"/>
          <w:szCs w:val="24"/>
          <w:lang w:val="en-US" w:eastAsia="zh-CN"/>
        </w:rPr>
        <w:t>30</w:t>
      </w:r>
      <w:r w:rsidRPr="00C11F21">
        <w:rPr>
          <w:rFonts w:ascii="Book Antiqua" w:eastAsia="SimSun" w:hAnsi="Book Antiqua" w:cs="Times New Roman"/>
          <w:kern w:val="2"/>
          <w:sz w:val="24"/>
          <w:szCs w:val="24"/>
          <w:lang w:val="en-US" w:eastAsia="zh-CN"/>
        </w:rPr>
        <w:t>: 2212-2219 [PMID: 22273662 DOI: 10.1016/j.vaccine.2011.12.116]</w:t>
      </w:r>
    </w:p>
    <w:p w14:paraId="0BB1EDB8"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52 </w:t>
      </w:r>
      <w:r w:rsidRPr="00C11F21">
        <w:rPr>
          <w:rFonts w:ascii="Book Antiqua" w:eastAsia="SimSun" w:hAnsi="Book Antiqua" w:cs="Times New Roman"/>
          <w:b/>
          <w:kern w:val="2"/>
          <w:sz w:val="24"/>
          <w:szCs w:val="24"/>
          <w:lang w:val="en-US" w:eastAsia="zh-CN"/>
        </w:rPr>
        <w:t>Chen X</w:t>
      </w:r>
      <w:r w:rsidRPr="00C11F21">
        <w:rPr>
          <w:rFonts w:ascii="Book Antiqua" w:eastAsia="SimSun" w:hAnsi="Book Antiqua" w:cs="Times New Roman"/>
          <w:kern w:val="2"/>
          <w:sz w:val="24"/>
          <w:szCs w:val="24"/>
          <w:lang w:val="en-US" w:eastAsia="zh-CN"/>
        </w:rPr>
        <w:t xml:space="preserve">, Wang Y, Chen X, Cheng K, Li J, Lou J, Ke J, Yang Y, Gong Y, Zhu Y, Wang L, Zhong R. Genetic variants in the regulatory region of SLC10A1 are not associated with the risk of hepatitis B virus infection and clearance. </w:t>
      </w:r>
      <w:r w:rsidRPr="00C11F21">
        <w:rPr>
          <w:rFonts w:ascii="Book Antiqua" w:eastAsia="SimSun" w:hAnsi="Book Antiqua" w:cs="Times New Roman"/>
          <w:i/>
          <w:kern w:val="2"/>
          <w:sz w:val="24"/>
          <w:szCs w:val="24"/>
          <w:lang w:val="en-US" w:eastAsia="zh-CN"/>
        </w:rPr>
        <w:t>Infect Genet Evol</w:t>
      </w:r>
      <w:r w:rsidRPr="00C11F21">
        <w:rPr>
          <w:rFonts w:ascii="Book Antiqua" w:eastAsia="SimSun" w:hAnsi="Book Antiqua" w:cs="Times New Roman"/>
          <w:kern w:val="2"/>
          <w:sz w:val="24"/>
          <w:szCs w:val="24"/>
          <w:lang w:val="en-US" w:eastAsia="zh-CN"/>
        </w:rPr>
        <w:t xml:space="preserve"> 2016; </w:t>
      </w:r>
      <w:r w:rsidRPr="00C11F21">
        <w:rPr>
          <w:rFonts w:ascii="Book Antiqua" w:eastAsia="SimSun" w:hAnsi="Book Antiqua" w:cs="Times New Roman"/>
          <w:b/>
          <w:kern w:val="2"/>
          <w:sz w:val="24"/>
          <w:szCs w:val="24"/>
          <w:lang w:val="en-US" w:eastAsia="zh-CN"/>
        </w:rPr>
        <w:t>44</w:t>
      </w:r>
      <w:r w:rsidRPr="00C11F21">
        <w:rPr>
          <w:rFonts w:ascii="Book Antiqua" w:eastAsia="SimSun" w:hAnsi="Book Antiqua" w:cs="Times New Roman"/>
          <w:kern w:val="2"/>
          <w:sz w:val="24"/>
          <w:szCs w:val="24"/>
          <w:lang w:val="en-US" w:eastAsia="zh-CN"/>
        </w:rPr>
        <w:t>: 495-500 [PMID: 27491457 DOI: 10.1016/j.meegid.2016.07.043]</w:t>
      </w:r>
    </w:p>
    <w:p w14:paraId="43F9562E" w14:textId="77777777" w:rsidR="00364278" w:rsidRPr="00C11F21" w:rsidRDefault="00364278" w:rsidP="00364278">
      <w:pPr>
        <w:widowControl w:val="0"/>
        <w:snapToGrid w:val="0"/>
        <w:spacing w:after="0" w:line="360" w:lineRule="auto"/>
        <w:jc w:val="both"/>
        <w:rPr>
          <w:rFonts w:ascii="Book Antiqua" w:eastAsia="SimSun" w:hAnsi="Book Antiqua" w:cs="Times New Roman"/>
          <w:kern w:val="2"/>
          <w:sz w:val="24"/>
          <w:szCs w:val="24"/>
          <w:lang w:val="en-US" w:eastAsia="zh-CN"/>
        </w:rPr>
      </w:pPr>
      <w:r w:rsidRPr="00C11F21">
        <w:rPr>
          <w:rFonts w:ascii="Book Antiqua" w:eastAsia="SimSun" w:hAnsi="Book Antiqua" w:cs="Times New Roman"/>
          <w:kern w:val="2"/>
          <w:sz w:val="24"/>
          <w:szCs w:val="24"/>
          <w:lang w:val="en-US" w:eastAsia="zh-CN"/>
        </w:rPr>
        <w:t xml:space="preserve">53 </w:t>
      </w:r>
      <w:r w:rsidRPr="00C11F21">
        <w:rPr>
          <w:rFonts w:ascii="Book Antiqua" w:eastAsia="SimSun" w:hAnsi="Book Antiqua" w:cs="Times New Roman"/>
          <w:b/>
          <w:kern w:val="2"/>
          <w:sz w:val="24"/>
          <w:szCs w:val="24"/>
          <w:lang w:val="en-US" w:eastAsia="zh-CN"/>
        </w:rPr>
        <w:t>Urban S</w:t>
      </w:r>
      <w:r w:rsidRPr="00C11F21">
        <w:rPr>
          <w:rFonts w:ascii="Book Antiqua" w:eastAsia="SimSun" w:hAnsi="Book Antiqua" w:cs="Times New Roman"/>
          <w:kern w:val="2"/>
          <w:sz w:val="24"/>
          <w:szCs w:val="24"/>
          <w:lang w:val="en-US" w:eastAsia="zh-CN"/>
        </w:rPr>
        <w:t xml:space="preserve">. Liver capsule: Entry and entry inhibition of hepatitis B virus and hepatitis delta virus into hepatocytes. </w:t>
      </w:r>
      <w:r w:rsidRPr="00C11F21">
        <w:rPr>
          <w:rFonts w:ascii="Book Antiqua" w:eastAsia="SimSun" w:hAnsi="Book Antiqua" w:cs="Times New Roman"/>
          <w:i/>
          <w:kern w:val="2"/>
          <w:sz w:val="24"/>
          <w:szCs w:val="24"/>
          <w:lang w:val="en-US" w:eastAsia="zh-CN"/>
        </w:rPr>
        <w:t>Hepatology</w:t>
      </w:r>
      <w:r w:rsidRPr="00C11F21">
        <w:rPr>
          <w:rFonts w:ascii="Book Antiqua" w:eastAsia="SimSun" w:hAnsi="Book Antiqua" w:cs="Times New Roman"/>
          <w:kern w:val="2"/>
          <w:sz w:val="24"/>
          <w:szCs w:val="24"/>
          <w:lang w:val="en-US" w:eastAsia="zh-CN"/>
        </w:rPr>
        <w:t xml:space="preserve"> 2016; </w:t>
      </w:r>
      <w:r w:rsidRPr="00C11F21">
        <w:rPr>
          <w:rFonts w:ascii="Book Antiqua" w:eastAsia="SimSun" w:hAnsi="Book Antiqua" w:cs="Times New Roman"/>
          <w:b/>
          <w:kern w:val="2"/>
          <w:sz w:val="24"/>
          <w:szCs w:val="24"/>
          <w:lang w:val="en-US" w:eastAsia="zh-CN"/>
        </w:rPr>
        <w:t>63</w:t>
      </w:r>
      <w:r w:rsidRPr="00C11F21">
        <w:rPr>
          <w:rFonts w:ascii="Book Antiqua" w:eastAsia="SimSun" w:hAnsi="Book Antiqua" w:cs="Times New Roman"/>
          <w:kern w:val="2"/>
          <w:sz w:val="24"/>
          <w:szCs w:val="24"/>
          <w:lang w:val="en-US" w:eastAsia="zh-CN"/>
        </w:rPr>
        <w:t>: 633 [PMID: 26502360 DOI: 10.1002/hep.28308]</w:t>
      </w:r>
    </w:p>
    <w:p w14:paraId="4F6BEE3D" w14:textId="77777777" w:rsidR="00364278" w:rsidRPr="00C11F21" w:rsidRDefault="00364278" w:rsidP="00364278">
      <w:pPr>
        <w:wordWrap w:val="0"/>
        <w:snapToGrid w:val="0"/>
        <w:spacing w:after="0" w:line="360" w:lineRule="auto"/>
        <w:jc w:val="right"/>
        <w:rPr>
          <w:rFonts w:ascii="Book Antiqua" w:eastAsia="SimSun" w:hAnsi="Book Antiqua" w:cs="Times New Roman"/>
          <w:sz w:val="24"/>
          <w:szCs w:val="24"/>
          <w:lang w:val="en-US" w:eastAsia="zh-CN"/>
        </w:rPr>
      </w:pPr>
      <w:bookmarkStart w:id="30" w:name="OLE_LINK51"/>
      <w:bookmarkStart w:id="31" w:name="OLE_LINK52"/>
      <w:bookmarkStart w:id="32" w:name="OLE_LINK120"/>
      <w:bookmarkStart w:id="33" w:name="OLE_LINK148"/>
      <w:bookmarkStart w:id="34" w:name="OLE_LINK72"/>
      <w:bookmarkStart w:id="35" w:name="OLE_LINK112"/>
      <w:bookmarkStart w:id="36" w:name="OLE_LINK320"/>
      <w:bookmarkStart w:id="37" w:name="OLE_LINK387"/>
      <w:bookmarkStart w:id="38" w:name="OLE_LINK183"/>
      <w:bookmarkStart w:id="39" w:name="OLE_LINK254"/>
      <w:bookmarkStart w:id="40" w:name="OLE_LINK149"/>
      <w:bookmarkStart w:id="41" w:name="OLE_LINK225"/>
      <w:bookmarkStart w:id="42" w:name="OLE_LINK207"/>
      <w:bookmarkStart w:id="43" w:name="OLE_LINK226"/>
      <w:bookmarkStart w:id="44" w:name="OLE_LINK212"/>
      <w:bookmarkStart w:id="45" w:name="OLE_LINK250"/>
      <w:bookmarkStart w:id="46" w:name="OLE_LINK281"/>
      <w:bookmarkStart w:id="47" w:name="OLE_LINK282"/>
      <w:bookmarkStart w:id="48" w:name="OLE_LINK313"/>
      <w:bookmarkStart w:id="49" w:name="OLE_LINK304"/>
      <w:bookmarkStart w:id="50" w:name="OLE_LINK321"/>
      <w:bookmarkStart w:id="51" w:name="OLE_LINK385"/>
      <w:bookmarkStart w:id="52" w:name="OLE_LINK400"/>
      <w:bookmarkStart w:id="53" w:name="OLE_LINK346"/>
      <w:bookmarkStart w:id="54" w:name="OLE_LINK371"/>
      <w:bookmarkStart w:id="55" w:name="OLE_LINK334"/>
      <w:bookmarkStart w:id="56" w:name="OLE_LINK1830"/>
      <w:bookmarkStart w:id="57" w:name="OLE_LINK457"/>
      <w:bookmarkStart w:id="58" w:name="OLE_LINK288"/>
      <w:bookmarkStart w:id="59" w:name="OLE_LINK384"/>
      <w:bookmarkStart w:id="60" w:name="OLE_LINK379"/>
      <w:bookmarkStart w:id="61" w:name="OLE_LINK303"/>
      <w:bookmarkStart w:id="62" w:name="OLE_LINK450"/>
      <w:bookmarkStart w:id="63" w:name="OLE_LINK489"/>
      <w:bookmarkStart w:id="64" w:name="OLE_LINK535"/>
      <w:bookmarkStart w:id="65" w:name="OLE_LINK648"/>
      <w:bookmarkStart w:id="66" w:name="OLE_LINK686"/>
      <w:bookmarkStart w:id="67" w:name="OLE_LINK471"/>
      <w:bookmarkStart w:id="68" w:name="OLE_LINK462"/>
      <w:bookmarkStart w:id="69" w:name="OLE_LINK519"/>
      <w:bookmarkStart w:id="70" w:name="OLE_LINK575"/>
      <w:bookmarkStart w:id="71" w:name="OLE_LINK491"/>
      <w:bookmarkStart w:id="72" w:name="OLE_LINK532"/>
      <w:bookmarkStart w:id="73" w:name="OLE_LINK572"/>
      <w:bookmarkStart w:id="74" w:name="OLE_LINK574"/>
      <w:bookmarkStart w:id="75" w:name="OLE_LINK480"/>
      <w:bookmarkStart w:id="76" w:name="OLE_LINK567"/>
      <w:bookmarkStart w:id="77" w:name="OLE_LINK2700"/>
      <w:bookmarkStart w:id="78" w:name="OLE_LINK581"/>
      <w:bookmarkStart w:id="79" w:name="OLE_LINK639"/>
      <w:bookmarkStart w:id="80" w:name="OLE_LINK688"/>
      <w:bookmarkStart w:id="81" w:name="OLE_LINK722"/>
      <w:bookmarkStart w:id="82" w:name="OLE_LINK542"/>
      <w:bookmarkStart w:id="83" w:name="OLE_LINK589"/>
      <w:bookmarkStart w:id="84" w:name="OLE_LINK582"/>
      <w:bookmarkStart w:id="85" w:name="OLE_LINK640"/>
      <w:bookmarkStart w:id="86" w:name="OLE_LINK714"/>
      <w:bookmarkStart w:id="87" w:name="OLE_LINK593"/>
      <w:bookmarkStart w:id="88" w:name="OLE_LINK716"/>
      <w:bookmarkStart w:id="89" w:name="OLE_LINK770"/>
      <w:bookmarkStart w:id="90" w:name="OLE_LINK801"/>
      <w:bookmarkStart w:id="91" w:name="OLE_LINK660"/>
      <w:bookmarkStart w:id="92" w:name="OLE_LINK781"/>
      <w:bookmarkStart w:id="93" w:name="OLE_LINK833"/>
      <w:bookmarkStart w:id="94" w:name="OLE_LINK642"/>
      <w:bookmarkStart w:id="95" w:name="OLE_LINK700"/>
      <w:bookmarkStart w:id="96" w:name="OLE_LINK792"/>
      <w:bookmarkStart w:id="97" w:name="OLE_LINK2882"/>
      <w:bookmarkStart w:id="98" w:name="OLE_LINK836"/>
      <w:bookmarkStart w:id="99" w:name="OLE_LINK889"/>
      <w:bookmarkStart w:id="100" w:name="OLE_LINK782"/>
      <w:bookmarkStart w:id="101" w:name="OLE_LINK826"/>
      <w:bookmarkStart w:id="102" w:name="OLE_LINK865"/>
      <w:bookmarkStart w:id="103" w:name="OLE_LINK856"/>
      <w:bookmarkStart w:id="104" w:name="OLE_LINK908"/>
      <w:bookmarkStart w:id="105" w:name="OLE_LINK980"/>
      <w:bookmarkStart w:id="106" w:name="OLE_LINK1018"/>
      <w:bookmarkStart w:id="107" w:name="OLE_LINK1049"/>
      <w:bookmarkStart w:id="108" w:name="OLE_LINK1076"/>
      <w:bookmarkStart w:id="109" w:name="OLE_LINK1106"/>
      <w:bookmarkStart w:id="110" w:name="OLE_LINK891"/>
      <w:bookmarkStart w:id="111" w:name="OLE_LINK943"/>
      <w:bookmarkStart w:id="112" w:name="OLE_LINK981"/>
      <w:bookmarkStart w:id="113" w:name="OLE_LINK1030"/>
      <w:bookmarkStart w:id="114" w:name="OLE_LINK847"/>
      <w:bookmarkStart w:id="115" w:name="OLE_LINK909"/>
      <w:bookmarkStart w:id="116" w:name="OLE_LINK906"/>
      <w:bookmarkStart w:id="117" w:name="OLE_LINK992"/>
      <w:bookmarkStart w:id="118" w:name="OLE_LINK993"/>
      <w:bookmarkStart w:id="119" w:name="OLE_LINK1052"/>
      <w:bookmarkStart w:id="120" w:name="OLE_LINK946"/>
      <w:bookmarkStart w:id="121" w:name="OLE_LINK911"/>
      <w:bookmarkStart w:id="122" w:name="OLE_LINK930"/>
      <w:bookmarkStart w:id="123" w:name="OLE_LINK1059"/>
      <w:bookmarkStart w:id="124" w:name="OLE_LINK1174"/>
      <w:bookmarkStart w:id="125" w:name="OLE_LINK1137"/>
      <w:bookmarkStart w:id="126" w:name="OLE_LINK1167"/>
      <w:bookmarkStart w:id="127" w:name="OLE_LINK1200"/>
      <w:bookmarkStart w:id="128" w:name="OLE_LINK1241"/>
      <w:bookmarkStart w:id="129" w:name="OLE_LINK1288"/>
      <w:bookmarkStart w:id="130" w:name="OLE_LINK1056"/>
      <w:bookmarkStart w:id="131" w:name="OLE_LINK1158"/>
      <w:bookmarkStart w:id="132" w:name="OLE_LINK1175"/>
      <w:bookmarkStart w:id="133" w:name="OLE_LINK1074"/>
      <w:bookmarkStart w:id="134" w:name="OLE_LINK1169"/>
      <w:bookmarkStart w:id="135" w:name="OLE_LINK1053"/>
      <w:bookmarkStart w:id="136" w:name="OLE_LINK1054"/>
      <w:r w:rsidRPr="00C11F21">
        <w:rPr>
          <w:rFonts w:ascii="Book Antiqua" w:eastAsia="SimSun" w:hAnsi="Book Antiqua" w:cs="Times New Roman"/>
          <w:b/>
          <w:bCs/>
          <w:sz w:val="24"/>
          <w:szCs w:val="24"/>
          <w:lang w:val="en-US" w:eastAsia="zh-CN"/>
        </w:rPr>
        <w:t>P-Reviewer:</w:t>
      </w:r>
      <w:r w:rsidRPr="00C11F21">
        <w:rPr>
          <w:rFonts w:ascii="Book Antiqua" w:eastAsia="SimSun" w:hAnsi="Book Antiqua" w:cs="Times New Roman" w:hint="eastAsia"/>
          <w:b/>
          <w:bCs/>
          <w:sz w:val="24"/>
          <w:szCs w:val="24"/>
          <w:lang w:val="en-US" w:eastAsia="zh-CN"/>
        </w:rPr>
        <w:t xml:space="preserve"> </w:t>
      </w:r>
      <w:r w:rsidRPr="00C11F21">
        <w:rPr>
          <w:rFonts w:ascii="Book Antiqua" w:eastAsia="SimSun" w:hAnsi="Book Antiqua" w:cs="Times New Roman"/>
          <w:bCs/>
          <w:sz w:val="24"/>
          <w:szCs w:val="24"/>
          <w:lang w:val="en-US" w:eastAsia="zh-CN"/>
        </w:rPr>
        <w:t>Bai G</w:t>
      </w:r>
      <w:r w:rsidRPr="00C11F21">
        <w:rPr>
          <w:rFonts w:ascii="Book Antiqua" w:eastAsia="SimSun" w:hAnsi="Book Antiqua" w:cs="Times New Roman" w:hint="eastAsia"/>
          <w:bCs/>
          <w:sz w:val="24"/>
          <w:szCs w:val="24"/>
          <w:lang w:val="en-US" w:eastAsia="zh-CN"/>
        </w:rPr>
        <w:t xml:space="preserve">, </w:t>
      </w:r>
      <w:r w:rsidRPr="00C11F21">
        <w:rPr>
          <w:rFonts w:ascii="Book Antiqua" w:eastAsia="SimSun" w:hAnsi="Book Antiqua" w:cs="Times New Roman"/>
          <w:bCs/>
          <w:sz w:val="24"/>
          <w:szCs w:val="24"/>
          <w:lang w:val="en-US" w:eastAsia="zh-CN"/>
        </w:rPr>
        <w:t>Diefenbach R</w:t>
      </w:r>
      <w:r w:rsidRPr="00C11F21">
        <w:rPr>
          <w:rFonts w:ascii="Book Antiqua" w:eastAsia="SimSun" w:hAnsi="Book Antiqua" w:cs="Times New Roman" w:hint="eastAsia"/>
          <w:bCs/>
          <w:sz w:val="24"/>
          <w:szCs w:val="24"/>
          <w:lang w:val="en-US" w:eastAsia="zh-CN"/>
        </w:rPr>
        <w:t xml:space="preserve">, </w:t>
      </w:r>
      <w:r w:rsidRPr="00C11F21">
        <w:rPr>
          <w:rFonts w:ascii="Book Antiqua" w:eastAsia="SimSun" w:hAnsi="Book Antiqua" w:cs="Times New Roman"/>
          <w:bCs/>
          <w:sz w:val="24"/>
          <w:szCs w:val="24"/>
          <w:lang w:val="en-US" w:eastAsia="zh-CN"/>
        </w:rPr>
        <w:t>Nagahara H</w:t>
      </w:r>
      <w:r w:rsidRPr="00C11F21">
        <w:rPr>
          <w:rFonts w:ascii="Book Antiqua" w:eastAsia="SimSun" w:hAnsi="Book Antiqua" w:cs="Times New Roman" w:hint="eastAsia"/>
          <w:bCs/>
          <w:sz w:val="24"/>
          <w:szCs w:val="24"/>
          <w:lang w:val="en-US" w:eastAsia="zh-CN"/>
        </w:rPr>
        <w:t xml:space="preserve">, </w:t>
      </w:r>
      <w:r w:rsidRPr="00C11F21">
        <w:rPr>
          <w:rFonts w:ascii="Book Antiqua" w:eastAsia="SimSun" w:hAnsi="Book Antiqua" w:cs="Times New Roman"/>
          <w:bCs/>
          <w:sz w:val="24"/>
          <w:szCs w:val="24"/>
          <w:lang w:val="en-US" w:eastAsia="zh-CN"/>
        </w:rPr>
        <w:t>Spunde K</w:t>
      </w:r>
      <w:r w:rsidRPr="00C11F21">
        <w:rPr>
          <w:rFonts w:ascii="Book Antiqua" w:eastAsia="SimSun" w:hAnsi="Book Antiqua" w:cs="Times New Roman" w:hint="eastAsia"/>
          <w:b/>
          <w:bCs/>
          <w:sz w:val="24"/>
          <w:szCs w:val="24"/>
          <w:lang w:val="en-US" w:eastAsia="zh-CN"/>
        </w:rPr>
        <w:t xml:space="preserve"> </w:t>
      </w:r>
      <w:r w:rsidRPr="00C11F21">
        <w:rPr>
          <w:rFonts w:ascii="Book Antiqua" w:eastAsia="SimSun" w:hAnsi="Book Antiqua" w:cs="Times New Roman"/>
          <w:b/>
          <w:bCs/>
          <w:sz w:val="24"/>
          <w:szCs w:val="24"/>
          <w:lang w:val="en-US" w:eastAsia="zh-CN"/>
        </w:rPr>
        <w:t>S-Editor:</w:t>
      </w:r>
      <w:r w:rsidRPr="00C11F21">
        <w:rPr>
          <w:rFonts w:ascii="Book Antiqua" w:eastAsia="SimSun" w:hAnsi="Book Antiqua" w:cs="Times New Roman" w:hint="eastAsia"/>
          <w:sz w:val="24"/>
          <w:szCs w:val="24"/>
          <w:lang w:val="en-US" w:eastAsia="zh-CN"/>
        </w:rPr>
        <w:t xml:space="preserve"> Gong ZM</w:t>
      </w:r>
    </w:p>
    <w:p w14:paraId="7A9F7798" w14:textId="77777777" w:rsidR="00364278" w:rsidRPr="00C11F21" w:rsidRDefault="00364278" w:rsidP="00364278">
      <w:pPr>
        <w:snapToGrid w:val="0"/>
        <w:spacing w:after="0" w:line="360" w:lineRule="auto"/>
        <w:jc w:val="right"/>
        <w:rPr>
          <w:rFonts w:ascii="Book Antiqua" w:eastAsia="SimSun" w:hAnsi="Book Antiqua" w:cs="Times New Roman"/>
          <w:b/>
          <w:bCs/>
          <w:sz w:val="24"/>
          <w:szCs w:val="24"/>
          <w:lang w:val="en-US" w:eastAsia="zh-CN"/>
        </w:rPr>
      </w:pPr>
      <w:r w:rsidRPr="00C11F21">
        <w:rPr>
          <w:rFonts w:ascii="Book Antiqua" w:eastAsia="SimSun" w:hAnsi="Book Antiqua" w:cs="Times New Roman"/>
          <w:b/>
          <w:bCs/>
          <w:sz w:val="24"/>
          <w:szCs w:val="24"/>
          <w:lang w:val="en-US" w:eastAsia="zh-CN"/>
        </w:rPr>
        <w:t>L-Editor:</w:t>
      </w:r>
      <w:r w:rsidRPr="00C11F21">
        <w:rPr>
          <w:rFonts w:ascii="Book Antiqua" w:eastAsia="SimSun" w:hAnsi="Book Antiqua" w:cs="Times New Roman"/>
          <w:sz w:val="24"/>
          <w:szCs w:val="24"/>
          <w:lang w:val="en-US" w:eastAsia="zh-CN"/>
        </w:rPr>
        <w:t xml:space="preserve"> </w:t>
      </w:r>
      <w:r w:rsidRPr="00C11F21">
        <w:rPr>
          <w:rFonts w:ascii="Book Antiqua" w:eastAsia="SimSun" w:hAnsi="Book Antiqua" w:cs="Times New Roman"/>
          <w:b/>
          <w:bCs/>
          <w:sz w:val="24"/>
          <w:szCs w:val="24"/>
          <w:lang w:val="en-US" w:eastAsia="zh-CN"/>
        </w:rPr>
        <w:t>E-Editor:</w:t>
      </w:r>
    </w:p>
    <w:p w14:paraId="52BBEF77" w14:textId="77777777" w:rsidR="00364278" w:rsidRPr="00C11F21" w:rsidRDefault="00364278" w:rsidP="00364278">
      <w:pPr>
        <w:shd w:val="clear" w:color="auto" w:fill="FFFFFF"/>
        <w:snapToGrid w:val="0"/>
        <w:spacing w:after="0" w:line="360" w:lineRule="auto"/>
        <w:jc w:val="both"/>
        <w:rPr>
          <w:rFonts w:ascii="Book Antiqua" w:eastAsia="SimSun" w:hAnsi="Book Antiqua" w:cs="Helvetica"/>
          <w:b/>
          <w:sz w:val="24"/>
          <w:szCs w:val="24"/>
          <w:lang w:val="en-US" w:eastAsia="zh-CN"/>
        </w:rPr>
      </w:pPr>
      <w:bookmarkStart w:id="137" w:name="OLE_LINK880"/>
      <w:bookmarkStart w:id="138" w:name="OLE_LINK881"/>
      <w:bookmarkStart w:id="139" w:name="OLE_LINK497"/>
      <w:bookmarkStart w:id="140" w:name="OLE_LINK813"/>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C11F21">
        <w:rPr>
          <w:rFonts w:ascii="Book Antiqua" w:eastAsia="SimSun" w:hAnsi="Book Antiqua" w:cs="Helvetica"/>
          <w:b/>
          <w:sz w:val="24"/>
          <w:szCs w:val="24"/>
          <w:lang w:val="en-US" w:eastAsia="zh-CN"/>
        </w:rPr>
        <w:t xml:space="preserve">Specialty type: </w:t>
      </w:r>
      <w:r w:rsidRPr="00C11F21">
        <w:rPr>
          <w:rFonts w:ascii="Book Antiqua" w:eastAsia="SimSun" w:hAnsi="Book Antiqua" w:cs="Helvetica"/>
          <w:sz w:val="24"/>
          <w:szCs w:val="24"/>
          <w:lang w:val="en-US" w:eastAsia="zh-CN"/>
        </w:rPr>
        <w:t>Gastroenterology and</w:t>
      </w:r>
      <w:r w:rsidRPr="00C11F21">
        <w:rPr>
          <w:rFonts w:ascii="Book Antiqua" w:eastAsia="SimSun" w:hAnsi="Book Antiqua" w:cs="Helvetica" w:hint="eastAsia"/>
          <w:sz w:val="24"/>
          <w:szCs w:val="24"/>
          <w:lang w:val="en-US" w:eastAsia="zh-CN"/>
        </w:rPr>
        <w:t xml:space="preserve"> </w:t>
      </w:r>
      <w:r w:rsidRPr="00C11F21">
        <w:rPr>
          <w:rFonts w:ascii="Book Antiqua" w:eastAsia="SimSun" w:hAnsi="Book Antiqua" w:cs="Helvetica"/>
          <w:sz w:val="24"/>
          <w:szCs w:val="24"/>
          <w:lang w:val="en-US" w:eastAsia="zh-CN"/>
        </w:rPr>
        <w:t>hepatology</w:t>
      </w:r>
    </w:p>
    <w:p w14:paraId="0EDE7BA1" w14:textId="77777777" w:rsidR="00364278" w:rsidRPr="00C11F21" w:rsidRDefault="00364278" w:rsidP="00364278">
      <w:pPr>
        <w:shd w:val="clear" w:color="auto" w:fill="FFFFFF"/>
        <w:snapToGrid w:val="0"/>
        <w:spacing w:after="0" w:line="360" w:lineRule="auto"/>
        <w:jc w:val="both"/>
        <w:rPr>
          <w:rFonts w:ascii="Book Antiqua" w:eastAsia="SimSun" w:hAnsi="Book Antiqua" w:cs="Helvetica"/>
          <w:b/>
          <w:sz w:val="24"/>
          <w:szCs w:val="24"/>
          <w:lang w:val="en-US" w:eastAsia="zh-CN"/>
        </w:rPr>
      </w:pPr>
      <w:r w:rsidRPr="00C11F21">
        <w:rPr>
          <w:rFonts w:ascii="Book Antiqua" w:eastAsia="SimSun" w:hAnsi="Book Antiqua" w:cs="Helvetica"/>
          <w:b/>
          <w:sz w:val="24"/>
          <w:szCs w:val="24"/>
          <w:lang w:val="en-US" w:eastAsia="zh-CN"/>
        </w:rPr>
        <w:t xml:space="preserve">Country of origin: </w:t>
      </w:r>
      <w:r w:rsidRPr="00C11F21">
        <w:rPr>
          <w:rFonts w:ascii="Book Antiqua" w:eastAsia="SimSun" w:hAnsi="Book Antiqua" w:cs="Helvetica"/>
          <w:sz w:val="24"/>
          <w:szCs w:val="24"/>
          <w:lang w:val="en-CA" w:eastAsia="zh-CN"/>
        </w:rPr>
        <w:t>Spain</w:t>
      </w:r>
    </w:p>
    <w:p w14:paraId="08398956" w14:textId="77777777" w:rsidR="00364278" w:rsidRPr="00C11F21" w:rsidRDefault="00364278" w:rsidP="00364278">
      <w:pPr>
        <w:shd w:val="clear" w:color="auto" w:fill="FFFFFF"/>
        <w:snapToGrid w:val="0"/>
        <w:spacing w:after="0" w:line="360" w:lineRule="auto"/>
        <w:jc w:val="both"/>
        <w:rPr>
          <w:rFonts w:ascii="Book Antiqua" w:eastAsia="SimSun" w:hAnsi="Book Antiqua" w:cs="Helvetica"/>
          <w:b/>
          <w:sz w:val="24"/>
          <w:szCs w:val="24"/>
          <w:lang w:val="en-US" w:eastAsia="zh-CN"/>
        </w:rPr>
      </w:pPr>
      <w:r w:rsidRPr="00C11F21">
        <w:rPr>
          <w:rFonts w:ascii="Book Antiqua" w:eastAsia="SimSun" w:hAnsi="Book Antiqua" w:cs="Helvetica"/>
          <w:b/>
          <w:sz w:val="24"/>
          <w:szCs w:val="24"/>
          <w:lang w:val="en-US" w:eastAsia="zh-CN"/>
        </w:rPr>
        <w:t>Peer-review report classification</w:t>
      </w:r>
    </w:p>
    <w:p w14:paraId="22566469" w14:textId="77777777" w:rsidR="00364278" w:rsidRPr="00C11F21" w:rsidRDefault="00364278" w:rsidP="00364278">
      <w:pPr>
        <w:shd w:val="clear" w:color="auto" w:fill="FFFFFF"/>
        <w:snapToGrid w:val="0"/>
        <w:spacing w:after="0" w:line="360" w:lineRule="auto"/>
        <w:jc w:val="both"/>
        <w:rPr>
          <w:rFonts w:ascii="Book Antiqua" w:eastAsia="SimSun" w:hAnsi="Book Antiqua" w:cs="Helvetica"/>
          <w:sz w:val="24"/>
          <w:szCs w:val="24"/>
          <w:lang w:val="en-US" w:eastAsia="zh-CN"/>
        </w:rPr>
      </w:pPr>
      <w:r w:rsidRPr="00C11F21">
        <w:rPr>
          <w:rFonts w:ascii="Book Antiqua" w:eastAsia="SimSun" w:hAnsi="Book Antiqua" w:cs="Helvetica"/>
          <w:sz w:val="24"/>
          <w:szCs w:val="24"/>
          <w:lang w:val="en-US" w:eastAsia="zh-CN"/>
        </w:rPr>
        <w:t xml:space="preserve">Grade A (Excellent): </w:t>
      </w:r>
      <w:r w:rsidRPr="00C11F21">
        <w:rPr>
          <w:rFonts w:ascii="Book Antiqua" w:eastAsia="SimSun" w:hAnsi="Book Antiqua" w:cs="Helvetica" w:hint="eastAsia"/>
          <w:sz w:val="24"/>
          <w:szCs w:val="24"/>
          <w:lang w:val="en-US" w:eastAsia="zh-CN"/>
        </w:rPr>
        <w:t>0</w:t>
      </w:r>
    </w:p>
    <w:p w14:paraId="6756E483" w14:textId="77777777" w:rsidR="00364278" w:rsidRPr="00C11F21" w:rsidRDefault="00364278" w:rsidP="00364278">
      <w:pPr>
        <w:shd w:val="clear" w:color="auto" w:fill="FFFFFF"/>
        <w:snapToGrid w:val="0"/>
        <w:spacing w:after="0" w:line="360" w:lineRule="auto"/>
        <w:jc w:val="both"/>
        <w:rPr>
          <w:rFonts w:ascii="Book Antiqua" w:eastAsia="SimSun" w:hAnsi="Book Antiqua" w:cs="Helvetica"/>
          <w:sz w:val="24"/>
          <w:szCs w:val="24"/>
          <w:lang w:val="en-US" w:eastAsia="zh-CN"/>
        </w:rPr>
      </w:pPr>
      <w:r w:rsidRPr="00C11F21">
        <w:rPr>
          <w:rFonts w:ascii="Book Antiqua" w:eastAsia="SimSun" w:hAnsi="Book Antiqua" w:cs="Helvetica"/>
          <w:sz w:val="24"/>
          <w:szCs w:val="24"/>
          <w:lang w:val="en-US" w:eastAsia="zh-CN"/>
        </w:rPr>
        <w:t xml:space="preserve">Grade B (Very good): </w:t>
      </w:r>
      <w:r w:rsidRPr="00C11F21">
        <w:rPr>
          <w:rFonts w:ascii="Book Antiqua" w:eastAsia="SimSun" w:hAnsi="Book Antiqua" w:cs="Helvetica" w:hint="eastAsia"/>
          <w:sz w:val="24"/>
          <w:szCs w:val="24"/>
          <w:lang w:val="en-US" w:eastAsia="zh-CN"/>
        </w:rPr>
        <w:t>B, B</w:t>
      </w:r>
    </w:p>
    <w:p w14:paraId="0B8963AA" w14:textId="77777777" w:rsidR="00364278" w:rsidRPr="00C11F21" w:rsidRDefault="00364278" w:rsidP="00364278">
      <w:pPr>
        <w:shd w:val="clear" w:color="auto" w:fill="FFFFFF"/>
        <w:snapToGrid w:val="0"/>
        <w:spacing w:after="0" w:line="360" w:lineRule="auto"/>
        <w:jc w:val="both"/>
        <w:rPr>
          <w:rFonts w:ascii="Book Antiqua" w:eastAsia="SimSun" w:hAnsi="Book Antiqua" w:cs="Helvetica"/>
          <w:sz w:val="24"/>
          <w:szCs w:val="24"/>
          <w:lang w:val="en-US" w:eastAsia="zh-CN"/>
        </w:rPr>
      </w:pPr>
      <w:r w:rsidRPr="00C11F21">
        <w:rPr>
          <w:rFonts w:ascii="Book Antiqua" w:eastAsia="SimSun" w:hAnsi="Book Antiqua" w:cs="Helvetica"/>
          <w:sz w:val="24"/>
          <w:szCs w:val="24"/>
          <w:lang w:val="en-US" w:eastAsia="zh-CN"/>
        </w:rPr>
        <w:t xml:space="preserve">Grade C (Good): </w:t>
      </w:r>
      <w:r w:rsidRPr="00C11F21">
        <w:rPr>
          <w:rFonts w:ascii="Book Antiqua" w:eastAsia="SimSun" w:hAnsi="Book Antiqua" w:cs="Helvetica" w:hint="eastAsia"/>
          <w:sz w:val="24"/>
          <w:szCs w:val="24"/>
          <w:lang w:val="en-US" w:eastAsia="zh-CN"/>
        </w:rPr>
        <w:t>C</w:t>
      </w:r>
    </w:p>
    <w:p w14:paraId="30C11DB7" w14:textId="77777777" w:rsidR="00364278" w:rsidRPr="00C11F21" w:rsidRDefault="00364278" w:rsidP="00364278">
      <w:pPr>
        <w:shd w:val="clear" w:color="auto" w:fill="FFFFFF"/>
        <w:snapToGrid w:val="0"/>
        <w:spacing w:after="0" w:line="360" w:lineRule="auto"/>
        <w:jc w:val="both"/>
        <w:rPr>
          <w:rFonts w:ascii="Book Antiqua" w:eastAsia="SimSun" w:hAnsi="Book Antiqua" w:cs="Helvetica"/>
          <w:sz w:val="24"/>
          <w:szCs w:val="24"/>
          <w:lang w:val="en-US" w:eastAsia="zh-CN"/>
        </w:rPr>
      </w:pPr>
      <w:r w:rsidRPr="00C11F21">
        <w:rPr>
          <w:rFonts w:ascii="Book Antiqua" w:eastAsia="SimSun" w:hAnsi="Book Antiqua" w:cs="Helvetica"/>
          <w:sz w:val="24"/>
          <w:szCs w:val="24"/>
          <w:lang w:val="en-US" w:eastAsia="zh-CN"/>
        </w:rPr>
        <w:t xml:space="preserve">Grade D (Fair): </w:t>
      </w:r>
      <w:r w:rsidRPr="00C11F21">
        <w:rPr>
          <w:rFonts w:ascii="Book Antiqua" w:eastAsia="SimSun" w:hAnsi="Book Antiqua" w:cs="Helvetica" w:hint="eastAsia"/>
          <w:sz w:val="24"/>
          <w:szCs w:val="24"/>
          <w:lang w:val="en-US" w:eastAsia="zh-CN"/>
        </w:rPr>
        <w:t>0</w:t>
      </w:r>
    </w:p>
    <w:p w14:paraId="03B6F7BD" w14:textId="3CC68F22" w:rsidR="00364278" w:rsidRPr="00C11F21" w:rsidRDefault="00364278" w:rsidP="00364278">
      <w:pPr>
        <w:shd w:val="clear" w:color="auto" w:fill="FFFFFF"/>
        <w:snapToGrid w:val="0"/>
        <w:spacing w:after="0" w:line="360" w:lineRule="auto"/>
        <w:jc w:val="both"/>
        <w:rPr>
          <w:rFonts w:ascii="Book Antiqua" w:eastAsia="SimSun" w:hAnsi="Book Antiqua" w:cs="Helvetica"/>
          <w:sz w:val="24"/>
          <w:szCs w:val="24"/>
          <w:lang w:val="en-US" w:eastAsia="zh-CN"/>
        </w:rPr>
      </w:pPr>
      <w:r w:rsidRPr="00C11F21">
        <w:rPr>
          <w:rFonts w:ascii="Book Antiqua" w:eastAsia="SimSun" w:hAnsi="Book Antiqua" w:cs="Helvetica"/>
          <w:sz w:val="24"/>
          <w:szCs w:val="24"/>
          <w:lang w:val="en-US" w:eastAsia="zh-CN"/>
        </w:rPr>
        <w:t xml:space="preserve">Grade E (Poor): </w:t>
      </w:r>
      <w:bookmarkEnd w:id="137"/>
      <w:bookmarkEnd w:id="138"/>
      <w:r w:rsidRPr="00C11F21">
        <w:rPr>
          <w:rFonts w:ascii="Book Antiqua" w:eastAsia="SimSun" w:hAnsi="Book Antiqua" w:cs="Helvetica" w:hint="eastAsia"/>
          <w:sz w:val="24"/>
          <w:szCs w:val="24"/>
          <w:lang w:val="en-US" w:eastAsia="zh-CN"/>
        </w:rPr>
        <w:t xml:space="preserve">E </w:t>
      </w:r>
      <w:bookmarkEnd w:id="135"/>
      <w:bookmarkEnd w:id="136"/>
      <w:bookmarkEnd w:id="139"/>
      <w:bookmarkEnd w:id="140"/>
    </w:p>
    <w:p w14:paraId="33225EF7" w14:textId="77777777" w:rsidR="00266C9E" w:rsidRPr="00C11F21" w:rsidRDefault="00266C9E" w:rsidP="00F33187">
      <w:pPr>
        <w:snapToGrid w:val="0"/>
        <w:spacing w:after="0" w:line="360" w:lineRule="auto"/>
        <w:rPr>
          <w:rFonts w:ascii="Book Antiqua" w:hAnsi="Book Antiqua" w:cstheme="minorHAnsi"/>
          <w:sz w:val="24"/>
          <w:szCs w:val="24"/>
          <w:lang w:val="en-US"/>
        </w:rPr>
      </w:pPr>
      <w:r w:rsidRPr="00C11F21">
        <w:rPr>
          <w:rFonts w:ascii="Book Antiqua" w:hAnsi="Book Antiqua" w:cstheme="minorHAnsi"/>
          <w:sz w:val="24"/>
          <w:szCs w:val="24"/>
          <w:lang w:val="en-US"/>
        </w:rPr>
        <w:br w:type="page"/>
      </w:r>
    </w:p>
    <w:p w14:paraId="48A1F496" w14:textId="77777777" w:rsidR="00266C9E" w:rsidRPr="00C11F21" w:rsidRDefault="003A24E3" w:rsidP="00F33187">
      <w:pPr>
        <w:widowControl w:val="0"/>
        <w:autoSpaceDE w:val="0"/>
        <w:autoSpaceDN w:val="0"/>
        <w:adjustRightInd w:val="0"/>
        <w:snapToGrid w:val="0"/>
        <w:spacing w:after="0" w:line="360" w:lineRule="auto"/>
        <w:ind w:left="640" w:hanging="640"/>
        <w:rPr>
          <w:rFonts w:ascii="Book Antiqua" w:hAnsi="Book Antiqua" w:cstheme="minorHAnsi"/>
          <w:sz w:val="24"/>
          <w:szCs w:val="24"/>
          <w:lang w:val="en-US"/>
        </w:rPr>
      </w:pPr>
      <w:r w:rsidRPr="00C11F21">
        <w:rPr>
          <w:rFonts w:ascii="Book Antiqua" w:hAnsi="Book Antiqua" w:cstheme="minorHAnsi"/>
          <w:noProof/>
          <w:sz w:val="24"/>
          <w:szCs w:val="24"/>
          <w:lang w:val="en-US" w:eastAsia="zh-CN"/>
        </w:rPr>
        <w:lastRenderedPageBreak/>
        <w:drawing>
          <wp:inline distT="0" distB="0" distL="0" distR="0" wp14:anchorId="4714150E" wp14:editId="687884B6">
            <wp:extent cx="5400040" cy="4138295"/>
            <wp:effectExtent l="19050" t="0" r="0" b="0"/>
            <wp:docPr id="2" name="1 Imagen"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1"/>
                    <a:stretch>
                      <a:fillRect/>
                    </a:stretch>
                  </pic:blipFill>
                  <pic:spPr>
                    <a:xfrm>
                      <a:off x="0" y="0"/>
                      <a:ext cx="5400040" cy="4138295"/>
                    </a:xfrm>
                    <a:prstGeom prst="rect">
                      <a:avLst/>
                    </a:prstGeom>
                  </pic:spPr>
                </pic:pic>
              </a:graphicData>
            </a:graphic>
          </wp:inline>
        </w:drawing>
      </w:r>
    </w:p>
    <w:p w14:paraId="4849B155" w14:textId="64E98DE3" w:rsidR="00266C9E" w:rsidRPr="00C11F21" w:rsidRDefault="00266C9E" w:rsidP="00F33187">
      <w:pPr>
        <w:autoSpaceDE w:val="0"/>
        <w:autoSpaceDN w:val="0"/>
        <w:adjustRightInd w:val="0"/>
        <w:snapToGrid w:val="0"/>
        <w:spacing w:after="0" w:line="360" w:lineRule="auto"/>
        <w:jc w:val="both"/>
        <w:rPr>
          <w:rFonts w:ascii="Book Antiqua" w:hAnsi="Book Antiqua" w:cstheme="minorHAnsi"/>
          <w:sz w:val="24"/>
          <w:szCs w:val="24"/>
          <w:lang w:val="en-US"/>
        </w:rPr>
      </w:pPr>
      <w:r w:rsidRPr="00C11F21">
        <w:rPr>
          <w:rFonts w:ascii="Book Antiqua" w:hAnsi="Book Antiqua" w:cstheme="minorHAnsi"/>
          <w:b/>
          <w:sz w:val="24"/>
          <w:szCs w:val="24"/>
          <w:lang w:val="en-US"/>
        </w:rPr>
        <w:t>Figure 1</w:t>
      </w:r>
      <w:r w:rsidR="00517A8B" w:rsidRPr="00C11F21">
        <w:rPr>
          <w:rFonts w:ascii="Book Antiqua" w:hAnsi="Book Antiqua" w:cstheme="minorHAnsi" w:hint="eastAsia"/>
          <w:b/>
          <w:sz w:val="24"/>
          <w:szCs w:val="24"/>
          <w:lang w:val="en-US" w:eastAsia="zh-CN"/>
        </w:rPr>
        <w:t xml:space="preserve"> </w:t>
      </w:r>
      <w:r w:rsidR="008F2543" w:rsidRPr="00C11F21">
        <w:rPr>
          <w:rFonts w:ascii="Book Antiqua" w:hAnsi="Book Antiqua" w:cstheme="minorHAnsi"/>
          <w:b/>
          <w:sz w:val="24"/>
          <w:szCs w:val="24"/>
          <w:lang w:val="en-US"/>
        </w:rPr>
        <w:t xml:space="preserve">Model of interaction between large </w:t>
      </w:r>
      <w:r w:rsidR="00595D3F" w:rsidRPr="00C11F21">
        <w:rPr>
          <w:rFonts w:ascii="Book Antiqua" w:hAnsi="Book Antiqua" w:cstheme="minorHAnsi"/>
          <w:b/>
          <w:sz w:val="24"/>
          <w:szCs w:val="24"/>
          <w:lang w:val="en-US"/>
        </w:rPr>
        <w:t>envelope proteins</w:t>
      </w:r>
      <w:r w:rsidR="008F2543" w:rsidRPr="00C11F21">
        <w:rPr>
          <w:rFonts w:ascii="Book Antiqua" w:hAnsi="Book Antiqua" w:cstheme="minorHAnsi"/>
          <w:sz w:val="24"/>
          <w:szCs w:val="24"/>
          <w:lang w:val="en-US"/>
        </w:rPr>
        <w:t xml:space="preserve"> </w:t>
      </w:r>
      <w:r w:rsidR="008F2543" w:rsidRPr="00C11F21">
        <w:rPr>
          <w:rFonts w:ascii="Book Antiqua" w:hAnsi="Book Antiqua" w:cstheme="minorHAnsi"/>
          <w:b/>
          <w:sz w:val="24"/>
          <w:szCs w:val="24"/>
          <w:lang w:val="en-US"/>
        </w:rPr>
        <w:t>and</w:t>
      </w:r>
      <w:r w:rsidR="00595D3F" w:rsidRPr="00C11F21">
        <w:rPr>
          <w:rFonts w:ascii="Book Antiqua" w:hAnsi="Book Antiqua" w:cstheme="minorHAnsi"/>
          <w:b/>
          <w:sz w:val="24"/>
          <w:szCs w:val="24"/>
          <w:lang w:val="en-US"/>
        </w:rPr>
        <w:t xml:space="preserve"> </w:t>
      </w:r>
      <w:r w:rsidR="008F2543" w:rsidRPr="00C11F21">
        <w:rPr>
          <w:rFonts w:ascii="Book Antiqua" w:hAnsi="Book Antiqua" w:cstheme="minorHAnsi"/>
          <w:b/>
          <w:sz w:val="24"/>
          <w:szCs w:val="24"/>
          <w:lang w:val="en-US"/>
        </w:rPr>
        <w:t>the sodium-taurocholate cotransporting polypeptide.</w:t>
      </w:r>
      <w:r w:rsidR="00595D3F" w:rsidRPr="00C11F21">
        <w:rPr>
          <w:rFonts w:ascii="Book Antiqua" w:hAnsi="Book Antiqua" w:cstheme="minorHAnsi"/>
          <w:sz w:val="24"/>
          <w:szCs w:val="24"/>
          <w:lang w:val="en-US"/>
        </w:rPr>
        <w:t xml:space="preserve"> </w:t>
      </w:r>
      <w:r w:rsidRPr="00C11F21">
        <w:rPr>
          <w:rFonts w:ascii="Book Antiqua" w:hAnsi="Book Antiqua" w:cstheme="minorHAnsi"/>
          <w:sz w:val="24"/>
          <w:szCs w:val="24"/>
          <w:lang w:val="en-US"/>
        </w:rPr>
        <w:t>A</w:t>
      </w:r>
      <w:r w:rsidR="00517A8B" w:rsidRPr="00C11F21">
        <w:rPr>
          <w:rFonts w:ascii="Book Antiqua" w:hAnsi="Book Antiqua" w:cstheme="minorHAnsi" w:hint="eastAsia"/>
          <w:sz w:val="24"/>
          <w:szCs w:val="24"/>
          <w:lang w:val="en-US" w:eastAsia="zh-CN"/>
        </w:rPr>
        <w:t xml:space="preserve">: </w:t>
      </w:r>
      <w:r w:rsidR="00B32667" w:rsidRPr="00C11F21">
        <w:rPr>
          <w:rFonts w:ascii="Book Antiqua" w:hAnsi="Book Antiqua" w:cstheme="minorHAnsi"/>
          <w:sz w:val="24"/>
          <w:szCs w:val="24"/>
          <w:lang w:val="en-US"/>
        </w:rPr>
        <w:t>Schematic</w:t>
      </w:r>
      <w:r w:rsidRPr="00C11F21">
        <w:rPr>
          <w:rFonts w:ascii="Book Antiqua" w:hAnsi="Book Antiqua" w:cstheme="minorHAnsi"/>
          <w:sz w:val="24"/>
          <w:szCs w:val="24"/>
          <w:lang w:val="en-US"/>
        </w:rPr>
        <w:t xml:space="preserve"> diagram of HBV envelope proteins</w:t>
      </w:r>
      <w:r w:rsidR="00B32667" w:rsidRPr="00C11F21">
        <w:rPr>
          <w:rFonts w:ascii="Book Antiqua" w:hAnsi="Book Antiqua" w:cstheme="minorHAnsi"/>
          <w:sz w:val="24"/>
          <w:szCs w:val="24"/>
          <w:lang w:val="en-US"/>
        </w:rPr>
        <w:t>: Small (S), Medium (M) and Large (L) envelope proteins.</w:t>
      </w:r>
      <w:r w:rsidRPr="00C11F21">
        <w:rPr>
          <w:rFonts w:ascii="Book Antiqua" w:hAnsi="Book Antiqua" w:cstheme="minorHAnsi"/>
          <w:sz w:val="24"/>
          <w:szCs w:val="24"/>
          <w:lang w:val="en-US"/>
        </w:rPr>
        <w:t xml:space="preserve"> B</w:t>
      </w:r>
      <w:r w:rsidR="00517A8B" w:rsidRPr="00C11F21">
        <w:rPr>
          <w:rFonts w:ascii="Book Antiqua" w:hAnsi="Book Antiqua" w:cstheme="minorHAnsi" w:hint="eastAsia"/>
          <w:sz w:val="24"/>
          <w:szCs w:val="24"/>
          <w:lang w:val="en-US" w:eastAsia="zh-CN"/>
        </w:rPr>
        <w:t xml:space="preserve">: </w:t>
      </w:r>
      <w:r w:rsidR="00B32667" w:rsidRPr="00C11F21">
        <w:rPr>
          <w:rFonts w:ascii="Book Antiqua" w:hAnsi="Book Antiqua" w:cstheme="minorHAnsi"/>
          <w:sz w:val="24"/>
          <w:szCs w:val="24"/>
          <w:lang w:val="en-US"/>
        </w:rPr>
        <w:t>R</w:t>
      </w:r>
      <w:r w:rsidRPr="00C11F21">
        <w:rPr>
          <w:rFonts w:ascii="Book Antiqua" w:hAnsi="Book Antiqua" w:cstheme="minorHAnsi"/>
          <w:sz w:val="24"/>
          <w:szCs w:val="24"/>
          <w:lang w:val="en-US"/>
        </w:rPr>
        <w:t xml:space="preserve">epresentation of the interaction between </w:t>
      </w:r>
      <w:r w:rsidR="002D1959" w:rsidRPr="00C11F21">
        <w:rPr>
          <w:rFonts w:ascii="Book Antiqua" w:hAnsi="Book Antiqua" w:cstheme="minorHAnsi"/>
          <w:sz w:val="24"/>
          <w:szCs w:val="24"/>
          <w:lang w:val="en-US"/>
        </w:rPr>
        <w:t xml:space="preserve">the </w:t>
      </w:r>
      <w:r w:rsidRPr="00C11F21">
        <w:rPr>
          <w:rFonts w:ascii="Book Antiqua" w:hAnsi="Book Antiqua" w:cstheme="minorHAnsi"/>
          <w:sz w:val="24"/>
          <w:szCs w:val="24"/>
          <w:lang w:val="en-US"/>
        </w:rPr>
        <w:t xml:space="preserve">viral preS1 protein and its host receptor in hepatocytes, </w:t>
      </w:r>
      <w:r w:rsidR="007611BB" w:rsidRPr="00C11F21">
        <w:rPr>
          <w:rFonts w:ascii="Book Antiqua" w:hAnsi="Book Antiqua" w:cstheme="minorHAnsi"/>
          <w:sz w:val="24"/>
          <w:szCs w:val="24"/>
          <w:lang w:val="en-US"/>
        </w:rPr>
        <w:t>sodium-taurocholate cotransporting polypeptide (</w:t>
      </w:r>
      <w:r w:rsidR="00B32667" w:rsidRPr="00C11F21">
        <w:rPr>
          <w:rFonts w:ascii="Book Antiqua" w:hAnsi="Book Antiqua" w:cstheme="minorHAnsi"/>
          <w:sz w:val="24"/>
          <w:szCs w:val="24"/>
          <w:lang w:val="en-US"/>
        </w:rPr>
        <w:t>NTCP</w:t>
      </w:r>
      <w:r w:rsidR="007611BB" w:rsidRPr="00C11F21">
        <w:rPr>
          <w:rFonts w:ascii="Book Antiqua" w:hAnsi="Book Antiqua" w:cstheme="minorHAnsi"/>
          <w:sz w:val="24"/>
          <w:szCs w:val="24"/>
          <w:lang w:val="en-US"/>
        </w:rPr>
        <w:t>)</w:t>
      </w:r>
      <w:r w:rsidR="003A24E3" w:rsidRPr="00C11F21">
        <w:rPr>
          <w:rFonts w:ascii="Book Antiqua" w:hAnsi="Book Antiqua" w:cstheme="minorHAnsi"/>
          <w:sz w:val="24"/>
          <w:szCs w:val="24"/>
          <w:lang w:val="en-US"/>
        </w:rPr>
        <w:t xml:space="preserve">, </w:t>
      </w:r>
      <w:r w:rsidR="002D258B" w:rsidRPr="00C11F21">
        <w:rPr>
          <w:rFonts w:ascii="Book Antiqua" w:hAnsi="Book Antiqua" w:cstheme="minorHAnsi"/>
          <w:sz w:val="24"/>
          <w:szCs w:val="24"/>
          <w:lang w:val="en-US"/>
        </w:rPr>
        <w:t>modified from</w:t>
      </w:r>
      <w:r w:rsidR="003A24E3" w:rsidRPr="00C11F21">
        <w:rPr>
          <w:rFonts w:ascii="Book Antiqua" w:hAnsi="Book Antiqua" w:cstheme="minorHAnsi"/>
          <w:sz w:val="24"/>
          <w:szCs w:val="24"/>
          <w:lang w:val="en-US"/>
        </w:rPr>
        <w:t xml:space="preserve"> the model proposed by Urban</w:t>
      </w:r>
      <w:r w:rsidR="00517A8B" w:rsidRPr="00C11F21">
        <w:rPr>
          <w:rFonts w:ascii="Book Antiqua" w:hAnsi="Book Antiqua" w:cstheme="minorHAnsi"/>
          <w:sz w:val="24"/>
          <w:szCs w:val="24"/>
          <w:lang w:val="en-US"/>
        </w:rPr>
        <w:fldChar w:fldCharType="begin" w:fldLock="1"/>
      </w:r>
      <w:r w:rsidR="00517A8B" w:rsidRPr="00C11F21">
        <w:rPr>
          <w:rFonts w:ascii="Book Antiqua" w:hAnsi="Book Antiqua" w:cstheme="minorHAnsi"/>
          <w:sz w:val="24"/>
          <w:szCs w:val="24"/>
          <w:lang w:val="en-US"/>
        </w:rPr>
        <w:instrText>ADDIN CSL_CITATION { "citationItems" : [ { "id" : "ITEM-1", "itemData" : { "DOI" : "10.1002/hep.28308", "ISSN" : "1527-3350", "PMID" : "26502360", "author" : [ { "dropping-particle" : "", "family" : "Urban", "given" : "Stephan", "non-dropping-particle" : "", "parse-names" : false, "suffix" : "" } ], "container-title" : "Hepatology (Baltimore, Md.)", "id" : "ITEM-1", "issue" : "2", "issued" : { "date-parts" : [ [ "2016", "2" ] ] }, "page" : "633", "title" : "Liver capsule: Entry and entry inhibition of hepatitis B virus and hepatitis delta virus into hepatocytes.", "type" : "article-journal", "volume" : "63" }, "uris" : [ "http://www.mendeley.com/documents/?uuid=dfec2cee-a5b7-4df4-a75e-2c36c4f1eece", "http://www.mendeley.com/documents/?uuid=f5d6b266-fed5-4c5a-8bed-67a6546a39a6" ] } ], "mendeley" : { "formattedCitation" : "&lt;sup&gt;[53]&lt;/sup&gt;", "plainTextFormattedCitation" : "[53]", "previouslyFormattedCitation" : "&lt;sup&gt;[54]&lt;/sup&gt;" }, "properties" : {  }, "schema" : "https://github.com/citation-style-language/schema/raw/master/csl-citation.json" }</w:instrText>
      </w:r>
      <w:r w:rsidR="00517A8B" w:rsidRPr="00C11F21">
        <w:rPr>
          <w:rFonts w:ascii="Book Antiqua" w:hAnsi="Book Antiqua" w:cstheme="minorHAnsi"/>
          <w:sz w:val="24"/>
          <w:szCs w:val="24"/>
          <w:lang w:val="en-US"/>
        </w:rPr>
        <w:fldChar w:fldCharType="separate"/>
      </w:r>
      <w:r w:rsidR="00517A8B" w:rsidRPr="00C11F21">
        <w:rPr>
          <w:rFonts w:ascii="Book Antiqua" w:hAnsi="Book Antiqua" w:cstheme="minorHAnsi"/>
          <w:noProof/>
          <w:sz w:val="24"/>
          <w:szCs w:val="24"/>
          <w:vertAlign w:val="superscript"/>
          <w:lang w:val="en-US"/>
        </w:rPr>
        <w:t>[53]</w:t>
      </w:r>
      <w:r w:rsidR="00517A8B" w:rsidRPr="00C11F21">
        <w:rPr>
          <w:rFonts w:ascii="Book Antiqua" w:hAnsi="Book Antiqua" w:cstheme="minorHAnsi"/>
          <w:sz w:val="24"/>
          <w:szCs w:val="24"/>
          <w:lang w:val="en-US"/>
        </w:rPr>
        <w:fldChar w:fldCharType="end"/>
      </w:r>
      <w:r w:rsidRPr="00C11F21">
        <w:rPr>
          <w:rFonts w:ascii="Book Antiqua" w:hAnsi="Book Antiqua" w:cstheme="minorHAnsi"/>
          <w:sz w:val="24"/>
          <w:szCs w:val="24"/>
          <w:lang w:val="en-US"/>
        </w:rPr>
        <w:t xml:space="preserve">. </w:t>
      </w:r>
      <w:r w:rsidR="00AD0556" w:rsidRPr="00C11F21">
        <w:rPr>
          <w:rFonts w:ascii="Book Antiqua" w:hAnsi="Book Antiqua" w:cstheme="minorHAnsi"/>
          <w:sz w:val="24"/>
          <w:szCs w:val="24"/>
          <w:lang w:val="en-US"/>
        </w:rPr>
        <w:t>The 2</w:t>
      </w:r>
      <w:r w:rsidR="00EA07DB" w:rsidRPr="00C11F21">
        <w:rPr>
          <w:rFonts w:ascii="Book Antiqua" w:hAnsi="Book Antiqua" w:cstheme="minorHAnsi"/>
          <w:sz w:val="24"/>
          <w:szCs w:val="24"/>
          <w:lang w:val="en-US"/>
        </w:rPr>
        <w:t xml:space="preserve"> domains analyzed in this study, </w:t>
      </w:r>
      <w:r w:rsidR="00AD0556" w:rsidRPr="00C11F21">
        <w:rPr>
          <w:rFonts w:ascii="Book Antiqua" w:hAnsi="Book Antiqua" w:cstheme="minorHAnsi"/>
          <w:sz w:val="24"/>
          <w:szCs w:val="24"/>
          <w:lang w:val="en-US"/>
        </w:rPr>
        <w:t xml:space="preserve">the </w:t>
      </w:r>
      <w:r w:rsidR="00EA07DB" w:rsidRPr="00C11F21">
        <w:rPr>
          <w:rFonts w:ascii="Book Antiqua" w:hAnsi="Book Antiqua" w:cstheme="minorHAnsi"/>
          <w:sz w:val="24"/>
          <w:szCs w:val="24"/>
          <w:lang w:val="en-US"/>
        </w:rPr>
        <w:t>NTCP</w:t>
      </w:r>
      <w:r w:rsidR="00DC4529" w:rsidRPr="00C11F21">
        <w:rPr>
          <w:rFonts w:ascii="Book Antiqua" w:hAnsi="Book Antiqua" w:cstheme="minorHAnsi"/>
          <w:sz w:val="24"/>
          <w:szCs w:val="24"/>
          <w:lang w:val="en-US"/>
        </w:rPr>
        <w:t>-</w:t>
      </w:r>
      <w:r w:rsidR="00EA07DB" w:rsidRPr="00C11F21">
        <w:rPr>
          <w:rFonts w:ascii="Book Antiqua" w:hAnsi="Book Antiqua" w:cstheme="minorHAnsi"/>
          <w:sz w:val="24"/>
          <w:szCs w:val="24"/>
          <w:lang w:val="en-US"/>
        </w:rPr>
        <w:t xml:space="preserve">interacting and virion morphogenesis (VM) domains, are indicated in the L protein. </w:t>
      </w:r>
      <w:r w:rsidRPr="00C11F21">
        <w:rPr>
          <w:rFonts w:ascii="Book Antiqua" w:hAnsi="Book Antiqua" w:cstheme="minorHAnsi"/>
          <w:sz w:val="24"/>
          <w:szCs w:val="24"/>
          <w:lang w:val="en-US"/>
        </w:rPr>
        <w:t xml:space="preserve">Numbering </w:t>
      </w:r>
      <w:r w:rsidR="002D1959" w:rsidRPr="00C11F21">
        <w:rPr>
          <w:rFonts w:ascii="Book Antiqua" w:hAnsi="Book Antiqua" w:cstheme="minorHAnsi"/>
          <w:sz w:val="24"/>
          <w:szCs w:val="24"/>
          <w:lang w:val="en-US"/>
        </w:rPr>
        <w:t xml:space="preserve">is </w:t>
      </w:r>
      <w:r w:rsidRPr="00C11F21">
        <w:rPr>
          <w:rFonts w:ascii="Book Antiqua" w:hAnsi="Book Antiqua" w:cstheme="minorHAnsi"/>
          <w:sz w:val="24"/>
          <w:szCs w:val="24"/>
          <w:lang w:val="en-US"/>
        </w:rPr>
        <w:t xml:space="preserve">based on </w:t>
      </w:r>
      <w:r w:rsidR="00AD0556" w:rsidRPr="00C11F21">
        <w:rPr>
          <w:rFonts w:ascii="Book Antiqua" w:hAnsi="Book Antiqua" w:cstheme="minorHAnsi"/>
          <w:sz w:val="24"/>
          <w:szCs w:val="24"/>
          <w:lang w:val="en-US"/>
        </w:rPr>
        <w:t xml:space="preserve">the </w:t>
      </w:r>
      <w:r w:rsidR="00B02CAA" w:rsidRPr="00C11F21">
        <w:rPr>
          <w:rFonts w:ascii="Book Antiqua" w:hAnsi="Book Antiqua" w:cstheme="minorHAnsi"/>
          <w:sz w:val="24"/>
          <w:szCs w:val="24"/>
          <w:lang w:val="en-US"/>
        </w:rPr>
        <w:t xml:space="preserve">HBV </w:t>
      </w:r>
      <w:r w:rsidRPr="00C11F21">
        <w:rPr>
          <w:rFonts w:ascii="Book Antiqua" w:hAnsi="Book Antiqua" w:cstheme="minorHAnsi"/>
          <w:sz w:val="24"/>
          <w:szCs w:val="24"/>
          <w:lang w:val="en-US"/>
        </w:rPr>
        <w:t>genotype D</w:t>
      </w:r>
      <w:r w:rsidR="00AC5A91" w:rsidRPr="00C11F21">
        <w:rPr>
          <w:rFonts w:ascii="Book Antiqua" w:hAnsi="Book Antiqua" w:cstheme="minorHAnsi"/>
          <w:sz w:val="24"/>
          <w:szCs w:val="24"/>
          <w:lang w:val="en-US"/>
        </w:rPr>
        <w:t xml:space="preserve"> consensus sequence</w:t>
      </w:r>
      <w:r w:rsidRPr="00C11F21">
        <w:rPr>
          <w:rFonts w:ascii="Book Antiqua" w:hAnsi="Book Antiqua" w:cstheme="minorHAnsi"/>
          <w:sz w:val="24"/>
          <w:szCs w:val="24"/>
          <w:lang w:val="en-US"/>
        </w:rPr>
        <w:t>.</w:t>
      </w:r>
      <w:r w:rsidR="002D258B" w:rsidRPr="00C11F21">
        <w:rPr>
          <w:rFonts w:ascii="Book Antiqua" w:hAnsi="Book Antiqua" w:cstheme="minorHAnsi"/>
          <w:sz w:val="24"/>
          <w:szCs w:val="24"/>
          <w:lang w:val="en-US"/>
        </w:rPr>
        <w:t xml:space="preserve"> </w:t>
      </w:r>
      <w:r w:rsidR="00517A8B" w:rsidRPr="00C11F21">
        <w:rPr>
          <w:rFonts w:ascii="Book Antiqua" w:hAnsi="Book Antiqua" w:cstheme="minorHAnsi"/>
          <w:sz w:val="24"/>
          <w:szCs w:val="24"/>
          <w:lang w:val="en-US"/>
        </w:rPr>
        <w:t>m</w:t>
      </w:r>
      <w:r w:rsidR="007F0A36" w:rsidRPr="00C11F21">
        <w:rPr>
          <w:rFonts w:ascii="Book Antiqua" w:hAnsi="Book Antiqua" w:cstheme="minorHAnsi"/>
          <w:sz w:val="24"/>
          <w:szCs w:val="24"/>
          <w:lang w:val="en-US"/>
        </w:rPr>
        <w:t>yr</w:t>
      </w:r>
      <w:r w:rsidR="00517A8B" w:rsidRPr="00C11F21">
        <w:rPr>
          <w:rFonts w:ascii="Book Antiqua" w:hAnsi="Book Antiqua" w:cstheme="minorHAnsi" w:hint="eastAsia"/>
          <w:sz w:val="24"/>
          <w:szCs w:val="24"/>
          <w:lang w:val="en-US" w:eastAsia="zh-CN"/>
        </w:rPr>
        <w:t xml:space="preserve">: </w:t>
      </w:r>
      <w:r w:rsidR="007F0A36" w:rsidRPr="00C11F21">
        <w:rPr>
          <w:rFonts w:ascii="Book Antiqua" w:hAnsi="Book Antiqua" w:cstheme="minorHAnsi"/>
          <w:caps/>
          <w:sz w:val="24"/>
          <w:szCs w:val="24"/>
          <w:lang w:val="en-US"/>
        </w:rPr>
        <w:t>m</w:t>
      </w:r>
      <w:r w:rsidR="007F0A36" w:rsidRPr="00C11F21">
        <w:rPr>
          <w:rFonts w:ascii="Book Antiqua" w:hAnsi="Book Antiqua" w:cstheme="minorHAnsi"/>
          <w:sz w:val="24"/>
          <w:szCs w:val="24"/>
          <w:lang w:val="en-US"/>
        </w:rPr>
        <w:t>yristic acid</w:t>
      </w:r>
      <w:r w:rsidR="00517A8B" w:rsidRPr="00C11F21">
        <w:rPr>
          <w:rFonts w:ascii="Book Antiqua" w:hAnsi="Book Antiqua" w:cstheme="minorHAnsi" w:hint="eastAsia"/>
          <w:sz w:val="24"/>
          <w:szCs w:val="24"/>
          <w:lang w:val="en-US" w:eastAsia="zh-CN"/>
        </w:rPr>
        <w:t>.</w:t>
      </w:r>
    </w:p>
    <w:p w14:paraId="4E24E358" w14:textId="77777777" w:rsidR="00EB67AF" w:rsidRPr="00C11F21" w:rsidRDefault="00EB67AF" w:rsidP="00F33187">
      <w:pPr>
        <w:widowControl w:val="0"/>
        <w:autoSpaceDE w:val="0"/>
        <w:autoSpaceDN w:val="0"/>
        <w:adjustRightInd w:val="0"/>
        <w:snapToGrid w:val="0"/>
        <w:spacing w:after="0" w:line="360" w:lineRule="auto"/>
        <w:ind w:left="640" w:hanging="640"/>
        <w:rPr>
          <w:rFonts w:ascii="Book Antiqua" w:hAnsi="Book Antiqua" w:cstheme="minorHAnsi"/>
          <w:sz w:val="24"/>
          <w:szCs w:val="24"/>
          <w:lang w:val="en-US"/>
        </w:rPr>
      </w:pPr>
    </w:p>
    <w:p w14:paraId="78327C29" w14:textId="77777777" w:rsidR="00266C9E" w:rsidRPr="00C11F21" w:rsidRDefault="00266C9E" w:rsidP="00F33187">
      <w:pPr>
        <w:widowControl w:val="0"/>
        <w:autoSpaceDE w:val="0"/>
        <w:autoSpaceDN w:val="0"/>
        <w:adjustRightInd w:val="0"/>
        <w:snapToGrid w:val="0"/>
        <w:spacing w:after="0" w:line="360" w:lineRule="auto"/>
        <w:ind w:left="640" w:hanging="640"/>
        <w:rPr>
          <w:rFonts w:ascii="Book Antiqua" w:hAnsi="Book Antiqua" w:cstheme="minorHAnsi"/>
          <w:sz w:val="24"/>
          <w:szCs w:val="24"/>
          <w:lang w:val="en-US"/>
        </w:rPr>
        <w:sectPr w:rsidR="00266C9E" w:rsidRPr="00C11F21" w:rsidSect="00BD00B1">
          <w:pgSz w:w="11906" w:h="16838"/>
          <w:pgMar w:top="1417" w:right="1701" w:bottom="1417" w:left="1701" w:header="708" w:footer="708" w:gutter="0"/>
          <w:cols w:space="708"/>
          <w:docGrid w:linePitch="360"/>
        </w:sectPr>
      </w:pPr>
    </w:p>
    <w:p w14:paraId="43D21EE4" w14:textId="77777777" w:rsidR="004D1351" w:rsidRPr="00C11F21" w:rsidRDefault="00EE541A" w:rsidP="00F33187">
      <w:pPr>
        <w:snapToGrid w:val="0"/>
        <w:spacing w:after="0" w:line="360" w:lineRule="auto"/>
        <w:jc w:val="center"/>
        <w:rPr>
          <w:rFonts w:ascii="Book Antiqua" w:hAnsi="Book Antiqua" w:cstheme="minorHAnsi"/>
          <w:sz w:val="24"/>
          <w:szCs w:val="24"/>
          <w:lang w:val="en-US"/>
        </w:rPr>
      </w:pPr>
      <w:r w:rsidRPr="00C11F21">
        <w:rPr>
          <w:rFonts w:ascii="Book Antiqua" w:hAnsi="Book Antiqua"/>
          <w:noProof/>
          <w:sz w:val="24"/>
          <w:szCs w:val="24"/>
          <w:lang w:val="en-US" w:eastAsia="zh-CN"/>
        </w:rPr>
        <w:lastRenderedPageBreak/>
        <w:drawing>
          <wp:inline distT="0" distB="0" distL="0" distR="0" wp14:anchorId="43482DE1" wp14:editId="10DBDDD2">
            <wp:extent cx="7000103" cy="5082989"/>
            <wp:effectExtent l="0" t="0" r="0" b="3810"/>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01527" cy="5084023"/>
                    </a:xfrm>
                    <a:prstGeom prst="rect">
                      <a:avLst/>
                    </a:prstGeom>
                    <a:noFill/>
                    <a:ln w="9525">
                      <a:noFill/>
                      <a:miter lim="800000"/>
                      <a:headEnd/>
                      <a:tailEnd/>
                    </a:ln>
                  </pic:spPr>
                </pic:pic>
              </a:graphicData>
            </a:graphic>
          </wp:inline>
        </w:drawing>
      </w:r>
    </w:p>
    <w:p w14:paraId="5C798BE4" w14:textId="69809B18" w:rsidR="00EB67AF" w:rsidRPr="00C11F21" w:rsidRDefault="00035FF4" w:rsidP="00F33187">
      <w:pPr>
        <w:snapToGrid w:val="0"/>
        <w:spacing w:after="0" w:line="360" w:lineRule="auto"/>
        <w:jc w:val="both"/>
        <w:rPr>
          <w:rFonts w:ascii="Book Antiqua" w:hAnsi="Book Antiqua" w:cstheme="minorHAnsi"/>
          <w:sz w:val="24"/>
          <w:szCs w:val="24"/>
          <w:lang w:val="en-US"/>
        </w:rPr>
      </w:pPr>
      <w:r w:rsidRPr="00C11F21">
        <w:rPr>
          <w:rFonts w:ascii="Book Antiqua" w:hAnsi="Book Antiqua" w:cstheme="minorHAnsi"/>
          <w:b/>
          <w:sz w:val="24"/>
          <w:szCs w:val="24"/>
          <w:lang w:val="en-US"/>
        </w:rPr>
        <w:t>Figure 2</w:t>
      </w:r>
      <w:r w:rsidR="00517A8B" w:rsidRPr="00C11F21">
        <w:rPr>
          <w:rFonts w:ascii="Book Antiqua" w:hAnsi="Book Antiqua" w:cstheme="minorHAnsi" w:hint="eastAsia"/>
          <w:b/>
          <w:sz w:val="24"/>
          <w:szCs w:val="24"/>
          <w:lang w:val="en-US" w:eastAsia="zh-CN"/>
        </w:rPr>
        <w:t xml:space="preserve"> </w:t>
      </w:r>
      <w:r w:rsidR="00EB67AF" w:rsidRPr="00C11F21">
        <w:rPr>
          <w:rFonts w:ascii="Book Antiqua" w:hAnsi="Book Antiqua" w:cstheme="minorHAnsi"/>
          <w:b/>
          <w:sz w:val="24"/>
          <w:szCs w:val="24"/>
          <w:lang w:val="en-US"/>
        </w:rPr>
        <w:t>Frequency of amino acid</w:t>
      </w:r>
      <w:r w:rsidR="00517A8B" w:rsidRPr="00C11F21">
        <w:rPr>
          <w:rFonts w:ascii="Book Antiqua" w:hAnsi="Book Antiqua" w:cstheme="minorHAnsi" w:hint="eastAsia"/>
          <w:b/>
          <w:sz w:val="24"/>
          <w:szCs w:val="24"/>
          <w:lang w:val="en-US" w:eastAsia="zh-CN"/>
        </w:rPr>
        <w:t xml:space="preserve"> </w:t>
      </w:r>
      <w:r w:rsidR="00EB67AF" w:rsidRPr="00C11F21">
        <w:rPr>
          <w:rFonts w:ascii="Book Antiqua" w:hAnsi="Book Antiqua" w:cstheme="minorHAnsi"/>
          <w:b/>
          <w:sz w:val="24"/>
          <w:szCs w:val="24"/>
          <w:lang w:val="en-US"/>
        </w:rPr>
        <w:t xml:space="preserve">changes in each position </w:t>
      </w:r>
      <w:r w:rsidR="00E60384" w:rsidRPr="00C11F21">
        <w:rPr>
          <w:rFonts w:ascii="Book Antiqua" w:hAnsi="Book Antiqua" w:cstheme="minorHAnsi"/>
          <w:b/>
          <w:sz w:val="24"/>
          <w:szCs w:val="24"/>
          <w:lang w:val="en-US"/>
        </w:rPr>
        <w:t>in</w:t>
      </w:r>
      <w:r w:rsidR="00EB67AF" w:rsidRPr="00C11F21">
        <w:rPr>
          <w:rFonts w:ascii="Book Antiqua" w:hAnsi="Book Antiqua" w:cstheme="minorHAnsi"/>
          <w:b/>
          <w:sz w:val="24"/>
          <w:szCs w:val="24"/>
          <w:lang w:val="en-US"/>
        </w:rPr>
        <w:t xml:space="preserve"> the two </w:t>
      </w:r>
      <w:r w:rsidR="00BA45AE" w:rsidRPr="00C11F21">
        <w:rPr>
          <w:rFonts w:ascii="Book Antiqua" w:hAnsi="Book Antiqua" w:cstheme="minorHAnsi"/>
          <w:b/>
          <w:sz w:val="24"/>
          <w:szCs w:val="24"/>
          <w:lang w:val="en-US"/>
        </w:rPr>
        <w:t>domains</w:t>
      </w:r>
      <w:r w:rsidR="00EB67AF" w:rsidRPr="00C11F21">
        <w:rPr>
          <w:rFonts w:ascii="Book Antiqua" w:hAnsi="Book Antiqua" w:cstheme="minorHAnsi"/>
          <w:b/>
          <w:sz w:val="24"/>
          <w:szCs w:val="24"/>
          <w:lang w:val="en-US"/>
        </w:rPr>
        <w:t xml:space="preserve"> studied</w:t>
      </w:r>
      <w:r w:rsidR="00EB67AF" w:rsidRPr="00C11F21">
        <w:rPr>
          <w:rFonts w:ascii="Book Antiqua" w:hAnsi="Book Antiqua" w:cstheme="minorHAnsi"/>
          <w:sz w:val="24"/>
          <w:szCs w:val="24"/>
          <w:lang w:val="en-US"/>
        </w:rPr>
        <w:t xml:space="preserve">. In order to simplify </w:t>
      </w:r>
      <w:r w:rsidR="001377AB" w:rsidRPr="00C11F21">
        <w:rPr>
          <w:rFonts w:ascii="Book Antiqua" w:hAnsi="Book Antiqua" w:cstheme="minorHAnsi"/>
          <w:sz w:val="24"/>
          <w:szCs w:val="24"/>
          <w:lang w:val="en-US"/>
        </w:rPr>
        <w:t xml:space="preserve">the </w:t>
      </w:r>
      <w:r w:rsidR="00EB67AF" w:rsidRPr="00C11F21">
        <w:rPr>
          <w:rFonts w:ascii="Book Antiqua" w:hAnsi="Book Antiqua" w:cstheme="minorHAnsi"/>
          <w:sz w:val="24"/>
          <w:szCs w:val="24"/>
          <w:lang w:val="en-US"/>
        </w:rPr>
        <w:t xml:space="preserve">variations due to HBV genotype, the numeration of aa positions </w:t>
      </w:r>
      <w:r w:rsidR="00DC168E" w:rsidRPr="00C11F21">
        <w:rPr>
          <w:rFonts w:ascii="Book Antiqua" w:hAnsi="Book Antiqua" w:cstheme="minorHAnsi"/>
          <w:sz w:val="24"/>
          <w:szCs w:val="24"/>
          <w:lang w:val="en-US"/>
        </w:rPr>
        <w:t>in</w:t>
      </w:r>
      <w:r w:rsidR="00EB67AF" w:rsidRPr="00C11F21">
        <w:rPr>
          <w:rFonts w:ascii="Book Antiqua" w:hAnsi="Book Antiqua" w:cstheme="minorHAnsi"/>
          <w:sz w:val="24"/>
          <w:szCs w:val="24"/>
          <w:lang w:val="en-US"/>
        </w:rPr>
        <w:t xml:space="preserve"> both </w:t>
      </w:r>
      <w:r w:rsidR="00BA45AE" w:rsidRPr="00C11F21">
        <w:rPr>
          <w:rFonts w:ascii="Book Antiqua" w:hAnsi="Book Antiqua" w:cstheme="minorHAnsi"/>
          <w:sz w:val="24"/>
          <w:szCs w:val="24"/>
          <w:lang w:val="en-US"/>
        </w:rPr>
        <w:t>domains</w:t>
      </w:r>
      <w:r w:rsidR="00EB67AF" w:rsidRPr="00C11F21">
        <w:rPr>
          <w:rFonts w:ascii="Book Antiqua" w:hAnsi="Book Antiqua" w:cstheme="minorHAnsi"/>
          <w:sz w:val="24"/>
          <w:szCs w:val="24"/>
          <w:lang w:val="en-US"/>
        </w:rPr>
        <w:t xml:space="preserve"> and their consensus sequences </w:t>
      </w:r>
      <w:r w:rsidR="00DC168E" w:rsidRPr="00C11F21">
        <w:rPr>
          <w:rFonts w:ascii="Book Antiqua" w:hAnsi="Book Antiqua" w:cstheme="minorHAnsi"/>
          <w:sz w:val="24"/>
          <w:szCs w:val="24"/>
          <w:lang w:val="en-US"/>
        </w:rPr>
        <w:t>is</w:t>
      </w:r>
      <w:r w:rsidR="00EB67AF" w:rsidRPr="00C11F21">
        <w:rPr>
          <w:rFonts w:ascii="Book Antiqua" w:hAnsi="Book Antiqua" w:cstheme="minorHAnsi"/>
          <w:sz w:val="24"/>
          <w:szCs w:val="24"/>
          <w:lang w:val="en-US"/>
        </w:rPr>
        <w:t xml:space="preserve"> </w:t>
      </w:r>
      <w:r w:rsidR="00DC168E" w:rsidRPr="00C11F21">
        <w:rPr>
          <w:rFonts w:ascii="Book Antiqua" w:hAnsi="Book Antiqua" w:cstheme="minorHAnsi"/>
          <w:sz w:val="24"/>
          <w:szCs w:val="24"/>
          <w:lang w:val="en-US"/>
        </w:rPr>
        <w:t>presented</w:t>
      </w:r>
      <w:r w:rsidR="00E60384" w:rsidRPr="00C11F21">
        <w:rPr>
          <w:rFonts w:ascii="Book Antiqua" w:hAnsi="Book Antiqua" w:cstheme="minorHAnsi"/>
          <w:sz w:val="24"/>
          <w:szCs w:val="24"/>
          <w:lang w:val="en-US"/>
        </w:rPr>
        <w:t xml:space="preserve"> </w:t>
      </w:r>
      <w:r w:rsidR="00EB67AF" w:rsidRPr="00C11F21">
        <w:rPr>
          <w:rFonts w:ascii="Book Antiqua" w:hAnsi="Book Antiqua" w:cstheme="minorHAnsi"/>
          <w:sz w:val="24"/>
          <w:szCs w:val="24"/>
          <w:lang w:val="en-US"/>
        </w:rPr>
        <w:t xml:space="preserve">according to genotype D (reference sequences obtained from GenBank, accession numbers provided in Supplementary </w:t>
      </w:r>
      <w:r w:rsidR="001377AB" w:rsidRPr="00C11F21">
        <w:rPr>
          <w:rFonts w:ascii="Book Antiqua" w:hAnsi="Book Antiqua" w:cstheme="minorHAnsi"/>
          <w:sz w:val="24"/>
          <w:szCs w:val="24"/>
          <w:lang w:val="en-US"/>
        </w:rPr>
        <w:t>T</w:t>
      </w:r>
      <w:r w:rsidR="00EB67AF" w:rsidRPr="00C11F21">
        <w:rPr>
          <w:rFonts w:ascii="Book Antiqua" w:hAnsi="Book Antiqua" w:cstheme="minorHAnsi"/>
          <w:sz w:val="24"/>
          <w:szCs w:val="24"/>
          <w:lang w:val="en-US"/>
        </w:rPr>
        <w:t>able 1).</w:t>
      </w:r>
      <w:r w:rsidR="00EB67AF" w:rsidRPr="00C11F21">
        <w:rPr>
          <w:rFonts w:ascii="Book Antiqua" w:hAnsi="Book Antiqua" w:cstheme="minorHAnsi"/>
          <w:b/>
          <w:sz w:val="24"/>
          <w:szCs w:val="24"/>
          <w:lang w:val="en-US"/>
        </w:rPr>
        <w:t xml:space="preserve"> </w:t>
      </w:r>
      <w:r w:rsidR="00EB67AF" w:rsidRPr="00C11F21">
        <w:rPr>
          <w:rFonts w:ascii="Book Antiqua" w:hAnsi="Book Antiqua" w:cstheme="minorHAnsi"/>
          <w:sz w:val="24"/>
          <w:szCs w:val="24"/>
          <w:lang w:val="en-US"/>
        </w:rPr>
        <w:t xml:space="preserve">Asterisks indicate positions where </w:t>
      </w:r>
      <w:r w:rsidR="001377AB" w:rsidRPr="00C11F21">
        <w:rPr>
          <w:rFonts w:ascii="Book Antiqua" w:hAnsi="Book Antiqua" w:cstheme="minorHAnsi"/>
          <w:sz w:val="24"/>
          <w:szCs w:val="24"/>
          <w:lang w:val="en-US"/>
        </w:rPr>
        <w:t xml:space="preserve">the </w:t>
      </w:r>
      <w:r w:rsidR="00EB67AF" w:rsidRPr="00C11F21">
        <w:rPr>
          <w:rFonts w:ascii="Book Antiqua" w:hAnsi="Book Antiqua" w:cstheme="minorHAnsi"/>
          <w:sz w:val="24"/>
          <w:szCs w:val="24"/>
          <w:lang w:val="en-US"/>
        </w:rPr>
        <w:t>wild-type aa varies according to HBV genotype.</w:t>
      </w:r>
      <w:r w:rsidR="00517A8B" w:rsidRPr="00C11F21">
        <w:rPr>
          <w:rFonts w:ascii="Book Antiqua" w:hAnsi="Book Antiqua" w:cstheme="minorHAnsi" w:hint="eastAsia"/>
          <w:b/>
          <w:sz w:val="24"/>
          <w:szCs w:val="24"/>
          <w:lang w:val="en-US" w:eastAsia="zh-CN"/>
        </w:rPr>
        <w:t xml:space="preserve"> </w:t>
      </w:r>
      <w:r w:rsidR="00EB67AF" w:rsidRPr="00C11F21">
        <w:rPr>
          <w:rFonts w:ascii="Book Antiqua" w:hAnsi="Book Antiqua" w:cstheme="minorHAnsi"/>
          <w:sz w:val="24"/>
          <w:szCs w:val="24"/>
          <w:lang w:val="en-US"/>
        </w:rPr>
        <w:t>A</w:t>
      </w:r>
      <w:r w:rsidR="00517A8B" w:rsidRPr="00C11F21">
        <w:rPr>
          <w:rFonts w:ascii="Book Antiqua" w:hAnsi="Book Antiqua" w:cstheme="minorHAnsi" w:hint="eastAsia"/>
          <w:sz w:val="24"/>
          <w:szCs w:val="24"/>
          <w:lang w:val="en-US" w:eastAsia="zh-CN"/>
        </w:rPr>
        <w:t xml:space="preserve">: </w:t>
      </w:r>
      <w:r w:rsidR="00EB67AF" w:rsidRPr="00C11F21">
        <w:rPr>
          <w:rFonts w:ascii="Book Antiqua" w:hAnsi="Book Antiqua" w:cstheme="minorHAnsi"/>
          <w:sz w:val="24"/>
          <w:szCs w:val="24"/>
          <w:lang w:val="en-US"/>
        </w:rPr>
        <w:t xml:space="preserve">Schematic diagram where the two regions studied are </w:t>
      </w:r>
      <w:r w:rsidR="00EB67AF" w:rsidRPr="00C11F21">
        <w:rPr>
          <w:rFonts w:ascii="Book Antiqua" w:hAnsi="Book Antiqua" w:cstheme="minorHAnsi"/>
          <w:sz w:val="24"/>
          <w:szCs w:val="24"/>
          <w:lang w:val="en-US"/>
        </w:rPr>
        <w:lastRenderedPageBreak/>
        <w:t>represented: the sodium-taurocholate co</w:t>
      </w:r>
      <w:r w:rsidR="00DC4529" w:rsidRPr="00C11F21">
        <w:rPr>
          <w:rFonts w:ascii="Book Antiqua" w:hAnsi="Book Antiqua" w:cstheme="minorHAnsi"/>
          <w:sz w:val="24"/>
          <w:szCs w:val="24"/>
          <w:lang w:val="en-US"/>
        </w:rPr>
        <w:t>transporting polypeptide (NTCP)-</w:t>
      </w:r>
      <w:r w:rsidR="00EB67AF" w:rsidRPr="00C11F21">
        <w:rPr>
          <w:rFonts w:ascii="Book Antiqua" w:hAnsi="Book Antiqua" w:cstheme="minorHAnsi"/>
          <w:sz w:val="24"/>
          <w:szCs w:val="24"/>
          <w:lang w:val="en-US"/>
        </w:rPr>
        <w:t xml:space="preserve">interacting </w:t>
      </w:r>
      <w:r w:rsidR="00974E97" w:rsidRPr="00C11F21">
        <w:rPr>
          <w:rFonts w:ascii="Book Antiqua" w:hAnsi="Book Antiqua" w:cstheme="minorHAnsi"/>
          <w:sz w:val="24"/>
          <w:szCs w:val="24"/>
          <w:lang w:val="en-US"/>
        </w:rPr>
        <w:t>domain</w:t>
      </w:r>
      <w:r w:rsidR="00EB67AF" w:rsidRPr="00C11F21">
        <w:rPr>
          <w:rFonts w:ascii="Book Antiqua" w:hAnsi="Book Antiqua" w:cstheme="minorHAnsi"/>
          <w:sz w:val="24"/>
          <w:szCs w:val="24"/>
          <w:lang w:val="en-US"/>
        </w:rPr>
        <w:t xml:space="preserve"> from </w:t>
      </w:r>
      <w:r w:rsidR="001377AB" w:rsidRPr="00C11F21">
        <w:rPr>
          <w:rFonts w:ascii="Book Antiqua" w:hAnsi="Book Antiqua" w:cstheme="minorHAnsi"/>
          <w:sz w:val="24"/>
          <w:szCs w:val="24"/>
          <w:lang w:val="en-US"/>
        </w:rPr>
        <w:t>residue</w:t>
      </w:r>
      <w:r w:rsidR="00AD0556" w:rsidRPr="00C11F21">
        <w:rPr>
          <w:rFonts w:ascii="Book Antiqua" w:hAnsi="Book Antiqua" w:cstheme="minorHAnsi"/>
          <w:sz w:val="24"/>
          <w:szCs w:val="24"/>
          <w:lang w:val="en-US"/>
        </w:rPr>
        <w:t>s</w:t>
      </w:r>
      <w:r w:rsidR="001377AB" w:rsidRPr="00C11F21">
        <w:rPr>
          <w:rFonts w:ascii="Book Antiqua" w:hAnsi="Book Antiqua" w:cstheme="minorHAnsi"/>
          <w:sz w:val="24"/>
          <w:szCs w:val="24"/>
          <w:lang w:val="en-US"/>
        </w:rPr>
        <w:t xml:space="preserve"> </w:t>
      </w:r>
      <w:r w:rsidR="00EB67AF" w:rsidRPr="00C11F21">
        <w:rPr>
          <w:rFonts w:ascii="Book Antiqua" w:hAnsi="Book Antiqua" w:cstheme="minorHAnsi"/>
          <w:sz w:val="24"/>
          <w:szCs w:val="24"/>
          <w:lang w:val="en-US"/>
        </w:rPr>
        <w:t>2</w:t>
      </w:r>
      <w:r w:rsidR="00EB67AF" w:rsidRPr="00C11F21">
        <w:rPr>
          <w:rFonts w:ascii="Book Antiqua" w:hAnsi="Book Antiqua" w:cstheme="minorHAnsi"/>
          <w:sz w:val="24"/>
          <w:szCs w:val="24"/>
          <w:vertAlign w:val="superscript"/>
          <w:lang w:val="en-US"/>
        </w:rPr>
        <w:t xml:space="preserve"> </w:t>
      </w:r>
      <w:r w:rsidR="00EB67AF" w:rsidRPr="00C11F21">
        <w:rPr>
          <w:rFonts w:ascii="Book Antiqua" w:hAnsi="Book Antiqua" w:cstheme="minorHAnsi"/>
          <w:sz w:val="24"/>
          <w:szCs w:val="24"/>
          <w:lang w:val="en-US"/>
        </w:rPr>
        <w:t xml:space="preserve">to 48 of the N-terminal end of preS1, and the virion morphogenesis (VM) </w:t>
      </w:r>
      <w:r w:rsidR="00974E97" w:rsidRPr="00C11F21">
        <w:rPr>
          <w:rFonts w:ascii="Book Antiqua" w:hAnsi="Book Antiqua" w:cstheme="minorHAnsi"/>
          <w:sz w:val="24"/>
          <w:szCs w:val="24"/>
          <w:lang w:val="en-US"/>
        </w:rPr>
        <w:t>domain</w:t>
      </w:r>
      <w:r w:rsidR="00EB67AF" w:rsidRPr="00C11F21">
        <w:rPr>
          <w:rFonts w:ascii="Book Antiqua" w:hAnsi="Book Antiqua" w:cstheme="minorHAnsi"/>
          <w:sz w:val="24"/>
          <w:szCs w:val="24"/>
          <w:lang w:val="en-US"/>
        </w:rPr>
        <w:t xml:space="preserve"> from</w:t>
      </w:r>
      <w:r w:rsidR="001377AB" w:rsidRPr="00C11F21">
        <w:rPr>
          <w:rFonts w:ascii="Book Antiqua" w:hAnsi="Book Antiqua" w:cstheme="minorHAnsi"/>
          <w:sz w:val="24"/>
          <w:szCs w:val="24"/>
          <w:lang w:val="en-US"/>
        </w:rPr>
        <w:t xml:space="preserve"> residue</w:t>
      </w:r>
      <w:r w:rsidR="00AD0556" w:rsidRPr="00C11F21">
        <w:rPr>
          <w:rFonts w:ascii="Book Antiqua" w:hAnsi="Book Antiqua" w:cstheme="minorHAnsi"/>
          <w:sz w:val="24"/>
          <w:szCs w:val="24"/>
          <w:lang w:val="en-US"/>
        </w:rPr>
        <w:t>s</w:t>
      </w:r>
      <w:r w:rsidR="00EB67AF" w:rsidRPr="00C11F21">
        <w:rPr>
          <w:rFonts w:ascii="Book Antiqua" w:hAnsi="Book Antiqua" w:cstheme="minorHAnsi"/>
          <w:sz w:val="24"/>
          <w:szCs w:val="24"/>
          <w:lang w:val="en-US"/>
        </w:rPr>
        <w:t xml:space="preserve"> 92 to 108 </w:t>
      </w:r>
      <w:r w:rsidR="001377AB" w:rsidRPr="00C11F21">
        <w:rPr>
          <w:rFonts w:ascii="Book Antiqua" w:hAnsi="Book Antiqua" w:cstheme="minorHAnsi"/>
          <w:sz w:val="24"/>
          <w:szCs w:val="24"/>
          <w:lang w:val="en-US"/>
        </w:rPr>
        <w:t>of</w:t>
      </w:r>
      <w:r w:rsidR="00EB67AF" w:rsidRPr="00C11F21">
        <w:rPr>
          <w:rFonts w:ascii="Book Antiqua" w:hAnsi="Book Antiqua" w:cstheme="minorHAnsi"/>
          <w:sz w:val="24"/>
          <w:szCs w:val="24"/>
          <w:lang w:val="en-US"/>
        </w:rPr>
        <w:t xml:space="preserve"> the C-terminal end of preS1 and </w:t>
      </w:r>
      <w:r w:rsidR="00E60384" w:rsidRPr="00C11F21">
        <w:rPr>
          <w:rFonts w:ascii="Book Antiqua" w:hAnsi="Book Antiqua" w:cstheme="minorHAnsi"/>
          <w:sz w:val="24"/>
          <w:szCs w:val="24"/>
          <w:lang w:val="en-US"/>
        </w:rPr>
        <w:t xml:space="preserve">the </w:t>
      </w:r>
      <w:r w:rsidR="00EB67AF" w:rsidRPr="00C11F21">
        <w:rPr>
          <w:rFonts w:ascii="Book Antiqua" w:hAnsi="Book Antiqua" w:cstheme="minorHAnsi"/>
          <w:sz w:val="24"/>
          <w:szCs w:val="24"/>
          <w:lang w:val="en-US"/>
        </w:rPr>
        <w:t>first 5 residues from the N-terminal end of preS2.</w:t>
      </w:r>
      <w:r w:rsidR="00517A8B" w:rsidRPr="00C11F21">
        <w:rPr>
          <w:rFonts w:ascii="Book Antiqua" w:hAnsi="Book Antiqua" w:cstheme="minorHAnsi" w:hint="eastAsia"/>
          <w:sz w:val="24"/>
          <w:szCs w:val="24"/>
          <w:lang w:val="en-US" w:eastAsia="zh-CN"/>
        </w:rPr>
        <w:t xml:space="preserve"> </w:t>
      </w:r>
      <w:r w:rsidR="00EB67AF" w:rsidRPr="00C11F21">
        <w:rPr>
          <w:rFonts w:ascii="Book Antiqua" w:hAnsi="Book Antiqua" w:cstheme="minorHAnsi"/>
          <w:sz w:val="24"/>
          <w:szCs w:val="24"/>
          <w:lang w:val="en-US"/>
        </w:rPr>
        <w:t>B</w:t>
      </w:r>
      <w:r w:rsidR="00517A8B" w:rsidRPr="00C11F21">
        <w:rPr>
          <w:rFonts w:ascii="Book Antiqua" w:hAnsi="Book Antiqua" w:cstheme="minorHAnsi" w:hint="eastAsia"/>
          <w:sz w:val="24"/>
          <w:szCs w:val="24"/>
          <w:lang w:val="en-US" w:eastAsia="zh-CN"/>
        </w:rPr>
        <w:t xml:space="preserve">: </w:t>
      </w:r>
      <w:r w:rsidR="00EB67AF" w:rsidRPr="00C11F21">
        <w:rPr>
          <w:rFonts w:ascii="Book Antiqua" w:hAnsi="Book Antiqua" w:cstheme="minorHAnsi"/>
          <w:sz w:val="24"/>
          <w:szCs w:val="24"/>
          <w:lang w:val="en-US"/>
        </w:rPr>
        <w:t xml:space="preserve">Barplot representing the frequency of aa changes (above 1% of HBV quasispecies) within each HBV genotype in the NTCP interaction and virion morphogenesis </w:t>
      </w:r>
      <w:r w:rsidR="001377AB" w:rsidRPr="00C11F21">
        <w:rPr>
          <w:rFonts w:ascii="Book Antiqua" w:hAnsi="Book Antiqua" w:cstheme="minorHAnsi"/>
          <w:sz w:val="24"/>
          <w:szCs w:val="24"/>
          <w:lang w:val="en-US"/>
        </w:rPr>
        <w:t xml:space="preserve">domains </w:t>
      </w:r>
      <w:r w:rsidR="00EB67AF" w:rsidRPr="00C11F21">
        <w:rPr>
          <w:rFonts w:ascii="Book Antiqua" w:hAnsi="Book Antiqua" w:cstheme="minorHAnsi"/>
          <w:sz w:val="24"/>
          <w:szCs w:val="24"/>
          <w:lang w:val="en-US"/>
        </w:rPr>
        <w:t>(</w:t>
      </w:r>
      <w:r w:rsidR="001377AB" w:rsidRPr="00C11F21">
        <w:rPr>
          <w:rFonts w:ascii="Book Antiqua" w:hAnsi="Book Antiqua" w:cstheme="minorHAnsi"/>
          <w:sz w:val="24"/>
          <w:szCs w:val="24"/>
          <w:lang w:val="en-US"/>
        </w:rPr>
        <w:t>Specific</w:t>
      </w:r>
      <w:r w:rsidR="00EB67AF" w:rsidRPr="00C11F21">
        <w:rPr>
          <w:rFonts w:ascii="Book Antiqua" w:hAnsi="Book Antiqua" w:cstheme="minorHAnsi"/>
          <w:sz w:val="24"/>
          <w:szCs w:val="24"/>
          <w:lang w:val="en-US"/>
        </w:rPr>
        <w:t xml:space="preserve"> aa changes are </w:t>
      </w:r>
      <w:r w:rsidR="00AD0556" w:rsidRPr="00C11F21">
        <w:rPr>
          <w:rFonts w:ascii="Book Antiqua" w:hAnsi="Book Antiqua" w:cstheme="minorHAnsi"/>
          <w:sz w:val="24"/>
          <w:szCs w:val="24"/>
          <w:lang w:val="en-US"/>
        </w:rPr>
        <w:t>shown</w:t>
      </w:r>
      <w:r w:rsidR="00EB67AF" w:rsidRPr="00C11F21">
        <w:rPr>
          <w:rFonts w:ascii="Book Antiqua" w:hAnsi="Book Antiqua" w:cstheme="minorHAnsi"/>
          <w:sz w:val="24"/>
          <w:szCs w:val="24"/>
          <w:lang w:val="en-US"/>
        </w:rPr>
        <w:t xml:space="preserve"> in Supplementary </w:t>
      </w:r>
      <w:r w:rsidR="001377AB" w:rsidRPr="00C11F21">
        <w:rPr>
          <w:rFonts w:ascii="Book Antiqua" w:hAnsi="Book Antiqua" w:cstheme="minorHAnsi"/>
          <w:sz w:val="24"/>
          <w:szCs w:val="24"/>
          <w:lang w:val="en-US"/>
        </w:rPr>
        <w:t>T</w:t>
      </w:r>
      <w:r w:rsidR="00EB67AF" w:rsidRPr="00C11F21" w:rsidDel="001C242A">
        <w:rPr>
          <w:rFonts w:ascii="Book Antiqua" w:hAnsi="Book Antiqua" w:cstheme="minorHAnsi"/>
          <w:sz w:val="24"/>
          <w:szCs w:val="24"/>
          <w:lang w:val="en-US"/>
        </w:rPr>
        <w:t xml:space="preserve">able </w:t>
      </w:r>
      <w:r w:rsidR="00EB67AF" w:rsidRPr="00C11F21">
        <w:rPr>
          <w:rFonts w:ascii="Book Antiqua" w:hAnsi="Book Antiqua" w:cstheme="minorHAnsi"/>
          <w:sz w:val="24"/>
          <w:szCs w:val="24"/>
          <w:lang w:val="en-US"/>
        </w:rPr>
        <w:t>2).</w:t>
      </w:r>
    </w:p>
    <w:p w14:paraId="3DF889F6" w14:textId="77777777" w:rsidR="00EB67AF" w:rsidRPr="00C11F21" w:rsidRDefault="00EB67AF" w:rsidP="00F33187">
      <w:pPr>
        <w:snapToGrid w:val="0"/>
        <w:spacing w:after="0" w:line="360" w:lineRule="auto"/>
        <w:rPr>
          <w:rFonts w:ascii="Book Antiqua" w:hAnsi="Book Antiqua" w:cstheme="minorHAnsi"/>
          <w:sz w:val="24"/>
          <w:szCs w:val="24"/>
          <w:lang w:val="en-US"/>
        </w:rPr>
        <w:sectPr w:rsidR="00EB67AF" w:rsidRPr="00C11F21" w:rsidSect="004D1351">
          <w:pgSz w:w="16838" w:h="11906" w:orient="landscape"/>
          <w:pgMar w:top="851" w:right="1418" w:bottom="851" w:left="1418" w:header="709" w:footer="709" w:gutter="0"/>
          <w:cols w:space="708"/>
          <w:docGrid w:linePitch="360"/>
        </w:sectPr>
      </w:pPr>
    </w:p>
    <w:p w14:paraId="02D17DEF" w14:textId="77777777" w:rsidR="005C659B" w:rsidRPr="00C11F21" w:rsidRDefault="002A128B" w:rsidP="00F33187">
      <w:pPr>
        <w:snapToGrid w:val="0"/>
        <w:spacing w:after="0" w:line="360" w:lineRule="auto"/>
        <w:jc w:val="center"/>
        <w:rPr>
          <w:rFonts w:ascii="Book Antiqua" w:hAnsi="Book Antiqua" w:cstheme="minorHAnsi"/>
          <w:sz w:val="24"/>
          <w:szCs w:val="24"/>
          <w:lang w:val="en-US"/>
        </w:rPr>
      </w:pPr>
      <w:r w:rsidRPr="00C11F21">
        <w:rPr>
          <w:rFonts w:ascii="Book Antiqua" w:hAnsi="Book Antiqua" w:cstheme="minorHAnsi"/>
          <w:noProof/>
          <w:sz w:val="24"/>
          <w:szCs w:val="24"/>
          <w:lang w:val="en-US" w:eastAsia="zh-CN"/>
        </w:rPr>
        <w:lastRenderedPageBreak/>
        <w:drawing>
          <wp:inline distT="0" distB="0" distL="0" distR="0" wp14:anchorId="7EECAE37" wp14:editId="58E46618">
            <wp:extent cx="5664524" cy="2976806"/>
            <wp:effectExtent l="19050" t="0" r="0" b="0"/>
            <wp:docPr id="1" name="0 Imagen"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3"/>
                    <a:stretch>
                      <a:fillRect/>
                    </a:stretch>
                  </pic:blipFill>
                  <pic:spPr>
                    <a:xfrm>
                      <a:off x="0" y="0"/>
                      <a:ext cx="5666866" cy="2978037"/>
                    </a:xfrm>
                    <a:prstGeom prst="rect">
                      <a:avLst/>
                    </a:prstGeom>
                  </pic:spPr>
                </pic:pic>
              </a:graphicData>
            </a:graphic>
          </wp:inline>
        </w:drawing>
      </w:r>
    </w:p>
    <w:p w14:paraId="39D8EBF4" w14:textId="2F587189" w:rsidR="005C659B" w:rsidRPr="00C11F21" w:rsidRDefault="005C659B" w:rsidP="00F33187">
      <w:pPr>
        <w:snapToGrid w:val="0"/>
        <w:spacing w:after="0" w:line="360" w:lineRule="auto"/>
        <w:jc w:val="both"/>
        <w:rPr>
          <w:rFonts w:ascii="Book Antiqua" w:hAnsi="Book Antiqua" w:cstheme="minorHAnsi"/>
          <w:b/>
          <w:sz w:val="24"/>
          <w:szCs w:val="24"/>
          <w:lang w:val="en-US" w:eastAsia="zh-CN"/>
        </w:rPr>
      </w:pPr>
      <w:r w:rsidRPr="00C11F21">
        <w:rPr>
          <w:rFonts w:ascii="Book Antiqua" w:hAnsi="Book Antiqua" w:cstheme="minorHAnsi"/>
          <w:b/>
          <w:sz w:val="24"/>
          <w:szCs w:val="24"/>
          <w:lang w:val="en-US"/>
        </w:rPr>
        <w:t xml:space="preserve">Figure </w:t>
      </w:r>
      <w:r w:rsidR="00035FF4" w:rsidRPr="00C11F21">
        <w:rPr>
          <w:rFonts w:ascii="Book Antiqua" w:hAnsi="Book Antiqua" w:cstheme="minorHAnsi"/>
          <w:b/>
          <w:sz w:val="24"/>
          <w:szCs w:val="24"/>
          <w:lang w:val="en-US"/>
        </w:rPr>
        <w:t>3</w:t>
      </w:r>
      <w:r w:rsidR="00517A8B" w:rsidRPr="00C11F21">
        <w:rPr>
          <w:rFonts w:ascii="Book Antiqua" w:hAnsi="Book Antiqua" w:cstheme="minorHAnsi" w:hint="eastAsia"/>
          <w:b/>
          <w:sz w:val="24"/>
          <w:szCs w:val="24"/>
          <w:lang w:val="en-US" w:eastAsia="zh-CN"/>
        </w:rPr>
        <w:t xml:space="preserve"> </w:t>
      </w:r>
      <w:r w:rsidRPr="00C11F21">
        <w:rPr>
          <w:rFonts w:ascii="Book Antiqua" w:hAnsi="Book Antiqua" w:cstheme="minorHAnsi"/>
          <w:b/>
          <w:sz w:val="24"/>
          <w:szCs w:val="24"/>
          <w:lang w:val="en-US"/>
        </w:rPr>
        <w:t>Sequence logos showing the information content of amino acid</w:t>
      </w:r>
      <w:r w:rsidR="00517A8B" w:rsidRPr="00C11F21">
        <w:rPr>
          <w:rFonts w:ascii="Book Antiqua" w:hAnsi="Book Antiqua" w:cstheme="minorHAnsi" w:hint="eastAsia"/>
          <w:b/>
          <w:sz w:val="24"/>
          <w:szCs w:val="24"/>
          <w:lang w:val="en-US" w:eastAsia="zh-CN"/>
        </w:rPr>
        <w:t xml:space="preserve"> </w:t>
      </w:r>
      <w:r w:rsidRPr="00C11F21">
        <w:rPr>
          <w:rFonts w:ascii="Book Antiqua" w:hAnsi="Book Antiqua" w:cstheme="minorHAnsi"/>
          <w:b/>
          <w:sz w:val="24"/>
          <w:szCs w:val="24"/>
          <w:lang w:val="en-US"/>
        </w:rPr>
        <w:t>positions from the sodium-taurocholate cotransporting polypeptide</w:t>
      </w:r>
      <w:r w:rsidR="00DC4529" w:rsidRPr="00C11F21">
        <w:rPr>
          <w:rFonts w:ascii="Book Antiqua" w:hAnsi="Book Antiqua" w:cstheme="minorHAnsi"/>
          <w:b/>
          <w:sz w:val="24"/>
          <w:szCs w:val="24"/>
          <w:lang w:val="en-US"/>
        </w:rPr>
        <w:t>-</w:t>
      </w:r>
      <w:r w:rsidRPr="00C11F21">
        <w:rPr>
          <w:rFonts w:ascii="Book Antiqua" w:hAnsi="Book Antiqua" w:cstheme="minorHAnsi"/>
          <w:b/>
          <w:sz w:val="24"/>
          <w:szCs w:val="24"/>
          <w:lang w:val="en-US"/>
        </w:rPr>
        <w:t xml:space="preserve">interacting </w:t>
      </w:r>
      <w:r w:rsidR="00974E97" w:rsidRPr="00C11F21">
        <w:rPr>
          <w:rFonts w:ascii="Book Antiqua" w:hAnsi="Book Antiqua" w:cstheme="minorHAnsi"/>
          <w:b/>
          <w:sz w:val="24"/>
          <w:szCs w:val="24"/>
          <w:lang w:val="en-US"/>
        </w:rPr>
        <w:t>domain</w:t>
      </w:r>
      <w:r w:rsidRPr="00C11F21">
        <w:rPr>
          <w:rFonts w:ascii="Book Antiqua" w:hAnsi="Book Antiqua" w:cstheme="minorHAnsi"/>
          <w:b/>
          <w:sz w:val="24"/>
          <w:szCs w:val="24"/>
          <w:lang w:val="en-US"/>
        </w:rPr>
        <w:t xml:space="preserve"> and the </w:t>
      </w:r>
      <w:r w:rsidR="000118AA" w:rsidRPr="00C11F21">
        <w:rPr>
          <w:rFonts w:ascii="Book Antiqua" w:hAnsi="Book Antiqua" w:cstheme="minorHAnsi"/>
          <w:b/>
          <w:sz w:val="24"/>
          <w:szCs w:val="24"/>
          <w:lang w:val="en-US"/>
        </w:rPr>
        <w:t xml:space="preserve">virion morphogenesis </w:t>
      </w:r>
      <w:r w:rsidR="00974E97" w:rsidRPr="00C11F21">
        <w:rPr>
          <w:rFonts w:ascii="Book Antiqua" w:hAnsi="Book Antiqua" w:cstheme="minorHAnsi"/>
          <w:b/>
          <w:sz w:val="24"/>
          <w:szCs w:val="24"/>
          <w:lang w:val="en-US"/>
        </w:rPr>
        <w:t>domain</w:t>
      </w:r>
      <w:r w:rsidRPr="00C11F21">
        <w:rPr>
          <w:rFonts w:ascii="Book Antiqua" w:hAnsi="Book Antiqua" w:cstheme="minorHAnsi"/>
          <w:b/>
          <w:sz w:val="24"/>
          <w:szCs w:val="24"/>
          <w:lang w:val="en-US"/>
        </w:rPr>
        <w:t xml:space="preserve">, </w:t>
      </w:r>
      <w:r w:rsidR="00E60384" w:rsidRPr="00C11F21">
        <w:rPr>
          <w:rFonts w:ascii="Book Antiqua" w:hAnsi="Book Antiqua" w:cstheme="minorHAnsi"/>
          <w:b/>
          <w:sz w:val="24"/>
          <w:szCs w:val="24"/>
          <w:lang w:val="en-US"/>
        </w:rPr>
        <w:t xml:space="preserve">in </w:t>
      </w:r>
      <w:r w:rsidRPr="00C11F21">
        <w:rPr>
          <w:rFonts w:ascii="Book Antiqua" w:hAnsi="Book Antiqua" w:cstheme="minorHAnsi"/>
          <w:b/>
          <w:sz w:val="24"/>
          <w:szCs w:val="24"/>
          <w:lang w:val="en-US"/>
        </w:rPr>
        <w:t xml:space="preserve">all the haplotypes obtained by </w:t>
      </w:r>
      <w:r w:rsidR="004B49AA" w:rsidRPr="00C11F21">
        <w:rPr>
          <w:rFonts w:ascii="Book Antiqua" w:hAnsi="Book Antiqua" w:cstheme="minorHAnsi"/>
          <w:b/>
          <w:sz w:val="24"/>
          <w:szCs w:val="24"/>
          <w:lang w:val="en-US"/>
        </w:rPr>
        <w:t>next-</w:t>
      </w:r>
      <w:r w:rsidRPr="00C11F21">
        <w:rPr>
          <w:rFonts w:ascii="Book Antiqua" w:hAnsi="Book Antiqua" w:cstheme="minorHAnsi"/>
          <w:b/>
          <w:sz w:val="24"/>
          <w:szCs w:val="24"/>
          <w:lang w:val="en-US"/>
        </w:rPr>
        <w:t>generation sequencing</w:t>
      </w:r>
      <w:r w:rsidRPr="00C11F21">
        <w:rPr>
          <w:rFonts w:ascii="Book Antiqua" w:hAnsi="Book Antiqua" w:cstheme="minorHAnsi"/>
          <w:sz w:val="24"/>
          <w:szCs w:val="24"/>
          <w:lang w:val="en-US"/>
        </w:rPr>
        <w:t xml:space="preserve">. In order to simplify variations due to HBV genotype, the numeration of aa positions from both </w:t>
      </w:r>
      <w:r w:rsidR="00974E97" w:rsidRPr="00C11F21">
        <w:rPr>
          <w:rFonts w:ascii="Book Antiqua" w:hAnsi="Book Antiqua" w:cstheme="minorHAnsi"/>
          <w:sz w:val="24"/>
          <w:szCs w:val="24"/>
          <w:lang w:val="en-US"/>
        </w:rPr>
        <w:t>domains</w:t>
      </w:r>
      <w:r w:rsidRPr="00C11F21">
        <w:rPr>
          <w:rFonts w:ascii="Book Antiqua" w:hAnsi="Book Antiqua" w:cstheme="minorHAnsi"/>
          <w:sz w:val="24"/>
          <w:szCs w:val="24"/>
          <w:lang w:val="en-US"/>
        </w:rPr>
        <w:t xml:space="preserve"> is </w:t>
      </w:r>
      <w:r w:rsidR="00E60384" w:rsidRPr="00C11F21">
        <w:rPr>
          <w:rFonts w:ascii="Book Antiqua" w:hAnsi="Book Antiqua" w:cstheme="minorHAnsi"/>
          <w:sz w:val="24"/>
          <w:szCs w:val="24"/>
          <w:lang w:val="en-US"/>
        </w:rPr>
        <w:t xml:space="preserve">presented </w:t>
      </w:r>
      <w:r w:rsidR="00DC4529" w:rsidRPr="00C11F21">
        <w:rPr>
          <w:rFonts w:ascii="Book Antiqua" w:hAnsi="Book Antiqua" w:cstheme="minorHAnsi"/>
          <w:sz w:val="24"/>
          <w:szCs w:val="24"/>
          <w:lang w:val="en-US"/>
        </w:rPr>
        <w:t>according to genotype D: NTCP-</w:t>
      </w:r>
      <w:r w:rsidRPr="00C11F21">
        <w:rPr>
          <w:rFonts w:ascii="Book Antiqua" w:hAnsi="Book Antiqua" w:cstheme="minorHAnsi"/>
          <w:sz w:val="24"/>
          <w:szCs w:val="24"/>
          <w:lang w:val="en-US"/>
        </w:rPr>
        <w:t xml:space="preserve">interacting </w:t>
      </w:r>
      <w:r w:rsidR="00974E97" w:rsidRPr="00C11F21">
        <w:rPr>
          <w:rFonts w:ascii="Book Antiqua" w:hAnsi="Book Antiqua" w:cstheme="minorHAnsi"/>
          <w:sz w:val="24"/>
          <w:szCs w:val="24"/>
          <w:lang w:val="en-US"/>
        </w:rPr>
        <w:t>domain</w:t>
      </w:r>
      <w:r w:rsidRPr="00C11F21">
        <w:rPr>
          <w:rFonts w:ascii="Book Antiqua" w:hAnsi="Book Antiqua" w:cstheme="minorHAnsi"/>
          <w:sz w:val="24"/>
          <w:szCs w:val="24"/>
          <w:lang w:val="en-US"/>
        </w:rPr>
        <w:t xml:space="preserve"> from </w:t>
      </w:r>
      <w:r w:rsidR="001377AB" w:rsidRPr="00C11F21">
        <w:rPr>
          <w:rFonts w:ascii="Book Antiqua" w:hAnsi="Book Antiqua" w:cstheme="minorHAnsi"/>
          <w:sz w:val="24"/>
          <w:szCs w:val="24"/>
          <w:lang w:val="en-US"/>
        </w:rPr>
        <w:t>residue</w:t>
      </w:r>
      <w:r w:rsidR="00AD0556" w:rsidRPr="00C11F21">
        <w:rPr>
          <w:rFonts w:ascii="Book Antiqua" w:hAnsi="Book Antiqua" w:cstheme="minorHAnsi"/>
          <w:sz w:val="24"/>
          <w:szCs w:val="24"/>
          <w:lang w:val="en-US"/>
        </w:rPr>
        <w:t>s</w:t>
      </w:r>
      <w:r w:rsidR="001377AB" w:rsidRPr="00C11F21">
        <w:rPr>
          <w:rFonts w:ascii="Book Antiqua" w:hAnsi="Book Antiqua" w:cstheme="minorHAnsi"/>
          <w:sz w:val="24"/>
          <w:szCs w:val="24"/>
          <w:lang w:val="en-US"/>
        </w:rPr>
        <w:t xml:space="preserve"> </w:t>
      </w:r>
      <w:r w:rsidRPr="00C11F21">
        <w:rPr>
          <w:rFonts w:ascii="Book Antiqua" w:hAnsi="Book Antiqua" w:cstheme="minorHAnsi"/>
          <w:sz w:val="24"/>
          <w:szCs w:val="24"/>
          <w:lang w:val="en-US"/>
        </w:rPr>
        <w:t>2</w:t>
      </w:r>
      <w:r w:rsidRPr="00C11F21">
        <w:rPr>
          <w:rFonts w:ascii="Book Antiqua" w:hAnsi="Book Antiqua" w:cstheme="minorHAnsi"/>
          <w:sz w:val="24"/>
          <w:szCs w:val="24"/>
          <w:vertAlign w:val="superscript"/>
          <w:lang w:val="en-US"/>
        </w:rPr>
        <w:t xml:space="preserve"> </w:t>
      </w:r>
      <w:r w:rsidRPr="00C11F21">
        <w:rPr>
          <w:rFonts w:ascii="Book Antiqua" w:hAnsi="Book Antiqua" w:cstheme="minorHAnsi"/>
          <w:sz w:val="24"/>
          <w:szCs w:val="24"/>
          <w:lang w:val="en-US"/>
        </w:rPr>
        <w:t xml:space="preserve">to </w:t>
      </w:r>
      <w:r w:rsidR="00981523" w:rsidRPr="00C11F21">
        <w:rPr>
          <w:rFonts w:ascii="Book Antiqua" w:hAnsi="Book Antiqua" w:cstheme="minorHAnsi"/>
          <w:sz w:val="24"/>
          <w:szCs w:val="24"/>
          <w:lang w:val="en-US"/>
        </w:rPr>
        <w:t>48 of the N-terminal end of pre</w:t>
      </w:r>
      <w:r w:rsidRPr="00C11F21">
        <w:rPr>
          <w:rFonts w:ascii="Book Antiqua" w:hAnsi="Book Antiqua" w:cstheme="minorHAnsi"/>
          <w:sz w:val="24"/>
          <w:szCs w:val="24"/>
          <w:lang w:val="en-US"/>
        </w:rPr>
        <w:t xml:space="preserve">S1, and the </w:t>
      </w:r>
      <w:r w:rsidR="00D61DEB" w:rsidRPr="00C11F21">
        <w:rPr>
          <w:rFonts w:ascii="Book Antiqua" w:hAnsi="Book Antiqua" w:cstheme="minorHAnsi"/>
          <w:sz w:val="24"/>
          <w:szCs w:val="24"/>
          <w:lang w:val="en-US"/>
        </w:rPr>
        <w:t xml:space="preserve">virion morphogenesis </w:t>
      </w:r>
      <w:r w:rsidR="00974E97" w:rsidRPr="00C11F21">
        <w:rPr>
          <w:rFonts w:ascii="Book Antiqua" w:hAnsi="Book Antiqua" w:cstheme="minorHAnsi"/>
          <w:sz w:val="24"/>
          <w:szCs w:val="24"/>
          <w:lang w:val="en-US"/>
        </w:rPr>
        <w:t>domain</w:t>
      </w:r>
      <w:r w:rsidR="00D61DEB" w:rsidRPr="00C11F21">
        <w:rPr>
          <w:rFonts w:ascii="Book Antiqua" w:hAnsi="Book Antiqua" w:cstheme="minorHAnsi"/>
          <w:sz w:val="24"/>
          <w:szCs w:val="24"/>
          <w:lang w:val="en-US"/>
        </w:rPr>
        <w:t xml:space="preserve"> </w:t>
      </w:r>
      <w:r w:rsidRPr="00C11F21">
        <w:rPr>
          <w:rFonts w:ascii="Book Antiqua" w:hAnsi="Book Antiqua" w:cstheme="minorHAnsi"/>
          <w:sz w:val="24"/>
          <w:szCs w:val="24"/>
          <w:lang w:val="en-US"/>
        </w:rPr>
        <w:t xml:space="preserve">from </w:t>
      </w:r>
      <w:r w:rsidR="001377AB" w:rsidRPr="00C11F21">
        <w:rPr>
          <w:rFonts w:ascii="Book Antiqua" w:hAnsi="Book Antiqua" w:cstheme="minorHAnsi"/>
          <w:sz w:val="24"/>
          <w:szCs w:val="24"/>
          <w:lang w:val="en-US"/>
        </w:rPr>
        <w:t>residue</w:t>
      </w:r>
      <w:r w:rsidR="00AD0556" w:rsidRPr="00C11F21">
        <w:rPr>
          <w:rFonts w:ascii="Book Antiqua" w:hAnsi="Book Antiqua" w:cstheme="minorHAnsi"/>
          <w:sz w:val="24"/>
          <w:szCs w:val="24"/>
          <w:lang w:val="en-US"/>
        </w:rPr>
        <w:t>s</w:t>
      </w:r>
      <w:r w:rsidR="001377AB" w:rsidRPr="00C11F21">
        <w:rPr>
          <w:rFonts w:ascii="Book Antiqua" w:hAnsi="Book Antiqua" w:cstheme="minorHAnsi"/>
          <w:sz w:val="24"/>
          <w:szCs w:val="24"/>
          <w:lang w:val="en-US"/>
        </w:rPr>
        <w:t xml:space="preserve"> </w:t>
      </w:r>
      <w:r w:rsidRPr="00C11F21">
        <w:rPr>
          <w:rFonts w:ascii="Book Antiqua" w:hAnsi="Book Antiqua" w:cstheme="minorHAnsi"/>
          <w:sz w:val="24"/>
          <w:szCs w:val="24"/>
          <w:lang w:val="en-US"/>
        </w:rPr>
        <w:t xml:space="preserve">92 to 108 </w:t>
      </w:r>
      <w:r w:rsidR="001377AB" w:rsidRPr="00C11F21">
        <w:rPr>
          <w:rFonts w:ascii="Book Antiqua" w:hAnsi="Book Antiqua" w:cstheme="minorHAnsi"/>
          <w:sz w:val="24"/>
          <w:szCs w:val="24"/>
          <w:lang w:val="en-US"/>
        </w:rPr>
        <w:t>of</w:t>
      </w:r>
      <w:r w:rsidRPr="00C11F21">
        <w:rPr>
          <w:rFonts w:ascii="Book Antiqua" w:hAnsi="Book Antiqua" w:cstheme="minorHAnsi"/>
          <w:sz w:val="24"/>
          <w:szCs w:val="24"/>
          <w:lang w:val="en-US"/>
        </w:rPr>
        <w:t xml:space="preserve"> the C-terminal end of preS1 and first 5 residues from the N-terminal end of preS2. Positions where </w:t>
      </w:r>
      <w:r w:rsidR="001377AB" w:rsidRPr="00C11F21">
        <w:rPr>
          <w:rFonts w:ascii="Book Antiqua" w:hAnsi="Book Antiqua" w:cstheme="minorHAnsi"/>
          <w:sz w:val="24"/>
          <w:szCs w:val="24"/>
          <w:lang w:val="en-US"/>
        </w:rPr>
        <w:t xml:space="preserve">the </w:t>
      </w:r>
      <w:r w:rsidRPr="00C11F21">
        <w:rPr>
          <w:rFonts w:ascii="Book Antiqua" w:hAnsi="Book Antiqua" w:cstheme="minorHAnsi"/>
          <w:sz w:val="24"/>
          <w:szCs w:val="24"/>
          <w:lang w:val="en-US"/>
        </w:rPr>
        <w:t>wild-type</w:t>
      </w:r>
      <w:r w:rsidR="00517A8B" w:rsidRPr="00C11F21">
        <w:rPr>
          <w:rFonts w:ascii="Book Antiqua" w:hAnsi="Book Antiqua" w:cstheme="minorHAnsi" w:hint="eastAsia"/>
          <w:sz w:val="24"/>
          <w:szCs w:val="24"/>
          <w:lang w:val="en-US" w:eastAsia="zh-CN"/>
        </w:rPr>
        <w:t xml:space="preserve"> </w:t>
      </w:r>
      <w:r w:rsidRPr="00C11F21">
        <w:rPr>
          <w:rFonts w:ascii="Book Antiqua" w:hAnsi="Book Antiqua" w:cstheme="minorHAnsi"/>
          <w:sz w:val="24"/>
          <w:szCs w:val="24"/>
          <w:lang w:val="en-US"/>
        </w:rPr>
        <w:t>aa varies according to HBV genotype have been highlighted in bold and red.</w:t>
      </w:r>
      <w:r w:rsidR="00517A8B" w:rsidRPr="00C11F21">
        <w:rPr>
          <w:rFonts w:ascii="Book Antiqua" w:hAnsi="Book Antiqua" w:cstheme="minorHAnsi" w:hint="eastAsia"/>
          <w:sz w:val="24"/>
          <w:szCs w:val="24"/>
          <w:lang w:val="en-US" w:eastAsia="zh-CN"/>
        </w:rPr>
        <w:t xml:space="preserve"> </w:t>
      </w:r>
      <w:r w:rsidR="00517A8B" w:rsidRPr="00C11F21">
        <w:rPr>
          <w:rFonts w:ascii="Book Antiqua" w:hAnsi="Book Antiqua" w:cstheme="minorHAnsi"/>
          <w:sz w:val="24"/>
          <w:szCs w:val="24"/>
          <w:lang w:val="en-US" w:eastAsia="zh-CN"/>
        </w:rPr>
        <w:t>a</w:t>
      </w:r>
      <w:r w:rsidR="00517A8B" w:rsidRPr="00C11F21">
        <w:rPr>
          <w:rFonts w:ascii="Book Antiqua" w:hAnsi="Book Antiqua" w:cstheme="minorHAnsi" w:hint="eastAsia"/>
          <w:sz w:val="24"/>
          <w:szCs w:val="24"/>
          <w:lang w:val="en-US" w:eastAsia="zh-CN"/>
        </w:rPr>
        <w:t xml:space="preserve">a: </w:t>
      </w:r>
      <w:r w:rsidR="00517A8B" w:rsidRPr="00C11F21">
        <w:rPr>
          <w:rFonts w:ascii="Book Antiqua" w:hAnsi="Book Antiqua" w:cstheme="minorHAnsi"/>
          <w:caps/>
          <w:sz w:val="24"/>
          <w:szCs w:val="24"/>
          <w:lang w:val="en-US"/>
        </w:rPr>
        <w:t>a</w:t>
      </w:r>
      <w:r w:rsidR="00517A8B" w:rsidRPr="00C11F21">
        <w:rPr>
          <w:rFonts w:ascii="Book Antiqua" w:hAnsi="Book Antiqua" w:cstheme="minorHAnsi"/>
          <w:sz w:val="24"/>
          <w:szCs w:val="24"/>
          <w:lang w:val="en-US"/>
        </w:rPr>
        <w:t>mino acid</w:t>
      </w:r>
      <w:r w:rsidR="000C1F99" w:rsidRPr="00C11F21">
        <w:rPr>
          <w:rFonts w:ascii="Book Antiqua" w:hAnsi="Book Antiqua" w:cstheme="minorHAnsi" w:hint="eastAsia"/>
          <w:sz w:val="24"/>
          <w:szCs w:val="24"/>
          <w:lang w:val="en-US" w:eastAsia="zh-CN"/>
        </w:rPr>
        <w:t xml:space="preserve">; </w:t>
      </w:r>
      <w:r w:rsidR="000C1F99" w:rsidRPr="00C11F21">
        <w:rPr>
          <w:rFonts w:ascii="Book Antiqua" w:hAnsi="Book Antiqua" w:cstheme="minorHAnsi"/>
          <w:sz w:val="24"/>
          <w:szCs w:val="24"/>
          <w:lang w:val="en-US"/>
        </w:rPr>
        <w:t>NTCP</w:t>
      </w:r>
      <w:r w:rsidR="000C1F99" w:rsidRPr="00C11F21">
        <w:rPr>
          <w:rFonts w:ascii="Book Antiqua" w:hAnsi="Book Antiqua" w:cstheme="minorHAnsi" w:hint="eastAsia"/>
          <w:sz w:val="24"/>
          <w:szCs w:val="24"/>
          <w:lang w:val="en-US" w:eastAsia="zh-CN"/>
        </w:rPr>
        <w:t xml:space="preserve">: </w:t>
      </w:r>
      <w:r w:rsidR="000C1F99" w:rsidRPr="00C11F21">
        <w:rPr>
          <w:rFonts w:ascii="Book Antiqua" w:hAnsi="Book Antiqua" w:cstheme="minorHAnsi"/>
          <w:caps/>
          <w:sz w:val="24"/>
          <w:szCs w:val="24"/>
          <w:lang w:val="en-US" w:eastAsia="zh-CN"/>
        </w:rPr>
        <w:t>s</w:t>
      </w:r>
      <w:r w:rsidR="000C1F99" w:rsidRPr="00C11F21">
        <w:rPr>
          <w:rFonts w:ascii="Book Antiqua" w:hAnsi="Book Antiqua" w:cstheme="minorHAnsi"/>
          <w:sz w:val="24"/>
          <w:szCs w:val="24"/>
          <w:lang w:val="en-US" w:eastAsia="zh-CN"/>
        </w:rPr>
        <w:t>odium-taurocholate cotransporting polypeptide</w:t>
      </w:r>
      <w:r w:rsidR="000C1F99" w:rsidRPr="00C11F21">
        <w:rPr>
          <w:rFonts w:ascii="Book Antiqua" w:hAnsi="Book Antiqua" w:cstheme="minorHAnsi" w:hint="eastAsia"/>
          <w:sz w:val="24"/>
          <w:szCs w:val="24"/>
          <w:lang w:val="en-US" w:eastAsia="zh-CN"/>
        </w:rPr>
        <w:t>.</w:t>
      </w:r>
    </w:p>
    <w:p w14:paraId="51E0B6F9" w14:textId="77777777" w:rsidR="005C659B" w:rsidRPr="00C11F21" w:rsidRDefault="005C659B" w:rsidP="00F33187">
      <w:pPr>
        <w:snapToGrid w:val="0"/>
        <w:spacing w:after="0" w:line="360" w:lineRule="auto"/>
        <w:rPr>
          <w:rFonts w:ascii="Book Antiqua" w:hAnsi="Book Antiqua" w:cstheme="minorHAnsi"/>
          <w:b/>
          <w:sz w:val="24"/>
          <w:szCs w:val="24"/>
          <w:lang w:val="en-US"/>
        </w:rPr>
      </w:pPr>
      <w:r w:rsidRPr="00C11F21">
        <w:rPr>
          <w:rFonts w:ascii="Book Antiqua" w:hAnsi="Book Antiqua" w:cstheme="minorHAnsi"/>
          <w:b/>
          <w:sz w:val="24"/>
          <w:szCs w:val="24"/>
          <w:lang w:val="en-US"/>
        </w:rPr>
        <w:br w:type="page"/>
      </w:r>
    </w:p>
    <w:p w14:paraId="34D85C4E" w14:textId="750CE8E0" w:rsidR="005C659B" w:rsidRPr="00C11F21" w:rsidRDefault="005C659B" w:rsidP="00F33187">
      <w:pPr>
        <w:autoSpaceDE w:val="0"/>
        <w:autoSpaceDN w:val="0"/>
        <w:adjustRightInd w:val="0"/>
        <w:snapToGrid w:val="0"/>
        <w:spacing w:after="0" w:line="360" w:lineRule="auto"/>
        <w:jc w:val="both"/>
        <w:rPr>
          <w:rFonts w:ascii="Book Antiqua" w:hAnsi="Book Antiqua" w:cstheme="minorHAnsi"/>
          <w:b/>
          <w:sz w:val="24"/>
          <w:szCs w:val="24"/>
          <w:lang w:val="en-US"/>
        </w:rPr>
      </w:pPr>
      <w:r w:rsidRPr="00C11F21">
        <w:rPr>
          <w:rFonts w:ascii="Book Antiqua" w:hAnsi="Book Antiqua" w:cstheme="minorHAnsi"/>
          <w:b/>
          <w:sz w:val="24"/>
          <w:szCs w:val="24"/>
          <w:lang w:val="en-US"/>
        </w:rPr>
        <w:lastRenderedPageBreak/>
        <w:t>Table 1</w:t>
      </w:r>
      <w:r w:rsidR="00B11B5E">
        <w:rPr>
          <w:rFonts w:ascii="Book Antiqua" w:hAnsi="Book Antiqua" w:cstheme="minorHAnsi" w:hint="eastAsia"/>
          <w:b/>
          <w:sz w:val="24"/>
          <w:szCs w:val="24"/>
          <w:lang w:val="en-US" w:eastAsia="zh-CN"/>
        </w:rPr>
        <w:t xml:space="preserve"> </w:t>
      </w:r>
      <w:r w:rsidRPr="00C11F21">
        <w:rPr>
          <w:rFonts w:ascii="Book Antiqua" w:hAnsi="Book Antiqua" w:cstheme="minorHAnsi"/>
          <w:b/>
          <w:sz w:val="24"/>
          <w:szCs w:val="24"/>
          <w:lang w:val="en-US"/>
        </w:rPr>
        <w:t>Demographic</w:t>
      </w:r>
      <w:r w:rsidR="002D1959" w:rsidRPr="00C11F21">
        <w:rPr>
          <w:rFonts w:ascii="Book Antiqua" w:hAnsi="Book Antiqua" w:cstheme="minorHAnsi"/>
          <w:b/>
          <w:sz w:val="24"/>
          <w:szCs w:val="24"/>
          <w:lang w:val="en-US"/>
        </w:rPr>
        <w:t xml:space="preserve"> </w:t>
      </w:r>
      <w:r w:rsidRPr="00C11F21">
        <w:rPr>
          <w:rFonts w:ascii="Book Antiqua" w:hAnsi="Book Antiqua" w:cstheme="minorHAnsi"/>
          <w:b/>
          <w:sz w:val="24"/>
          <w:szCs w:val="24"/>
          <w:lang w:val="en-US"/>
        </w:rPr>
        <w:t xml:space="preserve">characteristics of </w:t>
      </w:r>
      <w:r w:rsidR="00DC168E" w:rsidRPr="00C11F21">
        <w:rPr>
          <w:rFonts w:ascii="Book Antiqua" w:hAnsi="Book Antiqua" w:cstheme="minorHAnsi"/>
          <w:b/>
          <w:sz w:val="24"/>
          <w:szCs w:val="24"/>
          <w:lang w:val="en-US"/>
        </w:rPr>
        <w:t>the</w:t>
      </w:r>
      <w:r w:rsidRPr="00C11F21">
        <w:rPr>
          <w:rFonts w:ascii="Book Antiqua" w:hAnsi="Book Antiqua" w:cstheme="minorHAnsi"/>
          <w:b/>
          <w:sz w:val="24"/>
          <w:szCs w:val="24"/>
          <w:lang w:val="en-US"/>
        </w:rPr>
        <w:t xml:space="preserve"> 246 patients included</w:t>
      </w:r>
    </w:p>
    <w:tbl>
      <w:tblPr>
        <w:tblStyle w:val="TableGrid"/>
        <w:tblpPr w:leftFromText="141" w:rightFromText="141" w:vertAnchor="text" w:horzAnchor="margin" w:tblpXSpec="center" w:tblpY="275"/>
        <w:tblW w:w="59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9"/>
        <w:gridCol w:w="1964"/>
        <w:gridCol w:w="1964"/>
        <w:gridCol w:w="1962"/>
        <w:gridCol w:w="1025"/>
      </w:tblGrid>
      <w:tr w:rsidR="00C11F21" w:rsidRPr="00C11F21" w14:paraId="7AE9BB34" w14:textId="77777777" w:rsidTr="00C030CA">
        <w:trPr>
          <w:trHeight w:val="848"/>
        </w:trPr>
        <w:tc>
          <w:tcPr>
            <w:tcW w:w="1648" w:type="pct"/>
            <w:tcBorders>
              <w:top w:val="single" w:sz="4" w:space="0" w:color="auto"/>
              <w:bottom w:val="single" w:sz="4" w:space="0" w:color="auto"/>
            </w:tcBorders>
          </w:tcPr>
          <w:p w14:paraId="6B59DAC0" w14:textId="77777777" w:rsidR="005C659B" w:rsidRPr="00C11F21" w:rsidRDefault="005C659B" w:rsidP="00F33187">
            <w:pPr>
              <w:autoSpaceDE w:val="0"/>
              <w:autoSpaceDN w:val="0"/>
              <w:adjustRightInd w:val="0"/>
              <w:snapToGrid w:val="0"/>
              <w:spacing w:after="0" w:line="360" w:lineRule="auto"/>
              <w:jc w:val="both"/>
              <w:rPr>
                <w:rFonts w:ascii="Book Antiqua" w:hAnsi="Book Antiqua" w:cstheme="minorHAnsi"/>
                <w:sz w:val="24"/>
                <w:szCs w:val="24"/>
                <w:lang w:val="en-US"/>
              </w:rPr>
            </w:pPr>
          </w:p>
        </w:tc>
        <w:tc>
          <w:tcPr>
            <w:tcW w:w="952" w:type="pct"/>
            <w:tcBorders>
              <w:top w:val="single" w:sz="4" w:space="0" w:color="auto"/>
              <w:bottom w:val="single" w:sz="4" w:space="0" w:color="auto"/>
            </w:tcBorders>
            <w:vAlign w:val="center"/>
          </w:tcPr>
          <w:p w14:paraId="6E1DAB38" w14:textId="733A519A" w:rsidR="005C659B" w:rsidRPr="00C11F21" w:rsidRDefault="005C659B" w:rsidP="000C1F99">
            <w:pPr>
              <w:autoSpaceDE w:val="0"/>
              <w:autoSpaceDN w:val="0"/>
              <w:adjustRightInd w:val="0"/>
              <w:snapToGrid w:val="0"/>
              <w:spacing w:after="0" w:line="360" w:lineRule="auto"/>
              <w:jc w:val="center"/>
              <w:rPr>
                <w:rFonts w:ascii="Book Antiqua" w:hAnsi="Book Antiqua" w:cstheme="minorHAnsi"/>
                <w:b/>
                <w:sz w:val="24"/>
                <w:szCs w:val="24"/>
                <w:lang w:val="en-US" w:eastAsia="zh-CN"/>
              </w:rPr>
            </w:pPr>
            <w:r w:rsidRPr="00C11F21">
              <w:rPr>
                <w:rFonts w:ascii="Book Antiqua" w:hAnsi="Book Antiqua" w:cstheme="minorHAnsi"/>
                <w:b/>
                <w:sz w:val="24"/>
                <w:szCs w:val="24"/>
                <w:lang w:val="en-US"/>
              </w:rPr>
              <w:t>Group A</w:t>
            </w:r>
            <w:r w:rsidR="000C1F99" w:rsidRPr="00C11F21">
              <w:rPr>
                <w:rFonts w:ascii="Book Antiqua" w:hAnsi="Book Antiqua" w:cstheme="minorHAnsi" w:hint="eastAsia"/>
                <w:b/>
                <w:sz w:val="24"/>
                <w:szCs w:val="24"/>
                <w:lang w:val="en-US" w:eastAsia="zh-CN"/>
              </w:rPr>
              <w:t xml:space="preserve">, </w:t>
            </w:r>
            <w:r w:rsidRPr="00C11F21">
              <w:rPr>
                <w:rFonts w:ascii="Book Antiqua" w:hAnsi="Book Antiqua" w:cstheme="minorHAnsi"/>
                <w:b/>
                <w:sz w:val="24"/>
                <w:szCs w:val="24"/>
                <w:lang w:val="en-US"/>
              </w:rPr>
              <w:t>CHB (</w:t>
            </w:r>
            <w:r w:rsidRPr="00C11F21">
              <w:rPr>
                <w:rFonts w:ascii="Book Antiqua" w:hAnsi="Book Antiqua" w:cstheme="minorHAnsi"/>
                <w:b/>
                <w:i/>
                <w:sz w:val="24"/>
                <w:szCs w:val="24"/>
                <w:lang w:val="en-US"/>
              </w:rPr>
              <w:t>n</w:t>
            </w:r>
            <w:r w:rsidR="000C1F99" w:rsidRPr="00C11F21">
              <w:rPr>
                <w:rFonts w:ascii="Book Antiqua" w:hAnsi="Book Antiqua" w:cstheme="minorHAnsi" w:hint="eastAsia"/>
                <w:b/>
                <w:sz w:val="24"/>
                <w:szCs w:val="24"/>
                <w:lang w:val="en-US" w:eastAsia="zh-CN"/>
              </w:rPr>
              <w:t xml:space="preserve"> </w:t>
            </w:r>
            <w:r w:rsidRPr="00C11F21">
              <w:rPr>
                <w:rFonts w:ascii="Book Antiqua" w:hAnsi="Book Antiqua" w:cstheme="minorHAnsi"/>
                <w:b/>
                <w:sz w:val="24"/>
                <w:szCs w:val="24"/>
                <w:lang w:val="en-US"/>
              </w:rPr>
              <w:t>=</w:t>
            </w:r>
            <w:r w:rsidR="000C1F99" w:rsidRPr="00C11F21">
              <w:rPr>
                <w:rFonts w:ascii="Book Antiqua" w:hAnsi="Book Antiqua" w:cstheme="minorHAnsi" w:hint="eastAsia"/>
                <w:b/>
                <w:sz w:val="24"/>
                <w:szCs w:val="24"/>
                <w:lang w:val="en-US" w:eastAsia="zh-CN"/>
              </w:rPr>
              <w:t xml:space="preserve"> </w:t>
            </w:r>
            <w:r w:rsidRPr="00C11F21">
              <w:rPr>
                <w:rFonts w:ascii="Book Antiqua" w:hAnsi="Book Antiqua" w:cstheme="minorHAnsi"/>
                <w:b/>
                <w:sz w:val="24"/>
                <w:szCs w:val="24"/>
                <w:lang w:val="en-US"/>
              </w:rPr>
              <w:t>41)</w:t>
            </w:r>
          </w:p>
        </w:tc>
        <w:tc>
          <w:tcPr>
            <w:tcW w:w="952" w:type="pct"/>
            <w:tcBorders>
              <w:top w:val="single" w:sz="4" w:space="0" w:color="auto"/>
              <w:bottom w:val="single" w:sz="4" w:space="0" w:color="auto"/>
            </w:tcBorders>
            <w:vAlign w:val="center"/>
          </w:tcPr>
          <w:p w14:paraId="033E8858" w14:textId="5839D9D9" w:rsidR="005C659B" w:rsidRPr="00C11F21" w:rsidRDefault="005C659B" w:rsidP="000C1F99">
            <w:pPr>
              <w:autoSpaceDE w:val="0"/>
              <w:autoSpaceDN w:val="0"/>
              <w:adjustRightInd w:val="0"/>
              <w:snapToGrid w:val="0"/>
              <w:spacing w:after="0" w:line="360" w:lineRule="auto"/>
              <w:jc w:val="center"/>
              <w:rPr>
                <w:rFonts w:ascii="Book Antiqua" w:eastAsiaTheme="majorEastAsia" w:hAnsi="Book Antiqua" w:cstheme="minorHAnsi"/>
                <w:b/>
                <w:bCs/>
                <w:sz w:val="24"/>
                <w:szCs w:val="24"/>
                <w:lang w:val="en-US"/>
              </w:rPr>
            </w:pPr>
            <w:r w:rsidRPr="00C11F21">
              <w:rPr>
                <w:rFonts w:ascii="Book Antiqua" w:hAnsi="Book Antiqua" w:cstheme="minorHAnsi"/>
                <w:b/>
                <w:sz w:val="24"/>
                <w:szCs w:val="24"/>
                <w:lang w:val="en-US"/>
              </w:rPr>
              <w:t>Group B</w:t>
            </w:r>
            <w:r w:rsidR="000C1F99" w:rsidRPr="00C11F21">
              <w:rPr>
                <w:rFonts w:ascii="Book Antiqua" w:hAnsi="Book Antiqua" w:cstheme="minorHAnsi" w:hint="eastAsia"/>
                <w:b/>
                <w:sz w:val="24"/>
                <w:szCs w:val="24"/>
                <w:lang w:val="en-US" w:eastAsia="zh-CN"/>
              </w:rPr>
              <w:t xml:space="preserve">, </w:t>
            </w:r>
            <w:r w:rsidRPr="00C11F21">
              <w:rPr>
                <w:rFonts w:ascii="Book Antiqua" w:hAnsi="Book Antiqua" w:cstheme="minorHAnsi"/>
                <w:b/>
                <w:sz w:val="24"/>
                <w:szCs w:val="24"/>
                <w:lang w:val="en-US"/>
              </w:rPr>
              <w:t>Resolvers (</w:t>
            </w:r>
            <w:r w:rsidR="000C1F99" w:rsidRPr="00C11F21">
              <w:rPr>
                <w:rFonts w:ascii="Book Antiqua" w:hAnsi="Book Antiqua" w:cstheme="minorHAnsi"/>
                <w:b/>
                <w:i/>
                <w:sz w:val="24"/>
                <w:szCs w:val="24"/>
                <w:lang w:val="en-US"/>
              </w:rPr>
              <w:t>n</w:t>
            </w:r>
            <w:r w:rsidR="000C1F99" w:rsidRPr="00C11F21">
              <w:rPr>
                <w:rFonts w:ascii="Book Antiqua" w:hAnsi="Book Antiqua" w:cstheme="minorHAnsi" w:hint="eastAsia"/>
                <w:b/>
                <w:sz w:val="24"/>
                <w:szCs w:val="24"/>
                <w:lang w:val="en-US" w:eastAsia="zh-CN"/>
              </w:rPr>
              <w:t xml:space="preserve">  </w:t>
            </w:r>
            <w:r w:rsidRPr="00C11F21">
              <w:rPr>
                <w:rFonts w:ascii="Book Antiqua" w:hAnsi="Book Antiqua" w:cstheme="minorHAnsi"/>
                <w:b/>
                <w:sz w:val="24"/>
                <w:szCs w:val="24"/>
                <w:lang w:val="en-US"/>
              </w:rPr>
              <w:t>=</w:t>
            </w:r>
            <w:r w:rsidR="000C1F99" w:rsidRPr="00C11F21">
              <w:rPr>
                <w:rFonts w:ascii="Book Antiqua" w:hAnsi="Book Antiqua" w:cstheme="minorHAnsi" w:hint="eastAsia"/>
                <w:b/>
                <w:sz w:val="24"/>
                <w:szCs w:val="24"/>
                <w:lang w:val="en-US" w:eastAsia="zh-CN"/>
              </w:rPr>
              <w:t xml:space="preserve"> </w:t>
            </w:r>
            <w:r w:rsidRPr="00C11F21">
              <w:rPr>
                <w:rFonts w:ascii="Book Antiqua" w:hAnsi="Book Antiqua" w:cstheme="minorHAnsi"/>
                <w:b/>
                <w:sz w:val="24"/>
                <w:szCs w:val="24"/>
                <w:lang w:val="en-US"/>
              </w:rPr>
              <w:t>100)</w:t>
            </w:r>
          </w:p>
        </w:tc>
        <w:tc>
          <w:tcPr>
            <w:tcW w:w="951" w:type="pct"/>
            <w:tcBorders>
              <w:top w:val="single" w:sz="4" w:space="0" w:color="auto"/>
              <w:bottom w:val="single" w:sz="4" w:space="0" w:color="auto"/>
            </w:tcBorders>
            <w:vAlign w:val="center"/>
          </w:tcPr>
          <w:p w14:paraId="11015B55" w14:textId="6964B9D4" w:rsidR="005C659B" w:rsidRPr="00C11F21" w:rsidRDefault="005C659B" w:rsidP="000C1F99">
            <w:pPr>
              <w:autoSpaceDE w:val="0"/>
              <w:autoSpaceDN w:val="0"/>
              <w:adjustRightInd w:val="0"/>
              <w:snapToGrid w:val="0"/>
              <w:spacing w:after="0" w:line="360" w:lineRule="auto"/>
              <w:jc w:val="center"/>
              <w:rPr>
                <w:rFonts w:ascii="Book Antiqua" w:eastAsiaTheme="majorEastAsia" w:hAnsi="Book Antiqua" w:cstheme="minorHAnsi"/>
                <w:b/>
                <w:bCs/>
                <w:sz w:val="24"/>
                <w:szCs w:val="24"/>
                <w:lang w:val="en-US"/>
              </w:rPr>
            </w:pPr>
            <w:r w:rsidRPr="00C11F21">
              <w:rPr>
                <w:rFonts w:ascii="Book Antiqua" w:hAnsi="Book Antiqua" w:cstheme="minorHAnsi"/>
                <w:b/>
                <w:sz w:val="24"/>
                <w:szCs w:val="24"/>
                <w:lang w:val="en-US"/>
              </w:rPr>
              <w:t>Group C</w:t>
            </w:r>
            <w:r w:rsidR="000C1F99" w:rsidRPr="00C11F21">
              <w:rPr>
                <w:rFonts w:ascii="Book Antiqua" w:hAnsi="Book Antiqua" w:cstheme="minorHAnsi" w:hint="eastAsia"/>
                <w:b/>
                <w:sz w:val="24"/>
                <w:szCs w:val="24"/>
                <w:lang w:val="en-US" w:eastAsia="zh-CN"/>
              </w:rPr>
              <w:t xml:space="preserve">, </w:t>
            </w:r>
            <w:r w:rsidRPr="00C11F21">
              <w:rPr>
                <w:rFonts w:ascii="Book Antiqua" w:hAnsi="Book Antiqua" w:cstheme="minorHAnsi"/>
                <w:b/>
                <w:sz w:val="24"/>
                <w:szCs w:val="24"/>
                <w:lang w:val="en-US"/>
              </w:rPr>
              <w:t>Controls (</w:t>
            </w:r>
            <w:r w:rsidR="000C1F99" w:rsidRPr="00C11F21">
              <w:rPr>
                <w:rFonts w:ascii="Book Antiqua" w:hAnsi="Book Antiqua" w:cstheme="minorHAnsi"/>
                <w:b/>
                <w:i/>
                <w:sz w:val="24"/>
                <w:szCs w:val="24"/>
                <w:lang w:val="en-US"/>
              </w:rPr>
              <w:t>n</w:t>
            </w:r>
            <w:r w:rsidR="000C1F99" w:rsidRPr="00C11F21">
              <w:rPr>
                <w:rFonts w:ascii="Book Antiqua" w:hAnsi="Book Antiqua" w:cstheme="minorHAnsi" w:hint="eastAsia"/>
                <w:b/>
                <w:sz w:val="24"/>
                <w:szCs w:val="24"/>
                <w:lang w:val="en-US" w:eastAsia="zh-CN"/>
              </w:rPr>
              <w:t xml:space="preserve">  </w:t>
            </w:r>
            <w:r w:rsidRPr="00C11F21">
              <w:rPr>
                <w:rFonts w:ascii="Book Antiqua" w:hAnsi="Book Antiqua" w:cstheme="minorHAnsi"/>
                <w:b/>
                <w:sz w:val="24"/>
                <w:szCs w:val="24"/>
                <w:lang w:val="en-US"/>
              </w:rPr>
              <w:t>=</w:t>
            </w:r>
            <w:r w:rsidR="000C1F99" w:rsidRPr="00C11F21">
              <w:rPr>
                <w:rFonts w:ascii="Book Antiqua" w:hAnsi="Book Antiqua" w:cstheme="minorHAnsi" w:hint="eastAsia"/>
                <w:b/>
                <w:sz w:val="24"/>
                <w:szCs w:val="24"/>
                <w:lang w:val="en-US" w:eastAsia="zh-CN"/>
              </w:rPr>
              <w:t xml:space="preserve"> </w:t>
            </w:r>
            <w:r w:rsidRPr="00C11F21">
              <w:rPr>
                <w:rFonts w:ascii="Book Antiqua" w:hAnsi="Book Antiqua" w:cstheme="minorHAnsi"/>
                <w:b/>
                <w:sz w:val="24"/>
                <w:szCs w:val="24"/>
                <w:lang w:val="en-US"/>
              </w:rPr>
              <w:t>105)</w:t>
            </w:r>
          </w:p>
        </w:tc>
        <w:tc>
          <w:tcPr>
            <w:tcW w:w="497" w:type="pct"/>
            <w:tcBorders>
              <w:top w:val="single" w:sz="4" w:space="0" w:color="auto"/>
              <w:bottom w:val="single" w:sz="4" w:space="0" w:color="auto"/>
            </w:tcBorders>
            <w:vAlign w:val="center"/>
          </w:tcPr>
          <w:p w14:paraId="7C198AAB" w14:textId="331B8F26" w:rsidR="005C659B" w:rsidRPr="00C11F21" w:rsidRDefault="00DF0AEC" w:rsidP="000C1F99">
            <w:pPr>
              <w:autoSpaceDE w:val="0"/>
              <w:autoSpaceDN w:val="0"/>
              <w:adjustRightInd w:val="0"/>
              <w:snapToGrid w:val="0"/>
              <w:spacing w:after="0" w:line="360" w:lineRule="auto"/>
              <w:jc w:val="center"/>
              <w:rPr>
                <w:rFonts w:ascii="Book Antiqua" w:eastAsiaTheme="majorEastAsia" w:hAnsi="Book Antiqua" w:cstheme="minorHAnsi"/>
                <w:b/>
                <w:bCs/>
                <w:i/>
                <w:sz w:val="24"/>
                <w:szCs w:val="24"/>
                <w:lang w:val="en-US" w:eastAsia="zh-CN"/>
              </w:rPr>
            </w:pPr>
            <w:r w:rsidRPr="00C11F21">
              <w:rPr>
                <w:rFonts w:ascii="Book Antiqua" w:hAnsi="Book Antiqua" w:cstheme="minorHAnsi"/>
                <w:b/>
                <w:i/>
                <w:sz w:val="24"/>
                <w:szCs w:val="24"/>
                <w:lang w:val="en-US"/>
              </w:rPr>
              <w:t>P</w:t>
            </w:r>
            <w:r w:rsidR="000C1F99" w:rsidRPr="00C11F21">
              <w:rPr>
                <w:rFonts w:ascii="Book Antiqua" w:hAnsi="Book Antiqua" w:cstheme="minorHAnsi" w:hint="eastAsia"/>
                <w:b/>
                <w:i/>
                <w:sz w:val="24"/>
                <w:szCs w:val="24"/>
                <w:lang w:val="en-US" w:eastAsia="zh-CN"/>
              </w:rPr>
              <w:t xml:space="preserve"> </w:t>
            </w:r>
            <w:r w:rsidR="000C1F99" w:rsidRPr="00C11F21">
              <w:rPr>
                <w:rFonts w:ascii="Book Antiqua" w:hAnsi="Book Antiqua" w:cstheme="minorHAnsi" w:hint="eastAsia"/>
                <w:b/>
                <w:sz w:val="24"/>
                <w:szCs w:val="24"/>
                <w:lang w:val="en-US" w:eastAsia="zh-CN"/>
              </w:rPr>
              <w:t>value</w:t>
            </w:r>
            <w:r w:rsidR="000C1F99" w:rsidRPr="00C11F21">
              <w:rPr>
                <w:rFonts w:ascii="Book Antiqua" w:hAnsi="Book Antiqua" w:cstheme="minorHAnsi" w:hint="eastAsia"/>
                <w:b/>
                <w:sz w:val="24"/>
                <w:szCs w:val="24"/>
                <w:vertAlign w:val="superscript"/>
                <w:lang w:val="en-US" w:eastAsia="zh-CN"/>
              </w:rPr>
              <w:t>1</w:t>
            </w:r>
          </w:p>
        </w:tc>
      </w:tr>
      <w:tr w:rsidR="00C11F21" w:rsidRPr="00C11F21" w14:paraId="10E34B41" w14:textId="77777777" w:rsidTr="000C1F99">
        <w:trPr>
          <w:trHeight w:val="62"/>
        </w:trPr>
        <w:tc>
          <w:tcPr>
            <w:tcW w:w="1648" w:type="pct"/>
            <w:tcBorders>
              <w:top w:val="single" w:sz="4" w:space="0" w:color="auto"/>
            </w:tcBorders>
          </w:tcPr>
          <w:p w14:paraId="73BFA81B" w14:textId="77777777" w:rsidR="00BA1533" w:rsidRPr="00C11F21" w:rsidRDefault="005C659B" w:rsidP="00F33187">
            <w:pPr>
              <w:autoSpaceDE w:val="0"/>
              <w:autoSpaceDN w:val="0"/>
              <w:adjustRightInd w:val="0"/>
              <w:snapToGrid w:val="0"/>
              <w:spacing w:after="0" w:line="360" w:lineRule="auto"/>
              <w:rPr>
                <w:rFonts w:ascii="Book Antiqua" w:hAnsi="Book Antiqua" w:cstheme="minorHAnsi"/>
                <w:bCs/>
                <w:sz w:val="24"/>
                <w:szCs w:val="24"/>
                <w:lang w:val="en-US"/>
              </w:rPr>
            </w:pPr>
            <w:r w:rsidRPr="00C11F21">
              <w:rPr>
                <w:rFonts w:ascii="Book Antiqua" w:hAnsi="Book Antiqua" w:cstheme="minorHAnsi"/>
                <w:sz w:val="24"/>
                <w:szCs w:val="24"/>
                <w:lang w:val="en-US"/>
              </w:rPr>
              <w:t>Gender</w:t>
            </w:r>
            <w:r w:rsidR="00DC168E" w:rsidRPr="00C11F21">
              <w:rPr>
                <w:rFonts w:ascii="Book Antiqua" w:hAnsi="Book Antiqua" w:cstheme="minorHAnsi"/>
                <w:sz w:val="24"/>
                <w:szCs w:val="24"/>
                <w:lang w:val="en-US"/>
              </w:rPr>
              <w:t>,</w:t>
            </w:r>
            <w:r w:rsidRPr="00C11F21">
              <w:rPr>
                <w:rFonts w:ascii="Book Antiqua" w:hAnsi="Book Antiqua" w:cstheme="minorHAnsi"/>
                <w:sz w:val="24"/>
                <w:szCs w:val="24"/>
                <w:lang w:val="en-US"/>
              </w:rPr>
              <w:t xml:space="preserve"> n </w:t>
            </w:r>
            <w:r w:rsidR="00DC168E" w:rsidRPr="00C11F21">
              <w:rPr>
                <w:rFonts w:ascii="Book Antiqua" w:hAnsi="Book Antiqua" w:cstheme="minorHAnsi"/>
                <w:sz w:val="24"/>
                <w:szCs w:val="24"/>
                <w:lang w:val="en-US"/>
              </w:rPr>
              <w:t>m</w:t>
            </w:r>
            <w:r w:rsidRPr="00C11F21">
              <w:rPr>
                <w:rFonts w:ascii="Book Antiqua" w:hAnsi="Book Antiqua" w:cstheme="minorHAnsi"/>
                <w:sz w:val="24"/>
                <w:szCs w:val="24"/>
                <w:lang w:val="en-US"/>
              </w:rPr>
              <w:t>ale</w:t>
            </w:r>
            <w:r w:rsidR="00DC168E" w:rsidRPr="00C11F21">
              <w:rPr>
                <w:rFonts w:ascii="Book Antiqua" w:hAnsi="Book Antiqua" w:cstheme="minorHAnsi"/>
                <w:sz w:val="24"/>
                <w:szCs w:val="24"/>
                <w:lang w:val="en-US"/>
              </w:rPr>
              <w:t>s</w:t>
            </w:r>
            <w:r w:rsidRPr="00C11F21">
              <w:rPr>
                <w:rFonts w:ascii="Book Antiqua" w:hAnsi="Book Antiqua" w:cstheme="minorHAnsi"/>
                <w:sz w:val="24"/>
                <w:szCs w:val="24"/>
                <w:lang w:val="en-US"/>
              </w:rPr>
              <w:t xml:space="preserve"> (%)</w:t>
            </w:r>
          </w:p>
        </w:tc>
        <w:tc>
          <w:tcPr>
            <w:tcW w:w="952" w:type="pct"/>
            <w:tcBorders>
              <w:top w:val="single" w:sz="4" w:space="0" w:color="auto"/>
            </w:tcBorders>
          </w:tcPr>
          <w:p w14:paraId="1AA11B82" w14:textId="77777777" w:rsidR="005C659B" w:rsidRPr="00C11F21" w:rsidRDefault="005C659B" w:rsidP="000C1F99">
            <w:pPr>
              <w:autoSpaceDE w:val="0"/>
              <w:autoSpaceDN w:val="0"/>
              <w:adjustRightInd w:val="0"/>
              <w:snapToGrid w:val="0"/>
              <w:spacing w:after="0" w:line="360" w:lineRule="auto"/>
              <w:jc w:val="center"/>
              <w:rPr>
                <w:rFonts w:ascii="Book Antiqua" w:hAnsi="Book Antiqua" w:cstheme="minorHAnsi"/>
                <w:sz w:val="24"/>
                <w:szCs w:val="24"/>
                <w:lang w:val="en-US"/>
              </w:rPr>
            </w:pPr>
            <w:r w:rsidRPr="00C11F21">
              <w:rPr>
                <w:rFonts w:ascii="Book Antiqua" w:hAnsi="Book Antiqua" w:cstheme="minorHAnsi"/>
                <w:sz w:val="24"/>
                <w:szCs w:val="24"/>
                <w:lang w:val="en-US"/>
              </w:rPr>
              <w:t>22 (54)</w:t>
            </w:r>
          </w:p>
        </w:tc>
        <w:tc>
          <w:tcPr>
            <w:tcW w:w="952" w:type="pct"/>
            <w:tcBorders>
              <w:top w:val="single" w:sz="4" w:space="0" w:color="auto"/>
            </w:tcBorders>
          </w:tcPr>
          <w:p w14:paraId="31A8FBE8" w14:textId="77777777" w:rsidR="005C659B" w:rsidRPr="00C11F21" w:rsidRDefault="005C659B" w:rsidP="000C1F99">
            <w:pPr>
              <w:autoSpaceDE w:val="0"/>
              <w:autoSpaceDN w:val="0"/>
              <w:adjustRightInd w:val="0"/>
              <w:snapToGrid w:val="0"/>
              <w:spacing w:after="0" w:line="360" w:lineRule="auto"/>
              <w:jc w:val="center"/>
              <w:rPr>
                <w:rFonts w:ascii="Book Antiqua" w:hAnsi="Book Antiqua" w:cstheme="minorHAnsi"/>
                <w:sz w:val="24"/>
                <w:szCs w:val="24"/>
                <w:lang w:val="en-US"/>
              </w:rPr>
            </w:pPr>
            <w:r w:rsidRPr="00C11F21">
              <w:rPr>
                <w:rFonts w:ascii="Book Antiqua" w:hAnsi="Book Antiqua" w:cstheme="minorHAnsi"/>
                <w:sz w:val="24"/>
                <w:szCs w:val="24"/>
                <w:lang w:val="en-US"/>
              </w:rPr>
              <w:t>54 (54)</w:t>
            </w:r>
          </w:p>
        </w:tc>
        <w:tc>
          <w:tcPr>
            <w:tcW w:w="951" w:type="pct"/>
            <w:tcBorders>
              <w:top w:val="single" w:sz="4" w:space="0" w:color="auto"/>
            </w:tcBorders>
          </w:tcPr>
          <w:p w14:paraId="3AD4B72B" w14:textId="77777777" w:rsidR="005C659B" w:rsidRPr="00C11F21" w:rsidRDefault="005C659B" w:rsidP="000C1F99">
            <w:pPr>
              <w:autoSpaceDE w:val="0"/>
              <w:autoSpaceDN w:val="0"/>
              <w:adjustRightInd w:val="0"/>
              <w:snapToGrid w:val="0"/>
              <w:spacing w:after="0" w:line="360" w:lineRule="auto"/>
              <w:jc w:val="center"/>
              <w:rPr>
                <w:rFonts w:ascii="Book Antiqua" w:hAnsi="Book Antiqua" w:cstheme="minorHAnsi"/>
                <w:sz w:val="24"/>
                <w:szCs w:val="24"/>
                <w:lang w:val="en-US"/>
              </w:rPr>
            </w:pPr>
            <w:r w:rsidRPr="00C11F21">
              <w:rPr>
                <w:rFonts w:ascii="Book Antiqua" w:hAnsi="Book Antiqua" w:cstheme="minorHAnsi"/>
                <w:sz w:val="24"/>
                <w:szCs w:val="24"/>
                <w:lang w:val="en-US"/>
              </w:rPr>
              <w:t>54 (51)</w:t>
            </w:r>
          </w:p>
        </w:tc>
        <w:tc>
          <w:tcPr>
            <w:tcW w:w="497" w:type="pct"/>
            <w:tcBorders>
              <w:top w:val="single" w:sz="4" w:space="0" w:color="auto"/>
            </w:tcBorders>
          </w:tcPr>
          <w:p w14:paraId="0D83B5D4" w14:textId="77777777" w:rsidR="005C659B" w:rsidRPr="00C11F21" w:rsidRDefault="005C659B" w:rsidP="000C1F99">
            <w:pPr>
              <w:autoSpaceDE w:val="0"/>
              <w:autoSpaceDN w:val="0"/>
              <w:adjustRightInd w:val="0"/>
              <w:snapToGrid w:val="0"/>
              <w:spacing w:after="0" w:line="360" w:lineRule="auto"/>
              <w:jc w:val="center"/>
              <w:rPr>
                <w:rFonts w:ascii="Book Antiqua" w:hAnsi="Book Antiqua" w:cstheme="minorHAnsi"/>
                <w:sz w:val="24"/>
                <w:szCs w:val="24"/>
                <w:lang w:val="en-US"/>
              </w:rPr>
            </w:pPr>
            <w:r w:rsidRPr="00C11F21">
              <w:rPr>
                <w:rFonts w:ascii="Book Antiqua" w:hAnsi="Book Antiqua" w:cstheme="minorHAnsi"/>
                <w:sz w:val="24"/>
                <w:szCs w:val="24"/>
                <w:lang w:val="en-US"/>
              </w:rPr>
              <w:t>NS</w:t>
            </w:r>
          </w:p>
        </w:tc>
      </w:tr>
      <w:tr w:rsidR="00C11F21" w:rsidRPr="00C11F21" w14:paraId="2FFE8A90" w14:textId="77777777" w:rsidTr="000C1F99">
        <w:trPr>
          <w:trHeight w:val="293"/>
        </w:trPr>
        <w:tc>
          <w:tcPr>
            <w:tcW w:w="1648" w:type="pct"/>
          </w:tcPr>
          <w:p w14:paraId="7ACAA9CB" w14:textId="70E7C4BD" w:rsidR="00BA1533" w:rsidRPr="00C11F21" w:rsidRDefault="005C659B" w:rsidP="00F33187">
            <w:pPr>
              <w:autoSpaceDE w:val="0"/>
              <w:autoSpaceDN w:val="0"/>
              <w:adjustRightInd w:val="0"/>
              <w:snapToGrid w:val="0"/>
              <w:spacing w:after="0" w:line="360" w:lineRule="auto"/>
              <w:rPr>
                <w:rFonts w:ascii="Book Antiqua" w:hAnsi="Book Antiqua" w:cstheme="minorHAnsi"/>
                <w:bCs/>
                <w:sz w:val="24"/>
                <w:szCs w:val="24"/>
                <w:lang w:val="en-US"/>
              </w:rPr>
            </w:pPr>
            <w:r w:rsidRPr="00C11F21">
              <w:rPr>
                <w:rFonts w:ascii="Book Antiqua" w:hAnsi="Book Antiqua" w:cstheme="minorHAnsi"/>
                <w:sz w:val="24"/>
                <w:szCs w:val="24"/>
                <w:lang w:val="en-US"/>
              </w:rPr>
              <w:t>Age</w:t>
            </w:r>
            <w:r w:rsidR="000C1F99" w:rsidRPr="00C11F21">
              <w:rPr>
                <w:rFonts w:ascii="Book Antiqua" w:hAnsi="Book Antiqua" w:cstheme="minorHAnsi"/>
                <w:sz w:val="24"/>
                <w:szCs w:val="24"/>
                <w:lang w:val="en-US"/>
              </w:rPr>
              <w:t>, yr</w:t>
            </w:r>
            <w:r w:rsidR="00DC168E" w:rsidRPr="00C11F21">
              <w:rPr>
                <w:rFonts w:ascii="Book Antiqua" w:hAnsi="Book Antiqua" w:cstheme="minorHAnsi"/>
                <w:sz w:val="24"/>
                <w:szCs w:val="24"/>
                <w:lang w:val="en-US"/>
              </w:rPr>
              <w:t xml:space="preserve">, </w:t>
            </w:r>
            <w:r w:rsidRPr="00C11F21">
              <w:rPr>
                <w:rFonts w:ascii="Book Antiqua" w:hAnsi="Book Antiqua" w:cstheme="minorHAnsi"/>
                <w:sz w:val="24"/>
                <w:szCs w:val="24"/>
                <w:lang w:val="en-US"/>
              </w:rPr>
              <w:t xml:space="preserve">mean ± SD </w:t>
            </w:r>
          </w:p>
        </w:tc>
        <w:tc>
          <w:tcPr>
            <w:tcW w:w="952" w:type="pct"/>
          </w:tcPr>
          <w:p w14:paraId="4BE0BEE4" w14:textId="77777777" w:rsidR="005C659B" w:rsidRPr="00C11F21" w:rsidRDefault="005C659B" w:rsidP="000C1F99">
            <w:pPr>
              <w:autoSpaceDE w:val="0"/>
              <w:autoSpaceDN w:val="0"/>
              <w:adjustRightInd w:val="0"/>
              <w:snapToGrid w:val="0"/>
              <w:spacing w:after="0" w:line="360" w:lineRule="auto"/>
              <w:jc w:val="center"/>
              <w:rPr>
                <w:rFonts w:ascii="Book Antiqua" w:hAnsi="Book Antiqua" w:cstheme="minorHAnsi"/>
                <w:sz w:val="24"/>
                <w:szCs w:val="24"/>
                <w:lang w:val="en-US"/>
              </w:rPr>
            </w:pPr>
            <w:r w:rsidRPr="00C11F21">
              <w:rPr>
                <w:rFonts w:ascii="Book Antiqua" w:hAnsi="Book Antiqua" w:cstheme="minorHAnsi"/>
                <w:sz w:val="24"/>
                <w:szCs w:val="24"/>
                <w:lang w:val="en-US"/>
              </w:rPr>
              <w:t>54.8 ± 19.1</w:t>
            </w:r>
          </w:p>
        </w:tc>
        <w:tc>
          <w:tcPr>
            <w:tcW w:w="952" w:type="pct"/>
          </w:tcPr>
          <w:p w14:paraId="08080B45" w14:textId="77777777" w:rsidR="005C659B" w:rsidRPr="00C11F21" w:rsidRDefault="005C659B" w:rsidP="000C1F99">
            <w:pPr>
              <w:autoSpaceDE w:val="0"/>
              <w:autoSpaceDN w:val="0"/>
              <w:adjustRightInd w:val="0"/>
              <w:snapToGrid w:val="0"/>
              <w:spacing w:after="0" w:line="360" w:lineRule="auto"/>
              <w:jc w:val="center"/>
              <w:rPr>
                <w:rFonts w:ascii="Book Antiqua" w:hAnsi="Book Antiqua" w:cstheme="minorHAnsi"/>
                <w:sz w:val="24"/>
                <w:szCs w:val="24"/>
                <w:lang w:val="en-US"/>
              </w:rPr>
            </w:pPr>
            <w:r w:rsidRPr="00C11F21">
              <w:rPr>
                <w:rFonts w:ascii="Book Antiqua" w:hAnsi="Book Antiqua" w:cstheme="minorHAnsi"/>
                <w:sz w:val="24"/>
                <w:szCs w:val="24"/>
                <w:lang w:val="en-US"/>
              </w:rPr>
              <w:t>62.1 ± 13.0</w:t>
            </w:r>
          </w:p>
        </w:tc>
        <w:tc>
          <w:tcPr>
            <w:tcW w:w="951" w:type="pct"/>
          </w:tcPr>
          <w:p w14:paraId="37A512C2" w14:textId="77777777" w:rsidR="005C659B" w:rsidRPr="00C11F21" w:rsidRDefault="005C659B" w:rsidP="000C1F99">
            <w:pPr>
              <w:autoSpaceDE w:val="0"/>
              <w:autoSpaceDN w:val="0"/>
              <w:adjustRightInd w:val="0"/>
              <w:snapToGrid w:val="0"/>
              <w:spacing w:after="0" w:line="360" w:lineRule="auto"/>
              <w:jc w:val="center"/>
              <w:rPr>
                <w:rFonts w:ascii="Book Antiqua" w:hAnsi="Book Antiqua" w:cstheme="minorHAnsi"/>
                <w:sz w:val="24"/>
                <w:szCs w:val="24"/>
                <w:lang w:val="en-US"/>
              </w:rPr>
            </w:pPr>
            <w:r w:rsidRPr="00C11F21">
              <w:rPr>
                <w:rFonts w:ascii="Book Antiqua" w:hAnsi="Book Antiqua" w:cstheme="minorHAnsi"/>
                <w:sz w:val="24"/>
                <w:szCs w:val="24"/>
                <w:lang w:val="en-US"/>
              </w:rPr>
              <w:t>60.3 ± 13.5</w:t>
            </w:r>
          </w:p>
        </w:tc>
        <w:tc>
          <w:tcPr>
            <w:tcW w:w="497" w:type="pct"/>
          </w:tcPr>
          <w:p w14:paraId="52CD7B43" w14:textId="77777777" w:rsidR="005C659B" w:rsidRPr="00C11F21" w:rsidRDefault="005C659B" w:rsidP="000C1F99">
            <w:pPr>
              <w:autoSpaceDE w:val="0"/>
              <w:autoSpaceDN w:val="0"/>
              <w:adjustRightInd w:val="0"/>
              <w:snapToGrid w:val="0"/>
              <w:spacing w:after="0" w:line="360" w:lineRule="auto"/>
              <w:jc w:val="center"/>
              <w:rPr>
                <w:rFonts w:ascii="Book Antiqua" w:hAnsi="Book Antiqua" w:cstheme="minorHAnsi"/>
                <w:sz w:val="24"/>
                <w:szCs w:val="24"/>
                <w:lang w:val="en-US"/>
              </w:rPr>
            </w:pPr>
            <w:r w:rsidRPr="00C11F21">
              <w:rPr>
                <w:rFonts w:ascii="Book Antiqua" w:hAnsi="Book Antiqua" w:cstheme="minorHAnsi"/>
                <w:sz w:val="24"/>
                <w:szCs w:val="24"/>
                <w:lang w:val="en-US"/>
              </w:rPr>
              <w:t>NS</w:t>
            </w:r>
          </w:p>
        </w:tc>
      </w:tr>
      <w:tr w:rsidR="00C11F21" w:rsidRPr="00C11F21" w14:paraId="14BC6E75" w14:textId="77777777" w:rsidTr="000C1F99">
        <w:trPr>
          <w:trHeight w:val="293"/>
        </w:trPr>
        <w:tc>
          <w:tcPr>
            <w:tcW w:w="1648" w:type="pct"/>
            <w:tcBorders>
              <w:bottom w:val="single" w:sz="4" w:space="0" w:color="auto"/>
            </w:tcBorders>
          </w:tcPr>
          <w:p w14:paraId="53168C41" w14:textId="1E7CF19D" w:rsidR="005C659B" w:rsidRPr="00C11F21" w:rsidRDefault="005C659B" w:rsidP="00F33187">
            <w:pPr>
              <w:autoSpaceDE w:val="0"/>
              <w:autoSpaceDN w:val="0"/>
              <w:adjustRightInd w:val="0"/>
              <w:snapToGrid w:val="0"/>
              <w:spacing w:after="0" w:line="360" w:lineRule="auto"/>
              <w:rPr>
                <w:rFonts w:ascii="Book Antiqua" w:hAnsi="Book Antiqua" w:cstheme="minorHAnsi"/>
                <w:sz w:val="24"/>
                <w:szCs w:val="24"/>
                <w:lang w:val="en-US" w:eastAsia="zh-CN"/>
              </w:rPr>
            </w:pPr>
            <w:r w:rsidRPr="00C11F21">
              <w:rPr>
                <w:rFonts w:ascii="Book Antiqua" w:hAnsi="Book Antiqua" w:cstheme="minorHAnsi"/>
                <w:sz w:val="24"/>
                <w:szCs w:val="24"/>
                <w:lang w:val="en-US"/>
              </w:rPr>
              <w:t>Origin</w:t>
            </w:r>
            <w:r w:rsidR="000C1F99" w:rsidRPr="00C11F21">
              <w:rPr>
                <w:rFonts w:ascii="Book Antiqua" w:hAnsi="Book Antiqua" w:cstheme="minorHAnsi" w:hint="eastAsia"/>
                <w:sz w:val="24"/>
                <w:szCs w:val="24"/>
                <w:lang w:val="en-US" w:eastAsia="zh-CN"/>
              </w:rPr>
              <w:t xml:space="preserve">, </w:t>
            </w:r>
            <w:r w:rsidR="000C1F99" w:rsidRPr="00C11F21">
              <w:rPr>
                <w:rFonts w:ascii="Book Antiqua" w:hAnsi="Book Antiqua" w:cstheme="minorHAnsi"/>
                <w:i/>
                <w:sz w:val="24"/>
                <w:szCs w:val="24"/>
                <w:lang w:val="en-US"/>
              </w:rPr>
              <w:t>n</w:t>
            </w:r>
            <w:r w:rsidR="000C1F99" w:rsidRPr="00C11F21">
              <w:rPr>
                <w:rFonts w:ascii="Book Antiqua" w:hAnsi="Book Antiqua" w:cstheme="minorHAnsi"/>
                <w:sz w:val="24"/>
                <w:szCs w:val="24"/>
                <w:lang w:val="en-US"/>
              </w:rPr>
              <w:t xml:space="preserve"> (%)</w:t>
            </w:r>
          </w:p>
          <w:p w14:paraId="230F8091" w14:textId="1A10C0F9" w:rsidR="005C659B" w:rsidRPr="00C11F21" w:rsidRDefault="005C659B" w:rsidP="000C1F99">
            <w:pPr>
              <w:autoSpaceDE w:val="0"/>
              <w:autoSpaceDN w:val="0"/>
              <w:adjustRightInd w:val="0"/>
              <w:snapToGrid w:val="0"/>
              <w:spacing w:after="0" w:line="360" w:lineRule="auto"/>
              <w:ind w:firstLineChars="100" w:firstLine="240"/>
              <w:rPr>
                <w:rFonts w:ascii="Book Antiqua" w:hAnsi="Book Antiqua" w:cstheme="minorHAnsi"/>
                <w:sz w:val="24"/>
                <w:szCs w:val="24"/>
                <w:lang w:val="en-US" w:eastAsia="zh-CN"/>
              </w:rPr>
            </w:pPr>
            <w:r w:rsidRPr="00C11F21">
              <w:rPr>
                <w:rFonts w:ascii="Book Antiqua" w:hAnsi="Book Antiqua" w:cstheme="minorHAnsi"/>
                <w:sz w:val="24"/>
                <w:szCs w:val="24"/>
                <w:lang w:val="en-US"/>
              </w:rPr>
              <w:t>Caucasian</w:t>
            </w:r>
          </w:p>
          <w:p w14:paraId="24C4042F" w14:textId="0FC7C489" w:rsidR="005C659B" w:rsidRPr="00C11F21" w:rsidRDefault="005C659B" w:rsidP="000C1F99">
            <w:pPr>
              <w:autoSpaceDE w:val="0"/>
              <w:autoSpaceDN w:val="0"/>
              <w:adjustRightInd w:val="0"/>
              <w:snapToGrid w:val="0"/>
              <w:spacing w:after="0" w:line="360" w:lineRule="auto"/>
              <w:ind w:firstLineChars="100" w:firstLine="240"/>
              <w:rPr>
                <w:rFonts w:ascii="Book Antiqua" w:hAnsi="Book Antiqua" w:cstheme="minorHAnsi"/>
                <w:sz w:val="24"/>
                <w:szCs w:val="24"/>
                <w:lang w:val="en-US"/>
              </w:rPr>
            </w:pPr>
            <w:r w:rsidRPr="00C11F21">
              <w:rPr>
                <w:rFonts w:ascii="Book Antiqua" w:hAnsi="Book Antiqua" w:cstheme="minorHAnsi"/>
                <w:sz w:val="24"/>
                <w:szCs w:val="24"/>
                <w:lang w:val="en-US"/>
              </w:rPr>
              <w:t>Asian</w:t>
            </w:r>
          </w:p>
          <w:p w14:paraId="0EE139D2" w14:textId="7DCB7875" w:rsidR="00BA1533" w:rsidRPr="00C11F21" w:rsidRDefault="005C659B" w:rsidP="000C1F99">
            <w:pPr>
              <w:autoSpaceDE w:val="0"/>
              <w:autoSpaceDN w:val="0"/>
              <w:adjustRightInd w:val="0"/>
              <w:snapToGrid w:val="0"/>
              <w:spacing w:after="0" w:line="360" w:lineRule="auto"/>
              <w:ind w:firstLineChars="100" w:firstLine="240"/>
              <w:rPr>
                <w:rFonts w:ascii="Book Antiqua" w:hAnsi="Book Antiqua" w:cstheme="minorHAnsi"/>
                <w:bCs/>
                <w:sz w:val="24"/>
                <w:szCs w:val="24"/>
                <w:lang w:val="en-US"/>
              </w:rPr>
            </w:pPr>
            <w:r w:rsidRPr="00C11F21">
              <w:rPr>
                <w:rFonts w:ascii="Book Antiqua" w:hAnsi="Book Antiqua" w:cstheme="minorHAnsi"/>
                <w:sz w:val="24"/>
                <w:szCs w:val="24"/>
                <w:lang w:val="en-US"/>
              </w:rPr>
              <w:t>Sub-Saharan</w:t>
            </w:r>
          </w:p>
        </w:tc>
        <w:tc>
          <w:tcPr>
            <w:tcW w:w="952" w:type="pct"/>
            <w:tcBorders>
              <w:bottom w:val="single" w:sz="4" w:space="0" w:color="auto"/>
            </w:tcBorders>
          </w:tcPr>
          <w:p w14:paraId="7173F059" w14:textId="77777777" w:rsidR="005C659B" w:rsidRPr="00C11F21" w:rsidRDefault="005C659B" w:rsidP="000C1F99">
            <w:pPr>
              <w:autoSpaceDE w:val="0"/>
              <w:autoSpaceDN w:val="0"/>
              <w:adjustRightInd w:val="0"/>
              <w:snapToGrid w:val="0"/>
              <w:spacing w:after="0" w:line="360" w:lineRule="auto"/>
              <w:jc w:val="center"/>
              <w:rPr>
                <w:rFonts w:ascii="Book Antiqua" w:hAnsi="Book Antiqua" w:cstheme="minorHAnsi"/>
                <w:sz w:val="24"/>
                <w:szCs w:val="24"/>
                <w:highlight w:val="yellow"/>
                <w:lang w:val="en-US"/>
              </w:rPr>
            </w:pPr>
          </w:p>
          <w:p w14:paraId="07D875FB" w14:textId="77777777" w:rsidR="005C659B" w:rsidRPr="00C11F21" w:rsidRDefault="005C659B" w:rsidP="000C1F99">
            <w:pPr>
              <w:autoSpaceDE w:val="0"/>
              <w:autoSpaceDN w:val="0"/>
              <w:adjustRightInd w:val="0"/>
              <w:snapToGrid w:val="0"/>
              <w:spacing w:after="0" w:line="360" w:lineRule="auto"/>
              <w:jc w:val="center"/>
              <w:rPr>
                <w:rFonts w:ascii="Book Antiqua" w:hAnsi="Book Antiqua" w:cstheme="minorHAnsi"/>
                <w:sz w:val="24"/>
                <w:szCs w:val="24"/>
                <w:lang w:val="en-US"/>
              </w:rPr>
            </w:pPr>
            <w:r w:rsidRPr="00C11F21">
              <w:rPr>
                <w:rFonts w:ascii="Book Antiqua" w:hAnsi="Book Antiqua" w:cstheme="minorHAnsi"/>
                <w:sz w:val="24"/>
                <w:szCs w:val="24"/>
                <w:lang w:val="en-US"/>
              </w:rPr>
              <w:t>30 (73)</w:t>
            </w:r>
          </w:p>
          <w:p w14:paraId="1632C42D" w14:textId="77777777" w:rsidR="005C659B" w:rsidRPr="00C11F21" w:rsidRDefault="005C659B" w:rsidP="000C1F99">
            <w:pPr>
              <w:autoSpaceDE w:val="0"/>
              <w:autoSpaceDN w:val="0"/>
              <w:adjustRightInd w:val="0"/>
              <w:snapToGrid w:val="0"/>
              <w:spacing w:after="0" w:line="360" w:lineRule="auto"/>
              <w:jc w:val="center"/>
              <w:rPr>
                <w:rFonts w:ascii="Book Antiqua" w:hAnsi="Book Antiqua" w:cstheme="minorHAnsi"/>
                <w:sz w:val="24"/>
                <w:szCs w:val="24"/>
                <w:lang w:val="en-US"/>
              </w:rPr>
            </w:pPr>
            <w:r w:rsidRPr="00C11F21">
              <w:rPr>
                <w:rFonts w:ascii="Book Antiqua" w:hAnsi="Book Antiqua" w:cstheme="minorHAnsi"/>
                <w:sz w:val="24"/>
                <w:szCs w:val="24"/>
                <w:lang w:val="en-US"/>
              </w:rPr>
              <w:t>5 (12)</w:t>
            </w:r>
          </w:p>
          <w:p w14:paraId="349CA959" w14:textId="77777777" w:rsidR="005C659B" w:rsidRPr="00C11F21" w:rsidRDefault="005C659B" w:rsidP="000C1F99">
            <w:pPr>
              <w:autoSpaceDE w:val="0"/>
              <w:autoSpaceDN w:val="0"/>
              <w:adjustRightInd w:val="0"/>
              <w:snapToGrid w:val="0"/>
              <w:spacing w:after="0" w:line="360" w:lineRule="auto"/>
              <w:jc w:val="center"/>
              <w:rPr>
                <w:rFonts w:ascii="Book Antiqua" w:hAnsi="Book Antiqua" w:cstheme="minorHAnsi"/>
                <w:sz w:val="24"/>
                <w:szCs w:val="24"/>
                <w:highlight w:val="yellow"/>
                <w:lang w:val="en-US"/>
              </w:rPr>
            </w:pPr>
            <w:r w:rsidRPr="00C11F21">
              <w:rPr>
                <w:rFonts w:ascii="Book Antiqua" w:hAnsi="Book Antiqua" w:cstheme="minorHAnsi"/>
                <w:sz w:val="24"/>
                <w:szCs w:val="24"/>
                <w:lang w:val="en-US"/>
              </w:rPr>
              <w:t>6 (15)</w:t>
            </w:r>
          </w:p>
        </w:tc>
        <w:tc>
          <w:tcPr>
            <w:tcW w:w="952" w:type="pct"/>
            <w:tcBorders>
              <w:bottom w:val="single" w:sz="4" w:space="0" w:color="auto"/>
            </w:tcBorders>
          </w:tcPr>
          <w:p w14:paraId="79197B3E" w14:textId="77777777" w:rsidR="005C659B" w:rsidRPr="00C11F21" w:rsidRDefault="005C659B" w:rsidP="000C1F99">
            <w:pPr>
              <w:autoSpaceDE w:val="0"/>
              <w:autoSpaceDN w:val="0"/>
              <w:adjustRightInd w:val="0"/>
              <w:snapToGrid w:val="0"/>
              <w:spacing w:after="0" w:line="360" w:lineRule="auto"/>
              <w:jc w:val="center"/>
              <w:rPr>
                <w:rFonts w:ascii="Book Antiqua" w:hAnsi="Book Antiqua" w:cstheme="minorHAnsi"/>
                <w:sz w:val="24"/>
                <w:szCs w:val="24"/>
                <w:lang w:val="en-US"/>
              </w:rPr>
            </w:pPr>
          </w:p>
          <w:p w14:paraId="6199F767" w14:textId="77777777" w:rsidR="005C659B" w:rsidRPr="00C11F21" w:rsidRDefault="005C659B" w:rsidP="000C1F99">
            <w:pPr>
              <w:autoSpaceDE w:val="0"/>
              <w:autoSpaceDN w:val="0"/>
              <w:adjustRightInd w:val="0"/>
              <w:snapToGrid w:val="0"/>
              <w:spacing w:after="0" w:line="360" w:lineRule="auto"/>
              <w:jc w:val="center"/>
              <w:rPr>
                <w:rFonts w:ascii="Book Antiqua" w:hAnsi="Book Antiqua" w:cstheme="minorHAnsi"/>
                <w:sz w:val="24"/>
                <w:szCs w:val="24"/>
                <w:lang w:val="en-US"/>
              </w:rPr>
            </w:pPr>
            <w:r w:rsidRPr="00C11F21">
              <w:rPr>
                <w:rFonts w:ascii="Book Antiqua" w:hAnsi="Book Antiqua" w:cstheme="minorHAnsi"/>
                <w:sz w:val="24"/>
                <w:szCs w:val="24"/>
                <w:lang w:val="en-US"/>
              </w:rPr>
              <w:t>100 (100)</w:t>
            </w:r>
          </w:p>
          <w:p w14:paraId="6AB50A40" w14:textId="77777777" w:rsidR="005C659B" w:rsidRPr="00C11F21" w:rsidRDefault="005C659B" w:rsidP="000C1F99">
            <w:pPr>
              <w:autoSpaceDE w:val="0"/>
              <w:autoSpaceDN w:val="0"/>
              <w:adjustRightInd w:val="0"/>
              <w:snapToGrid w:val="0"/>
              <w:spacing w:after="0" w:line="360" w:lineRule="auto"/>
              <w:jc w:val="center"/>
              <w:rPr>
                <w:rFonts w:ascii="Book Antiqua" w:hAnsi="Book Antiqua" w:cstheme="minorHAnsi"/>
                <w:sz w:val="24"/>
                <w:szCs w:val="24"/>
                <w:lang w:val="en-US"/>
              </w:rPr>
            </w:pPr>
            <w:r w:rsidRPr="00C11F21">
              <w:rPr>
                <w:rFonts w:ascii="Book Antiqua" w:hAnsi="Book Antiqua" w:cstheme="minorHAnsi"/>
                <w:sz w:val="24"/>
                <w:szCs w:val="24"/>
                <w:lang w:val="en-US"/>
              </w:rPr>
              <w:t>0 (0)</w:t>
            </w:r>
          </w:p>
          <w:p w14:paraId="3E571F4E" w14:textId="77777777" w:rsidR="005C659B" w:rsidRPr="00C11F21" w:rsidRDefault="005C659B" w:rsidP="000C1F99">
            <w:pPr>
              <w:autoSpaceDE w:val="0"/>
              <w:autoSpaceDN w:val="0"/>
              <w:adjustRightInd w:val="0"/>
              <w:snapToGrid w:val="0"/>
              <w:spacing w:after="0" w:line="360" w:lineRule="auto"/>
              <w:jc w:val="center"/>
              <w:rPr>
                <w:rFonts w:ascii="Book Antiqua" w:hAnsi="Book Antiqua" w:cstheme="minorHAnsi"/>
                <w:sz w:val="24"/>
                <w:szCs w:val="24"/>
                <w:lang w:val="en-US"/>
              </w:rPr>
            </w:pPr>
            <w:r w:rsidRPr="00C11F21">
              <w:rPr>
                <w:rFonts w:ascii="Book Antiqua" w:hAnsi="Book Antiqua" w:cstheme="minorHAnsi"/>
                <w:sz w:val="24"/>
                <w:szCs w:val="24"/>
                <w:lang w:val="en-US"/>
              </w:rPr>
              <w:t>0 (0)</w:t>
            </w:r>
          </w:p>
        </w:tc>
        <w:tc>
          <w:tcPr>
            <w:tcW w:w="951" w:type="pct"/>
            <w:tcBorders>
              <w:bottom w:val="single" w:sz="4" w:space="0" w:color="auto"/>
            </w:tcBorders>
          </w:tcPr>
          <w:p w14:paraId="2F58B5F3" w14:textId="77777777" w:rsidR="005C659B" w:rsidRPr="00C11F21" w:rsidRDefault="005C659B" w:rsidP="000C1F99">
            <w:pPr>
              <w:autoSpaceDE w:val="0"/>
              <w:autoSpaceDN w:val="0"/>
              <w:adjustRightInd w:val="0"/>
              <w:snapToGrid w:val="0"/>
              <w:spacing w:after="0" w:line="360" w:lineRule="auto"/>
              <w:jc w:val="center"/>
              <w:rPr>
                <w:rFonts w:ascii="Book Antiqua" w:hAnsi="Book Antiqua" w:cstheme="minorHAnsi"/>
                <w:sz w:val="24"/>
                <w:szCs w:val="24"/>
                <w:lang w:val="en-US"/>
              </w:rPr>
            </w:pPr>
          </w:p>
          <w:p w14:paraId="7948F11B" w14:textId="77777777" w:rsidR="005C659B" w:rsidRPr="00C11F21" w:rsidRDefault="005C659B" w:rsidP="000C1F99">
            <w:pPr>
              <w:autoSpaceDE w:val="0"/>
              <w:autoSpaceDN w:val="0"/>
              <w:adjustRightInd w:val="0"/>
              <w:snapToGrid w:val="0"/>
              <w:spacing w:after="0" w:line="360" w:lineRule="auto"/>
              <w:jc w:val="center"/>
              <w:rPr>
                <w:rFonts w:ascii="Book Antiqua" w:hAnsi="Book Antiqua" w:cstheme="minorHAnsi"/>
                <w:sz w:val="24"/>
                <w:szCs w:val="24"/>
                <w:lang w:val="en-US"/>
              </w:rPr>
            </w:pPr>
            <w:r w:rsidRPr="00C11F21">
              <w:rPr>
                <w:rFonts w:ascii="Book Antiqua" w:hAnsi="Book Antiqua" w:cstheme="minorHAnsi"/>
                <w:sz w:val="24"/>
                <w:szCs w:val="24"/>
                <w:lang w:val="en-US"/>
              </w:rPr>
              <w:t>100 (100)</w:t>
            </w:r>
          </w:p>
          <w:p w14:paraId="7E56A419" w14:textId="77777777" w:rsidR="005C659B" w:rsidRPr="00C11F21" w:rsidRDefault="005C659B" w:rsidP="000C1F99">
            <w:pPr>
              <w:autoSpaceDE w:val="0"/>
              <w:autoSpaceDN w:val="0"/>
              <w:adjustRightInd w:val="0"/>
              <w:snapToGrid w:val="0"/>
              <w:spacing w:after="0" w:line="360" w:lineRule="auto"/>
              <w:jc w:val="center"/>
              <w:rPr>
                <w:rFonts w:ascii="Book Antiqua" w:hAnsi="Book Antiqua" w:cstheme="minorHAnsi"/>
                <w:sz w:val="24"/>
                <w:szCs w:val="24"/>
                <w:lang w:val="en-US"/>
              </w:rPr>
            </w:pPr>
            <w:r w:rsidRPr="00C11F21">
              <w:rPr>
                <w:rFonts w:ascii="Book Antiqua" w:hAnsi="Book Antiqua" w:cstheme="minorHAnsi"/>
                <w:sz w:val="24"/>
                <w:szCs w:val="24"/>
                <w:lang w:val="en-US"/>
              </w:rPr>
              <w:t>0 (0)</w:t>
            </w:r>
          </w:p>
          <w:p w14:paraId="5CE246B2" w14:textId="77777777" w:rsidR="005C659B" w:rsidRPr="00C11F21" w:rsidRDefault="005C659B" w:rsidP="000C1F99">
            <w:pPr>
              <w:autoSpaceDE w:val="0"/>
              <w:autoSpaceDN w:val="0"/>
              <w:adjustRightInd w:val="0"/>
              <w:snapToGrid w:val="0"/>
              <w:spacing w:after="0" w:line="360" w:lineRule="auto"/>
              <w:jc w:val="center"/>
              <w:rPr>
                <w:rFonts w:ascii="Book Antiqua" w:hAnsi="Book Antiqua" w:cstheme="minorHAnsi"/>
                <w:sz w:val="24"/>
                <w:szCs w:val="24"/>
                <w:lang w:val="en-US"/>
              </w:rPr>
            </w:pPr>
            <w:r w:rsidRPr="00C11F21">
              <w:rPr>
                <w:rFonts w:ascii="Book Antiqua" w:hAnsi="Book Antiqua" w:cstheme="minorHAnsi"/>
                <w:sz w:val="24"/>
                <w:szCs w:val="24"/>
                <w:lang w:val="en-US"/>
              </w:rPr>
              <w:t>0 (0)</w:t>
            </w:r>
          </w:p>
        </w:tc>
        <w:tc>
          <w:tcPr>
            <w:tcW w:w="497" w:type="pct"/>
            <w:tcBorders>
              <w:bottom w:val="single" w:sz="4" w:space="0" w:color="auto"/>
            </w:tcBorders>
          </w:tcPr>
          <w:p w14:paraId="6FBEFEFE" w14:textId="77777777" w:rsidR="005C659B" w:rsidRPr="00C11F21" w:rsidRDefault="005C659B" w:rsidP="000C1F99">
            <w:pPr>
              <w:autoSpaceDE w:val="0"/>
              <w:autoSpaceDN w:val="0"/>
              <w:adjustRightInd w:val="0"/>
              <w:snapToGrid w:val="0"/>
              <w:spacing w:after="0" w:line="360" w:lineRule="auto"/>
              <w:jc w:val="center"/>
              <w:rPr>
                <w:rFonts w:ascii="Book Antiqua" w:hAnsi="Book Antiqua" w:cstheme="minorHAnsi"/>
                <w:sz w:val="24"/>
                <w:szCs w:val="24"/>
                <w:lang w:val="en-US"/>
              </w:rPr>
            </w:pPr>
          </w:p>
          <w:p w14:paraId="0D49386F" w14:textId="77777777" w:rsidR="005C659B" w:rsidRPr="00C11F21" w:rsidRDefault="005C659B" w:rsidP="000C1F99">
            <w:pPr>
              <w:autoSpaceDE w:val="0"/>
              <w:autoSpaceDN w:val="0"/>
              <w:adjustRightInd w:val="0"/>
              <w:snapToGrid w:val="0"/>
              <w:spacing w:after="0" w:line="360" w:lineRule="auto"/>
              <w:jc w:val="center"/>
              <w:rPr>
                <w:rFonts w:ascii="Book Antiqua" w:hAnsi="Book Antiqua" w:cs="Times New Roman"/>
                <w:sz w:val="24"/>
                <w:szCs w:val="24"/>
                <w:lang w:val="en-US"/>
              </w:rPr>
            </w:pPr>
            <w:r w:rsidRPr="00C11F21">
              <w:rPr>
                <w:rFonts w:ascii="Times New Roman" w:hAnsi="Times New Roman" w:cs="Times New Roman"/>
                <w:sz w:val="24"/>
                <w:szCs w:val="24"/>
                <w:lang w:val="en-US"/>
              </w:rPr>
              <w:t>‒</w:t>
            </w:r>
          </w:p>
          <w:p w14:paraId="4D06AC00" w14:textId="77777777" w:rsidR="005C659B" w:rsidRPr="00C11F21" w:rsidRDefault="005C659B" w:rsidP="000C1F99">
            <w:pPr>
              <w:autoSpaceDE w:val="0"/>
              <w:autoSpaceDN w:val="0"/>
              <w:adjustRightInd w:val="0"/>
              <w:snapToGrid w:val="0"/>
              <w:spacing w:after="0" w:line="360" w:lineRule="auto"/>
              <w:jc w:val="center"/>
              <w:rPr>
                <w:rFonts w:ascii="Book Antiqua" w:hAnsi="Book Antiqua" w:cs="Times New Roman"/>
                <w:sz w:val="24"/>
                <w:szCs w:val="24"/>
                <w:lang w:val="en-US"/>
              </w:rPr>
            </w:pPr>
            <w:r w:rsidRPr="00C11F21">
              <w:rPr>
                <w:rFonts w:ascii="Times New Roman" w:hAnsi="Times New Roman" w:cs="Times New Roman"/>
                <w:sz w:val="24"/>
                <w:szCs w:val="24"/>
                <w:lang w:val="en-US"/>
              </w:rPr>
              <w:t>‒</w:t>
            </w:r>
          </w:p>
          <w:p w14:paraId="14016640" w14:textId="77777777" w:rsidR="005C659B" w:rsidRPr="00C11F21" w:rsidRDefault="005C659B" w:rsidP="000C1F99">
            <w:pPr>
              <w:autoSpaceDE w:val="0"/>
              <w:autoSpaceDN w:val="0"/>
              <w:adjustRightInd w:val="0"/>
              <w:snapToGrid w:val="0"/>
              <w:spacing w:after="0" w:line="360" w:lineRule="auto"/>
              <w:jc w:val="center"/>
              <w:rPr>
                <w:rFonts w:ascii="Book Antiqua" w:hAnsi="Book Antiqua" w:cstheme="minorHAnsi"/>
                <w:sz w:val="24"/>
                <w:szCs w:val="24"/>
                <w:lang w:val="en-US"/>
              </w:rPr>
            </w:pPr>
            <w:r w:rsidRPr="00C11F21">
              <w:rPr>
                <w:rFonts w:ascii="Times New Roman" w:hAnsi="Times New Roman" w:cs="Times New Roman"/>
                <w:sz w:val="24"/>
                <w:szCs w:val="24"/>
                <w:lang w:val="en-US"/>
              </w:rPr>
              <w:t>‒</w:t>
            </w:r>
          </w:p>
        </w:tc>
      </w:tr>
    </w:tbl>
    <w:p w14:paraId="1BE643BD" w14:textId="670FC1C6" w:rsidR="005C659B" w:rsidRPr="00C11F21" w:rsidRDefault="000C1F99" w:rsidP="00F33187">
      <w:pPr>
        <w:autoSpaceDE w:val="0"/>
        <w:autoSpaceDN w:val="0"/>
        <w:adjustRightInd w:val="0"/>
        <w:snapToGrid w:val="0"/>
        <w:spacing w:after="0" w:line="360" w:lineRule="auto"/>
        <w:jc w:val="both"/>
        <w:rPr>
          <w:rFonts w:ascii="Book Antiqua" w:hAnsi="Book Antiqua" w:cstheme="minorHAnsi"/>
          <w:sz w:val="24"/>
          <w:szCs w:val="24"/>
          <w:lang w:val="en-US" w:eastAsia="zh-CN"/>
        </w:rPr>
      </w:pPr>
      <w:r w:rsidRPr="00C11F21">
        <w:rPr>
          <w:rFonts w:ascii="Book Antiqua" w:hAnsi="Book Antiqua" w:cstheme="minorHAnsi" w:hint="eastAsia"/>
          <w:sz w:val="24"/>
          <w:szCs w:val="24"/>
          <w:vertAlign w:val="superscript"/>
          <w:lang w:val="en-US" w:eastAsia="zh-CN"/>
        </w:rPr>
        <w:t>1</w:t>
      </w:r>
      <w:r w:rsidRPr="00C11F21">
        <w:rPr>
          <w:rFonts w:ascii="Book Antiqua" w:hAnsi="Book Antiqua" w:cstheme="minorHAnsi"/>
          <w:i/>
          <w:sz w:val="24"/>
          <w:szCs w:val="24"/>
          <w:lang w:val="en-US"/>
        </w:rPr>
        <w:t>P-</w:t>
      </w:r>
      <w:r w:rsidRPr="00C11F21">
        <w:rPr>
          <w:rFonts w:ascii="Book Antiqua" w:hAnsi="Book Antiqua" w:cstheme="minorHAnsi"/>
          <w:sz w:val="24"/>
          <w:szCs w:val="24"/>
          <w:lang w:val="en-US"/>
        </w:rPr>
        <w:t xml:space="preserve">value </w:t>
      </w:r>
      <w:r w:rsidRPr="00C11F21">
        <w:rPr>
          <w:rFonts w:ascii="Book Antiqua" w:hAnsi="Book Antiqua" w:cstheme="minorHAnsi" w:hint="eastAsia"/>
          <w:sz w:val="24"/>
          <w:szCs w:val="24"/>
          <w:lang w:val="en-US" w:eastAsia="zh-CN"/>
        </w:rPr>
        <w:t>[</w:t>
      </w:r>
      <w:r w:rsidRPr="00C11F21">
        <w:rPr>
          <w:rFonts w:ascii="Book Antiqua" w:hAnsi="Book Antiqua" w:cstheme="minorHAnsi"/>
          <w:sz w:val="24"/>
          <w:szCs w:val="24"/>
          <w:lang w:val="en-US"/>
        </w:rPr>
        <w:t>chi-square test for gender</w:t>
      </w:r>
      <w:r w:rsidRPr="00C11F21">
        <w:rPr>
          <w:rFonts w:ascii="Book Antiqua" w:hAnsi="Book Antiqua" w:cstheme="minorHAnsi" w:hint="eastAsia"/>
          <w:sz w:val="24"/>
          <w:szCs w:val="24"/>
          <w:lang w:val="en-US" w:eastAsia="zh-CN"/>
        </w:rPr>
        <w:t xml:space="preserve"> (</w:t>
      </w:r>
      <w:r w:rsidRPr="00C11F21">
        <w:rPr>
          <w:rFonts w:ascii="Book Antiqua" w:hAnsi="Book Antiqua" w:cstheme="minorHAnsi"/>
          <w:sz w:val="24"/>
          <w:szCs w:val="24"/>
          <w:lang w:val="en-US"/>
        </w:rPr>
        <w:t>qualitative variable</w:t>
      </w:r>
      <w:r w:rsidRPr="00C11F21">
        <w:rPr>
          <w:rFonts w:ascii="Book Antiqua" w:hAnsi="Book Antiqua" w:cstheme="minorHAnsi" w:hint="eastAsia"/>
          <w:sz w:val="24"/>
          <w:szCs w:val="24"/>
          <w:lang w:val="en-US" w:eastAsia="zh-CN"/>
        </w:rPr>
        <w:t>)</w:t>
      </w:r>
      <w:r w:rsidRPr="00C11F21">
        <w:rPr>
          <w:rFonts w:ascii="Book Antiqua" w:hAnsi="Book Antiqua" w:cstheme="minorHAnsi"/>
          <w:sz w:val="24"/>
          <w:szCs w:val="24"/>
          <w:lang w:val="en-US"/>
        </w:rPr>
        <w:t xml:space="preserve">, and </w:t>
      </w:r>
      <w:r w:rsidRPr="00C11F21">
        <w:rPr>
          <w:rFonts w:ascii="Book Antiqua" w:hAnsi="Book Antiqua" w:cstheme="minorHAnsi"/>
          <w:i/>
          <w:sz w:val="24"/>
          <w:szCs w:val="24"/>
          <w:lang w:val="en-US"/>
        </w:rPr>
        <w:t>t</w:t>
      </w:r>
      <w:r w:rsidRPr="00C11F21">
        <w:rPr>
          <w:rFonts w:ascii="Book Antiqua" w:hAnsi="Book Antiqua" w:cstheme="minorHAnsi"/>
          <w:sz w:val="24"/>
          <w:szCs w:val="24"/>
          <w:lang w:val="en-US"/>
        </w:rPr>
        <w:t xml:space="preserve">-test for age </w:t>
      </w:r>
      <w:r w:rsidRPr="00C11F21">
        <w:rPr>
          <w:rFonts w:ascii="Book Antiqua" w:hAnsi="Book Antiqua" w:cstheme="minorHAnsi" w:hint="eastAsia"/>
          <w:sz w:val="24"/>
          <w:szCs w:val="24"/>
          <w:lang w:val="en-US" w:eastAsia="zh-CN"/>
        </w:rPr>
        <w:t>(</w:t>
      </w:r>
      <w:r w:rsidRPr="00C11F21">
        <w:rPr>
          <w:rFonts w:ascii="Book Antiqua" w:hAnsi="Book Antiqua" w:cstheme="minorHAnsi"/>
          <w:sz w:val="24"/>
          <w:szCs w:val="24"/>
          <w:lang w:val="en-US"/>
        </w:rPr>
        <w:t>quantitative variable)]</w:t>
      </w:r>
      <w:r w:rsidRPr="00C11F21">
        <w:rPr>
          <w:rFonts w:ascii="Book Antiqua" w:hAnsi="Book Antiqua" w:cstheme="minorHAnsi" w:hint="eastAsia"/>
          <w:sz w:val="24"/>
          <w:szCs w:val="24"/>
          <w:lang w:val="en-US" w:eastAsia="zh-CN"/>
        </w:rPr>
        <w:t>.</w:t>
      </w:r>
      <w:r w:rsidR="00B11B5E">
        <w:rPr>
          <w:rFonts w:ascii="Book Antiqua" w:hAnsi="Book Antiqua" w:cstheme="minorHAnsi" w:hint="eastAsia"/>
          <w:sz w:val="24"/>
          <w:szCs w:val="24"/>
          <w:lang w:val="en-US" w:eastAsia="zh-CN"/>
        </w:rPr>
        <w:t xml:space="preserve"> </w:t>
      </w:r>
      <w:r w:rsidR="005C659B" w:rsidRPr="00C11F21">
        <w:rPr>
          <w:rFonts w:ascii="Book Antiqua" w:hAnsi="Book Antiqua" w:cstheme="minorHAnsi"/>
          <w:sz w:val="24"/>
          <w:szCs w:val="24"/>
          <w:lang w:val="en-US"/>
        </w:rPr>
        <w:t>CHB</w:t>
      </w:r>
      <w:r w:rsidRPr="00C11F21">
        <w:rPr>
          <w:rFonts w:ascii="Book Antiqua" w:hAnsi="Book Antiqua" w:cstheme="minorHAnsi" w:hint="eastAsia"/>
          <w:sz w:val="24"/>
          <w:szCs w:val="24"/>
          <w:lang w:val="en-US" w:eastAsia="zh-CN"/>
        </w:rPr>
        <w:t xml:space="preserve">: </w:t>
      </w:r>
      <w:r w:rsidR="00AD0556" w:rsidRPr="00C11F21">
        <w:rPr>
          <w:rFonts w:ascii="Book Antiqua" w:hAnsi="Book Antiqua" w:cstheme="minorHAnsi"/>
          <w:caps/>
          <w:sz w:val="24"/>
          <w:szCs w:val="24"/>
          <w:lang w:val="en-US"/>
        </w:rPr>
        <w:t>c</w:t>
      </w:r>
      <w:r w:rsidR="005C659B" w:rsidRPr="00C11F21">
        <w:rPr>
          <w:rFonts w:ascii="Book Antiqua" w:hAnsi="Book Antiqua" w:cstheme="minorHAnsi"/>
          <w:sz w:val="24"/>
          <w:szCs w:val="24"/>
          <w:lang w:val="en-US"/>
        </w:rPr>
        <w:t>hronic hepatitis B; NS</w:t>
      </w:r>
      <w:r w:rsidRPr="00C11F21">
        <w:rPr>
          <w:rFonts w:ascii="Book Antiqua" w:hAnsi="Book Antiqua" w:cstheme="minorHAnsi" w:hint="eastAsia"/>
          <w:sz w:val="24"/>
          <w:szCs w:val="24"/>
          <w:lang w:val="en-US" w:eastAsia="zh-CN"/>
        </w:rPr>
        <w:t xml:space="preserve">: </w:t>
      </w:r>
      <w:r w:rsidR="005C659B" w:rsidRPr="00C11F21">
        <w:rPr>
          <w:rFonts w:ascii="Book Antiqua" w:hAnsi="Book Antiqua" w:cstheme="minorHAnsi"/>
          <w:caps/>
          <w:sz w:val="24"/>
          <w:szCs w:val="24"/>
          <w:lang w:val="en-US"/>
        </w:rPr>
        <w:t>n</w:t>
      </w:r>
      <w:r w:rsidR="005C659B" w:rsidRPr="00C11F21">
        <w:rPr>
          <w:rFonts w:ascii="Book Antiqua" w:hAnsi="Book Antiqua" w:cstheme="minorHAnsi"/>
          <w:sz w:val="24"/>
          <w:szCs w:val="24"/>
          <w:lang w:val="en-US"/>
        </w:rPr>
        <w:t>o</w:t>
      </w:r>
      <w:r w:rsidR="00DC168E" w:rsidRPr="00C11F21">
        <w:rPr>
          <w:rFonts w:ascii="Book Antiqua" w:hAnsi="Book Antiqua" w:cstheme="minorHAnsi"/>
          <w:sz w:val="24"/>
          <w:szCs w:val="24"/>
          <w:lang w:val="en-US"/>
        </w:rPr>
        <w:t>t</w:t>
      </w:r>
      <w:r w:rsidR="005C659B" w:rsidRPr="00C11F21">
        <w:rPr>
          <w:rFonts w:ascii="Book Antiqua" w:hAnsi="Book Antiqua" w:cstheme="minorHAnsi"/>
          <w:sz w:val="24"/>
          <w:szCs w:val="24"/>
          <w:lang w:val="en-US"/>
        </w:rPr>
        <w:t xml:space="preserve"> statistically significant</w:t>
      </w:r>
      <w:r w:rsidRPr="00C11F21">
        <w:rPr>
          <w:rFonts w:ascii="Book Antiqua" w:hAnsi="Book Antiqua" w:cstheme="minorHAnsi" w:hint="eastAsia"/>
          <w:sz w:val="24"/>
          <w:szCs w:val="24"/>
          <w:lang w:val="en-US" w:eastAsia="zh-CN"/>
        </w:rPr>
        <w:t xml:space="preserve">. </w:t>
      </w:r>
    </w:p>
    <w:p w14:paraId="6BC17D34" w14:textId="77777777" w:rsidR="005C659B" w:rsidRPr="00C11F21" w:rsidRDefault="005C659B" w:rsidP="00F33187">
      <w:pPr>
        <w:snapToGrid w:val="0"/>
        <w:spacing w:after="0" w:line="360" w:lineRule="auto"/>
        <w:rPr>
          <w:rFonts w:ascii="Book Antiqua" w:hAnsi="Book Antiqua" w:cstheme="minorHAnsi"/>
          <w:sz w:val="24"/>
          <w:szCs w:val="24"/>
          <w:lang w:val="en-US"/>
        </w:rPr>
      </w:pPr>
      <w:r w:rsidRPr="00C11F21">
        <w:rPr>
          <w:rFonts w:ascii="Book Antiqua" w:hAnsi="Book Antiqua" w:cstheme="minorHAnsi"/>
          <w:sz w:val="24"/>
          <w:szCs w:val="24"/>
          <w:lang w:val="en-US"/>
        </w:rPr>
        <w:br w:type="page"/>
      </w:r>
    </w:p>
    <w:p w14:paraId="78ED2208" w14:textId="41B9A769" w:rsidR="005C659B" w:rsidRPr="00C11F21" w:rsidRDefault="005C659B" w:rsidP="00F33187">
      <w:pPr>
        <w:snapToGrid w:val="0"/>
        <w:spacing w:after="0" w:line="360" w:lineRule="auto"/>
        <w:jc w:val="both"/>
        <w:rPr>
          <w:rFonts w:ascii="Book Antiqua" w:hAnsi="Book Antiqua" w:cstheme="minorHAnsi"/>
          <w:b/>
          <w:sz w:val="24"/>
          <w:szCs w:val="24"/>
          <w:lang w:val="en-US"/>
        </w:rPr>
      </w:pPr>
      <w:r w:rsidRPr="00C11F21">
        <w:rPr>
          <w:rFonts w:ascii="Book Antiqua" w:hAnsi="Book Antiqua" w:cstheme="minorHAnsi"/>
          <w:b/>
          <w:sz w:val="24"/>
          <w:szCs w:val="24"/>
          <w:lang w:val="en-US"/>
        </w:rPr>
        <w:lastRenderedPageBreak/>
        <w:t>Table</w:t>
      </w:r>
      <w:r w:rsidR="00B11B5E">
        <w:rPr>
          <w:rFonts w:ascii="Book Antiqua" w:hAnsi="Book Antiqua" w:cstheme="minorHAnsi" w:hint="eastAsia"/>
          <w:b/>
          <w:sz w:val="24"/>
          <w:szCs w:val="24"/>
          <w:lang w:val="en-US" w:eastAsia="zh-CN"/>
        </w:rPr>
        <w:t xml:space="preserve"> </w:t>
      </w:r>
      <w:r w:rsidR="002408C6" w:rsidRPr="00C11F21">
        <w:rPr>
          <w:rFonts w:ascii="Book Antiqua" w:hAnsi="Book Antiqua" w:cstheme="minorHAnsi" w:hint="eastAsia"/>
          <w:b/>
          <w:sz w:val="24"/>
          <w:szCs w:val="24"/>
          <w:lang w:val="en-US" w:eastAsia="zh-CN"/>
        </w:rPr>
        <w:t xml:space="preserve">2 </w:t>
      </w:r>
      <w:r w:rsidRPr="00C11F21">
        <w:rPr>
          <w:rFonts w:ascii="Book Antiqua" w:hAnsi="Book Antiqua" w:cstheme="minorHAnsi"/>
          <w:b/>
          <w:sz w:val="24"/>
          <w:szCs w:val="24"/>
          <w:lang w:val="en-US"/>
        </w:rPr>
        <w:t>Individual demographic, biochemical and virologic</w:t>
      </w:r>
      <w:r w:rsidR="00BF3ECE" w:rsidRPr="00C11F21">
        <w:rPr>
          <w:rFonts w:ascii="Book Antiqua" w:hAnsi="Book Antiqua" w:cstheme="minorHAnsi"/>
          <w:b/>
          <w:sz w:val="24"/>
          <w:szCs w:val="24"/>
          <w:lang w:val="en-US"/>
        </w:rPr>
        <w:t>al</w:t>
      </w:r>
      <w:r w:rsidRPr="00C11F21">
        <w:rPr>
          <w:rFonts w:ascii="Book Antiqua" w:hAnsi="Book Antiqua" w:cstheme="minorHAnsi"/>
          <w:b/>
          <w:sz w:val="24"/>
          <w:szCs w:val="24"/>
          <w:lang w:val="en-US"/>
        </w:rPr>
        <w:t xml:space="preserve"> characteristics of the 18 patients from group A (chronic hepatitis B patients) </w:t>
      </w:r>
      <w:r w:rsidR="00AD0556" w:rsidRPr="00C11F21">
        <w:rPr>
          <w:rFonts w:ascii="Book Antiqua" w:hAnsi="Book Antiqua" w:cstheme="minorHAnsi"/>
          <w:b/>
          <w:sz w:val="24"/>
          <w:szCs w:val="24"/>
          <w:lang w:val="en-US"/>
        </w:rPr>
        <w:t>in whom the</w:t>
      </w:r>
      <w:r w:rsidR="002D1959" w:rsidRPr="00C11F21">
        <w:rPr>
          <w:rFonts w:ascii="Book Antiqua" w:hAnsi="Book Antiqua" w:cstheme="minorHAnsi"/>
          <w:b/>
          <w:sz w:val="24"/>
          <w:szCs w:val="24"/>
          <w:lang w:val="en-US"/>
        </w:rPr>
        <w:t xml:space="preserve"> </w:t>
      </w:r>
      <w:r w:rsidRPr="00C11F21">
        <w:rPr>
          <w:rFonts w:ascii="Book Antiqua" w:hAnsi="Book Antiqua" w:cstheme="minorHAnsi"/>
          <w:b/>
          <w:sz w:val="24"/>
          <w:szCs w:val="24"/>
          <w:lang w:val="en-US"/>
        </w:rPr>
        <w:t>preS1 region</w:t>
      </w:r>
      <w:r w:rsidR="00AD0556" w:rsidRPr="00C11F21">
        <w:rPr>
          <w:rFonts w:ascii="Book Antiqua" w:hAnsi="Book Antiqua" w:cstheme="minorHAnsi"/>
          <w:b/>
          <w:sz w:val="24"/>
          <w:szCs w:val="24"/>
          <w:lang w:val="en-US"/>
        </w:rPr>
        <w:t xml:space="preserve"> was analyzed</w:t>
      </w:r>
    </w:p>
    <w:tbl>
      <w:tblPr>
        <w:tblW w:w="9692" w:type="dxa"/>
        <w:jc w:val="center"/>
        <w:tblCellMar>
          <w:left w:w="70" w:type="dxa"/>
          <w:right w:w="70" w:type="dxa"/>
        </w:tblCellMar>
        <w:tblLook w:val="04A0" w:firstRow="1" w:lastRow="0" w:firstColumn="1" w:lastColumn="0" w:noHBand="0" w:noVBand="1"/>
      </w:tblPr>
      <w:tblGrid>
        <w:gridCol w:w="554"/>
        <w:gridCol w:w="1432"/>
        <w:gridCol w:w="661"/>
        <w:gridCol w:w="1663"/>
        <w:gridCol w:w="1457"/>
        <w:gridCol w:w="1523"/>
        <w:gridCol w:w="895"/>
        <w:gridCol w:w="1507"/>
      </w:tblGrid>
      <w:tr w:rsidR="00C11F21" w:rsidRPr="00C11F21" w14:paraId="151D3F3A" w14:textId="77777777" w:rsidTr="004A4193">
        <w:trPr>
          <w:trHeight w:val="468"/>
          <w:jc w:val="center"/>
        </w:trPr>
        <w:tc>
          <w:tcPr>
            <w:tcW w:w="554" w:type="dxa"/>
            <w:tcBorders>
              <w:top w:val="single" w:sz="4" w:space="0" w:color="auto"/>
              <w:left w:val="nil"/>
              <w:bottom w:val="single" w:sz="8" w:space="0" w:color="auto"/>
              <w:right w:val="nil"/>
            </w:tcBorders>
            <w:shd w:val="clear" w:color="auto" w:fill="auto"/>
            <w:noWrap/>
            <w:vAlign w:val="center"/>
            <w:hideMark/>
          </w:tcPr>
          <w:p w14:paraId="6D2C3BE2" w14:textId="77777777" w:rsidR="005C659B" w:rsidRPr="00C11F21" w:rsidRDefault="005C659B" w:rsidP="00F33187">
            <w:pPr>
              <w:snapToGrid w:val="0"/>
              <w:spacing w:after="0" w:line="360" w:lineRule="auto"/>
              <w:jc w:val="center"/>
              <w:rPr>
                <w:rFonts w:ascii="Book Antiqua" w:eastAsia="Times New Roman" w:hAnsi="Book Antiqua" w:cstheme="minorHAnsi"/>
                <w:b/>
                <w:bCs/>
                <w:sz w:val="24"/>
                <w:szCs w:val="24"/>
                <w:lang w:val="en-US" w:eastAsia="es-ES"/>
              </w:rPr>
            </w:pPr>
            <w:r w:rsidRPr="00C11F21">
              <w:rPr>
                <w:rFonts w:ascii="Book Antiqua" w:eastAsia="Times New Roman" w:hAnsi="Book Antiqua" w:cstheme="minorHAnsi"/>
                <w:b/>
                <w:bCs/>
                <w:sz w:val="24"/>
                <w:szCs w:val="24"/>
                <w:lang w:val="en-US" w:eastAsia="es-ES"/>
              </w:rPr>
              <w:t>ID</w:t>
            </w:r>
          </w:p>
        </w:tc>
        <w:tc>
          <w:tcPr>
            <w:tcW w:w="1432" w:type="dxa"/>
            <w:tcBorders>
              <w:top w:val="single" w:sz="4" w:space="0" w:color="auto"/>
              <w:left w:val="nil"/>
              <w:bottom w:val="single" w:sz="8" w:space="0" w:color="auto"/>
              <w:right w:val="nil"/>
            </w:tcBorders>
            <w:shd w:val="clear" w:color="auto" w:fill="auto"/>
            <w:noWrap/>
            <w:vAlign w:val="center"/>
            <w:hideMark/>
          </w:tcPr>
          <w:p w14:paraId="550232DA" w14:textId="77777777" w:rsidR="005C659B" w:rsidRPr="00C11F21" w:rsidRDefault="005C659B" w:rsidP="00F33187">
            <w:pPr>
              <w:snapToGrid w:val="0"/>
              <w:spacing w:after="0" w:line="360" w:lineRule="auto"/>
              <w:jc w:val="center"/>
              <w:rPr>
                <w:rFonts w:ascii="Book Antiqua" w:eastAsia="Times New Roman" w:hAnsi="Book Antiqua" w:cstheme="minorHAnsi"/>
                <w:b/>
                <w:bCs/>
                <w:sz w:val="24"/>
                <w:szCs w:val="24"/>
                <w:lang w:val="en-US" w:eastAsia="es-ES"/>
              </w:rPr>
            </w:pPr>
            <w:r w:rsidRPr="00C11F21">
              <w:rPr>
                <w:rFonts w:ascii="Book Antiqua" w:eastAsia="Times New Roman" w:hAnsi="Book Antiqua" w:cstheme="minorHAnsi"/>
                <w:b/>
                <w:bCs/>
                <w:sz w:val="24"/>
                <w:szCs w:val="24"/>
                <w:lang w:val="en-US" w:eastAsia="es-ES"/>
              </w:rPr>
              <w:t>Gender</w:t>
            </w:r>
          </w:p>
        </w:tc>
        <w:tc>
          <w:tcPr>
            <w:tcW w:w="661" w:type="dxa"/>
            <w:tcBorders>
              <w:top w:val="single" w:sz="4" w:space="0" w:color="auto"/>
              <w:left w:val="nil"/>
              <w:bottom w:val="single" w:sz="8" w:space="0" w:color="auto"/>
              <w:right w:val="nil"/>
            </w:tcBorders>
            <w:vAlign w:val="center"/>
          </w:tcPr>
          <w:p w14:paraId="5065C8CF" w14:textId="77777777" w:rsidR="005C659B" w:rsidRPr="00C11F21" w:rsidRDefault="005C659B" w:rsidP="00F33187">
            <w:pPr>
              <w:snapToGrid w:val="0"/>
              <w:spacing w:after="0" w:line="360" w:lineRule="auto"/>
              <w:jc w:val="center"/>
              <w:rPr>
                <w:rFonts w:ascii="Book Antiqua" w:eastAsia="Times New Roman" w:hAnsi="Book Antiqua" w:cstheme="minorHAnsi"/>
                <w:b/>
                <w:bCs/>
                <w:sz w:val="24"/>
                <w:szCs w:val="24"/>
                <w:lang w:val="en-US" w:eastAsia="es-ES"/>
              </w:rPr>
            </w:pPr>
            <w:r w:rsidRPr="00C11F21">
              <w:rPr>
                <w:rFonts w:ascii="Book Antiqua" w:eastAsia="Times New Roman" w:hAnsi="Book Antiqua" w:cstheme="minorHAnsi"/>
                <w:b/>
                <w:bCs/>
                <w:sz w:val="24"/>
                <w:szCs w:val="24"/>
                <w:lang w:val="en-US" w:eastAsia="es-ES"/>
              </w:rPr>
              <w:t>Age</w:t>
            </w:r>
          </w:p>
        </w:tc>
        <w:tc>
          <w:tcPr>
            <w:tcW w:w="1663" w:type="dxa"/>
            <w:tcBorders>
              <w:top w:val="single" w:sz="4" w:space="0" w:color="auto"/>
              <w:left w:val="nil"/>
              <w:bottom w:val="single" w:sz="8" w:space="0" w:color="auto"/>
              <w:right w:val="nil"/>
            </w:tcBorders>
            <w:shd w:val="clear" w:color="auto" w:fill="auto"/>
            <w:noWrap/>
            <w:vAlign w:val="center"/>
            <w:hideMark/>
          </w:tcPr>
          <w:p w14:paraId="6BD59173" w14:textId="77777777" w:rsidR="005C659B" w:rsidRPr="00C11F21" w:rsidRDefault="005C659B" w:rsidP="00F33187">
            <w:pPr>
              <w:snapToGrid w:val="0"/>
              <w:spacing w:after="0" w:line="360" w:lineRule="auto"/>
              <w:jc w:val="center"/>
              <w:rPr>
                <w:rFonts w:ascii="Book Antiqua" w:eastAsia="Times New Roman" w:hAnsi="Book Antiqua" w:cstheme="minorHAnsi"/>
                <w:b/>
                <w:bCs/>
                <w:sz w:val="24"/>
                <w:szCs w:val="24"/>
                <w:lang w:val="en-US" w:eastAsia="es-ES"/>
              </w:rPr>
            </w:pPr>
            <w:r w:rsidRPr="00C11F21">
              <w:rPr>
                <w:rFonts w:ascii="Book Antiqua" w:eastAsia="Times New Roman" w:hAnsi="Book Antiqua" w:cstheme="minorHAnsi"/>
                <w:b/>
                <w:bCs/>
                <w:sz w:val="24"/>
                <w:szCs w:val="24"/>
                <w:lang w:val="en-US" w:eastAsia="es-ES"/>
              </w:rPr>
              <w:t>Origin</w:t>
            </w:r>
          </w:p>
        </w:tc>
        <w:tc>
          <w:tcPr>
            <w:tcW w:w="1457" w:type="dxa"/>
            <w:tcBorders>
              <w:top w:val="single" w:sz="4" w:space="0" w:color="auto"/>
              <w:left w:val="nil"/>
              <w:bottom w:val="single" w:sz="8" w:space="0" w:color="auto"/>
              <w:right w:val="nil"/>
            </w:tcBorders>
            <w:vAlign w:val="center"/>
          </w:tcPr>
          <w:p w14:paraId="7B39EA53" w14:textId="42E35FCB" w:rsidR="005C659B" w:rsidRPr="00C11F21" w:rsidRDefault="005C659B" w:rsidP="004A4193">
            <w:pPr>
              <w:snapToGrid w:val="0"/>
              <w:spacing w:after="0" w:line="360" w:lineRule="auto"/>
              <w:jc w:val="center"/>
              <w:rPr>
                <w:rFonts w:ascii="Book Antiqua" w:hAnsi="Book Antiqua" w:cstheme="minorHAnsi"/>
                <w:b/>
                <w:bCs/>
                <w:sz w:val="24"/>
                <w:szCs w:val="24"/>
                <w:lang w:val="en-US" w:eastAsia="zh-CN"/>
              </w:rPr>
            </w:pPr>
            <w:r w:rsidRPr="00C11F21">
              <w:rPr>
                <w:rFonts w:ascii="Book Antiqua" w:eastAsia="Times New Roman" w:hAnsi="Book Antiqua" w:cstheme="minorHAnsi"/>
                <w:b/>
                <w:bCs/>
                <w:sz w:val="24"/>
                <w:szCs w:val="24"/>
                <w:lang w:val="en-US" w:eastAsia="es-ES"/>
              </w:rPr>
              <w:t>HBV Genotype</w:t>
            </w:r>
            <w:r w:rsidR="004A4193" w:rsidRPr="00C11F21">
              <w:rPr>
                <w:rFonts w:ascii="Book Antiqua" w:hAnsi="Book Antiqua" w:cstheme="minorHAnsi" w:hint="eastAsia"/>
                <w:b/>
                <w:bCs/>
                <w:sz w:val="24"/>
                <w:szCs w:val="24"/>
                <w:vertAlign w:val="superscript"/>
                <w:lang w:val="en-US" w:eastAsia="zh-CN"/>
              </w:rPr>
              <w:t>1</w:t>
            </w:r>
          </w:p>
        </w:tc>
        <w:tc>
          <w:tcPr>
            <w:tcW w:w="1523" w:type="dxa"/>
            <w:tcBorders>
              <w:top w:val="single" w:sz="4" w:space="0" w:color="auto"/>
              <w:left w:val="nil"/>
              <w:bottom w:val="single" w:sz="8" w:space="0" w:color="auto"/>
              <w:right w:val="nil"/>
            </w:tcBorders>
            <w:shd w:val="clear" w:color="auto" w:fill="auto"/>
            <w:noWrap/>
            <w:vAlign w:val="center"/>
            <w:hideMark/>
          </w:tcPr>
          <w:p w14:paraId="77DF7499" w14:textId="77777777" w:rsidR="005C659B" w:rsidRPr="00C11F21" w:rsidRDefault="005C659B" w:rsidP="00F33187">
            <w:pPr>
              <w:snapToGrid w:val="0"/>
              <w:spacing w:after="0" w:line="360" w:lineRule="auto"/>
              <w:jc w:val="center"/>
              <w:rPr>
                <w:rFonts w:ascii="Book Antiqua" w:eastAsia="Times New Roman" w:hAnsi="Book Antiqua" w:cstheme="minorHAnsi"/>
                <w:b/>
                <w:bCs/>
                <w:sz w:val="24"/>
                <w:szCs w:val="24"/>
                <w:lang w:val="en-US" w:eastAsia="es-ES"/>
              </w:rPr>
            </w:pPr>
            <w:r w:rsidRPr="00C11F21">
              <w:rPr>
                <w:rFonts w:ascii="Book Antiqua" w:eastAsia="Times New Roman" w:hAnsi="Book Antiqua" w:cstheme="minorHAnsi"/>
                <w:b/>
                <w:bCs/>
                <w:sz w:val="24"/>
                <w:szCs w:val="24"/>
                <w:lang w:val="en-US" w:eastAsia="es-ES"/>
              </w:rPr>
              <w:t>HBV DNA (logIU/mL)</w:t>
            </w:r>
          </w:p>
        </w:tc>
        <w:tc>
          <w:tcPr>
            <w:tcW w:w="895" w:type="dxa"/>
            <w:tcBorders>
              <w:top w:val="single" w:sz="4" w:space="0" w:color="auto"/>
              <w:left w:val="nil"/>
              <w:bottom w:val="single" w:sz="8" w:space="0" w:color="auto"/>
              <w:right w:val="nil"/>
            </w:tcBorders>
            <w:shd w:val="clear" w:color="auto" w:fill="auto"/>
            <w:noWrap/>
            <w:vAlign w:val="center"/>
            <w:hideMark/>
          </w:tcPr>
          <w:p w14:paraId="52891AED" w14:textId="77777777" w:rsidR="005C659B" w:rsidRPr="00C11F21" w:rsidRDefault="005C659B" w:rsidP="00F33187">
            <w:pPr>
              <w:snapToGrid w:val="0"/>
              <w:spacing w:after="0" w:line="360" w:lineRule="auto"/>
              <w:jc w:val="center"/>
              <w:rPr>
                <w:rFonts w:ascii="Book Antiqua" w:eastAsia="Times New Roman" w:hAnsi="Book Antiqua" w:cstheme="minorHAnsi"/>
                <w:b/>
                <w:bCs/>
                <w:sz w:val="24"/>
                <w:szCs w:val="24"/>
                <w:lang w:val="en-US" w:eastAsia="es-ES"/>
              </w:rPr>
            </w:pPr>
            <w:r w:rsidRPr="00C11F21">
              <w:rPr>
                <w:rFonts w:ascii="Book Antiqua" w:eastAsia="Times New Roman" w:hAnsi="Book Antiqua" w:cstheme="minorHAnsi"/>
                <w:b/>
                <w:bCs/>
                <w:sz w:val="24"/>
                <w:szCs w:val="24"/>
                <w:lang w:val="en-US" w:eastAsia="es-ES"/>
              </w:rPr>
              <w:t>ALT (IU/L)</w:t>
            </w:r>
          </w:p>
        </w:tc>
        <w:tc>
          <w:tcPr>
            <w:tcW w:w="1507" w:type="dxa"/>
            <w:tcBorders>
              <w:top w:val="single" w:sz="4" w:space="0" w:color="auto"/>
              <w:left w:val="nil"/>
              <w:bottom w:val="single" w:sz="8" w:space="0" w:color="auto"/>
              <w:right w:val="nil"/>
            </w:tcBorders>
            <w:shd w:val="clear" w:color="auto" w:fill="auto"/>
            <w:noWrap/>
            <w:vAlign w:val="center"/>
            <w:hideMark/>
          </w:tcPr>
          <w:p w14:paraId="70DACDFC" w14:textId="77777777" w:rsidR="005C659B" w:rsidRPr="00C11F21" w:rsidRDefault="005C659B" w:rsidP="00F33187">
            <w:pPr>
              <w:snapToGrid w:val="0"/>
              <w:spacing w:after="0" w:line="360" w:lineRule="auto"/>
              <w:jc w:val="center"/>
              <w:rPr>
                <w:rFonts w:ascii="Book Antiqua" w:eastAsia="Times New Roman" w:hAnsi="Book Antiqua" w:cstheme="minorHAnsi"/>
                <w:b/>
                <w:bCs/>
                <w:sz w:val="24"/>
                <w:szCs w:val="24"/>
                <w:lang w:val="en-US" w:eastAsia="es-ES"/>
              </w:rPr>
            </w:pPr>
            <w:r w:rsidRPr="00C11F21">
              <w:rPr>
                <w:rFonts w:ascii="Book Antiqua" w:eastAsia="Times New Roman" w:hAnsi="Book Antiqua" w:cstheme="minorHAnsi"/>
                <w:b/>
                <w:bCs/>
                <w:sz w:val="24"/>
                <w:szCs w:val="24"/>
                <w:lang w:val="en-US" w:eastAsia="es-ES"/>
              </w:rPr>
              <w:t>HBeAg</w:t>
            </w:r>
          </w:p>
        </w:tc>
      </w:tr>
      <w:tr w:rsidR="00C11F21" w:rsidRPr="00C11F21" w14:paraId="6858AA51" w14:textId="77777777" w:rsidTr="004A4193">
        <w:trPr>
          <w:trHeight w:val="281"/>
          <w:jc w:val="center"/>
        </w:trPr>
        <w:tc>
          <w:tcPr>
            <w:tcW w:w="554" w:type="dxa"/>
            <w:tcBorders>
              <w:top w:val="nil"/>
              <w:left w:val="nil"/>
              <w:bottom w:val="nil"/>
              <w:right w:val="nil"/>
            </w:tcBorders>
            <w:shd w:val="clear" w:color="auto" w:fill="auto"/>
            <w:noWrap/>
            <w:vAlign w:val="center"/>
            <w:hideMark/>
          </w:tcPr>
          <w:p w14:paraId="1E0F3F28"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1</w:t>
            </w:r>
          </w:p>
        </w:tc>
        <w:tc>
          <w:tcPr>
            <w:tcW w:w="1432" w:type="dxa"/>
            <w:tcBorders>
              <w:top w:val="nil"/>
              <w:left w:val="nil"/>
              <w:bottom w:val="nil"/>
              <w:right w:val="nil"/>
            </w:tcBorders>
            <w:shd w:val="clear" w:color="auto" w:fill="auto"/>
            <w:noWrap/>
            <w:vAlign w:val="center"/>
            <w:hideMark/>
          </w:tcPr>
          <w:p w14:paraId="49F6A604"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Female</w:t>
            </w:r>
          </w:p>
        </w:tc>
        <w:tc>
          <w:tcPr>
            <w:tcW w:w="661" w:type="dxa"/>
            <w:tcBorders>
              <w:top w:val="nil"/>
              <w:left w:val="nil"/>
              <w:bottom w:val="nil"/>
              <w:right w:val="nil"/>
            </w:tcBorders>
            <w:vAlign w:val="center"/>
          </w:tcPr>
          <w:p w14:paraId="164BC20B"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68</w:t>
            </w:r>
          </w:p>
        </w:tc>
        <w:tc>
          <w:tcPr>
            <w:tcW w:w="1663" w:type="dxa"/>
            <w:tcBorders>
              <w:top w:val="nil"/>
              <w:left w:val="nil"/>
              <w:bottom w:val="nil"/>
              <w:right w:val="nil"/>
            </w:tcBorders>
            <w:shd w:val="clear" w:color="auto" w:fill="auto"/>
            <w:noWrap/>
            <w:vAlign w:val="center"/>
            <w:hideMark/>
          </w:tcPr>
          <w:p w14:paraId="735FEA9F"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Caucasian</w:t>
            </w:r>
          </w:p>
        </w:tc>
        <w:tc>
          <w:tcPr>
            <w:tcW w:w="1457" w:type="dxa"/>
            <w:tcBorders>
              <w:top w:val="nil"/>
              <w:left w:val="nil"/>
              <w:bottom w:val="nil"/>
              <w:right w:val="nil"/>
            </w:tcBorders>
            <w:vAlign w:val="center"/>
          </w:tcPr>
          <w:p w14:paraId="41B8D2AB"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D</w:t>
            </w:r>
          </w:p>
        </w:tc>
        <w:tc>
          <w:tcPr>
            <w:tcW w:w="1523" w:type="dxa"/>
            <w:tcBorders>
              <w:top w:val="nil"/>
              <w:left w:val="nil"/>
              <w:bottom w:val="nil"/>
              <w:right w:val="nil"/>
            </w:tcBorders>
            <w:shd w:val="clear" w:color="auto" w:fill="auto"/>
            <w:noWrap/>
            <w:vAlign w:val="center"/>
            <w:hideMark/>
          </w:tcPr>
          <w:p w14:paraId="6A76BC2A"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5.0</w:t>
            </w:r>
          </w:p>
        </w:tc>
        <w:tc>
          <w:tcPr>
            <w:tcW w:w="895" w:type="dxa"/>
            <w:tcBorders>
              <w:top w:val="nil"/>
              <w:left w:val="nil"/>
              <w:bottom w:val="nil"/>
              <w:right w:val="nil"/>
            </w:tcBorders>
            <w:shd w:val="clear" w:color="auto" w:fill="auto"/>
            <w:noWrap/>
            <w:vAlign w:val="center"/>
            <w:hideMark/>
          </w:tcPr>
          <w:p w14:paraId="681D937D"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29</w:t>
            </w:r>
          </w:p>
        </w:tc>
        <w:tc>
          <w:tcPr>
            <w:tcW w:w="1507" w:type="dxa"/>
            <w:tcBorders>
              <w:top w:val="nil"/>
              <w:left w:val="nil"/>
              <w:bottom w:val="nil"/>
              <w:right w:val="nil"/>
            </w:tcBorders>
            <w:shd w:val="clear" w:color="auto" w:fill="auto"/>
            <w:noWrap/>
            <w:vAlign w:val="center"/>
            <w:hideMark/>
          </w:tcPr>
          <w:p w14:paraId="51B00264"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Negative</w:t>
            </w:r>
          </w:p>
        </w:tc>
      </w:tr>
      <w:tr w:rsidR="00C11F21" w:rsidRPr="00C11F21" w14:paraId="7EB50396" w14:textId="77777777" w:rsidTr="004A4193">
        <w:trPr>
          <w:trHeight w:val="281"/>
          <w:jc w:val="center"/>
        </w:trPr>
        <w:tc>
          <w:tcPr>
            <w:tcW w:w="554" w:type="dxa"/>
            <w:tcBorders>
              <w:top w:val="nil"/>
              <w:left w:val="nil"/>
              <w:bottom w:val="nil"/>
              <w:right w:val="nil"/>
            </w:tcBorders>
            <w:shd w:val="clear" w:color="auto" w:fill="auto"/>
            <w:noWrap/>
            <w:vAlign w:val="center"/>
            <w:hideMark/>
          </w:tcPr>
          <w:p w14:paraId="2C8AC629"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2</w:t>
            </w:r>
          </w:p>
        </w:tc>
        <w:tc>
          <w:tcPr>
            <w:tcW w:w="1432" w:type="dxa"/>
            <w:tcBorders>
              <w:top w:val="nil"/>
              <w:left w:val="nil"/>
              <w:bottom w:val="nil"/>
              <w:right w:val="nil"/>
            </w:tcBorders>
            <w:shd w:val="clear" w:color="auto" w:fill="auto"/>
            <w:noWrap/>
            <w:vAlign w:val="center"/>
            <w:hideMark/>
          </w:tcPr>
          <w:p w14:paraId="62E0D97A"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Male</w:t>
            </w:r>
          </w:p>
        </w:tc>
        <w:tc>
          <w:tcPr>
            <w:tcW w:w="661" w:type="dxa"/>
            <w:tcBorders>
              <w:top w:val="nil"/>
              <w:left w:val="nil"/>
              <w:bottom w:val="nil"/>
              <w:right w:val="nil"/>
            </w:tcBorders>
            <w:vAlign w:val="center"/>
          </w:tcPr>
          <w:p w14:paraId="6703FB34"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55</w:t>
            </w:r>
          </w:p>
        </w:tc>
        <w:tc>
          <w:tcPr>
            <w:tcW w:w="1663" w:type="dxa"/>
            <w:tcBorders>
              <w:top w:val="nil"/>
              <w:left w:val="nil"/>
              <w:bottom w:val="nil"/>
              <w:right w:val="nil"/>
            </w:tcBorders>
            <w:shd w:val="clear" w:color="auto" w:fill="auto"/>
            <w:noWrap/>
            <w:vAlign w:val="center"/>
            <w:hideMark/>
          </w:tcPr>
          <w:p w14:paraId="1EC8EA96"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Caucasian</w:t>
            </w:r>
          </w:p>
        </w:tc>
        <w:tc>
          <w:tcPr>
            <w:tcW w:w="1457" w:type="dxa"/>
            <w:tcBorders>
              <w:top w:val="nil"/>
              <w:left w:val="nil"/>
              <w:bottom w:val="nil"/>
              <w:right w:val="nil"/>
            </w:tcBorders>
            <w:vAlign w:val="center"/>
          </w:tcPr>
          <w:p w14:paraId="1CDC372A"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A</w:t>
            </w:r>
          </w:p>
        </w:tc>
        <w:tc>
          <w:tcPr>
            <w:tcW w:w="1523" w:type="dxa"/>
            <w:tcBorders>
              <w:top w:val="nil"/>
              <w:left w:val="nil"/>
              <w:bottom w:val="nil"/>
              <w:right w:val="nil"/>
            </w:tcBorders>
            <w:shd w:val="clear" w:color="auto" w:fill="auto"/>
            <w:noWrap/>
            <w:vAlign w:val="center"/>
            <w:hideMark/>
          </w:tcPr>
          <w:p w14:paraId="473D025A"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5.8</w:t>
            </w:r>
          </w:p>
        </w:tc>
        <w:tc>
          <w:tcPr>
            <w:tcW w:w="895" w:type="dxa"/>
            <w:tcBorders>
              <w:top w:val="nil"/>
              <w:left w:val="nil"/>
              <w:bottom w:val="nil"/>
              <w:right w:val="nil"/>
            </w:tcBorders>
            <w:shd w:val="clear" w:color="auto" w:fill="auto"/>
            <w:noWrap/>
            <w:vAlign w:val="center"/>
            <w:hideMark/>
          </w:tcPr>
          <w:p w14:paraId="0A90041A"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46</w:t>
            </w:r>
          </w:p>
        </w:tc>
        <w:tc>
          <w:tcPr>
            <w:tcW w:w="1507" w:type="dxa"/>
            <w:tcBorders>
              <w:top w:val="nil"/>
              <w:left w:val="nil"/>
              <w:bottom w:val="nil"/>
              <w:right w:val="nil"/>
            </w:tcBorders>
            <w:shd w:val="clear" w:color="auto" w:fill="auto"/>
            <w:noWrap/>
            <w:vAlign w:val="center"/>
            <w:hideMark/>
          </w:tcPr>
          <w:p w14:paraId="51F9FEE9"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Negative</w:t>
            </w:r>
          </w:p>
        </w:tc>
      </w:tr>
      <w:tr w:rsidR="00C11F21" w:rsidRPr="00C11F21" w14:paraId="4AA8446A" w14:textId="77777777" w:rsidTr="004A4193">
        <w:trPr>
          <w:trHeight w:val="281"/>
          <w:jc w:val="center"/>
        </w:trPr>
        <w:tc>
          <w:tcPr>
            <w:tcW w:w="554" w:type="dxa"/>
            <w:tcBorders>
              <w:top w:val="nil"/>
              <w:left w:val="nil"/>
              <w:bottom w:val="nil"/>
              <w:right w:val="nil"/>
            </w:tcBorders>
            <w:shd w:val="clear" w:color="auto" w:fill="auto"/>
            <w:noWrap/>
            <w:vAlign w:val="center"/>
            <w:hideMark/>
          </w:tcPr>
          <w:p w14:paraId="0157949F"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3</w:t>
            </w:r>
          </w:p>
        </w:tc>
        <w:tc>
          <w:tcPr>
            <w:tcW w:w="1432" w:type="dxa"/>
            <w:tcBorders>
              <w:top w:val="nil"/>
              <w:left w:val="nil"/>
              <w:bottom w:val="nil"/>
              <w:right w:val="nil"/>
            </w:tcBorders>
            <w:shd w:val="clear" w:color="auto" w:fill="auto"/>
            <w:noWrap/>
            <w:vAlign w:val="center"/>
            <w:hideMark/>
          </w:tcPr>
          <w:p w14:paraId="17ED4672"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Female</w:t>
            </w:r>
          </w:p>
        </w:tc>
        <w:tc>
          <w:tcPr>
            <w:tcW w:w="661" w:type="dxa"/>
            <w:tcBorders>
              <w:top w:val="nil"/>
              <w:left w:val="nil"/>
              <w:bottom w:val="nil"/>
              <w:right w:val="nil"/>
            </w:tcBorders>
            <w:vAlign w:val="center"/>
          </w:tcPr>
          <w:p w14:paraId="04B43D1D"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40</w:t>
            </w:r>
          </w:p>
        </w:tc>
        <w:tc>
          <w:tcPr>
            <w:tcW w:w="1663" w:type="dxa"/>
            <w:tcBorders>
              <w:top w:val="nil"/>
              <w:left w:val="nil"/>
              <w:bottom w:val="nil"/>
              <w:right w:val="nil"/>
            </w:tcBorders>
            <w:shd w:val="clear" w:color="auto" w:fill="auto"/>
            <w:noWrap/>
            <w:vAlign w:val="center"/>
            <w:hideMark/>
          </w:tcPr>
          <w:p w14:paraId="11993B45"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Caucasian</w:t>
            </w:r>
          </w:p>
        </w:tc>
        <w:tc>
          <w:tcPr>
            <w:tcW w:w="1457" w:type="dxa"/>
            <w:tcBorders>
              <w:top w:val="nil"/>
              <w:left w:val="nil"/>
              <w:bottom w:val="nil"/>
              <w:right w:val="nil"/>
            </w:tcBorders>
            <w:vAlign w:val="center"/>
          </w:tcPr>
          <w:p w14:paraId="3E838AF7"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D</w:t>
            </w:r>
          </w:p>
        </w:tc>
        <w:tc>
          <w:tcPr>
            <w:tcW w:w="1523" w:type="dxa"/>
            <w:tcBorders>
              <w:top w:val="nil"/>
              <w:left w:val="nil"/>
              <w:bottom w:val="nil"/>
              <w:right w:val="nil"/>
            </w:tcBorders>
            <w:shd w:val="clear" w:color="auto" w:fill="auto"/>
            <w:noWrap/>
            <w:vAlign w:val="center"/>
            <w:hideMark/>
          </w:tcPr>
          <w:p w14:paraId="5776ED19"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4.2</w:t>
            </w:r>
          </w:p>
        </w:tc>
        <w:tc>
          <w:tcPr>
            <w:tcW w:w="895" w:type="dxa"/>
            <w:tcBorders>
              <w:top w:val="nil"/>
              <w:left w:val="nil"/>
              <w:bottom w:val="nil"/>
              <w:right w:val="nil"/>
            </w:tcBorders>
            <w:shd w:val="clear" w:color="auto" w:fill="auto"/>
            <w:noWrap/>
            <w:vAlign w:val="center"/>
            <w:hideMark/>
          </w:tcPr>
          <w:p w14:paraId="0872C5A2"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29</w:t>
            </w:r>
          </w:p>
        </w:tc>
        <w:tc>
          <w:tcPr>
            <w:tcW w:w="1507" w:type="dxa"/>
            <w:tcBorders>
              <w:top w:val="nil"/>
              <w:left w:val="nil"/>
              <w:bottom w:val="nil"/>
              <w:right w:val="nil"/>
            </w:tcBorders>
            <w:shd w:val="clear" w:color="auto" w:fill="auto"/>
            <w:noWrap/>
            <w:vAlign w:val="center"/>
            <w:hideMark/>
          </w:tcPr>
          <w:p w14:paraId="36147A65"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Negative</w:t>
            </w:r>
          </w:p>
        </w:tc>
      </w:tr>
      <w:tr w:rsidR="00C11F21" w:rsidRPr="00C11F21" w14:paraId="35DF78C6" w14:textId="77777777" w:rsidTr="004A4193">
        <w:trPr>
          <w:trHeight w:val="281"/>
          <w:jc w:val="center"/>
        </w:trPr>
        <w:tc>
          <w:tcPr>
            <w:tcW w:w="554" w:type="dxa"/>
            <w:tcBorders>
              <w:top w:val="nil"/>
              <w:left w:val="nil"/>
              <w:bottom w:val="nil"/>
              <w:right w:val="nil"/>
            </w:tcBorders>
            <w:shd w:val="clear" w:color="auto" w:fill="auto"/>
            <w:noWrap/>
            <w:vAlign w:val="center"/>
            <w:hideMark/>
          </w:tcPr>
          <w:p w14:paraId="34557A8A"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4</w:t>
            </w:r>
          </w:p>
        </w:tc>
        <w:tc>
          <w:tcPr>
            <w:tcW w:w="1432" w:type="dxa"/>
            <w:tcBorders>
              <w:top w:val="nil"/>
              <w:left w:val="nil"/>
              <w:bottom w:val="nil"/>
              <w:right w:val="nil"/>
            </w:tcBorders>
            <w:shd w:val="clear" w:color="auto" w:fill="auto"/>
            <w:noWrap/>
            <w:vAlign w:val="center"/>
            <w:hideMark/>
          </w:tcPr>
          <w:p w14:paraId="4E4AC66A"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Male</w:t>
            </w:r>
          </w:p>
        </w:tc>
        <w:tc>
          <w:tcPr>
            <w:tcW w:w="661" w:type="dxa"/>
            <w:tcBorders>
              <w:top w:val="nil"/>
              <w:left w:val="nil"/>
              <w:bottom w:val="nil"/>
              <w:right w:val="nil"/>
            </w:tcBorders>
            <w:vAlign w:val="center"/>
          </w:tcPr>
          <w:p w14:paraId="25AAB8E3"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47</w:t>
            </w:r>
          </w:p>
        </w:tc>
        <w:tc>
          <w:tcPr>
            <w:tcW w:w="1663" w:type="dxa"/>
            <w:tcBorders>
              <w:top w:val="nil"/>
              <w:left w:val="nil"/>
              <w:bottom w:val="nil"/>
              <w:right w:val="nil"/>
            </w:tcBorders>
            <w:shd w:val="clear" w:color="auto" w:fill="auto"/>
            <w:noWrap/>
            <w:vAlign w:val="center"/>
            <w:hideMark/>
          </w:tcPr>
          <w:p w14:paraId="218390EB"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Caucasian</w:t>
            </w:r>
          </w:p>
        </w:tc>
        <w:tc>
          <w:tcPr>
            <w:tcW w:w="1457" w:type="dxa"/>
            <w:tcBorders>
              <w:top w:val="nil"/>
              <w:left w:val="nil"/>
              <w:bottom w:val="nil"/>
              <w:right w:val="nil"/>
            </w:tcBorders>
            <w:vAlign w:val="center"/>
          </w:tcPr>
          <w:p w14:paraId="4F5B408A"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F</w:t>
            </w:r>
          </w:p>
        </w:tc>
        <w:tc>
          <w:tcPr>
            <w:tcW w:w="1523" w:type="dxa"/>
            <w:tcBorders>
              <w:top w:val="nil"/>
              <w:left w:val="nil"/>
              <w:bottom w:val="nil"/>
              <w:right w:val="nil"/>
            </w:tcBorders>
            <w:shd w:val="clear" w:color="auto" w:fill="auto"/>
            <w:noWrap/>
            <w:vAlign w:val="center"/>
            <w:hideMark/>
          </w:tcPr>
          <w:p w14:paraId="7AC7DEAC"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5.8</w:t>
            </w:r>
          </w:p>
        </w:tc>
        <w:tc>
          <w:tcPr>
            <w:tcW w:w="895" w:type="dxa"/>
            <w:tcBorders>
              <w:top w:val="nil"/>
              <w:left w:val="nil"/>
              <w:bottom w:val="nil"/>
              <w:right w:val="nil"/>
            </w:tcBorders>
            <w:shd w:val="clear" w:color="auto" w:fill="auto"/>
            <w:noWrap/>
            <w:vAlign w:val="center"/>
            <w:hideMark/>
          </w:tcPr>
          <w:p w14:paraId="60B665F1"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88</w:t>
            </w:r>
          </w:p>
        </w:tc>
        <w:tc>
          <w:tcPr>
            <w:tcW w:w="1507" w:type="dxa"/>
            <w:tcBorders>
              <w:top w:val="nil"/>
              <w:left w:val="nil"/>
              <w:bottom w:val="nil"/>
              <w:right w:val="nil"/>
            </w:tcBorders>
            <w:shd w:val="clear" w:color="auto" w:fill="auto"/>
            <w:noWrap/>
            <w:vAlign w:val="center"/>
            <w:hideMark/>
          </w:tcPr>
          <w:p w14:paraId="5071B953"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Negative</w:t>
            </w:r>
          </w:p>
        </w:tc>
      </w:tr>
      <w:tr w:rsidR="00C11F21" w:rsidRPr="00C11F21" w14:paraId="44C79640" w14:textId="77777777" w:rsidTr="004A4193">
        <w:trPr>
          <w:trHeight w:val="281"/>
          <w:jc w:val="center"/>
        </w:trPr>
        <w:tc>
          <w:tcPr>
            <w:tcW w:w="554" w:type="dxa"/>
            <w:tcBorders>
              <w:top w:val="nil"/>
              <w:left w:val="nil"/>
              <w:bottom w:val="nil"/>
              <w:right w:val="nil"/>
            </w:tcBorders>
            <w:shd w:val="clear" w:color="auto" w:fill="auto"/>
            <w:noWrap/>
            <w:vAlign w:val="center"/>
            <w:hideMark/>
          </w:tcPr>
          <w:p w14:paraId="592912AE"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5</w:t>
            </w:r>
          </w:p>
        </w:tc>
        <w:tc>
          <w:tcPr>
            <w:tcW w:w="1432" w:type="dxa"/>
            <w:tcBorders>
              <w:top w:val="nil"/>
              <w:left w:val="nil"/>
              <w:bottom w:val="nil"/>
              <w:right w:val="nil"/>
            </w:tcBorders>
            <w:shd w:val="clear" w:color="auto" w:fill="auto"/>
            <w:noWrap/>
            <w:vAlign w:val="center"/>
            <w:hideMark/>
          </w:tcPr>
          <w:p w14:paraId="17BE7362"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Female</w:t>
            </w:r>
          </w:p>
        </w:tc>
        <w:tc>
          <w:tcPr>
            <w:tcW w:w="661" w:type="dxa"/>
            <w:tcBorders>
              <w:top w:val="nil"/>
              <w:left w:val="nil"/>
              <w:bottom w:val="nil"/>
              <w:right w:val="nil"/>
            </w:tcBorders>
            <w:vAlign w:val="center"/>
          </w:tcPr>
          <w:p w14:paraId="005D25BC"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47</w:t>
            </w:r>
          </w:p>
        </w:tc>
        <w:tc>
          <w:tcPr>
            <w:tcW w:w="1663" w:type="dxa"/>
            <w:tcBorders>
              <w:top w:val="nil"/>
              <w:left w:val="nil"/>
              <w:bottom w:val="nil"/>
              <w:right w:val="nil"/>
            </w:tcBorders>
            <w:shd w:val="clear" w:color="auto" w:fill="auto"/>
            <w:noWrap/>
            <w:vAlign w:val="center"/>
            <w:hideMark/>
          </w:tcPr>
          <w:p w14:paraId="107D5A71"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Caucasian</w:t>
            </w:r>
          </w:p>
        </w:tc>
        <w:tc>
          <w:tcPr>
            <w:tcW w:w="1457" w:type="dxa"/>
            <w:tcBorders>
              <w:top w:val="nil"/>
              <w:left w:val="nil"/>
              <w:bottom w:val="nil"/>
              <w:right w:val="nil"/>
            </w:tcBorders>
            <w:vAlign w:val="center"/>
          </w:tcPr>
          <w:p w14:paraId="34035CEC"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D</w:t>
            </w:r>
          </w:p>
        </w:tc>
        <w:tc>
          <w:tcPr>
            <w:tcW w:w="1523" w:type="dxa"/>
            <w:tcBorders>
              <w:top w:val="nil"/>
              <w:left w:val="nil"/>
              <w:bottom w:val="nil"/>
              <w:right w:val="nil"/>
            </w:tcBorders>
            <w:shd w:val="clear" w:color="auto" w:fill="auto"/>
            <w:noWrap/>
            <w:vAlign w:val="center"/>
            <w:hideMark/>
          </w:tcPr>
          <w:p w14:paraId="0010909A"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6.3</w:t>
            </w:r>
          </w:p>
        </w:tc>
        <w:tc>
          <w:tcPr>
            <w:tcW w:w="895" w:type="dxa"/>
            <w:tcBorders>
              <w:top w:val="nil"/>
              <w:left w:val="nil"/>
              <w:bottom w:val="nil"/>
              <w:right w:val="nil"/>
            </w:tcBorders>
            <w:shd w:val="clear" w:color="auto" w:fill="auto"/>
            <w:noWrap/>
            <w:vAlign w:val="center"/>
            <w:hideMark/>
          </w:tcPr>
          <w:p w14:paraId="168818D9"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170</w:t>
            </w:r>
          </w:p>
        </w:tc>
        <w:tc>
          <w:tcPr>
            <w:tcW w:w="1507" w:type="dxa"/>
            <w:tcBorders>
              <w:top w:val="nil"/>
              <w:left w:val="nil"/>
              <w:bottom w:val="nil"/>
              <w:right w:val="nil"/>
            </w:tcBorders>
            <w:shd w:val="clear" w:color="auto" w:fill="auto"/>
            <w:noWrap/>
            <w:vAlign w:val="center"/>
            <w:hideMark/>
          </w:tcPr>
          <w:p w14:paraId="7E2DF972"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Negative</w:t>
            </w:r>
          </w:p>
        </w:tc>
      </w:tr>
      <w:tr w:rsidR="00C11F21" w:rsidRPr="00C11F21" w14:paraId="48764121" w14:textId="77777777" w:rsidTr="004A4193">
        <w:trPr>
          <w:trHeight w:val="281"/>
          <w:jc w:val="center"/>
        </w:trPr>
        <w:tc>
          <w:tcPr>
            <w:tcW w:w="554" w:type="dxa"/>
            <w:tcBorders>
              <w:top w:val="nil"/>
              <w:left w:val="nil"/>
              <w:bottom w:val="nil"/>
              <w:right w:val="nil"/>
            </w:tcBorders>
            <w:shd w:val="clear" w:color="auto" w:fill="auto"/>
            <w:noWrap/>
            <w:vAlign w:val="center"/>
            <w:hideMark/>
          </w:tcPr>
          <w:p w14:paraId="37DBE50D"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6</w:t>
            </w:r>
          </w:p>
        </w:tc>
        <w:tc>
          <w:tcPr>
            <w:tcW w:w="1432" w:type="dxa"/>
            <w:tcBorders>
              <w:top w:val="nil"/>
              <w:left w:val="nil"/>
              <w:bottom w:val="nil"/>
              <w:right w:val="nil"/>
            </w:tcBorders>
            <w:shd w:val="clear" w:color="auto" w:fill="auto"/>
            <w:noWrap/>
            <w:vAlign w:val="center"/>
            <w:hideMark/>
          </w:tcPr>
          <w:p w14:paraId="09EEE85C"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Female</w:t>
            </w:r>
          </w:p>
        </w:tc>
        <w:tc>
          <w:tcPr>
            <w:tcW w:w="661" w:type="dxa"/>
            <w:tcBorders>
              <w:top w:val="nil"/>
              <w:left w:val="nil"/>
              <w:bottom w:val="nil"/>
              <w:right w:val="nil"/>
            </w:tcBorders>
            <w:vAlign w:val="center"/>
          </w:tcPr>
          <w:p w14:paraId="2D54D396"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28</w:t>
            </w:r>
          </w:p>
        </w:tc>
        <w:tc>
          <w:tcPr>
            <w:tcW w:w="1663" w:type="dxa"/>
            <w:tcBorders>
              <w:top w:val="nil"/>
              <w:left w:val="nil"/>
              <w:bottom w:val="nil"/>
              <w:right w:val="nil"/>
            </w:tcBorders>
            <w:shd w:val="clear" w:color="auto" w:fill="auto"/>
            <w:noWrap/>
            <w:vAlign w:val="center"/>
            <w:hideMark/>
          </w:tcPr>
          <w:p w14:paraId="2A45E3E1"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Caucasian</w:t>
            </w:r>
          </w:p>
        </w:tc>
        <w:tc>
          <w:tcPr>
            <w:tcW w:w="1457" w:type="dxa"/>
            <w:tcBorders>
              <w:top w:val="nil"/>
              <w:left w:val="nil"/>
              <w:bottom w:val="nil"/>
              <w:right w:val="nil"/>
            </w:tcBorders>
            <w:vAlign w:val="center"/>
          </w:tcPr>
          <w:p w14:paraId="56440607"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D</w:t>
            </w:r>
          </w:p>
        </w:tc>
        <w:tc>
          <w:tcPr>
            <w:tcW w:w="1523" w:type="dxa"/>
            <w:tcBorders>
              <w:top w:val="nil"/>
              <w:left w:val="nil"/>
              <w:bottom w:val="nil"/>
              <w:right w:val="nil"/>
            </w:tcBorders>
            <w:shd w:val="clear" w:color="auto" w:fill="auto"/>
            <w:noWrap/>
            <w:vAlign w:val="center"/>
            <w:hideMark/>
          </w:tcPr>
          <w:p w14:paraId="0AA82BD7"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5.4</w:t>
            </w:r>
          </w:p>
        </w:tc>
        <w:tc>
          <w:tcPr>
            <w:tcW w:w="895" w:type="dxa"/>
            <w:tcBorders>
              <w:top w:val="nil"/>
              <w:left w:val="nil"/>
              <w:bottom w:val="nil"/>
              <w:right w:val="nil"/>
            </w:tcBorders>
            <w:shd w:val="clear" w:color="auto" w:fill="auto"/>
            <w:noWrap/>
            <w:vAlign w:val="center"/>
            <w:hideMark/>
          </w:tcPr>
          <w:p w14:paraId="70A67CCB"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22</w:t>
            </w:r>
          </w:p>
        </w:tc>
        <w:tc>
          <w:tcPr>
            <w:tcW w:w="1507" w:type="dxa"/>
            <w:tcBorders>
              <w:top w:val="nil"/>
              <w:left w:val="nil"/>
              <w:bottom w:val="nil"/>
              <w:right w:val="nil"/>
            </w:tcBorders>
            <w:shd w:val="clear" w:color="auto" w:fill="auto"/>
            <w:noWrap/>
            <w:vAlign w:val="center"/>
            <w:hideMark/>
          </w:tcPr>
          <w:p w14:paraId="3E0E5F99"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Negative</w:t>
            </w:r>
          </w:p>
        </w:tc>
      </w:tr>
      <w:tr w:rsidR="00C11F21" w:rsidRPr="00C11F21" w14:paraId="7855608E" w14:textId="77777777" w:rsidTr="004A4193">
        <w:trPr>
          <w:trHeight w:val="281"/>
          <w:jc w:val="center"/>
        </w:trPr>
        <w:tc>
          <w:tcPr>
            <w:tcW w:w="554" w:type="dxa"/>
            <w:tcBorders>
              <w:top w:val="nil"/>
              <w:left w:val="nil"/>
              <w:bottom w:val="nil"/>
              <w:right w:val="nil"/>
            </w:tcBorders>
            <w:shd w:val="clear" w:color="auto" w:fill="auto"/>
            <w:noWrap/>
            <w:vAlign w:val="center"/>
            <w:hideMark/>
          </w:tcPr>
          <w:p w14:paraId="7BAD72F0"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7</w:t>
            </w:r>
          </w:p>
        </w:tc>
        <w:tc>
          <w:tcPr>
            <w:tcW w:w="1432" w:type="dxa"/>
            <w:tcBorders>
              <w:top w:val="nil"/>
              <w:left w:val="nil"/>
              <w:bottom w:val="nil"/>
              <w:right w:val="nil"/>
            </w:tcBorders>
            <w:shd w:val="clear" w:color="auto" w:fill="auto"/>
            <w:noWrap/>
            <w:vAlign w:val="center"/>
            <w:hideMark/>
          </w:tcPr>
          <w:p w14:paraId="481F6D3A"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Male</w:t>
            </w:r>
          </w:p>
        </w:tc>
        <w:tc>
          <w:tcPr>
            <w:tcW w:w="661" w:type="dxa"/>
            <w:tcBorders>
              <w:top w:val="nil"/>
              <w:left w:val="nil"/>
              <w:bottom w:val="nil"/>
              <w:right w:val="nil"/>
            </w:tcBorders>
            <w:vAlign w:val="center"/>
          </w:tcPr>
          <w:p w14:paraId="78AE36A3"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28</w:t>
            </w:r>
          </w:p>
        </w:tc>
        <w:tc>
          <w:tcPr>
            <w:tcW w:w="1663" w:type="dxa"/>
            <w:tcBorders>
              <w:top w:val="nil"/>
              <w:left w:val="nil"/>
              <w:bottom w:val="nil"/>
              <w:right w:val="nil"/>
            </w:tcBorders>
            <w:shd w:val="clear" w:color="auto" w:fill="auto"/>
            <w:noWrap/>
            <w:vAlign w:val="center"/>
            <w:hideMark/>
          </w:tcPr>
          <w:p w14:paraId="4E7312FC"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Asian</w:t>
            </w:r>
          </w:p>
        </w:tc>
        <w:tc>
          <w:tcPr>
            <w:tcW w:w="1457" w:type="dxa"/>
            <w:tcBorders>
              <w:top w:val="nil"/>
              <w:left w:val="nil"/>
              <w:bottom w:val="nil"/>
              <w:right w:val="nil"/>
            </w:tcBorders>
            <w:vAlign w:val="center"/>
          </w:tcPr>
          <w:p w14:paraId="2FAC2C7B"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C</w:t>
            </w:r>
          </w:p>
        </w:tc>
        <w:tc>
          <w:tcPr>
            <w:tcW w:w="1523" w:type="dxa"/>
            <w:tcBorders>
              <w:top w:val="nil"/>
              <w:left w:val="nil"/>
              <w:bottom w:val="nil"/>
              <w:right w:val="nil"/>
            </w:tcBorders>
            <w:shd w:val="clear" w:color="auto" w:fill="auto"/>
            <w:noWrap/>
            <w:vAlign w:val="center"/>
            <w:hideMark/>
          </w:tcPr>
          <w:p w14:paraId="7B3349D7" w14:textId="27DED0E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&gt;</w:t>
            </w:r>
            <w:r w:rsidR="004A4193" w:rsidRPr="00C11F21">
              <w:rPr>
                <w:rFonts w:ascii="Book Antiqua" w:hAnsi="Book Antiqua" w:cstheme="minorHAnsi" w:hint="eastAsia"/>
                <w:sz w:val="24"/>
                <w:szCs w:val="24"/>
                <w:lang w:val="en-US" w:eastAsia="zh-CN"/>
              </w:rPr>
              <w:t xml:space="preserve"> </w:t>
            </w:r>
            <w:r w:rsidRPr="00C11F21">
              <w:rPr>
                <w:rFonts w:ascii="Book Antiqua" w:eastAsia="Times New Roman" w:hAnsi="Book Antiqua" w:cstheme="minorHAnsi"/>
                <w:sz w:val="24"/>
                <w:szCs w:val="24"/>
                <w:lang w:val="en-US" w:eastAsia="es-ES"/>
              </w:rPr>
              <w:t>8</w:t>
            </w:r>
          </w:p>
        </w:tc>
        <w:tc>
          <w:tcPr>
            <w:tcW w:w="895" w:type="dxa"/>
            <w:tcBorders>
              <w:top w:val="nil"/>
              <w:left w:val="nil"/>
              <w:bottom w:val="nil"/>
              <w:right w:val="nil"/>
            </w:tcBorders>
            <w:shd w:val="clear" w:color="auto" w:fill="auto"/>
            <w:noWrap/>
            <w:vAlign w:val="center"/>
            <w:hideMark/>
          </w:tcPr>
          <w:p w14:paraId="79A4B12B"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94</w:t>
            </w:r>
          </w:p>
        </w:tc>
        <w:tc>
          <w:tcPr>
            <w:tcW w:w="1507" w:type="dxa"/>
            <w:tcBorders>
              <w:top w:val="nil"/>
              <w:left w:val="nil"/>
              <w:bottom w:val="nil"/>
              <w:right w:val="nil"/>
            </w:tcBorders>
            <w:shd w:val="clear" w:color="auto" w:fill="auto"/>
            <w:noWrap/>
            <w:vAlign w:val="center"/>
            <w:hideMark/>
          </w:tcPr>
          <w:p w14:paraId="3E2DA666"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Positive</w:t>
            </w:r>
          </w:p>
        </w:tc>
      </w:tr>
      <w:tr w:rsidR="00C11F21" w:rsidRPr="00C11F21" w14:paraId="1F5E0D02" w14:textId="77777777" w:rsidTr="004A4193">
        <w:trPr>
          <w:trHeight w:val="281"/>
          <w:jc w:val="center"/>
        </w:trPr>
        <w:tc>
          <w:tcPr>
            <w:tcW w:w="554" w:type="dxa"/>
            <w:tcBorders>
              <w:top w:val="nil"/>
              <w:left w:val="nil"/>
              <w:bottom w:val="nil"/>
              <w:right w:val="nil"/>
            </w:tcBorders>
            <w:shd w:val="clear" w:color="auto" w:fill="auto"/>
            <w:noWrap/>
            <w:vAlign w:val="center"/>
            <w:hideMark/>
          </w:tcPr>
          <w:p w14:paraId="7E662F0E"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8</w:t>
            </w:r>
          </w:p>
        </w:tc>
        <w:tc>
          <w:tcPr>
            <w:tcW w:w="1432" w:type="dxa"/>
            <w:tcBorders>
              <w:top w:val="nil"/>
              <w:left w:val="nil"/>
              <w:bottom w:val="nil"/>
              <w:right w:val="nil"/>
            </w:tcBorders>
            <w:shd w:val="clear" w:color="auto" w:fill="auto"/>
            <w:noWrap/>
            <w:vAlign w:val="center"/>
            <w:hideMark/>
          </w:tcPr>
          <w:p w14:paraId="31281583"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Female</w:t>
            </w:r>
          </w:p>
        </w:tc>
        <w:tc>
          <w:tcPr>
            <w:tcW w:w="661" w:type="dxa"/>
            <w:tcBorders>
              <w:top w:val="nil"/>
              <w:left w:val="nil"/>
              <w:bottom w:val="nil"/>
              <w:right w:val="nil"/>
            </w:tcBorders>
            <w:vAlign w:val="center"/>
          </w:tcPr>
          <w:p w14:paraId="69CE0BF1"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41</w:t>
            </w:r>
          </w:p>
        </w:tc>
        <w:tc>
          <w:tcPr>
            <w:tcW w:w="1663" w:type="dxa"/>
            <w:tcBorders>
              <w:top w:val="nil"/>
              <w:left w:val="nil"/>
              <w:bottom w:val="nil"/>
              <w:right w:val="nil"/>
            </w:tcBorders>
            <w:shd w:val="clear" w:color="auto" w:fill="auto"/>
            <w:noWrap/>
            <w:vAlign w:val="center"/>
            <w:hideMark/>
          </w:tcPr>
          <w:p w14:paraId="20AD1616"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Caucasian</w:t>
            </w:r>
          </w:p>
        </w:tc>
        <w:tc>
          <w:tcPr>
            <w:tcW w:w="1457" w:type="dxa"/>
            <w:tcBorders>
              <w:top w:val="nil"/>
              <w:left w:val="nil"/>
              <w:bottom w:val="nil"/>
              <w:right w:val="nil"/>
            </w:tcBorders>
            <w:vAlign w:val="center"/>
          </w:tcPr>
          <w:p w14:paraId="2B35154C"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A</w:t>
            </w:r>
          </w:p>
        </w:tc>
        <w:tc>
          <w:tcPr>
            <w:tcW w:w="1523" w:type="dxa"/>
            <w:tcBorders>
              <w:top w:val="nil"/>
              <w:left w:val="nil"/>
              <w:bottom w:val="nil"/>
              <w:right w:val="nil"/>
            </w:tcBorders>
            <w:shd w:val="clear" w:color="auto" w:fill="auto"/>
            <w:noWrap/>
            <w:vAlign w:val="center"/>
            <w:hideMark/>
          </w:tcPr>
          <w:p w14:paraId="2E7ECD24"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4.7</w:t>
            </w:r>
          </w:p>
        </w:tc>
        <w:tc>
          <w:tcPr>
            <w:tcW w:w="895" w:type="dxa"/>
            <w:tcBorders>
              <w:top w:val="nil"/>
              <w:left w:val="nil"/>
              <w:bottom w:val="nil"/>
              <w:right w:val="nil"/>
            </w:tcBorders>
            <w:shd w:val="clear" w:color="auto" w:fill="auto"/>
            <w:noWrap/>
            <w:vAlign w:val="center"/>
            <w:hideMark/>
          </w:tcPr>
          <w:p w14:paraId="5190B153"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18</w:t>
            </w:r>
          </w:p>
        </w:tc>
        <w:tc>
          <w:tcPr>
            <w:tcW w:w="1507" w:type="dxa"/>
            <w:tcBorders>
              <w:top w:val="nil"/>
              <w:left w:val="nil"/>
              <w:bottom w:val="nil"/>
              <w:right w:val="nil"/>
            </w:tcBorders>
            <w:shd w:val="clear" w:color="auto" w:fill="auto"/>
            <w:noWrap/>
            <w:vAlign w:val="center"/>
            <w:hideMark/>
          </w:tcPr>
          <w:p w14:paraId="36EF8F6D"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Negative</w:t>
            </w:r>
          </w:p>
        </w:tc>
      </w:tr>
      <w:tr w:rsidR="00C11F21" w:rsidRPr="00C11F21" w14:paraId="77AC7811" w14:textId="77777777" w:rsidTr="004A4193">
        <w:trPr>
          <w:trHeight w:val="281"/>
          <w:jc w:val="center"/>
        </w:trPr>
        <w:tc>
          <w:tcPr>
            <w:tcW w:w="554" w:type="dxa"/>
            <w:tcBorders>
              <w:top w:val="nil"/>
              <w:left w:val="nil"/>
              <w:bottom w:val="nil"/>
              <w:right w:val="nil"/>
            </w:tcBorders>
            <w:shd w:val="clear" w:color="auto" w:fill="auto"/>
            <w:noWrap/>
            <w:vAlign w:val="center"/>
            <w:hideMark/>
          </w:tcPr>
          <w:p w14:paraId="7625D958"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9</w:t>
            </w:r>
          </w:p>
        </w:tc>
        <w:tc>
          <w:tcPr>
            <w:tcW w:w="1432" w:type="dxa"/>
            <w:tcBorders>
              <w:top w:val="nil"/>
              <w:left w:val="nil"/>
              <w:bottom w:val="nil"/>
              <w:right w:val="nil"/>
            </w:tcBorders>
            <w:shd w:val="clear" w:color="auto" w:fill="auto"/>
            <w:noWrap/>
            <w:vAlign w:val="center"/>
            <w:hideMark/>
          </w:tcPr>
          <w:p w14:paraId="250FFA15"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Male</w:t>
            </w:r>
          </w:p>
        </w:tc>
        <w:tc>
          <w:tcPr>
            <w:tcW w:w="661" w:type="dxa"/>
            <w:tcBorders>
              <w:top w:val="nil"/>
              <w:left w:val="nil"/>
              <w:bottom w:val="nil"/>
              <w:right w:val="nil"/>
            </w:tcBorders>
            <w:vAlign w:val="center"/>
          </w:tcPr>
          <w:p w14:paraId="70F9CDDE"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39</w:t>
            </w:r>
          </w:p>
        </w:tc>
        <w:tc>
          <w:tcPr>
            <w:tcW w:w="1663" w:type="dxa"/>
            <w:tcBorders>
              <w:top w:val="nil"/>
              <w:left w:val="nil"/>
              <w:bottom w:val="nil"/>
              <w:right w:val="nil"/>
            </w:tcBorders>
            <w:shd w:val="clear" w:color="auto" w:fill="auto"/>
            <w:noWrap/>
            <w:vAlign w:val="center"/>
            <w:hideMark/>
          </w:tcPr>
          <w:p w14:paraId="3A5BC079"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Caucasian</w:t>
            </w:r>
          </w:p>
        </w:tc>
        <w:tc>
          <w:tcPr>
            <w:tcW w:w="1457" w:type="dxa"/>
            <w:tcBorders>
              <w:top w:val="nil"/>
              <w:left w:val="nil"/>
              <w:bottom w:val="nil"/>
              <w:right w:val="nil"/>
            </w:tcBorders>
            <w:vAlign w:val="center"/>
          </w:tcPr>
          <w:p w14:paraId="6CF3C17D"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D</w:t>
            </w:r>
          </w:p>
        </w:tc>
        <w:tc>
          <w:tcPr>
            <w:tcW w:w="1523" w:type="dxa"/>
            <w:tcBorders>
              <w:top w:val="nil"/>
              <w:left w:val="nil"/>
              <w:bottom w:val="nil"/>
              <w:right w:val="nil"/>
            </w:tcBorders>
            <w:shd w:val="clear" w:color="auto" w:fill="auto"/>
            <w:noWrap/>
            <w:vAlign w:val="center"/>
            <w:hideMark/>
          </w:tcPr>
          <w:p w14:paraId="5E52C8F3"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5.0</w:t>
            </w:r>
          </w:p>
        </w:tc>
        <w:tc>
          <w:tcPr>
            <w:tcW w:w="895" w:type="dxa"/>
            <w:tcBorders>
              <w:top w:val="nil"/>
              <w:left w:val="nil"/>
              <w:bottom w:val="nil"/>
              <w:right w:val="nil"/>
            </w:tcBorders>
            <w:shd w:val="clear" w:color="auto" w:fill="auto"/>
            <w:noWrap/>
            <w:vAlign w:val="center"/>
            <w:hideMark/>
          </w:tcPr>
          <w:p w14:paraId="28F40BE3"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29</w:t>
            </w:r>
          </w:p>
        </w:tc>
        <w:tc>
          <w:tcPr>
            <w:tcW w:w="1507" w:type="dxa"/>
            <w:tcBorders>
              <w:top w:val="nil"/>
              <w:left w:val="nil"/>
              <w:bottom w:val="nil"/>
              <w:right w:val="nil"/>
            </w:tcBorders>
            <w:shd w:val="clear" w:color="auto" w:fill="auto"/>
            <w:noWrap/>
            <w:vAlign w:val="center"/>
            <w:hideMark/>
          </w:tcPr>
          <w:p w14:paraId="3578D5BD"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Negative</w:t>
            </w:r>
          </w:p>
        </w:tc>
      </w:tr>
      <w:tr w:rsidR="00C11F21" w:rsidRPr="00C11F21" w14:paraId="3CF5D394" w14:textId="77777777" w:rsidTr="004A4193">
        <w:trPr>
          <w:trHeight w:val="281"/>
          <w:jc w:val="center"/>
        </w:trPr>
        <w:tc>
          <w:tcPr>
            <w:tcW w:w="554" w:type="dxa"/>
            <w:tcBorders>
              <w:top w:val="nil"/>
              <w:left w:val="nil"/>
              <w:bottom w:val="nil"/>
              <w:right w:val="nil"/>
            </w:tcBorders>
            <w:shd w:val="clear" w:color="auto" w:fill="auto"/>
            <w:noWrap/>
            <w:vAlign w:val="center"/>
            <w:hideMark/>
          </w:tcPr>
          <w:p w14:paraId="2E871E29"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10</w:t>
            </w:r>
          </w:p>
        </w:tc>
        <w:tc>
          <w:tcPr>
            <w:tcW w:w="1432" w:type="dxa"/>
            <w:tcBorders>
              <w:top w:val="nil"/>
              <w:left w:val="nil"/>
              <w:bottom w:val="nil"/>
              <w:right w:val="nil"/>
            </w:tcBorders>
            <w:shd w:val="clear" w:color="auto" w:fill="auto"/>
            <w:noWrap/>
            <w:vAlign w:val="center"/>
            <w:hideMark/>
          </w:tcPr>
          <w:p w14:paraId="109CD9A6"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Male</w:t>
            </w:r>
          </w:p>
        </w:tc>
        <w:tc>
          <w:tcPr>
            <w:tcW w:w="661" w:type="dxa"/>
            <w:tcBorders>
              <w:top w:val="nil"/>
              <w:left w:val="nil"/>
              <w:bottom w:val="nil"/>
              <w:right w:val="nil"/>
            </w:tcBorders>
            <w:vAlign w:val="center"/>
          </w:tcPr>
          <w:p w14:paraId="6C56651B"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45</w:t>
            </w:r>
          </w:p>
        </w:tc>
        <w:tc>
          <w:tcPr>
            <w:tcW w:w="1663" w:type="dxa"/>
            <w:tcBorders>
              <w:top w:val="nil"/>
              <w:left w:val="nil"/>
              <w:bottom w:val="nil"/>
              <w:right w:val="nil"/>
            </w:tcBorders>
            <w:shd w:val="clear" w:color="auto" w:fill="auto"/>
            <w:noWrap/>
            <w:vAlign w:val="center"/>
            <w:hideMark/>
          </w:tcPr>
          <w:p w14:paraId="4971B8AA"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Caucasian</w:t>
            </w:r>
          </w:p>
        </w:tc>
        <w:tc>
          <w:tcPr>
            <w:tcW w:w="1457" w:type="dxa"/>
            <w:tcBorders>
              <w:top w:val="nil"/>
              <w:left w:val="nil"/>
              <w:bottom w:val="nil"/>
              <w:right w:val="nil"/>
            </w:tcBorders>
            <w:vAlign w:val="center"/>
          </w:tcPr>
          <w:p w14:paraId="2AC63557"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F</w:t>
            </w:r>
          </w:p>
        </w:tc>
        <w:tc>
          <w:tcPr>
            <w:tcW w:w="1523" w:type="dxa"/>
            <w:tcBorders>
              <w:top w:val="nil"/>
              <w:left w:val="nil"/>
              <w:bottom w:val="nil"/>
              <w:right w:val="nil"/>
            </w:tcBorders>
            <w:shd w:val="clear" w:color="auto" w:fill="auto"/>
            <w:noWrap/>
            <w:vAlign w:val="center"/>
            <w:hideMark/>
          </w:tcPr>
          <w:p w14:paraId="10F90D72" w14:textId="6B112A5E" w:rsidR="005C659B" w:rsidRPr="00C11F21" w:rsidRDefault="005C659B" w:rsidP="00181C2F">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&gt;</w:t>
            </w:r>
            <w:r w:rsidR="00181C2F">
              <w:rPr>
                <w:rFonts w:ascii="Book Antiqua" w:hAnsi="Book Antiqua" w:cstheme="minorHAnsi" w:hint="eastAsia"/>
                <w:sz w:val="24"/>
                <w:szCs w:val="24"/>
                <w:lang w:val="en-US" w:eastAsia="zh-CN"/>
              </w:rPr>
              <w:t xml:space="preserve"> </w:t>
            </w:r>
            <w:r w:rsidRPr="00C11F21">
              <w:rPr>
                <w:rFonts w:ascii="Book Antiqua" w:eastAsia="Times New Roman" w:hAnsi="Book Antiqua" w:cstheme="minorHAnsi"/>
                <w:sz w:val="24"/>
                <w:szCs w:val="24"/>
                <w:lang w:val="en-US" w:eastAsia="es-ES"/>
              </w:rPr>
              <w:t>8</w:t>
            </w:r>
          </w:p>
        </w:tc>
        <w:tc>
          <w:tcPr>
            <w:tcW w:w="895" w:type="dxa"/>
            <w:tcBorders>
              <w:top w:val="nil"/>
              <w:left w:val="nil"/>
              <w:bottom w:val="nil"/>
              <w:right w:val="nil"/>
            </w:tcBorders>
            <w:shd w:val="clear" w:color="auto" w:fill="auto"/>
            <w:noWrap/>
            <w:vAlign w:val="center"/>
            <w:hideMark/>
          </w:tcPr>
          <w:p w14:paraId="3D8582CA"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51</w:t>
            </w:r>
          </w:p>
        </w:tc>
        <w:tc>
          <w:tcPr>
            <w:tcW w:w="1507" w:type="dxa"/>
            <w:tcBorders>
              <w:top w:val="nil"/>
              <w:left w:val="nil"/>
              <w:bottom w:val="nil"/>
              <w:right w:val="nil"/>
            </w:tcBorders>
            <w:shd w:val="clear" w:color="auto" w:fill="auto"/>
            <w:noWrap/>
            <w:vAlign w:val="center"/>
            <w:hideMark/>
          </w:tcPr>
          <w:p w14:paraId="45F757F3"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Positive</w:t>
            </w:r>
          </w:p>
        </w:tc>
      </w:tr>
      <w:tr w:rsidR="00C11F21" w:rsidRPr="00C11F21" w14:paraId="0EA4724C" w14:textId="77777777" w:rsidTr="004A4193">
        <w:trPr>
          <w:trHeight w:val="281"/>
          <w:jc w:val="center"/>
        </w:trPr>
        <w:tc>
          <w:tcPr>
            <w:tcW w:w="554" w:type="dxa"/>
            <w:tcBorders>
              <w:top w:val="nil"/>
              <w:left w:val="nil"/>
              <w:bottom w:val="nil"/>
              <w:right w:val="nil"/>
            </w:tcBorders>
            <w:shd w:val="clear" w:color="auto" w:fill="auto"/>
            <w:noWrap/>
            <w:vAlign w:val="center"/>
            <w:hideMark/>
          </w:tcPr>
          <w:p w14:paraId="3DC2A77D"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11</w:t>
            </w:r>
          </w:p>
        </w:tc>
        <w:tc>
          <w:tcPr>
            <w:tcW w:w="1432" w:type="dxa"/>
            <w:tcBorders>
              <w:top w:val="nil"/>
              <w:left w:val="nil"/>
              <w:bottom w:val="nil"/>
              <w:right w:val="nil"/>
            </w:tcBorders>
            <w:shd w:val="clear" w:color="auto" w:fill="auto"/>
            <w:noWrap/>
            <w:vAlign w:val="center"/>
            <w:hideMark/>
          </w:tcPr>
          <w:p w14:paraId="6FA02E44"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Female</w:t>
            </w:r>
          </w:p>
        </w:tc>
        <w:tc>
          <w:tcPr>
            <w:tcW w:w="661" w:type="dxa"/>
            <w:tcBorders>
              <w:top w:val="nil"/>
              <w:left w:val="nil"/>
              <w:bottom w:val="nil"/>
              <w:right w:val="nil"/>
            </w:tcBorders>
            <w:vAlign w:val="center"/>
          </w:tcPr>
          <w:p w14:paraId="6F1BC7F5"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35</w:t>
            </w:r>
          </w:p>
        </w:tc>
        <w:tc>
          <w:tcPr>
            <w:tcW w:w="1663" w:type="dxa"/>
            <w:tcBorders>
              <w:top w:val="nil"/>
              <w:left w:val="nil"/>
              <w:bottom w:val="nil"/>
              <w:right w:val="nil"/>
            </w:tcBorders>
            <w:shd w:val="clear" w:color="auto" w:fill="auto"/>
            <w:noWrap/>
            <w:vAlign w:val="center"/>
            <w:hideMark/>
          </w:tcPr>
          <w:p w14:paraId="17D2F984"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Asian</w:t>
            </w:r>
          </w:p>
        </w:tc>
        <w:tc>
          <w:tcPr>
            <w:tcW w:w="1457" w:type="dxa"/>
            <w:tcBorders>
              <w:top w:val="nil"/>
              <w:left w:val="nil"/>
              <w:bottom w:val="nil"/>
              <w:right w:val="nil"/>
            </w:tcBorders>
            <w:vAlign w:val="center"/>
          </w:tcPr>
          <w:p w14:paraId="13BB0C01"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C</w:t>
            </w:r>
          </w:p>
        </w:tc>
        <w:tc>
          <w:tcPr>
            <w:tcW w:w="1523" w:type="dxa"/>
            <w:tcBorders>
              <w:top w:val="nil"/>
              <w:left w:val="nil"/>
              <w:bottom w:val="nil"/>
              <w:right w:val="nil"/>
            </w:tcBorders>
            <w:shd w:val="clear" w:color="auto" w:fill="auto"/>
            <w:noWrap/>
            <w:vAlign w:val="center"/>
            <w:hideMark/>
          </w:tcPr>
          <w:p w14:paraId="09C84E0B" w14:textId="0448B284"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&gt;</w:t>
            </w:r>
            <w:r w:rsidR="004A4193" w:rsidRPr="00C11F21">
              <w:rPr>
                <w:rFonts w:ascii="Book Antiqua" w:hAnsi="Book Antiqua" w:cstheme="minorHAnsi" w:hint="eastAsia"/>
                <w:sz w:val="24"/>
                <w:szCs w:val="24"/>
                <w:lang w:val="en-US" w:eastAsia="zh-CN"/>
              </w:rPr>
              <w:t xml:space="preserve"> </w:t>
            </w:r>
            <w:r w:rsidRPr="00C11F21">
              <w:rPr>
                <w:rFonts w:ascii="Book Antiqua" w:eastAsia="Times New Roman" w:hAnsi="Book Antiqua" w:cstheme="minorHAnsi"/>
                <w:sz w:val="24"/>
                <w:szCs w:val="24"/>
                <w:lang w:val="en-US" w:eastAsia="es-ES"/>
              </w:rPr>
              <w:t>8</w:t>
            </w:r>
          </w:p>
        </w:tc>
        <w:tc>
          <w:tcPr>
            <w:tcW w:w="895" w:type="dxa"/>
            <w:tcBorders>
              <w:top w:val="nil"/>
              <w:left w:val="nil"/>
              <w:bottom w:val="nil"/>
              <w:right w:val="nil"/>
            </w:tcBorders>
            <w:shd w:val="clear" w:color="auto" w:fill="auto"/>
            <w:noWrap/>
            <w:vAlign w:val="center"/>
            <w:hideMark/>
          </w:tcPr>
          <w:p w14:paraId="6466C101"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56</w:t>
            </w:r>
          </w:p>
        </w:tc>
        <w:tc>
          <w:tcPr>
            <w:tcW w:w="1507" w:type="dxa"/>
            <w:tcBorders>
              <w:top w:val="nil"/>
              <w:left w:val="nil"/>
              <w:bottom w:val="nil"/>
              <w:right w:val="nil"/>
            </w:tcBorders>
            <w:shd w:val="clear" w:color="auto" w:fill="auto"/>
            <w:noWrap/>
            <w:vAlign w:val="center"/>
            <w:hideMark/>
          </w:tcPr>
          <w:p w14:paraId="5507285E"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Positive</w:t>
            </w:r>
          </w:p>
        </w:tc>
      </w:tr>
      <w:tr w:rsidR="00C11F21" w:rsidRPr="00C11F21" w14:paraId="59C9F6A7" w14:textId="77777777" w:rsidTr="004A4193">
        <w:trPr>
          <w:trHeight w:val="281"/>
          <w:jc w:val="center"/>
        </w:trPr>
        <w:tc>
          <w:tcPr>
            <w:tcW w:w="554" w:type="dxa"/>
            <w:tcBorders>
              <w:top w:val="nil"/>
              <w:left w:val="nil"/>
              <w:bottom w:val="nil"/>
              <w:right w:val="nil"/>
            </w:tcBorders>
            <w:shd w:val="clear" w:color="auto" w:fill="auto"/>
            <w:noWrap/>
            <w:vAlign w:val="center"/>
            <w:hideMark/>
          </w:tcPr>
          <w:p w14:paraId="55C18069"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12</w:t>
            </w:r>
          </w:p>
        </w:tc>
        <w:tc>
          <w:tcPr>
            <w:tcW w:w="1432" w:type="dxa"/>
            <w:tcBorders>
              <w:top w:val="nil"/>
              <w:left w:val="nil"/>
              <w:bottom w:val="nil"/>
              <w:right w:val="nil"/>
            </w:tcBorders>
            <w:shd w:val="clear" w:color="auto" w:fill="auto"/>
            <w:noWrap/>
            <w:vAlign w:val="center"/>
            <w:hideMark/>
          </w:tcPr>
          <w:p w14:paraId="7B681BD3"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Female</w:t>
            </w:r>
          </w:p>
        </w:tc>
        <w:tc>
          <w:tcPr>
            <w:tcW w:w="661" w:type="dxa"/>
            <w:tcBorders>
              <w:top w:val="nil"/>
              <w:left w:val="nil"/>
              <w:bottom w:val="nil"/>
              <w:right w:val="nil"/>
            </w:tcBorders>
            <w:vAlign w:val="center"/>
          </w:tcPr>
          <w:p w14:paraId="64006C21"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46</w:t>
            </w:r>
          </w:p>
        </w:tc>
        <w:tc>
          <w:tcPr>
            <w:tcW w:w="1663" w:type="dxa"/>
            <w:tcBorders>
              <w:top w:val="nil"/>
              <w:left w:val="nil"/>
              <w:bottom w:val="nil"/>
              <w:right w:val="nil"/>
            </w:tcBorders>
            <w:shd w:val="clear" w:color="auto" w:fill="auto"/>
            <w:noWrap/>
            <w:vAlign w:val="center"/>
            <w:hideMark/>
          </w:tcPr>
          <w:p w14:paraId="7F411F34"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Caucasian</w:t>
            </w:r>
          </w:p>
        </w:tc>
        <w:tc>
          <w:tcPr>
            <w:tcW w:w="1457" w:type="dxa"/>
            <w:tcBorders>
              <w:top w:val="nil"/>
              <w:left w:val="nil"/>
              <w:bottom w:val="nil"/>
              <w:right w:val="nil"/>
            </w:tcBorders>
            <w:vAlign w:val="center"/>
          </w:tcPr>
          <w:p w14:paraId="0056F958"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H</w:t>
            </w:r>
          </w:p>
        </w:tc>
        <w:tc>
          <w:tcPr>
            <w:tcW w:w="1523" w:type="dxa"/>
            <w:tcBorders>
              <w:top w:val="nil"/>
              <w:left w:val="nil"/>
              <w:bottom w:val="nil"/>
              <w:right w:val="nil"/>
            </w:tcBorders>
            <w:shd w:val="clear" w:color="auto" w:fill="auto"/>
            <w:noWrap/>
            <w:vAlign w:val="center"/>
            <w:hideMark/>
          </w:tcPr>
          <w:p w14:paraId="23A8445E"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5.3</w:t>
            </w:r>
          </w:p>
        </w:tc>
        <w:tc>
          <w:tcPr>
            <w:tcW w:w="895" w:type="dxa"/>
            <w:tcBorders>
              <w:top w:val="nil"/>
              <w:left w:val="nil"/>
              <w:bottom w:val="nil"/>
              <w:right w:val="nil"/>
            </w:tcBorders>
            <w:shd w:val="clear" w:color="auto" w:fill="auto"/>
            <w:noWrap/>
            <w:vAlign w:val="center"/>
            <w:hideMark/>
          </w:tcPr>
          <w:p w14:paraId="095381C0"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23</w:t>
            </w:r>
          </w:p>
        </w:tc>
        <w:tc>
          <w:tcPr>
            <w:tcW w:w="1507" w:type="dxa"/>
            <w:tcBorders>
              <w:top w:val="nil"/>
              <w:left w:val="nil"/>
              <w:bottom w:val="nil"/>
              <w:right w:val="nil"/>
            </w:tcBorders>
            <w:shd w:val="clear" w:color="auto" w:fill="auto"/>
            <w:noWrap/>
            <w:vAlign w:val="center"/>
            <w:hideMark/>
          </w:tcPr>
          <w:p w14:paraId="63A55C11"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Negative</w:t>
            </w:r>
          </w:p>
        </w:tc>
      </w:tr>
      <w:tr w:rsidR="00C11F21" w:rsidRPr="00C11F21" w14:paraId="49AE254F" w14:textId="77777777" w:rsidTr="004A4193">
        <w:trPr>
          <w:trHeight w:val="281"/>
          <w:jc w:val="center"/>
        </w:trPr>
        <w:tc>
          <w:tcPr>
            <w:tcW w:w="554" w:type="dxa"/>
            <w:tcBorders>
              <w:top w:val="nil"/>
              <w:left w:val="nil"/>
              <w:bottom w:val="nil"/>
              <w:right w:val="nil"/>
            </w:tcBorders>
            <w:shd w:val="clear" w:color="auto" w:fill="auto"/>
            <w:noWrap/>
            <w:vAlign w:val="center"/>
            <w:hideMark/>
          </w:tcPr>
          <w:p w14:paraId="340855E3"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13</w:t>
            </w:r>
          </w:p>
        </w:tc>
        <w:tc>
          <w:tcPr>
            <w:tcW w:w="1432" w:type="dxa"/>
            <w:tcBorders>
              <w:top w:val="nil"/>
              <w:left w:val="nil"/>
              <w:bottom w:val="nil"/>
              <w:right w:val="nil"/>
            </w:tcBorders>
            <w:shd w:val="clear" w:color="auto" w:fill="auto"/>
            <w:noWrap/>
            <w:vAlign w:val="center"/>
            <w:hideMark/>
          </w:tcPr>
          <w:p w14:paraId="3ED3AA8D"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Male</w:t>
            </w:r>
          </w:p>
        </w:tc>
        <w:tc>
          <w:tcPr>
            <w:tcW w:w="661" w:type="dxa"/>
            <w:tcBorders>
              <w:top w:val="nil"/>
              <w:left w:val="nil"/>
              <w:bottom w:val="nil"/>
              <w:right w:val="nil"/>
            </w:tcBorders>
            <w:vAlign w:val="center"/>
          </w:tcPr>
          <w:p w14:paraId="5942A8D4"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37</w:t>
            </w:r>
          </w:p>
        </w:tc>
        <w:tc>
          <w:tcPr>
            <w:tcW w:w="1663" w:type="dxa"/>
            <w:tcBorders>
              <w:top w:val="nil"/>
              <w:left w:val="nil"/>
              <w:bottom w:val="nil"/>
              <w:right w:val="nil"/>
            </w:tcBorders>
            <w:shd w:val="clear" w:color="auto" w:fill="auto"/>
            <w:noWrap/>
            <w:vAlign w:val="center"/>
            <w:hideMark/>
          </w:tcPr>
          <w:p w14:paraId="6D53C366" w14:textId="77777777" w:rsidR="005C659B" w:rsidRPr="00C11F21" w:rsidRDefault="00FE2B8E"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Sub-Saharan</w:t>
            </w:r>
          </w:p>
        </w:tc>
        <w:tc>
          <w:tcPr>
            <w:tcW w:w="1457" w:type="dxa"/>
            <w:tcBorders>
              <w:top w:val="nil"/>
              <w:left w:val="nil"/>
              <w:bottom w:val="nil"/>
              <w:right w:val="nil"/>
            </w:tcBorders>
            <w:vAlign w:val="center"/>
          </w:tcPr>
          <w:p w14:paraId="417C1FF5"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E</w:t>
            </w:r>
          </w:p>
        </w:tc>
        <w:tc>
          <w:tcPr>
            <w:tcW w:w="1523" w:type="dxa"/>
            <w:tcBorders>
              <w:top w:val="nil"/>
              <w:left w:val="nil"/>
              <w:bottom w:val="nil"/>
              <w:right w:val="nil"/>
            </w:tcBorders>
            <w:shd w:val="clear" w:color="auto" w:fill="auto"/>
            <w:noWrap/>
            <w:vAlign w:val="center"/>
            <w:hideMark/>
          </w:tcPr>
          <w:p w14:paraId="51E2D63D"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4.3</w:t>
            </w:r>
          </w:p>
        </w:tc>
        <w:tc>
          <w:tcPr>
            <w:tcW w:w="895" w:type="dxa"/>
            <w:tcBorders>
              <w:top w:val="nil"/>
              <w:left w:val="nil"/>
              <w:bottom w:val="nil"/>
              <w:right w:val="nil"/>
            </w:tcBorders>
            <w:shd w:val="clear" w:color="auto" w:fill="auto"/>
            <w:noWrap/>
            <w:vAlign w:val="center"/>
            <w:hideMark/>
          </w:tcPr>
          <w:p w14:paraId="0641D302"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37</w:t>
            </w:r>
          </w:p>
        </w:tc>
        <w:tc>
          <w:tcPr>
            <w:tcW w:w="1507" w:type="dxa"/>
            <w:tcBorders>
              <w:top w:val="nil"/>
              <w:left w:val="nil"/>
              <w:bottom w:val="nil"/>
              <w:right w:val="nil"/>
            </w:tcBorders>
            <w:shd w:val="clear" w:color="auto" w:fill="auto"/>
            <w:noWrap/>
            <w:vAlign w:val="center"/>
            <w:hideMark/>
          </w:tcPr>
          <w:p w14:paraId="264895F8"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Negative</w:t>
            </w:r>
          </w:p>
        </w:tc>
      </w:tr>
      <w:tr w:rsidR="00C11F21" w:rsidRPr="00C11F21" w14:paraId="453093F4" w14:textId="77777777" w:rsidTr="004A4193">
        <w:trPr>
          <w:trHeight w:val="281"/>
          <w:jc w:val="center"/>
        </w:trPr>
        <w:tc>
          <w:tcPr>
            <w:tcW w:w="554" w:type="dxa"/>
            <w:tcBorders>
              <w:top w:val="nil"/>
              <w:left w:val="nil"/>
              <w:bottom w:val="nil"/>
              <w:right w:val="nil"/>
            </w:tcBorders>
            <w:shd w:val="clear" w:color="auto" w:fill="auto"/>
            <w:noWrap/>
            <w:vAlign w:val="center"/>
            <w:hideMark/>
          </w:tcPr>
          <w:p w14:paraId="38DA15DA"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14</w:t>
            </w:r>
          </w:p>
        </w:tc>
        <w:tc>
          <w:tcPr>
            <w:tcW w:w="1432" w:type="dxa"/>
            <w:tcBorders>
              <w:top w:val="nil"/>
              <w:left w:val="nil"/>
              <w:bottom w:val="nil"/>
              <w:right w:val="nil"/>
            </w:tcBorders>
            <w:shd w:val="clear" w:color="auto" w:fill="auto"/>
            <w:noWrap/>
            <w:vAlign w:val="center"/>
            <w:hideMark/>
          </w:tcPr>
          <w:p w14:paraId="218510FB"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Female</w:t>
            </w:r>
          </w:p>
        </w:tc>
        <w:tc>
          <w:tcPr>
            <w:tcW w:w="661" w:type="dxa"/>
            <w:tcBorders>
              <w:top w:val="nil"/>
              <w:left w:val="nil"/>
              <w:bottom w:val="nil"/>
              <w:right w:val="nil"/>
            </w:tcBorders>
            <w:vAlign w:val="center"/>
          </w:tcPr>
          <w:p w14:paraId="08E93D49"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54</w:t>
            </w:r>
          </w:p>
        </w:tc>
        <w:tc>
          <w:tcPr>
            <w:tcW w:w="1663" w:type="dxa"/>
            <w:tcBorders>
              <w:top w:val="nil"/>
              <w:left w:val="nil"/>
              <w:bottom w:val="nil"/>
              <w:right w:val="nil"/>
            </w:tcBorders>
            <w:shd w:val="clear" w:color="auto" w:fill="auto"/>
            <w:noWrap/>
            <w:vAlign w:val="center"/>
            <w:hideMark/>
          </w:tcPr>
          <w:p w14:paraId="76E0D3A9"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Caucasian</w:t>
            </w:r>
          </w:p>
        </w:tc>
        <w:tc>
          <w:tcPr>
            <w:tcW w:w="1457" w:type="dxa"/>
            <w:tcBorders>
              <w:top w:val="nil"/>
              <w:left w:val="nil"/>
              <w:bottom w:val="nil"/>
              <w:right w:val="nil"/>
            </w:tcBorders>
            <w:vAlign w:val="center"/>
          </w:tcPr>
          <w:p w14:paraId="2A24F8CD"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A</w:t>
            </w:r>
          </w:p>
        </w:tc>
        <w:tc>
          <w:tcPr>
            <w:tcW w:w="1523" w:type="dxa"/>
            <w:tcBorders>
              <w:top w:val="nil"/>
              <w:left w:val="nil"/>
              <w:bottom w:val="nil"/>
              <w:right w:val="nil"/>
            </w:tcBorders>
            <w:shd w:val="clear" w:color="auto" w:fill="auto"/>
            <w:noWrap/>
            <w:vAlign w:val="center"/>
            <w:hideMark/>
          </w:tcPr>
          <w:p w14:paraId="6769946E"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4.3</w:t>
            </w:r>
          </w:p>
        </w:tc>
        <w:tc>
          <w:tcPr>
            <w:tcW w:w="895" w:type="dxa"/>
            <w:tcBorders>
              <w:top w:val="nil"/>
              <w:left w:val="nil"/>
              <w:bottom w:val="nil"/>
              <w:right w:val="nil"/>
            </w:tcBorders>
            <w:shd w:val="clear" w:color="auto" w:fill="auto"/>
            <w:noWrap/>
            <w:vAlign w:val="center"/>
            <w:hideMark/>
          </w:tcPr>
          <w:p w14:paraId="5870367F"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21</w:t>
            </w:r>
          </w:p>
        </w:tc>
        <w:tc>
          <w:tcPr>
            <w:tcW w:w="1507" w:type="dxa"/>
            <w:tcBorders>
              <w:top w:val="nil"/>
              <w:left w:val="nil"/>
              <w:bottom w:val="nil"/>
              <w:right w:val="nil"/>
            </w:tcBorders>
            <w:shd w:val="clear" w:color="auto" w:fill="auto"/>
            <w:noWrap/>
            <w:vAlign w:val="center"/>
            <w:hideMark/>
          </w:tcPr>
          <w:p w14:paraId="63E78D9C"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Negative</w:t>
            </w:r>
          </w:p>
        </w:tc>
      </w:tr>
      <w:tr w:rsidR="00C11F21" w:rsidRPr="00C11F21" w14:paraId="296D8C8B" w14:textId="77777777" w:rsidTr="004A4193">
        <w:trPr>
          <w:trHeight w:val="281"/>
          <w:jc w:val="center"/>
        </w:trPr>
        <w:tc>
          <w:tcPr>
            <w:tcW w:w="554" w:type="dxa"/>
            <w:tcBorders>
              <w:top w:val="nil"/>
              <w:left w:val="nil"/>
              <w:bottom w:val="nil"/>
              <w:right w:val="nil"/>
            </w:tcBorders>
            <w:shd w:val="clear" w:color="auto" w:fill="auto"/>
            <w:noWrap/>
            <w:vAlign w:val="center"/>
            <w:hideMark/>
          </w:tcPr>
          <w:p w14:paraId="73A8E243"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15</w:t>
            </w:r>
          </w:p>
        </w:tc>
        <w:tc>
          <w:tcPr>
            <w:tcW w:w="1432" w:type="dxa"/>
            <w:tcBorders>
              <w:top w:val="nil"/>
              <w:left w:val="nil"/>
              <w:bottom w:val="nil"/>
              <w:right w:val="nil"/>
            </w:tcBorders>
            <w:shd w:val="clear" w:color="auto" w:fill="auto"/>
            <w:noWrap/>
            <w:vAlign w:val="center"/>
            <w:hideMark/>
          </w:tcPr>
          <w:p w14:paraId="30FD1063"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Female</w:t>
            </w:r>
          </w:p>
        </w:tc>
        <w:tc>
          <w:tcPr>
            <w:tcW w:w="661" w:type="dxa"/>
            <w:tcBorders>
              <w:top w:val="nil"/>
              <w:left w:val="nil"/>
              <w:bottom w:val="nil"/>
              <w:right w:val="nil"/>
            </w:tcBorders>
            <w:vAlign w:val="center"/>
          </w:tcPr>
          <w:p w14:paraId="776A7D1A"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36</w:t>
            </w:r>
          </w:p>
        </w:tc>
        <w:tc>
          <w:tcPr>
            <w:tcW w:w="1663" w:type="dxa"/>
            <w:tcBorders>
              <w:top w:val="nil"/>
              <w:left w:val="nil"/>
              <w:bottom w:val="nil"/>
              <w:right w:val="nil"/>
            </w:tcBorders>
            <w:shd w:val="clear" w:color="auto" w:fill="auto"/>
            <w:noWrap/>
            <w:vAlign w:val="center"/>
            <w:hideMark/>
          </w:tcPr>
          <w:p w14:paraId="4B4E582A"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Asian</w:t>
            </w:r>
          </w:p>
        </w:tc>
        <w:tc>
          <w:tcPr>
            <w:tcW w:w="1457" w:type="dxa"/>
            <w:tcBorders>
              <w:top w:val="nil"/>
              <w:left w:val="nil"/>
              <w:bottom w:val="nil"/>
              <w:right w:val="nil"/>
            </w:tcBorders>
            <w:vAlign w:val="center"/>
          </w:tcPr>
          <w:p w14:paraId="179917B4"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C</w:t>
            </w:r>
          </w:p>
        </w:tc>
        <w:tc>
          <w:tcPr>
            <w:tcW w:w="1523" w:type="dxa"/>
            <w:tcBorders>
              <w:top w:val="nil"/>
              <w:left w:val="nil"/>
              <w:bottom w:val="nil"/>
              <w:right w:val="nil"/>
            </w:tcBorders>
            <w:shd w:val="clear" w:color="auto" w:fill="auto"/>
            <w:noWrap/>
            <w:vAlign w:val="center"/>
            <w:hideMark/>
          </w:tcPr>
          <w:p w14:paraId="672F2310" w14:textId="73F51D09"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&gt;</w:t>
            </w:r>
            <w:r w:rsidR="004A4193" w:rsidRPr="00C11F21">
              <w:rPr>
                <w:rFonts w:ascii="Book Antiqua" w:hAnsi="Book Antiqua" w:cstheme="minorHAnsi" w:hint="eastAsia"/>
                <w:sz w:val="24"/>
                <w:szCs w:val="24"/>
                <w:lang w:val="en-US" w:eastAsia="zh-CN"/>
              </w:rPr>
              <w:t xml:space="preserve"> </w:t>
            </w:r>
            <w:r w:rsidRPr="00C11F21">
              <w:rPr>
                <w:rFonts w:ascii="Book Antiqua" w:eastAsia="Times New Roman" w:hAnsi="Book Antiqua" w:cstheme="minorHAnsi"/>
                <w:sz w:val="24"/>
                <w:szCs w:val="24"/>
                <w:lang w:val="en-US" w:eastAsia="es-ES"/>
              </w:rPr>
              <w:t>8</w:t>
            </w:r>
          </w:p>
        </w:tc>
        <w:tc>
          <w:tcPr>
            <w:tcW w:w="895" w:type="dxa"/>
            <w:tcBorders>
              <w:top w:val="nil"/>
              <w:left w:val="nil"/>
              <w:bottom w:val="nil"/>
              <w:right w:val="nil"/>
            </w:tcBorders>
            <w:shd w:val="clear" w:color="auto" w:fill="auto"/>
            <w:noWrap/>
            <w:vAlign w:val="center"/>
            <w:hideMark/>
          </w:tcPr>
          <w:p w14:paraId="16611261"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19</w:t>
            </w:r>
          </w:p>
        </w:tc>
        <w:tc>
          <w:tcPr>
            <w:tcW w:w="1507" w:type="dxa"/>
            <w:tcBorders>
              <w:top w:val="nil"/>
              <w:left w:val="nil"/>
              <w:bottom w:val="nil"/>
              <w:right w:val="nil"/>
            </w:tcBorders>
            <w:shd w:val="clear" w:color="auto" w:fill="auto"/>
            <w:noWrap/>
            <w:vAlign w:val="center"/>
            <w:hideMark/>
          </w:tcPr>
          <w:p w14:paraId="250AC67E"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Positive</w:t>
            </w:r>
          </w:p>
        </w:tc>
      </w:tr>
      <w:tr w:rsidR="00C11F21" w:rsidRPr="00C11F21" w14:paraId="275D58C0" w14:textId="77777777" w:rsidTr="004A4193">
        <w:trPr>
          <w:trHeight w:val="281"/>
          <w:jc w:val="center"/>
        </w:trPr>
        <w:tc>
          <w:tcPr>
            <w:tcW w:w="554" w:type="dxa"/>
            <w:tcBorders>
              <w:top w:val="nil"/>
              <w:left w:val="nil"/>
              <w:bottom w:val="nil"/>
              <w:right w:val="nil"/>
            </w:tcBorders>
            <w:shd w:val="clear" w:color="auto" w:fill="auto"/>
            <w:noWrap/>
            <w:vAlign w:val="center"/>
            <w:hideMark/>
          </w:tcPr>
          <w:p w14:paraId="6AB56FE2"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16</w:t>
            </w:r>
          </w:p>
        </w:tc>
        <w:tc>
          <w:tcPr>
            <w:tcW w:w="1432" w:type="dxa"/>
            <w:tcBorders>
              <w:top w:val="nil"/>
              <w:left w:val="nil"/>
              <w:bottom w:val="nil"/>
              <w:right w:val="nil"/>
            </w:tcBorders>
            <w:shd w:val="clear" w:color="auto" w:fill="auto"/>
            <w:noWrap/>
            <w:vAlign w:val="center"/>
            <w:hideMark/>
          </w:tcPr>
          <w:p w14:paraId="4D922491"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Female</w:t>
            </w:r>
          </w:p>
        </w:tc>
        <w:tc>
          <w:tcPr>
            <w:tcW w:w="661" w:type="dxa"/>
            <w:tcBorders>
              <w:top w:val="nil"/>
              <w:left w:val="nil"/>
              <w:bottom w:val="nil"/>
              <w:right w:val="nil"/>
            </w:tcBorders>
            <w:vAlign w:val="center"/>
          </w:tcPr>
          <w:p w14:paraId="7A91A4FD"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20</w:t>
            </w:r>
          </w:p>
        </w:tc>
        <w:tc>
          <w:tcPr>
            <w:tcW w:w="1663" w:type="dxa"/>
            <w:tcBorders>
              <w:top w:val="nil"/>
              <w:left w:val="nil"/>
              <w:bottom w:val="nil"/>
              <w:right w:val="nil"/>
            </w:tcBorders>
            <w:shd w:val="clear" w:color="auto" w:fill="auto"/>
            <w:noWrap/>
            <w:vAlign w:val="center"/>
            <w:hideMark/>
          </w:tcPr>
          <w:p w14:paraId="407387B4" w14:textId="77777777" w:rsidR="005C659B" w:rsidRPr="00C11F21" w:rsidRDefault="00FE2B8E"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Sub-Saharan</w:t>
            </w:r>
          </w:p>
        </w:tc>
        <w:tc>
          <w:tcPr>
            <w:tcW w:w="1457" w:type="dxa"/>
            <w:tcBorders>
              <w:top w:val="nil"/>
              <w:left w:val="nil"/>
              <w:bottom w:val="nil"/>
              <w:right w:val="nil"/>
            </w:tcBorders>
            <w:vAlign w:val="center"/>
          </w:tcPr>
          <w:p w14:paraId="2B29DFBB"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E</w:t>
            </w:r>
          </w:p>
        </w:tc>
        <w:tc>
          <w:tcPr>
            <w:tcW w:w="1523" w:type="dxa"/>
            <w:tcBorders>
              <w:top w:val="nil"/>
              <w:left w:val="nil"/>
              <w:bottom w:val="nil"/>
              <w:right w:val="nil"/>
            </w:tcBorders>
            <w:shd w:val="clear" w:color="auto" w:fill="auto"/>
            <w:noWrap/>
            <w:vAlign w:val="center"/>
            <w:hideMark/>
          </w:tcPr>
          <w:p w14:paraId="0078CC86"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5.1</w:t>
            </w:r>
          </w:p>
        </w:tc>
        <w:tc>
          <w:tcPr>
            <w:tcW w:w="895" w:type="dxa"/>
            <w:tcBorders>
              <w:top w:val="nil"/>
              <w:left w:val="nil"/>
              <w:bottom w:val="nil"/>
              <w:right w:val="nil"/>
            </w:tcBorders>
            <w:shd w:val="clear" w:color="auto" w:fill="auto"/>
            <w:noWrap/>
            <w:vAlign w:val="center"/>
            <w:hideMark/>
          </w:tcPr>
          <w:p w14:paraId="354ADE03"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22</w:t>
            </w:r>
          </w:p>
        </w:tc>
        <w:tc>
          <w:tcPr>
            <w:tcW w:w="1507" w:type="dxa"/>
            <w:tcBorders>
              <w:top w:val="nil"/>
              <w:left w:val="nil"/>
              <w:bottom w:val="nil"/>
              <w:right w:val="nil"/>
            </w:tcBorders>
            <w:shd w:val="clear" w:color="auto" w:fill="auto"/>
            <w:noWrap/>
            <w:vAlign w:val="center"/>
            <w:hideMark/>
          </w:tcPr>
          <w:p w14:paraId="1433EED0"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Positive</w:t>
            </w:r>
          </w:p>
        </w:tc>
      </w:tr>
      <w:tr w:rsidR="00C11F21" w:rsidRPr="00C11F21" w14:paraId="6D480B89" w14:textId="77777777" w:rsidTr="004A4193">
        <w:trPr>
          <w:trHeight w:val="281"/>
          <w:jc w:val="center"/>
        </w:trPr>
        <w:tc>
          <w:tcPr>
            <w:tcW w:w="554" w:type="dxa"/>
            <w:tcBorders>
              <w:top w:val="nil"/>
              <w:left w:val="nil"/>
              <w:right w:val="nil"/>
            </w:tcBorders>
            <w:shd w:val="clear" w:color="auto" w:fill="auto"/>
            <w:noWrap/>
            <w:vAlign w:val="center"/>
            <w:hideMark/>
          </w:tcPr>
          <w:p w14:paraId="43227BE7"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17</w:t>
            </w:r>
          </w:p>
        </w:tc>
        <w:tc>
          <w:tcPr>
            <w:tcW w:w="1432" w:type="dxa"/>
            <w:tcBorders>
              <w:top w:val="nil"/>
              <w:left w:val="nil"/>
              <w:right w:val="nil"/>
            </w:tcBorders>
            <w:shd w:val="clear" w:color="auto" w:fill="auto"/>
            <w:noWrap/>
            <w:vAlign w:val="center"/>
            <w:hideMark/>
          </w:tcPr>
          <w:p w14:paraId="1CF82D51"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Male</w:t>
            </w:r>
          </w:p>
        </w:tc>
        <w:tc>
          <w:tcPr>
            <w:tcW w:w="661" w:type="dxa"/>
            <w:tcBorders>
              <w:top w:val="nil"/>
              <w:left w:val="nil"/>
              <w:right w:val="nil"/>
            </w:tcBorders>
            <w:vAlign w:val="center"/>
          </w:tcPr>
          <w:p w14:paraId="77EF36DE"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73</w:t>
            </w:r>
          </w:p>
        </w:tc>
        <w:tc>
          <w:tcPr>
            <w:tcW w:w="1663" w:type="dxa"/>
            <w:tcBorders>
              <w:top w:val="nil"/>
              <w:left w:val="nil"/>
              <w:right w:val="nil"/>
            </w:tcBorders>
            <w:shd w:val="clear" w:color="auto" w:fill="auto"/>
            <w:noWrap/>
            <w:vAlign w:val="center"/>
            <w:hideMark/>
          </w:tcPr>
          <w:p w14:paraId="2F18D690"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Caucasian</w:t>
            </w:r>
          </w:p>
        </w:tc>
        <w:tc>
          <w:tcPr>
            <w:tcW w:w="1457" w:type="dxa"/>
            <w:tcBorders>
              <w:top w:val="nil"/>
              <w:left w:val="nil"/>
              <w:right w:val="nil"/>
            </w:tcBorders>
            <w:vAlign w:val="center"/>
          </w:tcPr>
          <w:p w14:paraId="66EC2C26"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B</w:t>
            </w:r>
          </w:p>
        </w:tc>
        <w:tc>
          <w:tcPr>
            <w:tcW w:w="1523" w:type="dxa"/>
            <w:tcBorders>
              <w:top w:val="nil"/>
              <w:left w:val="nil"/>
              <w:right w:val="nil"/>
            </w:tcBorders>
            <w:shd w:val="clear" w:color="auto" w:fill="auto"/>
            <w:noWrap/>
            <w:vAlign w:val="center"/>
            <w:hideMark/>
          </w:tcPr>
          <w:p w14:paraId="0D66A5D8" w14:textId="1D67CD1F"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&gt;</w:t>
            </w:r>
            <w:r w:rsidR="004A4193" w:rsidRPr="00C11F21">
              <w:rPr>
                <w:rFonts w:ascii="Book Antiqua" w:hAnsi="Book Antiqua" w:cstheme="minorHAnsi" w:hint="eastAsia"/>
                <w:sz w:val="24"/>
                <w:szCs w:val="24"/>
                <w:lang w:val="en-US" w:eastAsia="zh-CN"/>
              </w:rPr>
              <w:t xml:space="preserve"> </w:t>
            </w:r>
            <w:r w:rsidRPr="00C11F21">
              <w:rPr>
                <w:rFonts w:ascii="Book Antiqua" w:eastAsia="Times New Roman" w:hAnsi="Book Antiqua" w:cstheme="minorHAnsi"/>
                <w:sz w:val="24"/>
                <w:szCs w:val="24"/>
                <w:lang w:val="en-US" w:eastAsia="es-ES"/>
              </w:rPr>
              <w:t>8</w:t>
            </w:r>
          </w:p>
        </w:tc>
        <w:tc>
          <w:tcPr>
            <w:tcW w:w="895" w:type="dxa"/>
            <w:tcBorders>
              <w:top w:val="nil"/>
              <w:left w:val="nil"/>
              <w:right w:val="nil"/>
            </w:tcBorders>
            <w:shd w:val="clear" w:color="auto" w:fill="auto"/>
            <w:noWrap/>
            <w:vAlign w:val="center"/>
            <w:hideMark/>
          </w:tcPr>
          <w:p w14:paraId="35F5027F"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221</w:t>
            </w:r>
          </w:p>
        </w:tc>
        <w:tc>
          <w:tcPr>
            <w:tcW w:w="1507" w:type="dxa"/>
            <w:tcBorders>
              <w:top w:val="nil"/>
              <w:left w:val="nil"/>
              <w:right w:val="nil"/>
            </w:tcBorders>
            <w:shd w:val="clear" w:color="auto" w:fill="auto"/>
            <w:noWrap/>
            <w:vAlign w:val="center"/>
            <w:hideMark/>
          </w:tcPr>
          <w:p w14:paraId="136D905D"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Negative</w:t>
            </w:r>
          </w:p>
        </w:tc>
      </w:tr>
      <w:tr w:rsidR="00C11F21" w:rsidRPr="00C11F21" w14:paraId="1475772A" w14:textId="77777777" w:rsidTr="004A4193">
        <w:trPr>
          <w:trHeight w:val="295"/>
          <w:jc w:val="center"/>
        </w:trPr>
        <w:tc>
          <w:tcPr>
            <w:tcW w:w="554" w:type="dxa"/>
            <w:tcBorders>
              <w:top w:val="nil"/>
              <w:left w:val="nil"/>
              <w:bottom w:val="single" w:sz="4" w:space="0" w:color="auto"/>
              <w:right w:val="nil"/>
            </w:tcBorders>
            <w:shd w:val="clear" w:color="auto" w:fill="auto"/>
            <w:noWrap/>
            <w:vAlign w:val="center"/>
            <w:hideMark/>
          </w:tcPr>
          <w:p w14:paraId="7FEF791B"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18</w:t>
            </w:r>
          </w:p>
        </w:tc>
        <w:tc>
          <w:tcPr>
            <w:tcW w:w="1432" w:type="dxa"/>
            <w:tcBorders>
              <w:top w:val="nil"/>
              <w:left w:val="nil"/>
              <w:bottom w:val="single" w:sz="4" w:space="0" w:color="auto"/>
              <w:right w:val="nil"/>
            </w:tcBorders>
            <w:shd w:val="clear" w:color="auto" w:fill="auto"/>
            <w:noWrap/>
            <w:vAlign w:val="center"/>
            <w:hideMark/>
          </w:tcPr>
          <w:p w14:paraId="21060835"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Male</w:t>
            </w:r>
          </w:p>
        </w:tc>
        <w:tc>
          <w:tcPr>
            <w:tcW w:w="661" w:type="dxa"/>
            <w:tcBorders>
              <w:top w:val="nil"/>
              <w:left w:val="nil"/>
              <w:bottom w:val="single" w:sz="4" w:space="0" w:color="auto"/>
              <w:right w:val="nil"/>
            </w:tcBorders>
            <w:vAlign w:val="center"/>
          </w:tcPr>
          <w:p w14:paraId="7F75956B"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49</w:t>
            </w:r>
          </w:p>
        </w:tc>
        <w:tc>
          <w:tcPr>
            <w:tcW w:w="1663" w:type="dxa"/>
            <w:tcBorders>
              <w:top w:val="nil"/>
              <w:left w:val="nil"/>
              <w:bottom w:val="single" w:sz="4" w:space="0" w:color="auto"/>
              <w:right w:val="nil"/>
            </w:tcBorders>
            <w:shd w:val="clear" w:color="auto" w:fill="auto"/>
            <w:noWrap/>
            <w:vAlign w:val="center"/>
            <w:hideMark/>
          </w:tcPr>
          <w:p w14:paraId="5CF2249A"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Asian</w:t>
            </w:r>
          </w:p>
        </w:tc>
        <w:tc>
          <w:tcPr>
            <w:tcW w:w="1457" w:type="dxa"/>
            <w:tcBorders>
              <w:top w:val="nil"/>
              <w:left w:val="nil"/>
              <w:bottom w:val="single" w:sz="4" w:space="0" w:color="auto"/>
              <w:right w:val="nil"/>
            </w:tcBorders>
            <w:vAlign w:val="center"/>
          </w:tcPr>
          <w:p w14:paraId="5073162A"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B</w:t>
            </w:r>
          </w:p>
        </w:tc>
        <w:tc>
          <w:tcPr>
            <w:tcW w:w="1523" w:type="dxa"/>
            <w:tcBorders>
              <w:top w:val="nil"/>
              <w:left w:val="nil"/>
              <w:bottom w:val="single" w:sz="4" w:space="0" w:color="auto"/>
              <w:right w:val="nil"/>
            </w:tcBorders>
            <w:shd w:val="clear" w:color="auto" w:fill="auto"/>
            <w:noWrap/>
            <w:vAlign w:val="center"/>
            <w:hideMark/>
          </w:tcPr>
          <w:p w14:paraId="6A262A83"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5.6</w:t>
            </w:r>
          </w:p>
        </w:tc>
        <w:tc>
          <w:tcPr>
            <w:tcW w:w="895" w:type="dxa"/>
            <w:tcBorders>
              <w:top w:val="nil"/>
              <w:left w:val="nil"/>
              <w:bottom w:val="single" w:sz="4" w:space="0" w:color="auto"/>
              <w:right w:val="nil"/>
            </w:tcBorders>
            <w:shd w:val="clear" w:color="auto" w:fill="auto"/>
            <w:noWrap/>
            <w:vAlign w:val="center"/>
            <w:hideMark/>
          </w:tcPr>
          <w:p w14:paraId="5539DAF3"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181</w:t>
            </w:r>
          </w:p>
        </w:tc>
        <w:tc>
          <w:tcPr>
            <w:tcW w:w="1507" w:type="dxa"/>
            <w:tcBorders>
              <w:top w:val="nil"/>
              <w:left w:val="nil"/>
              <w:bottom w:val="single" w:sz="4" w:space="0" w:color="auto"/>
              <w:right w:val="nil"/>
            </w:tcBorders>
            <w:shd w:val="clear" w:color="auto" w:fill="auto"/>
            <w:noWrap/>
            <w:vAlign w:val="center"/>
            <w:hideMark/>
          </w:tcPr>
          <w:p w14:paraId="279183AE" w14:textId="77777777" w:rsidR="005C659B" w:rsidRPr="00C11F21" w:rsidRDefault="005C659B" w:rsidP="00F33187">
            <w:pPr>
              <w:snapToGrid w:val="0"/>
              <w:spacing w:after="0" w:line="360" w:lineRule="auto"/>
              <w:jc w:val="center"/>
              <w:rPr>
                <w:rFonts w:ascii="Book Antiqua" w:eastAsia="Times New Roman" w:hAnsi="Book Antiqua" w:cstheme="minorHAnsi"/>
                <w:sz w:val="24"/>
                <w:szCs w:val="24"/>
                <w:lang w:val="en-US" w:eastAsia="es-ES"/>
              </w:rPr>
            </w:pPr>
            <w:r w:rsidRPr="00C11F21">
              <w:rPr>
                <w:rFonts w:ascii="Book Antiqua" w:eastAsia="Times New Roman" w:hAnsi="Book Antiqua" w:cstheme="minorHAnsi"/>
                <w:sz w:val="24"/>
                <w:szCs w:val="24"/>
                <w:lang w:val="en-US" w:eastAsia="es-ES"/>
              </w:rPr>
              <w:t>Negative</w:t>
            </w:r>
          </w:p>
        </w:tc>
      </w:tr>
    </w:tbl>
    <w:p w14:paraId="79694EA3" w14:textId="599FDE69" w:rsidR="005C659B" w:rsidRPr="00C11F21" w:rsidRDefault="004A4193" w:rsidP="00F33187">
      <w:pPr>
        <w:snapToGrid w:val="0"/>
        <w:spacing w:after="0" w:line="360" w:lineRule="auto"/>
        <w:jc w:val="both"/>
        <w:rPr>
          <w:rFonts w:ascii="Book Antiqua" w:hAnsi="Book Antiqua"/>
          <w:sz w:val="24"/>
          <w:szCs w:val="24"/>
          <w:lang w:val="en-US" w:eastAsia="zh-CN"/>
        </w:rPr>
      </w:pPr>
      <w:r w:rsidRPr="00C11F21">
        <w:rPr>
          <w:rFonts w:ascii="Book Antiqua" w:hAnsi="Book Antiqua" w:cstheme="minorHAnsi" w:hint="eastAsia"/>
          <w:sz w:val="24"/>
          <w:szCs w:val="24"/>
          <w:vertAlign w:val="superscript"/>
          <w:lang w:val="en-US" w:eastAsia="zh-CN"/>
        </w:rPr>
        <w:t>1</w:t>
      </w:r>
      <w:r w:rsidRPr="00C11F21">
        <w:rPr>
          <w:rFonts w:ascii="Book Antiqua" w:hAnsi="Book Antiqua" w:cstheme="minorHAnsi"/>
          <w:sz w:val="24"/>
          <w:szCs w:val="24"/>
          <w:lang w:val="en-US"/>
        </w:rPr>
        <w:t>HBV genotype determined by Sanger sequencing of the preS1 region (the same region as was analyzed by next-generation sequencing)</w:t>
      </w:r>
      <w:r w:rsidRPr="00C11F21">
        <w:rPr>
          <w:rFonts w:ascii="Book Antiqua" w:hAnsi="Book Antiqua" w:cstheme="minorHAnsi" w:hint="eastAsia"/>
          <w:sz w:val="24"/>
          <w:szCs w:val="24"/>
          <w:lang w:val="en-US" w:eastAsia="zh-CN"/>
        </w:rPr>
        <w:t>.</w:t>
      </w:r>
      <w:r w:rsidR="00B11B5E">
        <w:rPr>
          <w:rFonts w:ascii="Book Antiqua" w:hAnsi="Book Antiqua" w:hint="eastAsia"/>
          <w:sz w:val="24"/>
          <w:szCs w:val="24"/>
          <w:lang w:val="en-US" w:eastAsia="zh-CN"/>
        </w:rPr>
        <w:t xml:space="preserve"> </w:t>
      </w:r>
      <w:r w:rsidR="005C659B" w:rsidRPr="00C11F21">
        <w:rPr>
          <w:rFonts w:ascii="Book Antiqua" w:hAnsi="Book Antiqua" w:cstheme="minorHAnsi"/>
          <w:sz w:val="24"/>
          <w:szCs w:val="24"/>
          <w:lang w:val="en-US"/>
        </w:rPr>
        <w:t>ALT</w:t>
      </w:r>
      <w:r w:rsidRPr="00C11F21">
        <w:rPr>
          <w:rFonts w:ascii="Book Antiqua" w:hAnsi="Book Antiqua" w:cstheme="minorHAnsi" w:hint="eastAsia"/>
          <w:sz w:val="24"/>
          <w:szCs w:val="24"/>
          <w:lang w:val="en-US" w:eastAsia="zh-CN"/>
        </w:rPr>
        <w:t xml:space="preserve">: </w:t>
      </w:r>
      <w:r w:rsidR="005C659B" w:rsidRPr="00C11F21">
        <w:rPr>
          <w:rFonts w:ascii="Book Antiqua" w:hAnsi="Book Antiqua" w:cstheme="minorHAnsi"/>
          <w:caps/>
          <w:sz w:val="24"/>
          <w:szCs w:val="24"/>
          <w:lang w:val="en-US"/>
        </w:rPr>
        <w:t>a</w:t>
      </w:r>
      <w:r w:rsidRPr="00C11F21">
        <w:rPr>
          <w:rFonts w:ascii="Book Antiqua" w:hAnsi="Book Antiqua" w:cstheme="minorHAnsi"/>
          <w:sz w:val="24"/>
          <w:szCs w:val="24"/>
          <w:lang w:val="en-US"/>
        </w:rPr>
        <w:t>lanine aminotransferase; HBV</w:t>
      </w:r>
      <w:r w:rsidRPr="00C11F21">
        <w:rPr>
          <w:rFonts w:ascii="Book Antiqua" w:hAnsi="Book Antiqua" w:cstheme="minorHAnsi" w:hint="eastAsia"/>
          <w:sz w:val="24"/>
          <w:szCs w:val="24"/>
          <w:lang w:val="en-US" w:eastAsia="zh-CN"/>
        </w:rPr>
        <w:t xml:space="preserve">: </w:t>
      </w:r>
      <w:r w:rsidR="00DC168E" w:rsidRPr="00C11F21">
        <w:rPr>
          <w:rFonts w:ascii="Book Antiqua" w:hAnsi="Book Antiqua" w:cstheme="minorHAnsi"/>
          <w:caps/>
          <w:sz w:val="24"/>
          <w:szCs w:val="24"/>
          <w:lang w:val="en-US"/>
        </w:rPr>
        <w:t>h</w:t>
      </w:r>
      <w:r w:rsidR="005C659B" w:rsidRPr="00C11F21">
        <w:rPr>
          <w:rFonts w:ascii="Book Antiqua" w:hAnsi="Book Antiqua" w:cstheme="minorHAnsi"/>
          <w:sz w:val="24"/>
          <w:szCs w:val="24"/>
          <w:lang w:val="en-US"/>
        </w:rPr>
        <w:t xml:space="preserve">epatitis B </w:t>
      </w:r>
      <w:r w:rsidR="00DC168E" w:rsidRPr="00C11F21">
        <w:rPr>
          <w:rFonts w:ascii="Book Antiqua" w:hAnsi="Book Antiqua" w:cstheme="minorHAnsi"/>
          <w:sz w:val="24"/>
          <w:szCs w:val="24"/>
          <w:lang w:val="en-US"/>
        </w:rPr>
        <w:t>v</w:t>
      </w:r>
      <w:r w:rsidR="005C659B" w:rsidRPr="00C11F21">
        <w:rPr>
          <w:rFonts w:ascii="Book Antiqua" w:hAnsi="Book Antiqua" w:cstheme="minorHAnsi"/>
          <w:sz w:val="24"/>
          <w:szCs w:val="24"/>
          <w:lang w:val="en-US"/>
        </w:rPr>
        <w:t>irus; HBeAg</w:t>
      </w:r>
      <w:r w:rsidRPr="00C11F21">
        <w:rPr>
          <w:rFonts w:ascii="Book Antiqua" w:hAnsi="Book Antiqua" w:cstheme="minorHAnsi" w:hint="eastAsia"/>
          <w:sz w:val="24"/>
          <w:szCs w:val="24"/>
          <w:lang w:val="en-US" w:eastAsia="zh-CN"/>
        </w:rPr>
        <w:t>:</w:t>
      </w:r>
      <w:r w:rsidR="005C659B" w:rsidRPr="00C11F21">
        <w:rPr>
          <w:rFonts w:ascii="Book Antiqua" w:hAnsi="Book Antiqua" w:cstheme="minorHAnsi"/>
          <w:sz w:val="24"/>
          <w:szCs w:val="24"/>
          <w:lang w:val="en-US"/>
        </w:rPr>
        <w:t xml:space="preserve"> </w:t>
      </w:r>
      <w:r w:rsidR="00DC168E" w:rsidRPr="00C11F21">
        <w:rPr>
          <w:rFonts w:ascii="Book Antiqua" w:hAnsi="Book Antiqua" w:cstheme="minorHAnsi"/>
          <w:caps/>
          <w:sz w:val="24"/>
          <w:szCs w:val="24"/>
          <w:lang w:val="en-US"/>
        </w:rPr>
        <w:t>h</w:t>
      </w:r>
      <w:r w:rsidR="005C659B" w:rsidRPr="00C11F21">
        <w:rPr>
          <w:rFonts w:ascii="Book Antiqua" w:hAnsi="Book Antiqua" w:cstheme="minorHAnsi"/>
          <w:sz w:val="24"/>
          <w:szCs w:val="24"/>
          <w:lang w:val="en-US"/>
        </w:rPr>
        <w:t>epatitis B e antigen.</w:t>
      </w:r>
    </w:p>
    <w:sectPr w:rsidR="005C659B" w:rsidRPr="00C11F21" w:rsidSect="00BD00B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501D43" w14:textId="77777777" w:rsidR="00100B79" w:rsidRDefault="00100B79" w:rsidP="00E1342B">
      <w:pPr>
        <w:spacing w:after="0" w:line="240" w:lineRule="auto"/>
      </w:pPr>
      <w:r>
        <w:separator/>
      </w:r>
    </w:p>
  </w:endnote>
  <w:endnote w:type="continuationSeparator" w:id="0">
    <w:p w14:paraId="1D744B6F" w14:textId="77777777" w:rsidR="00100B79" w:rsidRDefault="00100B79" w:rsidP="00E13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vTimes">
    <w:altName w:val="MingLiU"/>
    <w:panose1 w:val="00000000000000000000"/>
    <w:charset w:val="88"/>
    <w:family w:val="auto"/>
    <w:notTrueType/>
    <w:pitch w:val="default"/>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venir-Light">
    <w:altName w:val="Arial"/>
    <w:panose1 w:val="00000000000000000000"/>
    <w:charset w:val="00"/>
    <w:family w:val="swiss"/>
    <w:notTrueType/>
    <w:pitch w:val="default"/>
    <w:sig w:usb0="00000003" w:usb1="00000000" w:usb2="00000000" w:usb3="00000000" w:csb0="00000001" w:csb1="00000000"/>
  </w:font>
  <w:font w:name="Liberation Serif">
    <w:altName w:val="Times New Roman"/>
    <w:charset w:val="01"/>
    <w:family w:val="roman"/>
    <w:pitch w:val="variable"/>
  </w:font>
  <w:font w:name="WenQuanYi Micro Hei">
    <w:altName w:val="Times New Roman"/>
    <w:charset w:val="01"/>
    <w:family w:val="auto"/>
    <w:pitch w:val="variable"/>
  </w:font>
  <w:font w:name="FreeSans">
    <w:altName w:val="Times New Roman"/>
    <w:charset w:val="01"/>
    <w:family w:val="auto"/>
    <w:pitch w:val="variable"/>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NewRoman,Bold">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2634CF" w14:textId="77777777" w:rsidR="00100B79" w:rsidRDefault="00100B79" w:rsidP="00E1342B">
      <w:pPr>
        <w:spacing w:after="0" w:line="240" w:lineRule="auto"/>
      </w:pPr>
      <w:r>
        <w:separator/>
      </w:r>
    </w:p>
  </w:footnote>
  <w:footnote w:type="continuationSeparator" w:id="0">
    <w:p w14:paraId="3563D252" w14:textId="77777777" w:rsidR="00100B79" w:rsidRDefault="00100B79" w:rsidP="00E134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32439"/>
    <w:multiLevelType w:val="hybridMultilevel"/>
    <w:tmpl w:val="87623406"/>
    <w:lvl w:ilvl="0" w:tplc="B4EA0F7C">
      <w:start w:val="60"/>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7CA749A"/>
    <w:multiLevelType w:val="hybridMultilevel"/>
    <w:tmpl w:val="379E069C"/>
    <w:lvl w:ilvl="0" w:tplc="CDACFBD8">
      <w:start w:val="1"/>
      <w:numFmt w:val="upperLetter"/>
      <w:lvlText w:val="(%1)"/>
      <w:lvlJc w:val="left"/>
      <w:pPr>
        <w:ind w:left="1065" w:hanging="360"/>
      </w:pPr>
      <w:rPr>
        <w:rFonts w:hint="default"/>
        <w:sz w:val="20"/>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 w15:restartNumberingAfterBreak="0">
    <w:nsid w:val="105537A6"/>
    <w:multiLevelType w:val="hybridMultilevel"/>
    <w:tmpl w:val="2E7E2256"/>
    <w:lvl w:ilvl="0" w:tplc="CE50918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EC2A5B"/>
    <w:multiLevelType w:val="hybridMultilevel"/>
    <w:tmpl w:val="254AF61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DCC16B0"/>
    <w:multiLevelType w:val="hybridMultilevel"/>
    <w:tmpl w:val="533C87DA"/>
    <w:lvl w:ilvl="0" w:tplc="811A51AA">
      <w:start w:val="1"/>
      <w:numFmt w:val="upperLetter"/>
      <w:lvlText w:val="(%1)"/>
      <w:lvlJc w:val="left"/>
      <w:pPr>
        <w:ind w:left="1065" w:hanging="360"/>
      </w:pPr>
      <w:rPr>
        <w:rFonts w:hint="default"/>
        <w:sz w:val="20"/>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5" w15:restartNumberingAfterBreak="0">
    <w:nsid w:val="34A56B51"/>
    <w:multiLevelType w:val="hybridMultilevel"/>
    <w:tmpl w:val="3B92B500"/>
    <w:lvl w:ilvl="0" w:tplc="B6C41058">
      <w:start w:val="1"/>
      <w:numFmt w:val="lowerLetter"/>
      <w:lvlText w:val="(%1)"/>
      <w:lvlJc w:val="left"/>
      <w:pPr>
        <w:ind w:left="720" w:hanging="360"/>
      </w:pPr>
      <w:rPr>
        <w:rFonts w:ascii="AdvTimes" w:hAnsi="AdvTimes" w:cs="AdvTimes" w:hint="default"/>
        <w:b w:val="0"/>
        <w:sz w:val="17"/>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8E3247A"/>
    <w:multiLevelType w:val="hybridMultilevel"/>
    <w:tmpl w:val="C39E3918"/>
    <w:lvl w:ilvl="0" w:tplc="F2DEB70C">
      <w:numFmt w:val="bullet"/>
      <w:lvlText w:val="-"/>
      <w:lvlJc w:val="left"/>
      <w:pPr>
        <w:ind w:left="720" w:hanging="360"/>
      </w:pPr>
      <w:rPr>
        <w:rFonts w:ascii="Calibri" w:eastAsiaTheme="minorEastAsia"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8DE21F7"/>
    <w:multiLevelType w:val="hybridMultilevel"/>
    <w:tmpl w:val="7A34B482"/>
    <w:lvl w:ilvl="0" w:tplc="B4EA0F7C">
      <w:start w:val="60"/>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34B38D6"/>
    <w:multiLevelType w:val="hybridMultilevel"/>
    <w:tmpl w:val="7BC0FD3C"/>
    <w:lvl w:ilvl="0" w:tplc="74AEDAE0">
      <w:start w:val="1"/>
      <w:numFmt w:val="upperLetter"/>
      <w:lvlText w:val="(%1)"/>
      <w:lvlJc w:val="left"/>
      <w:pPr>
        <w:ind w:left="1065" w:hanging="360"/>
      </w:pPr>
      <w:rPr>
        <w:rFonts w:hint="default"/>
        <w:sz w:val="20"/>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633235A6"/>
    <w:multiLevelType w:val="hybridMultilevel"/>
    <w:tmpl w:val="3B92B500"/>
    <w:lvl w:ilvl="0" w:tplc="B6C41058">
      <w:start w:val="1"/>
      <w:numFmt w:val="lowerLetter"/>
      <w:lvlText w:val="(%1)"/>
      <w:lvlJc w:val="left"/>
      <w:pPr>
        <w:ind w:left="720" w:hanging="360"/>
      </w:pPr>
      <w:rPr>
        <w:rFonts w:ascii="AdvTimes" w:hAnsi="AdvTimes" w:cs="AdvTimes" w:hint="default"/>
        <w:b w:val="0"/>
        <w:sz w:val="17"/>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6C42B50"/>
    <w:multiLevelType w:val="hybridMultilevel"/>
    <w:tmpl w:val="8D8A4B4C"/>
    <w:lvl w:ilvl="0" w:tplc="B4EA0F7C">
      <w:start w:val="60"/>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0"/>
  </w:num>
  <w:num w:numId="4">
    <w:abstractNumId w:val="10"/>
  </w:num>
  <w:num w:numId="5">
    <w:abstractNumId w:val="7"/>
  </w:num>
  <w:num w:numId="6">
    <w:abstractNumId w:val="2"/>
  </w:num>
  <w:num w:numId="7">
    <w:abstractNumId w:val="1"/>
  </w:num>
  <w:num w:numId="8">
    <w:abstractNumId w:val="4"/>
  </w:num>
  <w:num w:numId="9">
    <w:abstractNumId w:val="3"/>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59B"/>
    <w:rsid w:val="00000E2A"/>
    <w:rsid w:val="00001A70"/>
    <w:rsid w:val="000036F9"/>
    <w:rsid w:val="00004E9A"/>
    <w:rsid w:val="00005A2F"/>
    <w:rsid w:val="00010B7A"/>
    <w:rsid w:val="000118AA"/>
    <w:rsid w:val="0001294E"/>
    <w:rsid w:val="00017499"/>
    <w:rsid w:val="000174D0"/>
    <w:rsid w:val="00020EC8"/>
    <w:rsid w:val="00020F40"/>
    <w:rsid w:val="000220DF"/>
    <w:rsid w:val="0002458F"/>
    <w:rsid w:val="000249C7"/>
    <w:rsid w:val="00026327"/>
    <w:rsid w:val="000316D9"/>
    <w:rsid w:val="000334D9"/>
    <w:rsid w:val="0003365F"/>
    <w:rsid w:val="00033CE6"/>
    <w:rsid w:val="00035CB9"/>
    <w:rsid w:val="00035FF4"/>
    <w:rsid w:val="00042611"/>
    <w:rsid w:val="000428B8"/>
    <w:rsid w:val="000443ED"/>
    <w:rsid w:val="0004489F"/>
    <w:rsid w:val="00044BBF"/>
    <w:rsid w:val="0004560F"/>
    <w:rsid w:val="00045A9A"/>
    <w:rsid w:val="00046021"/>
    <w:rsid w:val="000466B7"/>
    <w:rsid w:val="00051499"/>
    <w:rsid w:val="00051D9A"/>
    <w:rsid w:val="000531A0"/>
    <w:rsid w:val="000544D7"/>
    <w:rsid w:val="000552F9"/>
    <w:rsid w:val="000553A2"/>
    <w:rsid w:val="00057B05"/>
    <w:rsid w:val="00057C7F"/>
    <w:rsid w:val="00061960"/>
    <w:rsid w:val="00063B84"/>
    <w:rsid w:val="00064245"/>
    <w:rsid w:val="000650DB"/>
    <w:rsid w:val="0006510D"/>
    <w:rsid w:val="00067E12"/>
    <w:rsid w:val="000726B3"/>
    <w:rsid w:val="00072BAE"/>
    <w:rsid w:val="0007664C"/>
    <w:rsid w:val="00081DB8"/>
    <w:rsid w:val="000840C9"/>
    <w:rsid w:val="00085121"/>
    <w:rsid w:val="00087113"/>
    <w:rsid w:val="00091CA8"/>
    <w:rsid w:val="00092F4D"/>
    <w:rsid w:val="0009361E"/>
    <w:rsid w:val="00094E3E"/>
    <w:rsid w:val="00096598"/>
    <w:rsid w:val="00096EA2"/>
    <w:rsid w:val="000A0655"/>
    <w:rsid w:val="000A06CE"/>
    <w:rsid w:val="000A4FD6"/>
    <w:rsid w:val="000A530B"/>
    <w:rsid w:val="000A5332"/>
    <w:rsid w:val="000A56B4"/>
    <w:rsid w:val="000A74B8"/>
    <w:rsid w:val="000A7609"/>
    <w:rsid w:val="000B06CC"/>
    <w:rsid w:val="000B0F25"/>
    <w:rsid w:val="000B4D8E"/>
    <w:rsid w:val="000B56A0"/>
    <w:rsid w:val="000B5A96"/>
    <w:rsid w:val="000C1F99"/>
    <w:rsid w:val="000C2CCB"/>
    <w:rsid w:val="000C30AF"/>
    <w:rsid w:val="000C464B"/>
    <w:rsid w:val="000D4D97"/>
    <w:rsid w:val="000D7012"/>
    <w:rsid w:val="000E149D"/>
    <w:rsid w:val="000E5B4F"/>
    <w:rsid w:val="000F2B81"/>
    <w:rsid w:val="000F61D1"/>
    <w:rsid w:val="000F7B27"/>
    <w:rsid w:val="00100B79"/>
    <w:rsid w:val="001014B5"/>
    <w:rsid w:val="00102125"/>
    <w:rsid w:val="0010392D"/>
    <w:rsid w:val="0010405A"/>
    <w:rsid w:val="00105AD8"/>
    <w:rsid w:val="00106A46"/>
    <w:rsid w:val="0011217B"/>
    <w:rsid w:val="00112DC3"/>
    <w:rsid w:val="00113CE5"/>
    <w:rsid w:val="00115015"/>
    <w:rsid w:val="001152CB"/>
    <w:rsid w:val="00117657"/>
    <w:rsid w:val="001209D0"/>
    <w:rsid w:val="00122343"/>
    <w:rsid w:val="00123DC3"/>
    <w:rsid w:val="001273BB"/>
    <w:rsid w:val="00130321"/>
    <w:rsid w:val="00130B6E"/>
    <w:rsid w:val="001322D0"/>
    <w:rsid w:val="00135211"/>
    <w:rsid w:val="00136E8C"/>
    <w:rsid w:val="001377AB"/>
    <w:rsid w:val="00137B0C"/>
    <w:rsid w:val="00143F8E"/>
    <w:rsid w:val="00144419"/>
    <w:rsid w:val="00145577"/>
    <w:rsid w:val="001466C9"/>
    <w:rsid w:val="0014710B"/>
    <w:rsid w:val="0015237C"/>
    <w:rsid w:val="00154874"/>
    <w:rsid w:val="0015583F"/>
    <w:rsid w:val="00155A59"/>
    <w:rsid w:val="00160D83"/>
    <w:rsid w:val="001615FD"/>
    <w:rsid w:val="001616EA"/>
    <w:rsid w:val="00161D55"/>
    <w:rsid w:val="00161FB5"/>
    <w:rsid w:val="0016339C"/>
    <w:rsid w:val="00164DB3"/>
    <w:rsid w:val="0016671B"/>
    <w:rsid w:val="001670BA"/>
    <w:rsid w:val="00170099"/>
    <w:rsid w:val="0017252A"/>
    <w:rsid w:val="00174C59"/>
    <w:rsid w:val="00174D4B"/>
    <w:rsid w:val="00176189"/>
    <w:rsid w:val="001762E1"/>
    <w:rsid w:val="0017654B"/>
    <w:rsid w:val="00177BC8"/>
    <w:rsid w:val="00181C2F"/>
    <w:rsid w:val="00181C71"/>
    <w:rsid w:val="00184BF0"/>
    <w:rsid w:val="00192398"/>
    <w:rsid w:val="00192D1E"/>
    <w:rsid w:val="0019642A"/>
    <w:rsid w:val="0019663A"/>
    <w:rsid w:val="001978BD"/>
    <w:rsid w:val="001A0465"/>
    <w:rsid w:val="001A5820"/>
    <w:rsid w:val="001A66A1"/>
    <w:rsid w:val="001B1A5E"/>
    <w:rsid w:val="001B1C75"/>
    <w:rsid w:val="001B26A8"/>
    <w:rsid w:val="001B3992"/>
    <w:rsid w:val="001C0A47"/>
    <w:rsid w:val="001C0EB4"/>
    <w:rsid w:val="001C107E"/>
    <w:rsid w:val="001C412F"/>
    <w:rsid w:val="001C5361"/>
    <w:rsid w:val="001C57D7"/>
    <w:rsid w:val="001C75F3"/>
    <w:rsid w:val="001D26A2"/>
    <w:rsid w:val="001D3A4A"/>
    <w:rsid w:val="001D3D4C"/>
    <w:rsid w:val="001D5975"/>
    <w:rsid w:val="001D6F3C"/>
    <w:rsid w:val="001E0F4E"/>
    <w:rsid w:val="001E4F11"/>
    <w:rsid w:val="001E6DC0"/>
    <w:rsid w:val="001E7EE9"/>
    <w:rsid w:val="001F0E5F"/>
    <w:rsid w:val="001F289E"/>
    <w:rsid w:val="001F3A79"/>
    <w:rsid w:val="001F49DC"/>
    <w:rsid w:val="001F6D76"/>
    <w:rsid w:val="0020110F"/>
    <w:rsid w:val="0020219F"/>
    <w:rsid w:val="002051EA"/>
    <w:rsid w:val="002064BE"/>
    <w:rsid w:val="00206872"/>
    <w:rsid w:val="00206BA0"/>
    <w:rsid w:val="00207146"/>
    <w:rsid w:val="0021210A"/>
    <w:rsid w:val="0021228B"/>
    <w:rsid w:val="002140E2"/>
    <w:rsid w:val="00215B96"/>
    <w:rsid w:val="002178BB"/>
    <w:rsid w:val="0022287B"/>
    <w:rsid w:val="00223C85"/>
    <w:rsid w:val="00223D46"/>
    <w:rsid w:val="00223FF2"/>
    <w:rsid w:val="00224F84"/>
    <w:rsid w:val="002328D2"/>
    <w:rsid w:val="00233E7A"/>
    <w:rsid w:val="00233FBD"/>
    <w:rsid w:val="00236289"/>
    <w:rsid w:val="00237297"/>
    <w:rsid w:val="00240063"/>
    <w:rsid w:val="002408C6"/>
    <w:rsid w:val="002421A0"/>
    <w:rsid w:val="00242A78"/>
    <w:rsid w:val="00243EE9"/>
    <w:rsid w:val="00244A4B"/>
    <w:rsid w:val="00245025"/>
    <w:rsid w:val="0024535E"/>
    <w:rsid w:val="00245B91"/>
    <w:rsid w:val="00246816"/>
    <w:rsid w:val="0025209B"/>
    <w:rsid w:val="00252201"/>
    <w:rsid w:val="0025557E"/>
    <w:rsid w:val="002562FC"/>
    <w:rsid w:val="002563A2"/>
    <w:rsid w:val="002577B5"/>
    <w:rsid w:val="0026194F"/>
    <w:rsid w:val="00262900"/>
    <w:rsid w:val="002634B2"/>
    <w:rsid w:val="00263BA2"/>
    <w:rsid w:val="00264717"/>
    <w:rsid w:val="00266C9E"/>
    <w:rsid w:val="0027206D"/>
    <w:rsid w:val="00275359"/>
    <w:rsid w:val="00275E96"/>
    <w:rsid w:val="00277217"/>
    <w:rsid w:val="00281F14"/>
    <w:rsid w:val="002822FD"/>
    <w:rsid w:val="002837DB"/>
    <w:rsid w:val="00284F05"/>
    <w:rsid w:val="00286252"/>
    <w:rsid w:val="002867DA"/>
    <w:rsid w:val="00286C59"/>
    <w:rsid w:val="002876C5"/>
    <w:rsid w:val="00287B9B"/>
    <w:rsid w:val="00290DFC"/>
    <w:rsid w:val="00291A70"/>
    <w:rsid w:val="00291F6F"/>
    <w:rsid w:val="002A026B"/>
    <w:rsid w:val="002A128B"/>
    <w:rsid w:val="002A56B9"/>
    <w:rsid w:val="002A6244"/>
    <w:rsid w:val="002A713D"/>
    <w:rsid w:val="002B2425"/>
    <w:rsid w:val="002B3A89"/>
    <w:rsid w:val="002B6101"/>
    <w:rsid w:val="002B7440"/>
    <w:rsid w:val="002B7485"/>
    <w:rsid w:val="002B79B0"/>
    <w:rsid w:val="002C58B7"/>
    <w:rsid w:val="002D008B"/>
    <w:rsid w:val="002D1959"/>
    <w:rsid w:val="002D1A5D"/>
    <w:rsid w:val="002D258B"/>
    <w:rsid w:val="002D3F06"/>
    <w:rsid w:val="002D5959"/>
    <w:rsid w:val="002D64DE"/>
    <w:rsid w:val="002D662B"/>
    <w:rsid w:val="002E2E88"/>
    <w:rsid w:val="002E3186"/>
    <w:rsid w:val="002E3951"/>
    <w:rsid w:val="002E44E2"/>
    <w:rsid w:val="002E5CE9"/>
    <w:rsid w:val="002E7746"/>
    <w:rsid w:val="002E7AA6"/>
    <w:rsid w:val="002E7C97"/>
    <w:rsid w:val="002F0416"/>
    <w:rsid w:val="002F2F7F"/>
    <w:rsid w:val="002F362C"/>
    <w:rsid w:val="002F7BC3"/>
    <w:rsid w:val="003017FA"/>
    <w:rsid w:val="003060BE"/>
    <w:rsid w:val="00306349"/>
    <w:rsid w:val="0030664E"/>
    <w:rsid w:val="00307B81"/>
    <w:rsid w:val="003101AB"/>
    <w:rsid w:val="00310AE5"/>
    <w:rsid w:val="00312C19"/>
    <w:rsid w:val="00316278"/>
    <w:rsid w:val="00316613"/>
    <w:rsid w:val="00316F99"/>
    <w:rsid w:val="00317E9B"/>
    <w:rsid w:val="00320909"/>
    <w:rsid w:val="00320D74"/>
    <w:rsid w:val="003210BC"/>
    <w:rsid w:val="003224DA"/>
    <w:rsid w:val="003249A1"/>
    <w:rsid w:val="00330D98"/>
    <w:rsid w:val="00331B26"/>
    <w:rsid w:val="00331E47"/>
    <w:rsid w:val="00332028"/>
    <w:rsid w:val="00332BEA"/>
    <w:rsid w:val="00334194"/>
    <w:rsid w:val="00341C0A"/>
    <w:rsid w:val="00341FDD"/>
    <w:rsid w:val="00342357"/>
    <w:rsid w:val="00353E98"/>
    <w:rsid w:val="00355240"/>
    <w:rsid w:val="00355653"/>
    <w:rsid w:val="003560F3"/>
    <w:rsid w:val="00361F05"/>
    <w:rsid w:val="00362152"/>
    <w:rsid w:val="00363857"/>
    <w:rsid w:val="00364278"/>
    <w:rsid w:val="00364C9D"/>
    <w:rsid w:val="00366CE5"/>
    <w:rsid w:val="00370109"/>
    <w:rsid w:val="00372A52"/>
    <w:rsid w:val="003741E9"/>
    <w:rsid w:val="0037444A"/>
    <w:rsid w:val="003759A0"/>
    <w:rsid w:val="00385971"/>
    <w:rsid w:val="00385C7A"/>
    <w:rsid w:val="00385F25"/>
    <w:rsid w:val="00387070"/>
    <w:rsid w:val="00390209"/>
    <w:rsid w:val="00396845"/>
    <w:rsid w:val="003A24E3"/>
    <w:rsid w:val="003A3D38"/>
    <w:rsid w:val="003A478C"/>
    <w:rsid w:val="003A5165"/>
    <w:rsid w:val="003B1480"/>
    <w:rsid w:val="003B24D0"/>
    <w:rsid w:val="003B2EAB"/>
    <w:rsid w:val="003B3011"/>
    <w:rsid w:val="003B3F95"/>
    <w:rsid w:val="003B7A7B"/>
    <w:rsid w:val="003C48E7"/>
    <w:rsid w:val="003C4F41"/>
    <w:rsid w:val="003C509B"/>
    <w:rsid w:val="003C5B60"/>
    <w:rsid w:val="003C7811"/>
    <w:rsid w:val="003D0EDB"/>
    <w:rsid w:val="003D1C09"/>
    <w:rsid w:val="003D3880"/>
    <w:rsid w:val="003D4DDB"/>
    <w:rsid w:val="003D5311"/>
    <w:rsid w:val="003D552A"/>
    <w:rsid w:val="003D69F8"/>
    <w:rsid w:val="003E2E3F"/>
    <w:rsid w:val="003E359A"/>
    <w:rsid w:val="003E399E"/>
    <w:rsid w:val="003E5B96"/>
    <w:rsid w:val="003F0A07"/>
    <w:rsid w:val="003F1AAA"/>
    <w:rsid w:val="003F1F84"/>
    <w:rsid w:val="003F5025"/>
    <w:rsid w:val="003F5C11"/>
    <w:rsid w:val="00401556"/>
    <w:rsid w:val="00402DAD"/>
    <w:rsid w:val="004052E9"/>
    <w:rsid w:val="00405EA1"/>
    <w:rsid w:val="0040777B"/>
    <w:rsid w:val="0041228A"/>
    <w:rsid w:val="00412B25"/>
    <w:rsid w:val="004137C2"/>
    <w:rsid w:val="00413C98"/>
    <w:rsid w:val="0041431D"/>
    <w:rsid w:val="004172EA"/>
    <w:rsid w:val="00417464"/>
    <w:rsid w:val="004218B7"/>
    <w:rsid w:val="00422609"/>
    <w:rsid w:val="00423197"/>
    <w:rsid w:val="00423B9F"/>
    <w:rsid w:val="00423CD9"/>
    <w:rsid w:val="0042642B"/>
    <w:rsid w:val="004271F8"/>
    <w:rsid w:val="00427E29"/>
    <w:rsid w:val="00431376"/>
    <w:rsid w:val="00432581"/>
    <w:rsid w:val="0043398F"/>
    <w:rsid w:val="00433CC3"/>
    <w:rsid w:val="004343A0"/>
    <w:rsid w:val="00436097"/>
    <w:rsid w:val="0043678F"/>
    <w:rsid w:val="00437B64"/>
    <w:rsid w:val="00441DD0"/>
    <w:rsid w:val="0044437B"/>
    <w:rsid w:val="004447C8"/>
    <w:rsid w:val="004461AD"/>
    <w:rsid w:val="004469A1"/>
    <w:rsid w:val="00450D59"/>
    <w:rsid w:val="00451107"/>
    <w:rsid w:val="00454485"/>
    <w:rsid w:val="00462441"/>
    <w:rsid w:val="00463505"/>
    <w:rsid w:val="004638DE"/>
    <w:rsid w:val="00463D1A"/>
    <w:rsid w:val="00472361"/>
    <w:rsid w:val="00472BE7"/>
    <w:rsid w:val="0047353A"/>
    <w:rsid w:val="00477454"/>
    <w:rsid w:val="00477B25"/>
    <w:rsid w:val="00480FBE"/>
    <w:rsid w:val="00483E68"/>
    <w:rsid w:val="0048405D"/>
    <w:rsid w:val="0048559B"/>
    <w:rsid w:val="004855A8"/>
    <w:rsid w:val="00492EA0"/>
    <w:rsid w:val="00493182"/>
    <w:rsid w:val="004A0822"/>
    <w:rsid w:val="004A4193"/>
    <w:rsid w:val="004A4328"/>
    <w:rsid w:val="004A5182"/>
    <w:rsid w:val="004A6067"/>
    <w:rsid w:val="004B49AA"/>
    <w:rsid w:val="004B782C"/>
    <w:rsid w:val="004C18D4"/>
    <w:rsid w:val="004C1ED9"/>
    <w:rsid w:val="004C4BC4"/>
    <w:rsid w:val="004C4ED6"/>
    <w:rsid w:val="004C5624"/>
    <w:rsid w:val="004D05CA"/>
    <w:rsid w:val="004D1351"/>
    <w:rsid w:val="004D2E19"/>
    <w:rsid w:val="004D4111"/>
    <w:rsid w:val="004E1D48"/>
    <w:rsid w:val="004E2439"/>
    <w:rsid w:val="004E536F"/>
    <w:rsid w:val="004E5999"/>
    <w:rsid w:val="004E5FAD"/>
    <w:rsid w:val="004F0952"/>
    <w:rsid w:val="004F24C9"/>
    <w:rsid w:val="004F4C06"/>
    <w:rsid w:val="004F4E6E"/>
    <w:rsid w:val="004F557A"/>
    <w:rsid w:val="00500168"/>
    <w:rsid w:val="0050178D"/>
    <w:rsid w:val="0050404A"/>
    <w:rsid w:val="00505A28"/>
    <w:rsid w:val="00507612"/>
    <w:rsid w:val="00512A9E"/>
    <w:rsid w:val="00513308"/>
    <w:rsid w:val="005145C9"/>
    <w:rsid w:val="00516082"/>
    <w:rsid w:val="00516D04"/>
    <w:rsid w:val="00517A8B"/>
    <w:rsid w:val="00521AE6"/>
    <w:rsid w:val="00523137"/>
    <w:rsid w:val="00523995"/>
    <w:rsid w:val="00524818"/>
    <w:rsid w:val="00524F7D"/>
    <w:rsid w:val="005259AB"/>
    <w:rsid w:val="00526469"/>
    <w:rsid w:val="00530F61"/>
    <w:rsid w:val="005318D7"/>
    <w:rsid w:val="005342B6"/>
    <w:rsid w:val="00537888"/>
    <w:rsid w:val="00537E0C"/>
    <w:rsid w:val="00537FF5"/>
    <w:rsid w:val="00545041"/>
    <w:rsid w:val="005453C9"/>
    <w:rsid w:val="005554B5"/>
    <w:rsid w:val="0056073A"/>
    <w:rsid w:val="0056359B"/>
    <w:rsid w:val="00564280"/>
    <w:rsid w:val="005678C7"/>
    <w:rsid w:val="005718BA"/>
    <w:rsid w:val="00571F4E"/>
    <w:rsid w:val="00583508"/>
    <w:rsid w:val="0058602F"/>
    <w:rsid w:val="00586C6A"/>
    <w:rsid w:val="005906E7"/>
    <w:rsid w:val="005925D6"/>
    <w:rsid w:val="00593573"/>
    <w:rsid w:val="00594E54"/>
    <w:rsid w:val="005956D1"/>
    <w:rsid w:val="00595D3F"/>
    <w:rsid w:val="0059611E"/>
    <w:rsid w:val="00596ABC"/>
    <w:rsid w:val="0059711C"/>
    <w:rsid w:val="005A03A6"/>
    <w:rsid w:val="005A4421"/>
    <w:rsid w:val="005A471A"/>
    <w:rsid w:val="005A5281"/>
    <w:rsid w:val="005A567B"/>
    <w:rsid w:val="005A5B2D"/>
    <w:rsid w:val="005A6867"/>
    <w:rsid w:val="005B043F"/>
    <w:rsid w:val="005B0877"/>
    <w:rsid w:val="005B13BF"/>
    <w:rsid w:val="005B3B3B"/>
    <w:rsid w:val="005B473D"/>
    <w:rsid w:val="005B7E6A"/>
    <w:rsid w:val="005C1265"/>
    <w:rsid w:val="005C18A3"/>
    <w:rsid w:val="005C49A8"/>
    <w:rsid w:val="005C659B"/>
    <w:rsid w:val="005C7595"/>
    <w:rsid w:val="005D134B"/>
    <w:rsid w:val="005D4BFF"/>
    <w:rsid w:val="005D5B48"/>
    <w:rsid w:val="005D64BD"/>
    <w:rsid w:val="005D718C"/>
    <w:rsid w:val="005E25A3"/>
    <w:rsid w:val="005E36B6"/>
    <w:rsid w:val="005E521B"/>
    <w:rsid w:val="005E5941"/>
    <w:rsid w:val="005E7AFD"/>
    <w:rsid w:val="005E7DA6"/>
    <w:rsid w:val="005F1B04"/>
    <w:rsid w:val="005F1E8E"/>
    <w:rsid w:val="005F3A25"/>
    <w:rsid w:val="005F62CB"/>
    <w:rsid w:val="005F70E1"/>
    <w:rsid w:val="00601E7C"/>
    <w:rsid w:val="006020F1"/>
    <w:rsid w:val="00602D72"/>
    <w:rsid w:val="00603437"/>
    <w:rsid w:val="00612ACB"/>
    <w:rsid w:val="00612B3A"/>
    <w:rsid w:val="00613776"/>
    <w:rsid w:val="00614B90"/>
    <w:rsid w:val="00617DB3"/>
    <w:rsid w:val="006209FB"/>
    <w:rsid w:val="0062564A"/>
    <w:rsid w:val="0063056A"/>
    <w:rsid w:val="00630640"/>
    <w:rsid w:val="006306D9"/>
    <w:rsid w:val="006326CD"/>
    <w:rsid w:val="006330D2"/>
    <w:rsid w:val="00640CB3"/>
    <w:rsid w:val="0064164C"/>
    <w:rsid w:val="00643A5F"/>
    <w:rsid w:val="006445C6"/>
    <w:rsid w:val="006455B2"/>
    <w:rsid w:val="006502F3"/>
    <w:rsid w:val="00650972"/>
    <w:rsid w:val="00651510"/>
    <w:rsid w:val="00652FA5"/>
    <w:rsid w:val="00656AC3"/>
    <w:rsid w:val="00660112"/>
    <w:rsid w:val="00662431"/>
    <w:rsid w:val="006639B5"/>
    <w:rsid w:val="00663A28"/>
    <w:rsid w:val="00664CBF"/>
    <w:rsid w:val="00665AAB"/>
    <w:rsid w:val="00666949"/>
    <w:rsid w:val="00670A8A"/>
    <w:rsid w:val="0067147E"/>
    <w:rsid w:val="00671D9B"/>
    <w:rsid w:val="006750B0"/>
    <w:rsid w:val="006769E4"/>
    <w:rsid w:val="0068066F"/>
    <w:rsid w:val="00683975"/>
    <w:rsid w:val="00683EA3"/>
    <w:rsid w:val="0068494B"/>
    <w:rsid w:val="00691ECD"/>
    <w:rsid w:val="00697949"/>
    <w:rsid w:val="006A1FAF"/>
    <w:rsid w:val="006A3056"/>
    <w:rsid w:val="006A323F"/>
    <w:rsid w:val="006A353E"/>
    <w:rsid w:val="006A5C98"/>
    <w:rsid w:val="006A778D"/>
    <w:rsid w:val="006A7F7D"/>
    <w:rsid w:val="006B18F0"/>
    <w:rsid w:val="006B2B9B"/>
    <w:rsid w:val="006B46D4"/>
    <w:rsid w:val="006B5409"/>
    <w:rsid w:val="006B6774"/>
    <w:rsid w:val="006C02FD"/>
    <w:rsid w:val="006C1A6B"/>
    <w:rsid w:val="006C240B"/>
    <w:rsid w:val="006C56BD"/>
    <w:rsid w:val="006C5C79"/>
    <w:rsid w:val="006C6A0A"/>
    <w:rsid w:val="006D003F"/>
    <w:rsid w:val="006D0E8F"/>
    <w:rsid w:val="006D328D"/>
    <w:rsid w:val="006D3D10"/>
    <w:rsid w:val="006D61B9"/>
    <w:rsid w:val="006E03D3"/>
    <w:rsid w:val="006E040B"/>
    <w:rsid w:val="006E161A"/>
    <w:rsid w:val="006E31DB"/>
    <w:rsid w:val="006E6986"/>
    <w:rsid w:val="006E6AE9"/>
    <w:rsid w:val="006E6ECE"/>
    <w:rsid w:val="006E706C"/>
    <w:rsid w:val="006F3079"/>
    <w:rsid w:val="006F4FAC"/>
    <w:rsid w:val="006F7E6D"/>
    <w:rsid w:val="00700E50"/>
    <w:rsid w:val="007016DE"/>
    <w:rsid w:val="007056D4"/>
    <w:rsid w:val="00706007"/>
    <w:rsid w:val="00707602"/>
    <w:rsid w:val="007078F0"/>
    <w:rsid w:val="00707A0E"/>
    <w:rsid w:val="0071014C"/>
    <w:rsid w:val="00714906"/>
    <w:rsid w:val="00714AFB"/>
    <w:rsid w:val="00720820"/>
    <w:rsid w:val="007263B2"/>
    <w:rsid w:val="007307B0"/>
    <w:rsid w:val="00734CCA"/>
    <w:rsid w:val="0073565B"/>
    <w:rsid w:val="00735943"/>
    <w:rsid w:val="00735F68"/>
    <w:rsid w:val="00737F9D"/>
    <w:rsid w:val="0074200E"/>
    <w:rsid w:val="00742DEC"/>
    <w:rsid w:val="00744567"/>
    <w:rsid w:val="0074630F"/>
    <w:rsid w:val="00750038"/>
    <w:rsid w:val="00751FFC"/>
    <w:rsid w:val="0075410D"/>
    <w:rsid w:val="007555DF"/>
    <w:rsid w:val="00760983"/>
    <w:rsid w:val="007611BB"/>
    <w:rsid w:val="00761FB4"/>
    <w:rsid w:val="00762739"/>
    <w:rsid w:val="007633D5"/>
    <w:rsid w:val="00767BEF"/>
    <w:rsid w:val="00770104"/>
    <w:rsid w:val="00770548"/>
    <w:rsid w:val="007711F6"/>
    <w:rsid w:val="00771DD0"/>
    <w:rsid w:val="0077250E"/>
    <w:rsid w:val="007728CC"/>
    <w:rsid w:val="0077359A"/>
    <w:rsid w:val="007736FA"/>
    <w:rsid w:val="00773D3E"/>
    <w:rsid w:val="007743CF"/>
    <w:rsid w:val="00774758"/>
    <w:rsid w:val="007757A4"/>
    <w:rsid w:val="00781716"/>
    <w:rsid w:val="00784A14"/>
    <w:rsid w:val="0079294F"/>
    <w:rsid w:val="00793929"/>
    <w:rsid w:val="0079568E"/>
    <w:rsid w:val="007968A2"/>
    <w:rsid w:val="007A1B9A"/>
    <w:rsid w:val="007A4419"/>
    <w:rsid w:val="007A6EA3"/>
    <w:rsid w:val="007A7C6B"/>
    <w:rsid w:val="007B394C"/>
    <w:rsid w:val="007B443B"/>
    <w:rsid w:val="007B7463"/>
    <w:rsid w:val="007C11B1"/>
    <w:rsid w:val="007C25AA"/>
    <w:rsid w:val="007C2677"/>
    <w:rsid w:val="007D0138"/>
    <w:rsid w:val="007D1507"/>
    <w:rsid w:val="007D1A02"/>
    <w:rsid w:val="007D3EA2"/>
    <w:rsid w:val="007D5D0F"/>
    <w:rsid w:val="007E1345"/>
    <w:rsid w:val="007E1C60"/>
    <w:rsid w:val="007E2F69"/>
    <w:rsid w:val="007E4636"/>
    <w:rsid w:val="007E5C78"/>
    <w:rsid w:val="007F002F"/>
    <w:rsid w:val="007F0A36"/>
    <w:rsid w:val="007F1144"/>
    <w:rsid w:val="007F1218"/>
    <w:rsid w:val="007F123A"/>
    <w:rsid w:val="007F4DD4"/>
    <w:rsid w:val="007F6623"/>
    <w:rsid w:val="00803CA5"/>
    <w:rsid w:val="008072F2"/>
    <w:rsid w:val="00810542"/>
    <w:rsid w:val="008131BE"/>
    <w:rsid w:val="00814B37"/>
    <w:rsid w:val="00820AD9"/>
    <w:rsid w:val="00821438"/>
    <w:rsid w:val="00824E36"/>
    <w:rsid w:val="00827CF1"/>
    <w:rsid w:val="008301BC"/>
    <w:rsid w:val="0083069C"/>
    <w:rsid w:val="00831CC7"/>
    <w:rsid w:val="00832CB6"/>
    <w:rsid w:val="008340D5"/>
    <w:rsid w:val="00834F4C"/>
    <w:rsid w:val="00842042"/>
    <w:rsid w:val="00842C00"/>
    <w:rsid w:val="00844118"/>
    <w:rsid w:val="00844E9F"/>
    <w:rsid w:val="008457D4"/>
    <w:rsid w:val="008509AE"/>
    <w:rsid w:val="00851213"/>
    <w:rsid w:val="008519D9"/>
    <w:rsid w:val="00851AEB"/>
    <w:rsid w:val="00856251"/>
    <w:rsid w:val="00857397"/>
    <w:rsid w:val="0085747E"/>
    <w:rsid w:val="0086098F"/>
    <w:rsid w:val="008624CC"/>
    <w:rsid w:val="0086377B"/>
    <w:rsid w:val="008637BB"/>
    <w:rsid w:val="00863A7B"/>
    <w:rsid w:val="008640DB"/>
    <w:rsid w:val="00864C26"/>
    <w:rsid w:val="00866C83"/>
    <w:rsid w:val="008700B3"/>
    <w:rsid w:val="008744E4"/>
    <w:rsid w:val="008765C0"/>
    <w:rsid w:val="008824BA"/>
    <w:rsid w:val="00882E20"/>
    <w:rsid w:val="00884029"/>
    <w:rsid w:val="00884A35"/>
    <w:rsid w:val="00885CF8"/>
    <w:rsid w:val="00887E3D"/>
    <w:rsid w:val="00887EFE"/>
    <w:rsid w:val="00887F38"/>
    <w:rsid w:val="00892978"/>
    <w:rsid w:val="00893761"/>
    <w:rsid w:val="0089698B"/>
    <w:rsid w:val="008A062D"/>
    <w:rsid w:val="008A1F6E"/>
    <w:rsid w:val="008A70E1"/>
    <w:rsid w:val="008B22E8"/>
    <w:rsid w:val="008B3124"/>
    <w:rsid w:val="008B3DA7"/>
    <w:rsid w:val="008B4605"/>
    <w:rsid w:val="008B5ED0"/>
    <w:rsid w:val="008B7B3B"/>
    <w:rsid w:val="008B7DA2"/>
    <w:rsid w:val="008C5BDC"/>
    <w:rsid w:val="008C5CD8"/>
    <w:rsid w:val="008C6608"/>
    <w:rsid w:val="008C7548"/>
    <w:rsid w:val="008C75D3"/>
    <w:rsid w:val="008E021F"/>
    <w:rsid w:val="008E2879"/>
    <w:rsid w:val="008E3938"/>
    <w:rsid w:val="008E5ED0"/>
    <w:rsid w:val="008F0FF1"/>
    <w:rsid w:val="008F1B3A"/>
    <w:rsid w:val="008F2543"/>
    <w:rsid w:val="008F2A6B"/>
    <w:rsid w:val="008F2AA9"/>
    <w:rsid w:val="008F2C9F"/>
    <w:rsid w:val="008F61A3"/>
    <w:rsid w:val="00906502"/>
    <w:rsid w:val="00910340"/>
    <w:rsid w:val="009126D6"/>
    <w:rsid w:val="009146D5"/>
    <w:rsid w:val="00914AF4"/>
    <w:rsid w:val="00915388"/>
    <w:rsid w:val="00916F94"/>
    <w:rsid w:val="009175C8"/>
    <w:rsid w:val="00920405"/>
    <w:rsid w:val="009214BB"/>
    <w:rsid w:val="0092213E"/>
    <w:rsid w:val="009224F1"/>
    <w:rsid w:val="009243AC"/>
    <w:rsid w:val="0092490D"/>
    <w:rsid w:val="0092535D"/>
    <w:rsid w:val="009338AC"/>
    <w:rsid w:val="00934C7C"/>
    <w:rsid w:val="00941078"/>
    <w:rsid w:val="00941304"/>
    <w:rsid w:val="009421D3"/>
    <w:rsid w:val="00944E59"/>
    <w:rsid w:val="00947D22"/>
    <w:rsid w:val="00952F8D"/>
    <w:rsid w:val="00955C9A"/>
    <w:rsid w:val="0095607D"/>
    <w:rsid w:val="00956ACB"/>
    <w:rsid w:val="00956C1A"/>
    <w:rsid w:val="00957A29"/>
    <w:rsid w:val="009602CF"/>
    <w:rsid w:val="00960A6E"/>
    <w:rsid w:val="00963BB9"/>
    <w:rsid w:val="0096437A"/>
    <w:rsid w:val="00964E0B"/>
    <w:rsid w:val="00967132"/>
    <w:rsid w:val="00971497"/>
    <w:rsid w:val="00974E97"/>
    <w:rsid w:val="009760BC"/>
    <w:rsid w:val="00976B7A"/>
    <w:rsid w:val="00981523"/>
    <w:rsid w:val="0098424D"/>
    <w:rsid w:val="009859A9"/>
    <w:rsid w:val="0098616B"/>
    <w:rsid w:val="009865EF"/>
    <w:rsid w:val="0098675E"/>
    <w:rsid w:val="00986AAD"/>
    <w:rsid w:val="00987807"/>
    <w:rsid w:val="00987AB1"/>
    <w:rsid w:val="009910CE"/>
    <w:rsid w:val="00991BAD"/>
    <w:rsid w:val="00994B88"/>
    <w:rsid w:val="00994ECE"/>
    <w:rsid w:val="00996052"/>
    <w:rsid w:val="00996765"/>
    <w:rsid w:val="009A1C1D"/>
    <w:rsid w:val="009B4B31"/>
    <w:rsid w:val="009B4E67"/>
    <w:rsid w:val="009B5D2C"/>
    <w:rsid w:val="009C0B22"/>
    <w:rsid w:val="009C0C46"/>
    <w:rsid w:val="009C3B33"/>
    <w:rsid w:val="009C5267"/>
    <w:rsid w:val="009D2B1E"/>
    <w:rsid w:val="009D7D3B"/>
    <w:rsid w:val="009E0935"/>
    <w:rsid w:val="009E372E"/>
    <w:rsid w:val="009E3F63"/>
    <w:rsid w:val="009E59AB"/>
    <w:rsid w:val="009E7F42"/>
    <w:rsid w:val="009F3BB8"/>
    <w:rsid w:val="009F45E3"/>
    <w:rsid w:val="009F5636"/>
    <w:rsid w:val="009F6281"/>
    <w:rsid w:val="009F6A3F"/>
    <w:rsid w:val="00A00A2C"/>
    <w:rsid w:val="00A00BE6"/>
    <w:rsid w:val="00A02491"/>
    <w:rsid w:val="00A12E53"/>
    <w:rsid w:val="00A12F41"/>
    <w:rsid w:val="00A13AD2"/>
    <w:rsid w:val="00A23252"/>
    <w:rsid w:val="00A246AB"/>
    <w:rsid w:val="00A255B8"/>
    <w:rsid w:val="00A2708D"/>
    <w:rsid w:val="00A30252"/>
    <w:rsid w:val="00A33529"/>
    <w:rsid w:val="00A36F40"/>
    <w:rsid w:val="00A3713C"/>
    <w:rsid w:val="00A42874"/>
    <w:rsid w:val="00A44165"/>
    <w:rsid w:val="00A504E8"/>
    <w:rsid w:val="00A53204"/>
    <w:rsid w:val="00A53E60"/>
    <w:rsid w:val="00A575CC"/>
    <w:rsid w:val="00A57C54"/>
    <w:rsid w:val="00A60C40"/>
    <w:rsid w:val="00A628D3"/>
    <w:rsid w:val="00A63E5B"/>
    <w:rsid w:val="00A66DBE"/>
    <w:rsid w:val="00A7258D"/>
    <w:rsid w:val="00A729B9"/>
    <w:rsid w:val="00A72AA8"/>
    <w:rsid w:val="00A72AFA"/>
    <w:rsid w:val="00A72B2E"/>
    <w:rsid w:val="00A73AFE"/>
    <w:rsid w:val="00A73E00"/>
    <w:rsid w:val="00A7412D"/>
    <w:rsid w:val="00A741C7"/>
    <w:rsid w:val="00A75517"/>
    <w:rsid w:val="00A75CEC"/>
    <w:rsid w:val="00A76D90"/>
    <w:rsid w:val="00A7798D"/>
    <w:rsid w:val="00A807DD"/>
    <w:rsid w:val="00A814AD"/>
    <w:rsid w:val="00A91914"/>
    <w:rsid w:val="00A92D0F"/>
    <w:rsid w:val="00A93373"/>
    <w:rsid w:val="00A93F17"/>
    <w:rsid w:val="00A96B10"/>
    <w:rsid w:val="00A97296"/>
    <w:rsid w:val="00A9749D"/>
    <w:rsid w:val="00A975ED"/>
    <w:rsid w:val="00AA02B9"/>
    <w:rsid w:val="00AA60F1"/>
    <w:rsid w:val="00AA7959"/>
    <w:rsid w:val="00AB0FA7"/>
    <w:rsid w:val="00AB3524"/>
    <w:rsid w:val="00AC3742"/>
    <w:rsid w:val="00AC50C1"/>
    <w:rsid w:val="00AC515D"/>
    <w:rsid w:val="00AC5545"/>
    <w:rsid w:val="00AC5A91"/>
    <w:rsid w:val="00AC5B3A"/>
    <w:rsid w:val="00AC6446"/>
    <w:rsid w:val="00AC7D2B"/>
    <w:rsid w:val="00AD03BD"/>
    <w:rsid w:val="00AD0556"/>
    <w:rsid w:val="00AD0C11"/>
    <w:rsid w:val="00AD220C"/>
    <w:rsid w:val="00AD303F"/>
    <w:rsid w:val="00AD35D2"/>
    <w:rsid w:val="00AD523E"/>
    <w:rsid w:val="00AD5C58"/>
    <w:rsid w:val="00AD771F"/>
    <w:rsid w:val="00AE14FC"/>
    <w:rsid w:val="00AF3C0C"/>
    <w:rsid w:val="00B01C6D"/>
    <w:rsid w:val="00B02CAA"/>
    <w:rsid w:val="00B03FEB"/>
    <w:rsid w:val="00B11846"/>
    <w:rsid w:val="00B11B5E"/>
    <w:rsid w:val="00B1263C"/>
    <w:rsid w:val="00B16A0F"/>
    <w:rsid w:val="00B16BC4"/>
    <w:rsid w:val="00B20A12"/>
    <w:rsid w:val="00B20DD0"/>
    <w:rsid w:val="00B23E13"/>
    <w:rsid w:val="00B24192"/>
    <w:rsid w:val="00B253B0"/>
    <w:rsid w:val="00B26D74"/>
    <w:rsid w:val="00B3261A"/>
    <w:rsid w:val="00B32667"/>
    <w:rsid w:val="00B33467"/>
    <w:rsid w:val="00B33519"/>
    <w:rsid w:val="00B33F51"/>
    <w:rsid w:val="00B343B5"/>
    <w:rsid w:val="00B35AB1"/>
    <w:rsid w:val="00B368C3"/>
    <w:rsid w:val="00B4005D"/>
    <w:rsid w:val="00B412BE"/>
    <w:rsid w:val="00B41DF9"/>
    <w:rsid w:val="00B42A7C"/>
    <w:rsid w:val="00B42CE3"/>
    <w:rsid w:val="00B44935"/>
    <w:rsid w:val="00B46025"/>
    <w:rsid w:val="00B51681"/>
    <w:rsid w:val="00B527E3"/>
    <w:rsid w:val="00B52B99"/>
    <w:rsid w:val="00B626C6"/>
    <w:rsid w:val="00B626CA"/>
    <w:rsid w:val="00B631CC"/>
    <w:rsid w:val="00B64388"/>
    <w:rsid w:val="00B67EB7"/>
    <w:rsid w:val="00B7268E"/>
    <w:rsid w:val="00B81212"/>
    <w:rsid w:val="00B813A4"/>
    <w:rsid w:val="00B82B0C"/>
    <w:rsid w:val="00B85ACB"/>
    <w:rsid w:val="00B862FF"/>
    <w:rsid w:val="00B870CA"/>
    <w:rsid w:val="00B9349E"/>
    <w:rsid w:val="00B953E3"/>
    <w:rsid w:val="00BA1533"/>
    <w:rsid w:val="00BA18A3"/>
    <w:rsid w:val="00BA1AA2"/>
    <w:rsid w:val="00BA3777"/>
    <w:rsid w:val="00BA45AE"/>
    <w:rsid w:val="00BA695B"/>
    <w:rsid w:val="00BA6B3A"/>
    <w:rsid w:val="00BB00EE"/>
    <w:rsid w:val="00BB09F8"/>
    <w:rsid w:val="00BB10A9"/>
    <w:rsid w:val="00BB2092"/>
    <w:rsid w:val="00BB34A9"/>
    <w:rsid w:val="00BB3B85"/>
    <w:rsid w:val="00BB53A8"/>
    <w:rsid w:val="00BC1BB0"/>
    <w:rsid w:val="00BC2ADC"/>
    <w:rsid w:val="00BC4378"/>
    <w:rsid w:val="00BC47BD"/>
    <w:rsid w:val="00BC4A3A"/>
    <w:rsid w:val="00BC4CCA"/>
    <w:rsid w:val="00BC7022"/>
    <w:rsid w:val="00BC7CFB"/>
    <w:rsid w:val="00BD00B1"/>
    <w:rsid w:val="00BD43BC"/>
    <w:rsid w:val="00BD5446"/>
    <w:rsid w:val="00BD5F51"/>
    <w:rsid w:val="00BD6E63"/>
    <w:rsid w:val="00BD7AE7"/>
    <w:rsid w:val="00BD7C1F"/>
    <w:rsid w:val="00BE30F7"/>
    <w:rsid w:val="00BE5F0E"/>
    <w:rsid w:val="00BF2EAD"/>
    <w:rsid w:val="00BF3ECE"/>
    <w:rsid w:val="00BF4408"/>
    <w:rsid w:val="00BF708E"/>
    <w:rsid w:val="00C0217E"/>
    <w:rsid w:val="00C030CA"/>
    <w:rsid w:val="00C035FC"/>
    <w:rsid w:val="00C038AD"/>
    <w:rsid w:val="00C03A20"/>
    <w:rsid w:val="00C03CB2"/>
    <w:rsid w:val="00C04AE5"/>
    <w:rsid w:val="00C06F1F"/>
    <w:rsid w:val="00C071C0"/>
    <w:rsid w:val="00C10DA9"/>
    <w:rsid w:val="00C11BD7"/>
    <w:rsid w:val="00C11F21"/>
    <w:rsid w:val="00C13AFE"/>
    <w:rsid w:val="00C14371"/>
    <w:rsid w:val="00C166DE"/>
    <w:rsid w:val="00C21260"/>
    <w:rsid w:val="00C2452D"/>
    <w:rsid w:val="00C24B3C"/>
    <w:rsid w:val="00C25F46"/>
    <w:rsid w:val="00C27D45"/>
    <w:rsid w:val="00C31D77"/>
    <w:rsid w:val="00C32AE1"/>
    <w:rsid w:val="00C349A0"/>
    <w:rsid w:val="00C36FB1"/>
    <w:rsid w:val="00C407EB"/>
    <w:rsid w:val="00C44417"/>
    <w:rsid w:val="00C47787"/>
    <w:rsid w:val="00C50873"/>
    <w:rsid w:val="00C50A04"/>
    <w:rsid w:val="00C51675"/>
    <w:rsid w:val="00C571DD"/>
    <w:rsid w:val="00C6203B"/>
    <w:rsid w:val="00C642E9"/>
    <w:rsid w:val="00C64C5F"/>
    <w:rsid w:val="00C70DF0"/>
    <w:rsid w:val="00C72F47"/>
    <w:rsid w:val="00C75D2C"/>
    <w:rsid w:val="00C7646A"/>
    <w:rsid w:val="00C77941"/>
    <w:rsid w:val="00C77D37"/>
    <w:rsid w:val="00C80A1A"/>
    <w:rsid w:val="00C80B0B"/>
    <w:rsid w:val="00C81DD9"/>
    <w:rsid w:val="00C84FA9"/>
    <w:rsid w:val="00C85B0B"/>
    <w:rsid w:val="00C86A6F"/>
    <w:rsid w:val="00C871EC"/>
    <w:rsid w:val="00C90BB4"/>
    <w:rsid w:val="00C924CA"/>
    <w:rsid w:val="00C953B2"/>
    <w:rsid w:val="00C95BFC"/>
    <w:rsid w:val="00C95DCB"/>
    <w:rsid w:val="00C96FC1"/>
    <w:rsid w:val="00CA0B8C"/>
    <w:rsid w:val="00CA0EB6"/>
    <w:rsid w:val="00CA20BB"/>
    <w:rsid w:val="00CA3A26"/>
    <w:rsid w:val="00CA4960"/>
    <w:rsid w:val="00CA5688"/>
    <w:rsid w:val="00CA5D04"/>
    <w:rsid w:val="00CA7447"/>
    <w:rsid w:val="00CA7F4B"/>
    <w:rsid w:val="00CB0D37"/>
    <w:rsid w:val="00CB2F70"/>
    <w:rsid w:val="00CB433C"/>
    <w:rsid w:val="00CB4E03"/>
    <w:rsid w:val="00CB53A6"/>
    <w:rsid w:val="00CB6521"/>
    <w:rsid w:val="00CB7467"/>
    <w:rsid w:val="00CC0A38"/>
    <w:rsid w:val="00CC1196"/>
    <w:rsid w:val="00CC1B25"/>
    <w:rsid w:val="00CC1D85"/>
    <w:rsid w:val="00CC2614"/>
    <w:rsid w:val="00CC3CC1"/>
    <w:rsid w:val="00CC6D7F"/>
    <w:rsid w:val="00CD22CF"/>
    <w:rsid w:val="00CD48C0"/>
    <w:rsid w:val="00CD5326"/>
    <w:rsid w:val="00CD6696"/>
    <w:rsid w:val="00CE0E6E"/>
    <w:rsid w:val="00CE0FBD"/>
    <w:rsid w:val="00CE22F5"/>
    <w:rsid w:val="00CE4145"/>
    <w:rsid w:val="00CE443B"/>
    <w:rsid w:val="00CE4F7E"/>
    <w:rsid w:val="00CE7280"/>
    <w:rsid w:val="00CE79B6"/>
    <w:rsid w:val="00CF0AB3"/>
    <w:rsid w:val="00CF2988"/>
    <w:rsid w:val="00CF390C"/>
    <w:rsid w:val="00D04C8D"/>
    <w:rsid w:val="00D05640"/>
    <w:rsid w:val="00D062AA"/>
    <w:rsid w:val="00D06A7B"/>
    <w:rsid w:val="00D07F2C"/>
    <w:rsid w:val="00D10A5F"/>
    <w:rsid w:val="00D14920"/>
    <w:rsid w:val="00D16ABD"/>
    <w:rsid w:val="00D17368"/>
    <w:rsid w:val="00D175EA"/>
    <w:rsid w:val="00D20045"/>
    <w:rsid w:val="00D22C4F"/>
    <w:rsid w:val="00D236B7"/>
    <w:rsid w:val="00D24E5D"/>
    <w:rsid w:val="00D25C78"/>
    <w:rsid w:val="00D2624F"/>
    <w:rsid w:val="00D26651"/>
    <w:rsid w:val="00D26A01"/>
    <w:rsid w:val="00D271E3"/>
    <w:rsid w:val="00D30C41"/>
    <w:rsid w:val="00D3147A"/>
    <w:rsid w:val="00D3364C"/>
    <w:rsid w:val="00D34060"/>
    <w:rsid w:val="00D3496A"/>
    <w:rsid w:val="00D355B1"/>
    <w:rsid w:val="00D37511"/>
    <w:rsid w:val="00D37954"/>
    <w:rsid w:val="00D431F3"/>
    <w:rsid w:val="00D46D46"/>
    <w:rsid w:val="00D51F90"/>
    <w:rsid w:val="00D56467"/>
    <w:rsid w:val="00D60F3C"/>
    <w:rsid w:val="00D61DEB"/>
    <w:rsid w:val="00D622C7"/>
    <w:rsid w:val="00D65423"/>
    <w:rsid w:val="00D66587"/>
    <w:rsid w:val="00D66BD5"/>
    <w:rsid w:val="00D67266"/>
    <w:rsid w:val="00D67BFC"/>
    <w:rsid w:val="00D67E37"/>
    <w:rsid w:val="00D72C90"/>
    <w:rsid w:val="00D80B52"/>
    <w:rsid w:val="00D864E1"/>
    <w:rsid w:val="00D87EC9"/>
    <w:rsid w:val="00D9045A"/>
    <w:rsid w:val="00D9164F"/>
    <w:rsid w:val="00D92625"/>
    <w:rsid w:val="00D94D5B"/>
    <w:rsid w:val="00DA0A7D"/>
    <w:rsid w:val="00DA4816"/>
    <w:rsid w:val="00DA5FE2"/>
    <w:rsid w:val="00DA6222"/>
    <w:rsid w:val="00DB3F71"/>
    <w:rsid w:val="00DB42EB"/>
    <w:rsid w:val="00DB52E9"/>
    <w:rsid w:val="00DB65C4"/>
    <w:rsid w:val="00DB7460"/>
    <w:rsid w:val="00DC09AF"/>
    <w:rsid w:val="00DC168E"/>
    <w:rsid w:val="00DC18E9"/>
    <w:rsid w:val="00DC2A2C"/>
    <w:rsid w:val="00DC4529"/>
    <w:rsid w:val="00DC4C7F"/>
    <w:rsid w:val="00DC51D0"/>
    <w:rsid w:val="00DC5F95"/>
    <w:rsid w:val="00DC793B"/>
    <w:rsid w:val="00DD0AE2"/>
    <w:rsid w:val="00DD2B2C"/>
    <w:rsid w:val="00DD4881"/>
    <w:rsid w:val="00DD4F18"/>
    <w:rsid w:val="00DD7BD0"/>
    <w:rsid w:val="00DE1789"/>
    <w:rsid w:val="00DE279D"/>
    <w:rsid w:val="00DE3522"/>
    <w:rsid w:val="00DE37A1"/>
    <w:rsid w:val="00DE3C92"/>
    <w:rsid w:val="00DE5259"/>
    <w:rsid w:val="00DE7512"/>
    <w:rsid w:val="00DF0AEC"/>
    <w:rsid w:val="00DF0B54"/>
    <w:rsid w:val="00DF0D42"/>
    <w:rsid w:val="00DF0F3D"/>
    <w:rsid w:val="00DF36D6"/>
    <w:rsid w:val="00DF68F2"/>
    <w:rsid w:val="00E016B2"/>
    <w:rsid w:val="00E060D9"/>
    <w:rsid w:val="00E060F2"/>
    <w:rsid w:val="00E06268"/>
    <w:rsid w:val="00E0626D"/>
    <w:rsid w:val="00E10E96"/>
    <w:rsid w:val="00E119C0"/>
    <w:rsid w:val="00E11F88"/>
    <w:rsid w:val="00E1342B"/>
    <w:rsid w:val="00E15995"/>
    <w:rsid w:val="00E17807"/>
    <w:rsid w:val="00E22032"/>
    <w:rsid w:val="00E22323"/>
    <w:rsid w:val="00E24238"/>
    <w:rsid w:val="00E26652"/>
    <w:rsid w:val="00E27AE1"/>
    <w:rsid w:val="00E34CD0"/>
    <w:rsid w:val="00E35378"/>
    <w:rsid w:val="00E35750"/>
    <w:rsid w:val="00E4117E"/>
    <w:rsid w:val="00E43059"/>
    <w:rsid w:val="00E50C2B"/>
    <w:rsid w:val="00E51457"/>
    <w:rsid w:val="00E5146C"/>
    <w:rsid w:val="00E53C94"/>
    <w:rsid w:val="00E53CC5"/>
    <w:rsid w:val="00E5455E"/>
    <w:rsid w:val="00E54754"/>
    <w:rsid w:val="00E55DD7"/>
    <w:rsid w:val="00E5764C"/>
    <w:rsid w:val="00E57A2A"/>
    <w:rsid w:val="00E60384"/>
    <w:rsid w:val="00E60C7F"/>
    <w:rsid w:val="00E60F72"/>
    <w:rsid w:val="00E62B43"/>
    <w:rsid w:val="00E62FCE"/>
    <w:rsid w:val="00E63A4A"/>
    <w:rsid w:val="00E65A32"/>
    <w:rsid w:val="00E67B24"/>
    <w:rsid w:val="00E703A6"/>
    <w:rsid w:val="00E70DB7"/>
    <w:rsid w:val="00E7150E"/>
    <w:rsid w:val="00E71C3D"/>
    <w:rsid w:val="00E7424D"/>
    <w:rsid w:val="00E76662"/>
    <w:rsid w:val="00E77201"/>
    <w:rsid w:val="00E801C9"/>
    <w:rsid w:val="00E80367"/>
    <w:rsid w:val="00E824C0"/>
    <w:rsid w:val="00E8674C"/>
    <w:rsid w:val="00E9029A"/>
    <w:rsid w:val="00E916F6"/>
    <w:rsid w:val="00E93AA1"/>
    <w:rsid w:val="00E9687F"/>
    <w:rsid w:val="00EA07DB"/>
    <w:rsid w:val="00EA21FD"/>
    <w:rsid w:val="00EA25CE"/>
    <w:rsid w:val="00EA2EF1"/>
    <w:rsid w:val="00EA2F29"/>
    <w:rsid w:val="00EA31DE"/>
    <w:rsid w:val="00EA38E2"/>
    <w:rsid w:val="00EA5497"/>
    <w:rsid w:val="00EA6533"/>
    <w:rsid w:val="00EA68E3"/>
    <w:rsid w:val="00EB0EA2"/>
    <w:rsid w:val="00EB144F"/>
    <w:rsid w:val="00EB2EA2"/>
    <w:rsid w:val="00EB44CB"/>
    <w:rsid w:val="00EB570F"/>
    <w:rsid w:val="00EB67AF"/>
    <w:rsid w:val="00EC20DF"/>
    <w:rsid w:val="00EC23C9"/>
    <w:rsid w:val="00EC337C"/>
    <w:rsid w:val="00EC381E"/>
    <w:rsid w:val="00EC4DD5"/>
    <w:rsid w:val="00EC4F0B"/>
    <w:rsid w:val="00ED018F"/>
    <w:rsid w:val="00ED12F6"/>
    <w:rsid w:val="00ED2250"/>
    <w:rsid w:val="00ED2C00"/>
    <w:rsid w:val="00ED493A"/>
    <w:rsid w:val="00ED4B82"/>
    <w:rsid w:val="00EE1A82"/>
    <w:rsid w:val="00EE2457"/>
    <w:rsid w:val="00EE2B93"/>
    <w:rsid w:val="00EE541A"/>
    <w:rsid w:val="00EE5735"/>
    <w:rsid w:val="00EE5C41"/>
    <w:rsid w:val="00EE65CA"/>
    <w:rsid w:val="00EF199E"/>
    <w:rsid w:val="00EF31E9"/>
    <w:rsid w:val="00EF3BE8"/>
    <w:rsid w:val="00EF5CFA"/>
    <w:rsid w:val="00EF7476"/>
    <w:rsid w:val="00EF7F55"/>
    <w:rsid w:val="00F009C3"/>
    <w:rsid w:val="00F01129"/>
    <w:rsid w:val="00F03E36"/>
    <w:rsid w:val="00F05D83"/>
    <w:rsid w:val="00F107F7"/>
    <w:rsid w:val="00F10932"/>
    <w:rsid w:val="00F11A70"/>
    <w:rsid w:val="00F12649"/>
    <w:rsid w:val="00F1300B"/>
    <w:rsid w:val="00F15105"/>
    <w:rsid w:val="00F1565F"/>
    <w:rsid w:val="00F179E2"/>
    <w:rsid w:val="00F211D1"/>
    <w:rsid w:val="00F22ED9"/>
    <w:rsid w:val="00F30D56"/>
    <w:rsid w:val="00F315F9"/>
    <w:rsid w:val="00F33187"/>
    <w:rsid w:val="00F33415"/>
    <w:rsid w:val="00F33B0E"/>
    <w:rsid w:val="00F35344"/>
    <w:rsid w:val="00F37544"/>
    <w:rsid w:val="00F3775C"/>
    <w:rsid w:val="00F4164D"/>
    <w:rsid w:val="00F44059"/>
    <w:rsid w:val="00F53553"/>
    <w:rsid w:val="00F544A7"/>
    <w:rsid w:val="00F54980"/>
    <w:rsid w:val="00F5652B"/>
    <w:rsid w:val="00F56962"/>
    <w:rsid w:val="00F56E9C"/>
    <w:rsid w:val="00F56FD8"/>
    <w:rsid w:val="00F6034B"/>
    <w:rsid w:val="00F61F87"/>
    <w:rsid w:val="00F63359"/>
    <w:rsid w:val="00F635BF"/>
    <w:rsid w:val="00F63F2E"/>
    <w:rsid w:val="00F646E6"/>
    <w:rsid w:val="00F65C23"/>
    <w:rsid w:val="00F660B0"/>
    <w:rsid w:val="00F66A85"/>
    <w:rsid w:val="00F67DBB"/>
    <w:rsid w:val="00F716C2"/>
    <w:rsid w:val="00F71D5B"/>
    <w:rsid w:val="00F71D94"/>
    <w:rsid w:val="00F723EE"/>
    <w:rsid w:val="00F72EB3"/>
    <w:rsid w:val="00F74140"/>
    <w:rsid w:val="00F75859"/>
    <w:rsid w:val="00F8086E"/>
    <w:rsid w:val="00F810B0"/>
    <w:rsid w:val="00F82076"/>
    <w:rsid w:val="00F824E9"/>
    <w:rsid w:val="00F83657"/>
    <w:rsid w:val="00F83CBA"/>
    <w:rsid w:val="00F83D84"/>
    <w:rsid w:val="00F84F56"/>
    <w:rsid w:val="00F84FC4"/>
    <w:rsid w:val="00F86901"/>
    <w:rsid w:val="00F86B8C"/>
    <w:rsid w:val="00F8773C"/>
    <w:rsid w:val="00F87C27"/>
    <w:rsid w:val="00F87EF2"/>
    <w:rsid w:val="00F90C72"/>
    <w:rsid w:val="00F92783"/>
    <w:rsid w:val="00F92813"/>
    <w:rsid w:val="00F929E6"/>
    <w:rsid w:val="00F93002"/>
    <w:rsid w:val="00F94C2C"/>
    <w:rsid w:val="00F94D84"/>
    <w:rsid w:val="00F95577"/>
    <w:rsid w:val="00F962F3"/>
    <w:rsid w:val="00F97D9C"/>
    <w:rsid w:val="00FA1797"/>
    <w:rsid w:val="00FA2021"/>
    <w:rsid w:val="00FA2693"/>
    <w:rsid w:val="00FA2889"/>
    <w:rsid w:val="00FA4065"/>
    <w:rsid w:val="00FA5064"/>
    <w:rsid w:val="00FA6394"/>
    <w:rsid w:val="00FB08FF"/>
    <w:rsid w:val="00FB10C8"/>
    <w:rsid w:val="00FB2DE9"/>
    <w:rsid w:val="00FB4BCC"/>
    <w:rsid w:val="00FB790A"/>
    <w:rsid w:val="00FB7D45"/>
    <w:rsid w:val="00FC0044"/>
    <w:rsid w:val="00FC0608"/>
    <w:rsid w:val="00FC0DC2"/>
    <w:rsid w:val="00FC137D"/>
    <w:rsid w:val="00FC17C1"/>
    <w:rsid w:val="00FD18F2"/>
    <w:rsid w:val="00FD192F"/>
    <w:rsid w:val="00FD2563"/>
    <w:rsid w:val="00FD46AB"/>
    <w:rsid w:val="00FD5C85"/>
    <w:rsid w:val="00FE0A73"/>
    <w:rsid w:val="00FE2436"/>
    <w:rsid w:val="00FE2B8E"/>
    <w:rsid w:val="00FE4AFC"/>
    <w:rsid w:val="00FE4CB7"/>
    <w:rsid w:val="00FE6754"/>
    <w:rsid w:val="00FE7143"/>
    <w:rsid w:val="00FF1D06"/>
    <w:rsid w:val="00FF1E4C"/>
    <w:rsid w:val="00FF58FF"/>
    <w:rsid w:val="00FF60C6"/>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DA5727"/>
  <w15:docId w15:val="{4D7D65D4-1748-40DA-8355-90BAA2F71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659B"/>
    <w:pPr>
      <w:spacing w:after="200" w:line="276" w:lineRule="auto"/>
    </w:pPr>
    <w:rPr>
      <w:lang w:val="ca-ES" w:eastAsia="ca-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659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DefaultParagraphFont"/>
    <w:rsid w:val="005C659B"/>
  </w:style>
  <w:style w:type="character" w:styleId="Hyperlink">
    <w:name w:val="Hyperlink"/>
    <w:basedOn w:val="DefaultParagraphFont"/>
    <w:uiPriority w:val="99"/>
    <w:semiHidden/>
    <w:unhideWhenUsed/>
    <w:rsid w:val="005C659B"/>
    <w:rPr>
      <w:color w:val="0000FF"/>
      <w:u w:val="single"/>
    </w:rPr>
  </w:style>
  <w:style w:type="paragraph" w:styleId="ListParagraph">
    <w:name w:val="List Paragraph"/>
    <w:basedOn w:val="Normal"/>
    <w:uiPriority w:val="34"/>
    <w:qFormat/>
    <w:rsid w:val="005C659B"/>
    <w:pPr>
      <w:ind w:left="720"/>
      <w:contextualSpacing/>
    </w:pPr>
  </w:style>
  <w:style w:type="paragraph" w:styleId="Header">
    <w:name w:val="header"/>
    <w:basedOn w:val="Normal"/>
    <w:link w:val="HeaderChar"/>
    <w:uiPriority w:val="99"/>
    <w:unhideWhenUsed/>
    <w:rsid w:val="005C659B"/>
    <w:pPr>
      <w:tabs>
        <w:tab w:val="center" w:pos="4252"/>
        <w:tab w:val="right" w:pos="8504"/>
      </w:tabs>
      <w:spacing w:after="0" w:line="240" w:lineRule="auto"/>
    </w:pPr>
  </w:style>
  <w:style w:type="character" w:customStyle="1" w:styleId="HeaderChar">
    <w:name w:val="Header Char"/>
    <w:basedOn w:val="DefaultParagraphFont"/>
    <w:link w:val="Header"/>
    <w:uiPriority w:val="99"/>
    <w:rsid w:val="005C659B"/>
    <w:rPr>
      <w:rFonts w:eastAsiaTheme="minorEastAsia"/>
      <w:lang w:val="ca-ES" w:eastAsia="ca-ES"/>
    </w:rPr>
  </w:style>
  <w:style w:type="paragraph" w:styleId="Footer">
    <w:name w:val="footer"/>
    <w:basedOn w:val="Normal"/>
    <w:link w:val="FooterChar"/>
    <w:uiPriority w:val="99"/>
    <w:unhideWhenUsed/>
    <w:rsid w:val="005C659B"/>
    <w:pPr>
      <w:tabs>
        <w:tab w:val="center" w:pos="4252"/>
        <w:tab w:val="right" w:pos="8504"/>
      </w:tabs>
      <w:spacing w:after="0" w:line="240" w:lineRule="auto"/>
    </w:pPr>
  </w:style>
  <w:style w:type="character" w:customStyle="1" w:styleId="FooterChar">
    <w:name w:val="Footer Char"/>
    <w:basedOn w:val="DefaultParagraphFont"/>
    <w:link w:val="Footer"/>
    <w:uiPriority w:val="99"/>
    <w:rsid w:val="005C659B"/>
    <w:rPr>
      <w:rFonts w:eastAsiaTheme="minorEastAsia"/>
      <w:lang w:val="ca-ES" w:eastAsia="ca-ES"/>
    </w:rPr>
  </w:style>
  <w:style w:type="paragraph" w:styleId="BalloonText">
    <w:name w:val="Balloon Text"/>
    <w:basedOn w:val="Normal"/>
    <w:link w:val="BalloonTextChar"/>
    <w:uiPriority w:val="99"/>
    <w:semiHidden/>
    <w:unhideWhenUsed/>
    <w:rsid w:val="005C65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59B"/>
    <w:rPr>
      <w:rFonts w:ascii="Tahoma" w:eastAsiaTheme="minorEastAsia" w:hAnsi="Tahoma" w:cs="Tahoma"/>
      <w:sz w:val="16"/>
      <w:szCs w:val="16"/>
      <w:lang w:val="ca-ES" w:eastAsia="ca-ES"/>
    </w:rPr>
  </w:style>
  <w:style w:type="table" w:styleId="TableGrid">
    <w:name w:val="Table Grid"/>
    <w:basedOn w:val="TableNormal"/>
    <w:uiPriority w:val="59"/>
    <w:rsid w:val="005C659B"/>
    <w:pPr>
      <w:spacing w:after="0" w:line="240" w:lineRule="auto"/>
    </w:pPr>
    <w:rPr>
      <w:lang w:val="ca-ES" w:eastAsia="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C65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C659B"/>
    <w:rPr>
      <w:rFonts w:eastAsiaTheme="minorEastAsia"/>
      <w:sz w:val="20"/>
      <w:szCs w:val="20"/>
      <w:lang w:val="ca-ES" w:eastAsia="ca-ES"/>
    </w:rPr>
  </w:style>
  <w:style w:type="character" w:styleId="FootnoteReference">
    <w:name w:val="footnote reference"/>
    <w:basedOn w:val="DefaultParagraphFont"/>
    <w:uiPriority w:val="99"/>
    <w:semiHidden/>
    <w:unhideWhenUsed/>
    <w:rsid w:val="005C659B"/>
    <w:rPr>
      <w:vertAlign w:val="superscript"/>
    </w:rPr>
  </w:style>
  <w:style w:type="character" w:styleId="CommentReference">
    <w:name w:val="annotation reference"/>
    <w:basedOn w:val="DefaultParagraphFont"/>
    <w:uiPriority w:val="99"/>
    <w:semiHidden/>
    <w:unhideWhenUsed/>
    <w:rsid w:val="005C659B"/>
    <w:rPr>
      <w:sz w:val="16"/>
      <w:szCs w:val="16"/>
    </w:rPr>
  </w:style>
  <w:style w:type="paragraph" w:styleId="CommentText">
    <w:name w:val="annotation text"/>
    <w:basedOn w:val="Normal"/>
    <w:link w:val="CommentTextChar"/>
    <w:uiPriority w:val="99"/>
    <w:unhideWhenUsed/>
    <w:rsid w:val="005C659B"/>
    <w:pPr>
      <w:spacing w:line="240" w:lineRule="auto"/>
    </w:pPr>
    <w:rPr>
      <w:sz w:val="20"/>
      <w:szCs w:val="20"/>
    </w:rPr>
  </w:style>
  <w:style w:type="character" w:customStyle="1" w:styleId="CommentTextChar">
    <w:name w:val="Comment Text Char"/>
    <w:basedOn w:val="DefaultParagraphFont"/>
    <w:link w:val="CommentText"/>
    <w:uiPriority w:val="99"/>
    <w:rsid w:val="005C659B"/>
    <w:rPr>
      <w:rFonts w:eastAsiaTheme="minorEastAsia"/>
      <w:sz w:val="20"/>
      <w:szCs w:val="20"/>
      <w:lang w:val="ca-ES" w:eastAsia="ca-ES"/>
    </w:rPr>
  </w:style>
  <w:style w:type="paragraph" w:styleId="CommentSubject">
    <w:name w:val="annotation subject"/>
    <w:basedOn w:val="CommentText"/>
    <w:next w:val="CommentText"/>
    <w:link w:val="CommentSubjectChar"/>
    <w:uiPriority w:val="99"/>
    <w:semiHidden/>
    <w:unhideWhenUsed/>
    <w:rsid w:val="005C659B"/>
    <w:rPr>
      <w:b/>
      <w:bCs/>
    </w:rPr>
  </w:style>
  <w:style w:type="character" w:customStyle="1" w:styleId="CommentSubjectChar">
    <w:name w:val="Comment Subject Char"/>
    <w:basedOn w:val="CommentTextChar"/>
    <w:link w:val="CommentSubject"/>
    <w:uiPriority w:val="99"/>
    <w:semiHidden/>
    <w:rsid w:val="005C659B"/>
    <w:rPr>
      <w:rFonts w:eastAsiaTheme="minorEastAsia"/>
      <w:b/>
      <w:bCs/>
      <w:sz w:val="20"/>
      <w:szCs w:val="20"/>
      <w:lang w:val="ca-ES" w:eastAsia="ca-ES"/>
    </w:rPr>
  </w:style>
  <w:style w:type="character" w:customStyle="1" w:styleId="A8">
    <w:name w:val="A8"/>
    <w:uiPriority w:val="99"/>
    <w:rsid w:val="005C659B"/>
    <w:rPr>
      <w:rFonts w:cs="Avenir-Light"/>
      <w:color w:val="000000"/>
      <w:sz w:val="9"/>
      <w:szCs w:val="9"/>
    </w:rPr>
  </w:style>
  <w:style w:type="paragraph" w:styleId="Revision">
    <w:name w:val="Revision"/>
    <w:hidden/>
    <w:uiPriority w:val="99"/>
    <w:semiHidden/>
    <w:rsid w:val="005C659B"/>
    <w:pPr>
      <w:spacing w:after="0" w:line="240" w:lineRule="auto"/>
    </w:pPr>
    <w:rPr>
      <w:lang w:val="ca-ES" w:eastAsia="ca-ES"/>
    </w:rPr>
  </w:style>
  <w:style w:type="character" w:customStyle="1" w:styleId="highlight">
    <w:name w:val="highlight"/>
    <w:basedOn w:val="DefaultParagraphFont"/>
    <w:rsid w:val="005C659B"/>
  </w:style>
  <w:style w:type="character" w:styleId="PlaceholderText">
    <w:name w:val="Placeholder Text"/>
    <w:basedOn w:val="DefaultParagraphFont"/>
    <w:uiPriority w:val="99"/>
    <w:semiHidden/>
    <w:rsid w:val="005C659B"/>
    <w:rPr>
      <w:color w:val="808080"/>
    </w:rPr>
  </w:style>
  <w:style w:type="table" w:customStyle="1" w:styleId="Sombreadoclaro1">
    <w:name w:val="Sombreado claro1"/>
    <w:basedOn w:val="TableNormal"/>
    <w:uiPriority w:val="60"/>
    <w:rsid w:val="005C659B"/>
    <w:pPr>
      <w:spacing w:after="0" w:line="240" w:lineRule="auto"/>
    </w:pPr>
    <w:rPr>
      <w:color w:val="000000" w:themeColor="text1" w:themeShade="BF"/>
      <w:lang w:val="ca-ES" w:eastAsia="ca-E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A63E5B"/>
    <w:rPr>
      <w:i/>
      <w:iCs/>
    </w:rPr>
  </w:style>
  <w:style w:type="paragraph" w:styleId="BodyText">
    <w:name w:val="Body Text"/>
    <w:basedOn w:val="Normal"/>
    <w:link w:val="BodyTextChar"/>
    <w:unhideWhenUsed/>
    <w:rsid w:val="00971497"/>
    <w:pPr>
      <w:widowControl w:val="0"/>
      <w:suppressAutoHyphens/>
      <w:spacing w:after="140" w:line="288" w:lineRule="auto"/>
    </w:pPr>
    <w:rPr>
      <w:rFonts w:ascii="Liberation Serif" w:eastAsia="WenQuanYi Micro Hei" w:hAnsi="Liberation Serif" w:cs="FreeSans"/>
      <w:kern w:val="2"/>
      <w:sz w:val="24"/>
      <w:szCs w:val="24"/>
      <w:lang w:val="en-US" w:eastAsia="zh-CN" w:bidi="hi-IN"/>
    </w:rPr>
  </w:style>
  <w:style w:type="character" w:customStyle="1" w:styleId="BodyTextChar">
    <w:name w:val="Body Text Char"/>
    <w:basedOn w:val="DefaultParagraphFont"/>
    <w:link w:val="BodyText"/>
    <w:rsid w:val="00971497"/>
    <w:rPr>
      <w:rFonts w:ascii="Liberation Serif" w:eastAsia="WenQuanYi Micro Hei" w:hAnsi="Liberation Serif" w:cs="FreeSans"/>
      <w:kern w:val="2"/>
      <w:sz w:val="24"/>
      <w:szCs w:val="24"/>
      <w:lang w:eastAsia="zh-CN" w:bidi="hi-IN"/>
    </w:rPr>
  </w:style>
  <w:style w:type="paragraph" w:customStyle="1" w:styleId="1">
    <w:name w:val="正文1"/>
    <w:uiPriority w:val="99"/>
    <w:rsid w:val="00F33187"/>
    <w:pPr>
      <w:spacing w:after="0" w:line="276" w:lineRule="auto"/>
    </w:pPr>
    <w:rPr>
      <w:rFonts w:ascii="Arial" w:eastAsia="SimSun"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996737">
      <w:bodyDiv w:val="1"/>
      <w:marLeft w:val="0"/>
      <w:marRight w:val="0"/>
      <w:marTop w:val="0"/>
      <w:marBottom w:val="0"/>
      <w:divBdr>
        <w:top w:val="none" w:sz="0" w:space="0" w:color="auto"/>
        <w:left w:val="none" w:sz="0" w:space="0" w:color="auto"/>
        <w:bottom w:val="none" w:sz="0" w:space="0" w:color="auto"/>
        <w:right w:val="none" w:sz="0" w:space="0" w:color="auto"/>
      </w:divBdr>
    </w:div>
    <w:div w:id="199902935">
      <w:bodyDiv w:val="1"/>
      <w:marLeft w:val="0"/>
      <w:marRight w:val="0"/>
      <w:marTop w:val="0"/>
      <w:marBottom w:val="0"/>
      <w:divBdr>
        <w:top w:val="none" w:sz="0" w:space="0" w:color="auto"/>
        <w:left w:val="none" w:sz="0" w:space="0" w:color="auto"/>
        <w:bottom w:val="none" w:sz="0" w:space="0" w:color="auto"/>
        <w:right w:val="none" w:sz="0" w:space="0" w:color="auto"/>
      </w:divBdr>
    </w:div>
    <w:div w:id="474295791">
      <w:bodyDiv w:val="1"/>
      <w:marLeft w:val="0"/>
      <w:marRight w:val="0"/>
      <w:marTop w:val="0"/>
      <w:marBottom w:val="0"/>
      <w:divBdr>
        <w:top w:val="none" w:sz="0" w:space="0" w:color="auto"/>
        <w:left w:val="none" w:sz="0" w:space="0" w:color="auto"/>
        <w:bottom w:val="none" w:sz="0" w:space="0" w:color="auto"/>
        <w:right w:val="none" w:sz="0" w:space="0" w:color="auto"/>
      </w:divBdr>
    </w:div>
    <w:div w:id="572282382">
      <w:bodyDiv w:val="1"/>
      <w:marLeft w:val="0"/>
      <w:marRight w:val="0"/>
      <w:marTop w:val="0"/>
      <w:marBottom w:val="0"/>
      <w:divBdr>
        <w:top w:val="none" w:sz="0" w:space="0" w:color="auto"/>
        <w:left w:val="none" w:sz="0" w:space="0" w:color="auto"/>
        <w:bottom w:val="none" w:sz="0" w:space="0" w:color="auto"/>
        <w:right w:val="none" w:sz="0" w:space="0" w:color="auto"/>
      </w:divBdr>
    </w:div>
    <w:div w:id="189831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bioconductor.org/packages/release/bioc/html/motifStack.html" TargetMode="External"/><Relationship Id="rId4" Type="http://schemas.openxmlformats.org/officeDocument/2006/relationships/settings" Target="settings.xml"/><Relationship Id="rId9" Type="http://schemas.openxmlformats.org/officeDocument/2006/relationships/hyperlink" Target="http://www.r-project.org/"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D6E2D-E828-4939-BF26-9DE0F7907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50719</Words>
  <Characters>289100</Characters>
  <Application>Microsoft Office Word</Application>
  <DocSecurity>0</DocSecurity>
  <Lines>2409</Lines>
  <Paragraphs>678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David-Ordinador</Company>
  <LinksUpToDate>false</LinksUpToDate>
  <CharactersWithSpaces>339141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CELINE CAVALLO</dc:creator>
  <cp:lastModifiedBy>Na Ma</cp:lastModifiedBy>
  <cp:revision>2</cp:revision>
  <cp:lastPrinted>2017-12-24T23:51:00Z</cp:lastPrinted>
  <dcterms:created xsi:type="dcterms:W3CDTF">2018-01-18T14:29:00Z</dcterms:created>
  <dcterms:modified xsi:type="dcterms:W3CDTF">2018-01-18T14:29:00Z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f0570439-6d15-39ca-81db-ce92254f62cc</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http://www.zotero.org/styles/antiviral-research</vt:lpwstr>
  </property>
  <property fmtid="{D5CDD505-2E9C-101B-9397-08002B2CF9AE}" pid="11" name="Mendeley Recent Style Name 3_1">
    <vt:lpwstr>Antiviral Research</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http://www.zotero.org/styles/elsevier-vancouver</vt:lpwstr>
  </property>
  <property fmtid="{D5CDD505-2E9C-101B-9397-08002B2CF9AE}" pid="15" name="Mendeley Recent Style Name 5_1">
    <vt:lpwstr>Elsevier Vancouver</vt:lpwstr>
  </property>
  <property fmtid="{D5CDD505-2E9C-101B-9397-08002B2CF9AE}" pid="16" name="Mendeley Recent Style Id 6_1">
    <vt:lpwstr>http://www.zotero.org/styles/harvard-cite-them-right</vt:lpwstr>
  </property>
  <property fmtid="{D5CDD505-2E9C-101B-9397-08002B2CF9AE}" pid="17" name="Mendeley Recent Style Name 6_1">
    <vt:lpwstr>Harvard - Cite Them Right 9th edition</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http://www.zotero.org/styles/plos-one</vt:lpwstr>
  </property>
  <property fmtid="{D5CDD505-2E9C-101B-9397-08002B2CF9AE}" pid="21" name="Mendeley Recent Style Name 8_1">
    <vt:lpwstr>PLOS ONE</vt:lpwstr>
  </property>
  <property fmtid="{D5CDD505-2E9C-101B-9397-08002B2CF9AE}" pid="22" name="Mendeley Recent Style Id 9_1">
    <vt:lpwstr>http://www.zotero.org/styles/world-journal-of-gastroenterology</vt:lpwstr>
  </property>
  <property fmtid="{D5CDD505-2E9C-101B-9397-08002B2CF9AE}" pid="23" name="Mendeley Recent Style Name 9_1">
    <vt:lpwstr>World Journal of Gastroenterology</vt:lpwstr>
  </property>
  <property fmtid="{D5CDD505-2E9C-101B-9397-08002B2CF9AE}" pid="24" name="Mendeley Citation Style_1">
    <vt:lpwstr>http://www.zotero.org/styles/world-journal-of-gastroenterology</vt:lpwstr>
  </property>
</Properties>
</file>