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27" w:rsidRPr="00220CF9" w:rsidRDefault="007C5E27" w:rsidP="007C5E27">
      <w:pPr>
        <w:pStyle w:val="Default"/>
        <w:spacing w:line="480" w:lineRule="auto"/>
        <w:rPr>
          <w:b/>
          <w:color w:val="000000" w:themeColor="text1"/>
        </w:rPr>
      </w:pPr>
      <w:r w:rsidRPr="00220CF9">
        <w:rPr>
          <w:b/>
          <w:bCs/>
          <w:color w:val="000000" w:themeColor="text1"/>
        </w:rPr>
        <w:t xml:space="preserve">Name of Journal: </w:t>
      </w:r>
      <w:r w:rsidRPr="00220CF9">
        <w:rPr>
          <w:b/>
          <w:i/>
          <w:iCs/>
          <w:color w:val="000000" w:themeColor="text1"/>
        </w:rPr>
        <w:t>World Journal of Gastroenterology</w:t>
      </w:r>
    </w:p>
    <w:p w:rsidR="007C5E27" w:rsidRPr="00220CF9" w:rsidRDefault="007C5E27" w:rsidP="007C5E27">
      <w:pPr>
        <w:spacing w:line="360" w:lineRule="auto"/>
        <w:rPr>
          <w:rFonts w:ascii="Book Antiqua" w:eastAsia="MS Mincho" w:hAnsi="Book Antiqua" w:cs="Tahoma"/>
          <w:b/>
          <w:color w:val="000000" w:themeColor="text1"/>
          <w:sz w:val="24"/>
          <w:szCs w:val="24"/>
        </w:rPr>
      </w:pPr>
      <w:r w:rsidRPr="00220CF9">
        <w:rPr>
          <w:rFonts w:ascii="Book Antiqua" w:hAnsi="Book Antiqua" w:cs="Tahoma"/>
          <w:b/>
          <w:color w:val="000000" w:themeColor="text1"/>
          <w:sz w:val="24"/>
          <w:szCs w:val="24"/>
        </w:rPr>
        <w:t>ESPS Manuscript NO:</w:t>
      </w:r>
      <w:r w:rsidRPr="00220CF9">
        <w:rPr>
          <w:rFonts w:ascii="Book Antiqua" w:eastAsia="MS Mincho" w:hAnsi="Book Antiqua" w:cs="Tahoma"/>
          <w:b/>
          <w:color w:val="000000" w:themeColor="text1"/>
          <w:sz w:val="24"/>
          <w:szCs w:val="24"/>
        </w:rPr>
        <w:t xml:space="preserve"> </w:t>
      </w:r>
      <w:r w:rsidR="00272A49" w:rsidRPr="00220CF9">
        <w:rPr>
          <w:rFonts w:ascii="Book Antiqua" w:eastAsia="MS Mincho" w:hAnsi="Book Antiqua" w:cs="Tahoma"/>
          <w:b/>
          <w:color w:val="000000" w:themeColor="text1"/>
          <w:sz w:val="24"/>
          <w:szCs w:val="24"/>
        </w:rPr>
        <w:t>36640</w:t>
      </w:r>
    </w:p>
    <w:p w:rsidR="007C5E27" w:rsidRPr="00220CF9" w:rsidRDefault="007C5E27" w:rsidP="007C5E27">
      <w:pPr>
        <w:pStyle w:val="Default"/>
        <w:spacing w:line="480" w:lineRule="auto"/>
        <w:rPr>
          <w:color w:val="000000" w:themeColor="text1"/>
        </w:rPr>
      </w:pPr>
      <w:r w:rsidRPr="00220CF9">
        <w:rPr>
          <w:b/>
          <w:bCs/>
          <w:color w:val="000000" w:themeColor="text1"/>
        </w:rPr>
        <w:t xml:space="preserve">Manuscript Type: </w:t>
      </w:r>
      <w:r w:rsidR="002513D1" w:rsidRPr="00220CF9">
        <w:rPr>
          <w:b/>
          <w:color w:val="000000" w:themeColor="text1"/>
        </w:rPr>
        <w:t>MINIREVIEW</w:t>
      </w:r>
    </w:p>
    <w:p w:rsidR="007C5E27" w:rsidRPr="00220CF9" w:rsidRDefault="007C5E27" w:rsidP="005D463C">
      <w:pPr>
        <w:spacing w:line="480" w:lineRule="auto"/>
        <w:rPr>
          <w:rFonts w:ascii="Book Antiqua" w:hAnsi="Book Antiqua"/>
          <w:b/>
          <w:color w:val="000000" w:themeColor="text1"/>
          <w:sz w:val="24"/>
          <w:szCs w:val="24"/>
        </w:rPr>
      </w:pPr>
    </w:p>
    <w:p w:rsidR="00C90E5A" w:rsidRPr="00220CF9" w:rsidRDefault="00684B42" w:rsidP="005D463C">
      <w:pPr>
        <w:spacing w:line="480" w:lineRule="auto"/>
        <w:rPr>
          <w:rFonts w:ascii="Book Antiqua" w:eastAsia="SimSun" w:hAnsi="Book Antiqua"/>
          <w:b/>
          <w:color w:val="000000" w:themeColor="text1"/>
          <w:sz w:val="24"/>
          <w:szCs w:val="24"/>
          <w:lang w:eastAsia="zh-CN"/>
        </w:rPr>
      </w:pPr>
      <w:r w:rsidRPr="00220CF9">
        <w:rPr>
          <w:rFonts w:ascii="Book Antiqua" w:hAnsi="Book Antiqua"/>
          <w:b/>
          <w:color w:val="000000" w:themeColor="text1"/>
          <w:sz w:val="24"/>
          <w:szCs w:val="24"/>
        </w:rPr>
        <w:t>Ret</w:t>
      </w:r>
      <w:r w:rsidR="0088074F" w:rsidRPr="00220CF9">
        <w:rPr>
          <w:rFonts w:ascii="Book Antiqua" w:hAnsi="Book Antiqua"/>
          <w:b/>
          <w:color w:val="000000" w:themeColor="text1"/>
          <w:sz w:val="24"/>
          <w:szCs w:val="24"/>
        </w:rPr>
        <w:t>reatment of patients</w:t>
      </w:r>
      <w:r w:rsidRPr="00220CF9">
        <w:rPr>
          <w:rFonts w:ascii="Book Antiqua" w:hAnsi="Book Antiqua"/>
          <w:b/>
          <w:color w:val="000000" w:themeColor="text1"/>
          <w:sz w:val="24"/>
          <w:szCs w:val="24"/>
        </w:rPr>
        <w:t xml:space="preserve"> with treatment fail</w:t>
      </w:r>
      <w:r w:rsidR="000B5080" w:rsidRPr="00220CF9">
        <w:rPr>
          <w:rFonts w:ascii="Book Antiqua" w:hAnsi="Book Antiqua"/>
          <w:b/>
          <w:color w:val="000000" w:themeColor="text1"/>
          <w:sz w:val="24"/>
          <w:szCs w:val="24"/>
        </w:rPr>
        <w:t xml:space="preserve">ure of direct-acting antivirals: focus on </w:t>
      </w:r>
      <w:r w:rsidRPr="00220CF9">
        <w:rPr>
          <w:rFonts w:ascii="Book Antiqua" w:hAnsi="Book Antiqua"/>
          <w:b/>
          <w:color w:val="000000" w:themeColor="text1"/>
          <w:sz w:val="24"/>
          <w:szCs w:val="24"/>
        </w:rPr>
        <w:t>hepatitis C virus</w:t>
      </w:r>
      <w:r w:rsidR="000B5080" w:rsidRPr="00220CF9">
        <w:rPr>
          <w:rFonts w:ascii="Book Antiqua" w:hAnsi="Book Antiqua"/>
          <w:b/>
          <w:color w:val="000000" w:themeColor="text1"/>
          <w:sz w:val="24"/>
          <w:szCs w:val="24"/>
        </w:rPr>
        <w:t xml:space="preserve"> </w:t>
      </w:r>
      <w:r w:rsidR="00C1245B" w:rsidRPr="00220CF9">
        <w:rPr>
          <w:rFonts w:ascii="Book Antiqua" w:hAnsi="Book Antiqua"/>
          <w:b/>
          <w:color w:val="000000" w:themeColor="text1"/>
          <w:sz w:val="24"/>
          <w:szCs w:val="24"/>
        </w:rPr>
        <w:t>genotype 1b</w:t>
      </w:r>
    </w:p>
    <w:p w:rsidR="006F7ECC" w:rsidRPr="00220CF9" w:rsidRDefault="006F7ECC" w:rsidP="005D463C">
      <w:pPr>
        <w:spacing w:line="480" w:lineRule="auto"/>
        <w:rPr>
          <w:rFonts w:ascii="Book Antiqua" w:eastAsia="SimSun" w:hAnsi="Book Antiqua"/>
          <w:b/>
          <w:color w:val="000000" w:themeColor="text1"/>
          <w:sz w:val="24"/>
          <w:szCs w:val="24"/>
          <w:lang w:eastAsia="zh-CN"/>
        </w:rPr>
      </w:pPr>
    </w:p>
    <w:p w:rsidR="00F61201" w:rsidRPr="00220CF9" w:rsidRDefault="00F61201" w:rsidP="00F61201">
      <w:pPr>
        <w:spacing w:line="480" w:lineRule="auto"/>
        <w:rPr>
          <w:rFonts w:ascii="Book Antiqua" w:hAnsi="Book Antiqua"/>
          <w:color w:val="000000" w:themeColor="text1"/>
          <w:sz w:val="24"/>
          <w:szCs w:val="24"/>
        </w:rPr>
      </w:pPr>
      <w:r w:rsidRPr="00220CF9">
        <w:rPr>
          <w:rFonts w:ascii="Book Antiqua" w:hAnsi="Book Antiqua"/>
          <w:color w:val="000000" w:themeColor="text1"/>
          <w:sz w:val="24"/>
          <w:szCs w:val="24"/>
        </w:rPr>
        <w:t>Kanda</w:t>
      </w:r>
      <w:r w:rsidR="0097536B" w:rsidRPr="00220CF9">
        <w:rPr>
          <w:rFonts w:ascii="Book Antiqua" w:hAnsi="Book Antiqua"/>
          <w:color w:val="000000" w:themeColor="text1"/>
          <w:sz w:val="24"/>
          <w:szCs w:val="24"/>
        </w:rPr>
        <w:t xml:space="preserve"> T</w:t>
      </w:r>
      <w:r w:rsidR="006F7ECC" w:rsidRPr="00220CF9">
        <w:rPr>
          <w:rFonts w:ascii="Book Antiqua" w:eastAsia="SimSun" w:hAnsi="Book Antiqua" w:hint="eastAsia"/>
          <w:i/>
          <w:color w:val="000000" w:themeColor="text1"/>
          <w:sz w:val="24"/>
          <w:szCs w:val="24"/>
          <w:lang w:eastAsia="zh-CN"/>
        </w:rPr>
        <w:t xml:space="preserve"> </w:t>
      </w:r>
      <w:r w:rsidR="0097536B" w:rsidRPr="00220CF9">
        <w:rPr>
          <w:rFonts w:ascii="Book Antiqua" w:hAnsi="Book Antiqua"/>
          <w:i/>
          <w:color w:val="000000" w:themeColor="text1"/>
          <w:sz w:val="24"/>
          <w:szCs w:val="24"/>
        </w:rPr>
        <w:t>et al</w:t>
      </w:r>
      <w:r w:rsidR="0097536B" w:rsidRPr="00220CF9">
        <w:rPr>
          <w:rFonts w:ascii="Book Antiqua" w:hAnsi="Book Antiqua"/>
          <w:color w:val="000000" w:themeColor="text1"/>
          <w:sz w:val="24"/>
          <w:szCs w:val="24"/>
        </w:rPr>
        <w:t>.</w:t>
      </w:r>
      <w:r w:rsidRPr="00220CF9">
        <w:rPr>
          <w:rFonts w:ascii="Book Antiqua" w:hAnsi="Book Antiqua"/>
          <w:color w:val="000000" w:themeColor="text1"/>
          <w:sz w:val="24"/>
          <w:szCs w:val="24"/>
        </w:rPr>
        <w:t xml:space="preserve"> Retreatment for patients with DAA-treatment failure</w:t>
      </w:r>
    </w:p>
    <w:p w:rsidR="00F61201" w:rsidRPr="00220CF9" w:rsidRDefault="00F61201" w:rsidP="005D463C">
      <w:pPr>
        <w:spacing w:line="480" w:lineRule="auto"/>
        <w:rPr>
          <w:rFonts w:ascii="Book Antiqua" w:hAnsi="Book Antiqua"/>
          <w:color w:val="000000" w:themeColor="text1"/>
          <w:sz w:val="24"/>
          <w:szCs w:val="24"/>
        </w:rPr>
      </w:pPr>
    </w:p>
    <w:p w:rsidR="005D463C" w:rsidRPr="00220CF9" w:rsidRDefault="005D463C" w:rsidP="005D463C">
      <w:pPr>
        <w:spacing w:line="480" w:lineRule="auto"/>
        <w:rPr>
          <w:rFonts w:ascii="Book Antiqua" w:hAnsi="Book Antiqua"/>
          <w:color w:val="000000" w:themeColor="text1"/>
          <w:sz w:val="24"/>
          <w:szCs w:val="24"/>
        </w:rPr>
      </w:pPr>
      <w:r w:rsidRPr="00220CF9">
        <w:rPr>
          <w:rFonts w:ascii="Book Antiqua" w:hAnsi="Book Antiqua"/>
          <w:color w:val="000000" w:themeColor="text1"/>
          <w:sz w:val="24"/>
          <w:szCs w:val="24"/>
        </w:rPr>
        <w:t>Tatsuo Kanda, Kazus</w:t>
      </w:r>
      <w:r w:rsidR="00A66965" w:rsidRPr="00220CF9">
        <w:rPr>
          <w:rFonts w:ascii="Book Antiqua" w:hAnsi="Book Antiqua"/>
          <w:color w:val="000000" w:themeColor="text1"/>
          <w:sz w:val="24"/>
          <w:szCs w:val="24"/>
        </w:rPr>
        <w:t>hige Nirei, Naoki Matsumoto, Teru</w:t>
      </w:r>
      <w:r w:rsidRPr="00220CF9">
        <w:rPr>
          <w:rFonts w:ascii="Book Antiqua" w:hAnsi="Book Antiqua"/>
          <w:color w:val="000000" w:themeColor="text1"/>
          <w:sz w:val="24"/>
          <w:szCs w:val="24"/>
        </w:rPr>
        <w:t xml:space="preserve">hisa Higuchi, </w:t>
      </w:r>
      <w:r w:rsidR="00036643" w:rsidRPr="00220CF9">
        <w:rPr>
          <w:rFonts w:ascii="Book Antiqua" w:hAnsi="Book Antiqua"/>
          <w:color w:val="000000" w:themeColor="text1"/>
          <w:sz w:val="24"/>
          <w:szCs w:val="24"/>
        </w:rPr>
        <w:t xml:space="preserve">Hitomi Nakamura, </w:t>
      </w:r>
      <w:r w:rsidR="00333EE9" w:rsidRPr="00220CF9">
        <w:rPr>
          <w:rFonts w:ascii="Book Antiqua" w:hAnsi="Book Antiqua"/>
          <w:color w:val="000000" w:themeColor="text1"/>
          <w:sz w:val="24"/>
          <w:szCs w:val="24"/>
        </w:rPr>
        <w:t>Hiroaki</w:t>
      </w:r>
      <w:r w:rsidRPr="00220CF9">
        <w:rPr>
          <w:rFonts w:ascii="Book Antiqua" w:hAnsi="Book Antiqua"/>
          <w:color w:val="000000" w:themeColor="text1"/>
          <w:sz w:val="24"/>
          <w:szCs w:val="24"/>
        </w:rPr>
        <w:t xml:space="preserve"> Yamagami, Shunichi Matsuoka, Mitsuhiko Moriyama</w:t>
      </w:r>
    </w:p>
    <w:p w:rsidR="009B513E" w:rsidRPr="00220CF9" w:rsidRDefault="009B513E" w:rsidP="005D463C">
      <w:pPr>
        <w:spacing w:line="480" w:lineRule="auto"/>
        <w:rPr>
          <w:rFonts w:ascii="Book Antiqua" w:hAnsi="Book Antiqua"/>
          <w:b/>
          <w:color w:val="000000" w:themeColor="text1"/>
          <w:sz w:val="24"/>
          <w:szCs w:val="24"/>
        </w:rPr>
      </w:pPr>
    </w:p>
    <w:p w:rsidR="009B513E" w:rsidRPr="00220CF9" w:rsidRDefault="009B513E" w:rsidP="009B513E">
      <w:pPr>
        <w:spacing w:line="480" w:lineRule="auto"/>
        <w:rPr>
          <w:rFonts w:ascii="Book Antiqua" w:hAnsi="Book Antiqua"/>
          <w:color w:val="000000" w:themeColor="text1"/>
          <w:sz w:val="24"/>
          <w:szCs w:val="24"/>
        </w:rPr>
      </w:pPr>
      <w:r w:rsidRPr="00220CF9">
        <w:rPr>
          <w:rFonts w:ascii="Book Antiqua" w:hAnsi="Book Antiqua"/>
          <w:b/>
          <w:color w:val="000000" w:themeColor="text1"/>
          <w:sz w:val="24"/>
          <w:szCs w:val="24"/>
        </w:rPr>
        <w:t xml:space="preserve">Tatsuo Kanda, Kazushige Nirei, Naoki Matsumoto, </w:t>
      </w:r>
      <w:r w:rsidR="00A75568" w:rsidRPr="00220CF9">
        <w:rPr>
          <w:rFonts w:ascii="Book Antiqua" w:hAnsi="Book Antiqua"/>
          <w:b/>
          <w:color w:val="000000" w:themeColor="text1"/>
          <w:sz w:val="24"/>
          <w:szCs w:val="24"/>
        </w:rPr>
        <w:t>Teruhisa</w:t>
      </w:r>
      <w:r w:rsidRPr="00220CF9">
        <w:rPr>
          <w:rFonts w:ascii="Book Antiqua" w:hAnsi="Book Antiqua"/>
          <w:b/>
          <w:color w:val="000000" w:themeColor="text1"/>
          <w:sz w:val="24"/>
          <w:szCs w:val="24"/>
        </w:rPr>
        <w:t xml:space="preserve"> Higuchi, </w:t>
      </w:r>
      <w:r w:rsidR="00036643" w:rsidRPr="00220CF9">
        <w:rPr>
          <w:rFonts w:ascii="Book Antiqua" w:hAnsi="Book Antiqua"/>
          <w:b/>
          <w:color w:val="000000" w:themeColor="text1"/>
          <w:sz w:val="24"/>
          <w:szCs w:val="24"/>
        </w:rPr>
        <w:t xml:space="preserve">Hitomi Nakamura, </w:t>
      </w:r>
      <w:r w:rsidRPr="00220CF9">
        <w:rPr>
          <w:rFonts w:ascii="Book Antiqua" w:hAnsi="Book Antiqua"/>
          <w:b/>
          <w:color w:val="000000" w:themeColor="text1"/>
          <w:sz w:val="24"/>
          <w:szCs w:val="24"/>
        </w:rPr>
        <w:t xml:space="preserve">Hiroaki Yamagami, Shunichi Matsuoka, Mitsuhiko Moriyama, </w:t>
      </w:r>
      <w:r w:rsidRPr="00220CF9">
        <w:rPr>
          <w:rFonts w:ascii="Book Antiqua" w:hAnsi="Book Antiqua"/>
          <w:color w:val="000000" w:themeColor="text1"/>
          <w:sz w:val="24"/>
          <w:szCs w:val="24"/>
        </w:rPr>
        <w:t xml:space="preserve">Division of Gastroenterology and Hepatology, Department of Internal Medicine, </w:t>
      </w:r>
      <w:r w:rsidR="007F3D8B" w:rsidRPr="00220CF9">
        <w:rPr>
          <w:rFonts w:ascii="Book Antiqua" w:hAnsi="Book Antiqua"/>
          <w:color w:val="000000" w:themeColor="text1"/>
          <w:sz w:val="24"/>
          <w:szCs w:val="24"/>
        </w:rPr>
        <w:t>Nihon University School of Medicine,</w:t>
      </w:r>
      <w:r w:rsidR="007F3D8B">
        <w:rPr>
          <w:rFonts w:ascii="Book Antiqua" w:eastAsia="SimSun" w:hAnsi="Book Antiqua" w:hint="eastAsia"/>
          <w:color w:val="000000" w:themeColor="text1"/>
          <w:sz w:val="24"/>
          <w:szCs w:val="24"/>
          <w:lang w:eastAsia="zh-CN"/>
        </w:rPr>
        <w:t xml:space="preserve"> </w:t>
      </w:r>
      <w:r w:rsidRPr="00220CF9">
        <w:rPr>
          <w:rFonts w:ascii="Book Antiqua" w:hAnsi="Book Antiqua"/>
          <w:color w:val="000000" w:themeColor="text1"/>
          <w:sz w:val="24"/>
          <w:szCs w:val="24"/>
        </w:rPr>
        <w:t>Itabashi-ku, Tokyo 173-8610, Japan</w:t>
      </w:r>
    </w:p>
    <w:p w:rsidR="009B513E" w:rsidRPr="00220CF9" w:rsidRDefault="009B513E" w:rsidP="009B513E">
      <w:pPr>
        <w:spacing w:line="480" w:lineRule="auto"/>
        <w:rPr>
          <w:rFonts w:ascii="Book Antiqua" w:hAnsi="Book Antiqua"/>
          <w:color w:val="000000" w:themeColor="text1"/>
          <w:sz w:val="24"/>
          <w:szCs w:val="24"/>
        </w:rPr>
      </w:pPr>
    </w:p>
    <w:p w:rsidR="002513D1" w:rsidRPr="00220CF9" w:rsidRDefault="002513D1" w:rsidP="009B513E">
      <w:pPr>
        <w:spacing w:line="480" w:lineRule="auto"/>
        <w:rPr>
          <w:rFonts w:ascii="Book Antiqua" w:eastAsia="SimSun" w:hAnsi="Book Antiqua"/>
          <w:b/>
          <w:color w:val="000000" w:themeColor="text1"/>
          <w:sz w:val="24"/>
          <w:szCs w:val="24"/>
          <w:lang w:eastAsia="zh-CN"/>
        </w:rPr>
      </w:pPr>
      <w:r w:rsidRPr="00220CF9">
        <w:rPr>
          <w:rFonts w:ascii="Book Antiqua" w:hAnsi="Book Antiqua"/>
          <w:b/>
          <w:color w:val="000000" w:themeColor="text1"/>
          <w:sz w:val="24"/>
          <w:szCs w:val="24"/>
        </w:rPr>
        <w:lastRenderedPageBreak/>
        <w:t xml:space="preserve">ORCID number: </w:t>
      </w:r>
      <w:r w:rsidRPr="00220CF9">
        <w:rPr>
          <w:rFonts w:ascii="Book Antiqua" w:hAnsi="Book Antiqua"/>
          <w:color w:val="000000" w:themeColor="text1"/>
          <w:sz w:val="24"/>
          <w:szCs w:val="24"/>
        </w:rPr>
        <w:t>Tatsuo Kanda (0000-0002-9565-4669); Kazushige Nirei (0000-0003-3926-5076); Naoki Matsumoto (0000-0002-9982-6130); Teruhisa Higuchi (0000-0003-4104-4213); Hitomi Nakamura (0000-0001-7748-5833); Hiroaki Yamagami (0000-0003-0174-7811); Shunichi Matsuoka (0000-0002-3221-7939); Mitsuhiko Moriyama (0000-0002-4617-508x)</w:t>
      </w:r>
      <w:r w:rsidR="00220CF9">
        <w:rPr>
          <w:rFonts w:ascii="Book Antiqua" w:eastAsia="SimSun" w:hAnsi="Book Antiqua" w:hint="eastAsia"/>
          <w:color w:val="000000" w:themeColor="text1"/>
          <w:sz w:val="24"/>
          <w:szCs w:val="24"/>
          <w:lang w:eastAsia="zh-CN"/>
        </w:rPr>
        <w:t>.</w:t>
      </w:r>
    </w:p>
    <w:p w:rsidR="002513D1" w:rsidRPr="00220CF9" w:rsidRDefault="002513D1" w:rsidP="009B513E">
      <w:pPr>
        <w:spacing w:line="480" w:lineRule="auto"/>
        <w:rPr>
          <w:rFonts w:ascii="Book Antiqua" w:hAnsi="Book Antiqua"/>
          <w:b/>
          <w:color w:val="000000" w:themeColor="text1"/>
          <w:sz w:val="24"/>
          <w:szCs w:val="24"/>
        </w:rPr>
      </w:pPr>
    </w:p>
    <w:p w:rsidR="009B513E" w:rsidRDefault="009B513E" w:rsidP="009B513E">
      <w:pPr>
        <w:spacing w:line="480" w:lineRule="auto"/>
        <w:rPr>
          <w:rFonts w:ascii="Book Antiqua" w:eastAsia="SimSun" w:hAnsi="Book Antiqua"/>
          <w:color w:val="000000" w:themeColor="text1"/>
          <w:sz w:val="24"/>
          <w:szCs w:val="24"/>
          <w:lang w:eastAsia="zh-CN"/>
        </w:rPr>
      </w:pPr>
      <w:r w:rsidRPr="00220CF9">
        <w:rPr>
          <w:rFonts w:ascii="Book Antiqua" w:hAnsi="Book Antiqua"/>
          <w:b/>
          <w:color w:val="000000" w:themeColor="text1"/>
          <w:sz w:val="24"/>
          <w:szCs w:val="24"/>
        </w:rPr>
        <w:t>Author contributions:</w:t>
      </w:r>
      <w:r w:rsidRPr="00220CF9">
        <w:rPr>
          <w:rFonts w:ascii="Book Antiqua" w:hAnsi="Book Antiqua"/>
          <w:color w:val="000000" w:themeColor="text1"/>
          <w:sz w:val="24"/>
          <w:szCs w:val="24"/>
        </w:rPr>
        <w:t xml:space="preserve"> These authors contributed to all aspects of this paper.</w:t>
      </w:r>
    </w:p>
    <w:p w:rsidR="00220CF9" w:rsidRPr="00220CF9" w:rsidRDefault="00220CF9" w:rsidP="009B513E">
      <w:pPr>
        <w:spacing w:line="480" w:lineRule="auto"/>
        <w:rPr>
          <w:rFonts w:ascii="Book Antiqua" w:eastAsia="SimSun" w:hAnsi="Book Antiqua"/>
          <w:color w:val="000000" w:themeColor="text1"/>
          <w:sz w:val="24"/>
          <w:szCs w:val="24"/>
          <w:lang w:eastAsia="zh-CN"/>
        </w:rPr>
      </w:pPr>
    </w:p>
    <w:p w:rsidR="00F61201" w:rsidRDefault="00FA6B6B" w:rsidP="00FA6B6B">
      <w:pPr>
        <w:spacing w:line="360" w:lineRule="auto"/>
        <w:rPr>
          <w:rFonts w:ascii="Book Antiqua" w:eastAsia="SimSun" w:hAnsi="Book Antiqua"/>
          <w:color w:val="000000" w:themeColor="text1"/>
          <w:kern w:val="0"/>
          <w:sz w:val="24"/>
          <w:szCs w:val="24"/>
          <w:lang w:eastAsia="zh-CN"/>
        </w:rPr>
      </w:pPr>
      <w:bookmarkStart w:id="0" w:name="OLE_LINK526"/>
      <w:bookmarkStart w:id="1" w:name="OLE_LINK527"/>
      <w:r w:rsidRPr="00220CF9">
        <w:rPr>
          <w:rFonts w:ascii="Book Antiqua" w:hAnsi="Book Antiqua"/>
          <w:b/>
          <w:color w:val="000000" w:themeColor="text1"/>
          <w:kern w:val="0"/>
          <w:sz w:val="24"/>
          <w:szCs w:val="24"/>
        </w:rPr>
        <w:t xml:space="preserve">Supported by </w:t>
      </w:r>
      <w:r w:rsidR="00F361C0" w:rsidRPr="00F361C0">
        <w:rPr>
          <w:rFonts w:ascii="Book Antiqua" w:hAnsi="Book Antiqua"/>
          <w:color w:val="000000" w:themeColor="text1"/>
          <w:kern w:val="0"/>
          <w:sz w:val="24"/>
          <w:szCs w:val="24"/>
        </w:rPr>
        <w:t>AMED</w:t>
      </w:r>
      <w:r w:rsidR="00F361C0" w:rsidRPr="00F361C0">
        <w:rPr>
          <w:rFonts w:ascii="Book Antiqua" w:hAnsi="Book Antiqua" w:hint="eastAsia"/>
          <w:color w:val="000000" w:themeColor="text1"/>
          <w:kern w:val="0"/>
          <w:sz w:val="24"/>
          <w:szCs w:val="24"/>
        </w:rPr>
        <w:t xml:space="preserve">; and </w:t>
      </w:r>
      <w:r w:rsidRPr="00220CF9">
        <w:rPr>
          <w:rFonts w:ascii="Book Antiqua" w:hAnsi="Book Antiqua"/>
          <w:color w:val="000000" w:themeColor="text1"/>
          <w:kern w:val="0"/>
          <w:sz w:val="24"/>
          <w:szCs w:val="24"/>
        </w:rPr>
        <w:t>JSPS KAKENHI</w:t>
      </w:r>
      <w:r w:rsidR="00220CF9">
        <w:rPr>
          <w:rFonts w:ascii="Book Antiqua" w:eastAsia="SimSun" w:hAnsi="Book Antiqua" w:hint="eastAsia"/>
          <w:color w:val="000000" w:themeColor="text1"/>
          <w:kern w:val="0"/>
          <w:sz w:val="24"/>
          <w:szCs w:val="24"/>
          <w:lang w:eastAsia="zh-CN"/>
        </w:rPr>
        <w:t>, No.</w:t>
      </w:r>
      <w:r w:rsidRPr="00220CF9">
        <w:rPr>
          <w:rFonts w:ascii="Book Antiqua" w:hAnsi="Book Antiqua"/>
          <w:color w:val="000000" w:themeColor="text1"/>
          <w:kern w:val="0"/>
          <w:sz w:val="24"/>
          <w:szCs w:val="24"/>
        </w:rPr>
        <w:t xml:space="preserve"> 17K09404.</w:t>
      </w:r>
    </w:p>
    <w:p w:rsidR="00220CF9" w:rsidRPr="00220CF9" w:rsidRDefault="00220CF9" w:rsidP="00FA6B6B">
      <w:pPr>
        <w:spacing w:line="360" w:lineRule="auto"/>
        <w:rPr>
          <w:rFonts w:ascii="Book Antiqua" w:eastAsia="SimSun" w:hAnsi="Book Antiqua"/>
          <w:b/>
          <w:color w:val="000000" w:themeColor="text1"/>
          <w:kern w:val="0"/>
          <w:sz w:val="24"/>
          <w:szCs w:val="24"/>
          <w:lang w:eastAsia="zh-CN"/>
        </w:rPr>
      </w:pPr>
    </w:p>
    <w:p w:rsidR="00FD5DA1" w:rsidRPr="00220CF9" w:rsidRDefault="00F61201" w:rsidP="00FD5DA1">
      <w:pPr>
        <w:autoSpaceDE w:val="0"/>
        <w:autoSpaceDN w:val="0"/>
        <w:adjustRightInd w:val="0"/>
        <w:spacing w:line="360" w:lineRule="auto"/>
        <w:rPr>
          <w:rFonts w:ascii="Book Antiqua" w:hAnsi="Book Antiqua"/>
          <w:color w:val="000000" w:themeColor="text1"/>
          <w:sz w:val="24"/>
          <w:szCs w:val="24"/>
        </w:rPr>
      </w:pPr>
      <w:r w:rsidRPr="00220CF9">
        <w:rPr>
          <w:rFonts w:ascii="Book Antiqua" w:hAnsi="Book Antiqua" w:cs="TimesNewRomanPS-BoldItalicMT"/>
          <w:b/>
          <w:bCs/>
          <w:iCs/>
          <w:color w:val="000000" w:themeColor="text1"/>
          <w:kern w:val="0"/>
          <w:sz w:val="24"/>
          <w:szCs w:val="24"/>
        </w:rPr>
        <w:t>Conflict-of-interest</w:t>
      </w:r>
      <w:r w:rsidRPr="00220CF9">
        <w:rPr>
          <w:rFonts w:ascii="Book Antiqua" w:hAnsi="Book Antiqua"/>
          <w:b/>
          <w:bCs/>
          <w:iCs/>
          <w:color w:val="000000" w:themeColor="text1"/>
          <w:kern w:val="0"/>
          <w:sz w:val="24"/>
          <w:szCs w:val="24"/>
        </w:rPr>
        <w:t xml:space="preserve"> statement</w:t>
      </w:r>
      <w:r w:rsidRPr="00220CF9">
        <w:rPr>
          <w:rFonts w:ascii="Book Antiqua" w:hAnsi="Book Antiqua" w:cs="TimesNewRomanPS-BoldItalicMT"/>
          <w:b/>
          <w:bCs/>
          <w:iCs/>
          <w:color w:val="000000" w:themeColor="text1"/>
          <w:sz w:val="24"/>
          <w:szCs w:val="24"/>
        </w:rPr>
        <w:t>:</w:t>
      </w:r>
      <w:bookmarkEnd w:id="0"/>
      <w:bookmarkEnd w:id="1"/>
      <w:r w:rsidRPr="00220CF9">
        <w:rPr>
          <w:rFonts w:ascii="Book Antiqua" w:eastAsia="SimSun" w:hAnsi="Book Antiqua" w:cs="TimesNewRomanPS-BoldItalicMT"/>
          <w:b/>
          <w:bCs/>
          <w:iCs/>
          <w:color w:val="000000" w:themeColor="text1"/>
          <w:sz w:val="24"/>
          <w:szCs w:val="24"/>
          <w:lang w:eastAsia="zh-CN"/>
        </w:rPr>
        <w:t xml:space="preserve"> </w:t>
      </w:r>
      <w:bookmarkStart w:id="2" w:name="OLE_LINK155"/>
      <w:bookmarkStart w:id="3" w:name="OLE_LINK183"/>
      <w:bookmarkStart w:id="4" w:name="OLE_LINK441"/>
      <w:r w:rsidR="00FD5DA1" w:rsidRPr="00220CF9">
        <w:rPr>
          <w:rFonts w:ascii="Book Antiqua" w:hAnsi="Book Antiqua"/>
          <w:color w:val="000000" w:themeColor="text1"/>
          <w:sz w:val="24"/>
          <w:szCs w:val="24"/>
        </w:rPr>
        <w:t>Kanda T received research grants from AbbVie, MSD, Chugai Pharma and Sysmex. These company played no role in this study. Other authors declare no conflict of interest related to this publication.</w:t>
      </w:r>
    </w:p>
    <w:p w:rsidR="00FD5DA1" w:rsidRPr="00220CF9" w:rsidRDefault="00FD5DA1" w:rsidP="00FD5DA1">
      <w:pPr>
        <w:autoSpaceDE w:val="0"/>
        <w:autoSpaceDN w:val="0"/>
        <w:adjustRightInd w:val="0"/>
        <w:spacing w:line="360" w:lineRule="auto"/>
        <w:rPr>
          <w:rFonts w:ascii="Book Antiqua" w:hAnsi="Book Antiqua"/>
          <w:color w:val="000000" w:themeColor="text1"/>
          <w:sz w:val="24"/>
          <w:szCs w:val="24"/>
        </w:rPr>
      </w:pPr>
    </w:p>
    <w:p w:rsidR="00F61201" w:rsidRDefault="00F61201" w:rsidP="00FD5DA1">
      <w:pPr>
        <w:autoSpaceDE w:val="0"/>
        <w:autoSpaceDN w:val="0"/>
        <w:adjustRightInd w:val="0"/>
        <w:spacing w:line="360" w:lineRule="auto"/>
        <w:rPr>
          <w:rFonts w:ascii="Book Antiqua" w:eastAsia="SimSun" w:hAnsi="Book Antiqua"/>
          <w:color w:val="000000" w:themeColor="text1"/>
          <w:kern w:val="0"/>
          <w:sz w:val="24"/>
          <w:szCs w:val="24"/>
          <w:lang w:eastAsia="zh-CN"/>
        </w:rPr>
      </w:pPr>
      <w:r w:rsidRPr="00220CF9">
        <w:rPr>
          <w:rFonts w:ascii="Book Antiqua" w:hAnsi="Book Antiqua"/>
          <w:b/>
          <w:color w:val="000000" w:themeColor="text1"/>
          <w:kern w:val="0"/>
          <w:sz w:val="24"/>
          <w:szCs w:val="24"/>
        </w:rPr>
        <w:t xml:space="preserve">Open-Access: </w:t>
      </w:r>
      <w:r w:rsidRPr="00220CF9">
        <w:rPr>
          <w:rFonts w:ascii="Book Antiqua" w:hAnsi="Book Antiqua"/>
          <w:color w:val="000000" w:themeColor="text1"/>
          <w:kern w:val="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bookmarkEnd w:id="4"/>
    <w:p w:rsidR="009B513E" w:rsidRPr="004501F4" w:rsidRDefault="009B513E" w:rsidP="009B513E">
      <w:pPr>
        <w:spacing w:line="480" w:lineRule="auto"/>
        <w:rPr>
          <w:rFonts w:ascii="Book Antiqua" w:eastAsia="SimSun" w:hAnsi="Book Antiqua"/>
          <w:color w:val="000000" w:themeColor="text1"/>
          <w:sz w:val="24"/>
          <w:szCs w:val="24"/>
          <w:lang w:eastAsia="zh-CN"/>
        </w:rPr>
      </w:pPr>
    </w:p>
    <w:p w:rsidR="009B513E" w:rsidRDefault="00F61201" w:rsidP="009B513E">
      <w:pPr>
        <w:spacing w:line="480" w:lineRule="auto"/>
        <w:rPr>
          <w:rFonts w:ascii="Book Antiqua" w:eastAsia="SimSun" w:hAnsi="Book Antiqua"/>
          <w:color w:val="000000" w:themeColor="text1"/>
          <w:sz w:val="24"/>
          <w:szCs w:val="24"/>
          <w:lang w:eastAsia="zh-CN"/>
        </w:rPr>
      </w:pPr>
      <w:r w:rsidRPr="00220CF9">
        <w:rPr>
          <w:rFonts w:ascii="Book Antiqua" w:hAnsi="Book Antiqua"/>
          <w:b/>
          <w:color w:val="000000" w:themeColor="text1"/>
          <w:sz w:val="24"/>
          <w:szCs w:val="24"/>
        </w:rPr>
        <w:t xml:space="preserve">Manuscript source: </w:t>
      </w:r>
      <w:r w:rsidRPr="00220CF9">
        <w:rPr>
          <w:rFonts w:ascii="Book Antiqua" w:hAnsi="Book Antiqua"/>
          <w:color w:val="000000" w:themeColor="text1"/>
          <w:sz w:val="24"/>
          <w:szCs w:val="24"/>
        </w:rPr>
        <w:t>Invited manuscript</w:t>
      </w:r>
    </w:p>
    <w:p w:rsidR="004501F4" w:rsidRPr="004501F4" w:rsidRDefault="004501F4" w:rsidP="009B513E">
      <w:pPr>
        <w:spacing w:line="480" w:lineRule="auto"/>
        <w:rPr>
          <w:rFonts w:ascii="Book Antiqua" w:eastAsia="SimSun" w:hAnsi="Book Antiqua"/>
          <w:color w:val="000000" w:themeColor="text1"/>
          <w:sz w:val="24"/>
          <w:szCs w:val="24"/>
          <w:lang w:eastAsia="zh-CN"/>
        </w:rPr>
      </w:pPr>
    </w:p>
    <w:p w:rsidR="00F61201" w:rsidRPr="002D390D" w:rsidRDefault="00F61201" w:rsidP="009B513E">
      <w:pPr>
        <w:spacing w:line="480" w:lineRule="auto"/>
        <w:rPr>
          <w:rFonts w:ascii="Book Antiqua" w:eastAsia="SimSun" w:hAnsi="Book Antiqua"/>
          <w:color w:val="000000" w:themeColor="text1"/>
          <w:sz w:val="24"/>
          <w:szCs w:val="24"/>
          <w:lang w:eastAsia="zh-CN"/>
        </w:rPr>
      </w:pPr>
      <w:r w:rsidRPr="00220CF9">
        <w:rPr>
          <w:rFonts w:ascii="Book Antiqua" w:hAnsi="Book Antiqua"/>
          <w:b/>
          <w:bCs/>
          <w:color w:val="000000" w:themeColor="text1"/>
          <w:sz w:val="24"/>
          <w:szCs w:val="24"/>
        </w:rPr>
        <w:t>Correspondence to: Tatsuo Kanda, MD, PhD, Associate Professor,</w:t>
      </w:r>
      <w:r w:rsidRPr="00220CF9">
        <w:rPr>
          <w:rFonts w:ascii="Book Antiqua" w:hAnsi="Book Antiqua"/>
          <w:color w:val="000000" w:themeColor="text1"/>
          <w:sz w:val="24"/>
          <w:szCs w:val="24"/>
        </w:rPr>
        <w:t xml:space="preserve"> </w:t>
      </w:r>
      <w:bookmarkStart w:id="5" w:name="OLE_LINK1"/>
      <w:bookmarkStart w:id="6" w:name="OLE_LINK2"/>
      <w:r w:rsidRPr="00220CF9">
        <w:rPr>
          <w:rFonts w:ascii="Book Antiqua" w:hAnsi="Book Antiqua"/>
          <w:color w:val="000000" w:themeColor="text1"/>
          <w:sz w:val="24"/>
          <w:szCs w:val="24"/>
        </w:rPr>
        <w:t>Division of Gastroenterology and Hepatology, Department of Internal Medicine</w:t>
      </w:r>
      <w:bookmarkEnd w:id="5"/>
      <w:bookmarkEnd w:id="6"/>
      <w:r w:rsidRPr="00220CF9">
        <w:rPr>
          <w:rFonts w:ascii="Book Antiqua" w:hAnsi="Book Antiqua"/>
          <w:color w:val="000000" w:themeColor="text1"/>
          <w:sz w:val="24"/>
          <w:szCs w:val="24"/>
        </w:rPr>
        <w:t xml:space="preserve">, </w:t>
      </w:r>
      <w:bookmarkStart w:id="7" w:name="OLE_LINK3"/>
      <w:bookmarkStart w:id="8" w:name="OLE_LINK4"/>
      <w:r w:rsidR="00D311DE" w:rsidRPr="00220CF9">
        <w:rPr>
          <w:rFonts w:ascii="Book Antiqua" w:hAnsi="Book Antiqua"/>
          <w:color w:val="000000" w:themeColor="text1"/>
          <w:sz w:val="24"/>
          <w:szCs w:val="24"/>
        </w:rPr>
        <w:t>Nihon University School of Medicine</w:t>
      </w:r>
      <w:bookmarkEnd w:id="7"/>
      <w:bookmarkEnd w:id="8"/>
      <w:r w:rsidR="00D311DE" w:rsidRPr="00220CF9">
        <w:rPr>
          <w:rFonts w:ascii="Book Antiqua" w:hAnsi="Book Antiqua"/>
          <w:color w:val="000000" w:themeColor="text1"/>
          <w:sz w:val="24"/>
          <w:szCs w:val="24"/>
        </w:rPr>
        <w:t>,</w:t>
      </w:r>
      <w:r w:rsidR="00D311DE">
        <w:rPr>
          <w:rFonts w:ascii="Book Antiqua" w:eastAsia="SimSun" w:hAnsi="Book Antiqua" w:hint="eastAsia"/>
          <w:color w:val="000000" w:themeColor="text1"/>
          <w:sz w:val="24"/>
          <w:szCs w:val="24"/>
          <w:lang w:eastAsia="zh-CN"/>
        </w:rPr>
        <w:t xml:space="preserve"> </w:t>
      </w:r>
      <w:bookmarkStart w:id="9" w:name="OLE_LINK5"/>
      <w:bookmarkStart w:id="10" w:name="OLE_LINK6"/>
      <w:r w:rsidRPr="00220CF9">
        <w:rPr>
          <w:rFonts w:ascii="Book Antiqua" w:hAnsi="Book Antiqua"/>
          <w:color w:val="000000" w:themeColor="text1"/>
          <w:sz w:val="24"/>
          <w:szCs w:val="24"/>
        </w:rPr>
        <w:t>30-1 Oyaguchi-Kamicho, Itabashi-ku</w:t>
      </w:r>
      <w:bookmarkEnd w:id="9"/>
      <w:bookmarkEnd w:id="10"/>
      <w:r w:rsidRPr="00220CF9">
        <w:rPr>
          <w:rFonts w:ascii="Book Antiqua" w:hAnsi="Book Antiqua"/>
          <w:color w:val="000000" w:themeColor="text1"/>
          <w:sz w:val="24"/>
          <w:szCs w:val="24"/>
        </w:rPr>
        <w:t>, Tokyo 173-8610, Japan.</w:t>
      </w:r>
      <w:r w:rsidR="001C67A9">
        <w:rPr>
          <w:rFonts w:ascii="Book Antiqua" w:eastAsia="SimSun" w:hAnsi="Book Antiqua" w:hint="eastAsia"/>
          <w:color w:val="000000" w:themeColor="text1"/>
          <w:sz w:val="24"/>
          <w:szCs w:val="24"/>
          <w:lang w:eastAsia="zh-CN"/>
        </w:rPr>
        <w:t xml:space="preserve"> </w:t>
      </w:r>
      <w:hyperlink r:id="rId8" w:history="1">
        <w:r w:rsidR="002D390D" w:rsidRPr="000F0FF7">
          <w:rPr>
            <w:rStyle w:val="Hyperlink"/>
            <w:rFonts w:ascii="Book Antiqua" w:hAnsi="Book Antiqua"/>
            <w:sz w:val="24"/>
            <w:szCs w:val="24"/>
          </w:rPr>
          <w:t>kandat-cib@umin.ac.jp</w:t>
        </w:r>
      </w:hyperlink>
      <w:r w:rsidR="002D390D">
        <w:rPr>
          <w:rFonts w:ascii="Book Antiqua" w:eastAsia="SimSun" w:hAnsi="Book Antiqua" w:hint="eastAsia"/>
          <w:color w:val="000000" w:themeColor="text1"/>
          <w:sz w:val="24"/>
          <w:szCs w:val="24"/>
          <w:lang w:eastAsia="zh-CN"/>
        </w:rPr>
        <w:t xml:space="preserve"> </w:t>
      </w:r>
    </w:p>
    <w:p w:rsidR="00F61201" w:rsidRPr="00220CF9" w:rsidRDefault="00F61201" w:rsidP="009B513E">
      <w:pPr>
        <w:spacing w:line="480" w:lineRule="auto"/>
        <w:rPr>
          <w:rFonts w:ascii="Book Antiqua" w:hAnsi="Book Antiqua"/>
          <w:color w:val="000000" w:themeColor="text1"/>
          <w:sz w:val="24"/>
          <w:szCs w:val="24"/>
        </w:rPr>
      </w:pPr>
      <w:r w:rsidRPr="00557BD7">
        <w:rPr>
          <w:rFonts w:ascii="Book Antiqua" w:hAnsi="Book Antiqua"/>
          <w:b/>
          <w:color w:val="000000" w:themeColor="text1"/>
          <w:sz w:val="24"/>
          <w:szCs w:val="24"/>
        </w:rPr>
        <w:t>Telephone:</w:t>
      </w:r>
      <w:r w:rsidRPr="00220CF9">
        <w:rPr>
          <w:rFonts w:ascii="Book Antiqua" w:hAnsi="Book Antiqua"/>
          <w:color w:val="000000" w:themeColor="text1"/>
          <w:sz w:val="24"/>
          <w:szCs w:val="24"/>
        </w:rPr>
        <w:t xml:space="preserve"> +81-3-39728111</w:t>
      </w:r>
    </w:p>
    <w:p w:rsidR="00557BD7" w:rsidRPr="00557BD7" w:rsidRDefault="00F61201" w:rsidP="00557BD7">
      <w:pPr>
        <w:spacing w:line="480" w:lineRule="auto"/>
        <w:rPr>
          <w:rFonts w:ascii="Book Antiqua" w:eastAsia="SimSun" w:hAnsi="Book Antiqua"/>
          <w:color w:val="000000" w:themeColor="text1"/>
          <w:sz w:val="24"/>
          <w:szCs w:val="24"/>
          <w:lang w:eastAsia="zh-CN"/>
        </w:rPr>
      </w:pPr>
      <w:r w:rsidRPr="00557BD7">
        <w:rPr>
          <w:rFonts w:ascii="Book Antiqua" w:hAnsi="Book Antiqua"/>
          <w:b/>
          <w:color w:val="000000" w:themeColor="text1"/>
          <w:sz w:val="24"/>
          <w:szCs w:val="24"/>
        </w:rPr>
        <w:t>Fax:</w:t>
      </w:r>
      <w:r w:rsidRPr="00220CF9">
        <w:rPr>
          <w:rFonts w:ascii="Book Antiqua" w:hAnsi="Book Antiqua"/>
          <w:color w:val="000000" w:themeColor="text1"/>
          <w:sz w:val="24"/>
          <w:szCs w:val="24"/>
        </w:rPr>
        <w:t xml:space="preserve"> +81-3-39568496</w:t>
      </w:r>
    </w:p>
    <w:p w:rsidR="00557BD7" w:rsidRDefault="00557BD7" w:rsidP="00557BD7">
      <w:pPr>
        <w:spacing w:line="360" w:lineRule="auto"/>
        <w:rPr>
          <w:rFonts w:ascii="Book Antiqua" w:hAnsi="Book Antiqua"/>
          <w:b/>
          <w:sz w:val="24"/>
        </w:rPr>
      </w:pPr>
    </w:p>
    <w:p w:rsidR="00557BD7" w:rsidRPr="00867A3A" w:rsidRDefault="00557BD7" w:rsidP="00557BD7">
      <w:pPr>
        <w:spacing w:line="360" w:lineRule="auto"/>
        <w:rPr>
          <w:rFonts w:ascii="Book Antiqua" w:hAnsi="Book Antiqua"/>
          <w:b/>
          <w:sz w:val="24"/>
        </w:rPr>
      </w:pPr>
      <w:r w:rsidRPr="00867A3A">
        <w:rPr>
          <w:rFonts w:ascii="Book Antiqua" w:hAnsi="Book Antiqua"/>
          <w:b/>
          <w:sz w:val="24"/>
        </w:rPr>
        <w:t xml:space="preserve">Received: </w:t>
      </w:r>
      <w:r w:rsidR="00435755" w:rsidRPr="00435755">
        <w:rPr>
          <w:rFonts w:ascii="Book Antiqua" w:hAnsi="Book Antiqua"/>
          <w:sz w:val="24"/>
        </w:rPr>
        <w:t>October</w:t>
      </w:r>
      <w:r w:rsidR="00435755" w:rsidRPr="00435755">
        <w:rPr>
          <w:rFonts w:ascii="Book Antiqua" w:hAnsi="Book Antiqua" w:hint="eastAsia"/>
          <w:sz w:val="24"/>
        </w:rPr>
        <w:t xml:space="preserve"> </w:t>
      </w:r>
      <w:r w:rsidR="00435755">
        <w:rPr>
          <w:rFonts w:ascii="Book Antiqua" w:eastAsia="SimSun" w:hAnsi="Book Antiqua" w:hint="eastAsia"/>
          <w:sz w:val="24"/>
          <w:lang w:eastAsia="zh-CN"/>
        </w:rPr>
        <w:t>13</w:t>
      </w:r>
      <w:r>
        <w:rPr>
          <w:rFonts w:ascii="Book Antiqua" w:hAnsi="Book Antiqua" w:hint="eastAsia"/>
          <w:sz w:val="24"/>
        </w:rPr>
        <w:t>, 2017</w:t>
      </w:r>
      <w:r w:rsidRPr="00867A3A">
        <w:rPr>
          <w:rFonts w:ascii="Book Antiqua" w:hAnsi="Book Antiqua"/>
          <w:b/>
          <w:sz w:val="24"/>
        </w:rPr>
        <w:t xml:space="preserve">  </w:t>
      </w:r>
    </w:p>
    <w:p w:rsidR="00557BD7" w:rsidRPr="00867A3A" w:rsidRDefault="00557BD7" w:rsidP="00557BD7">
      <w:pPr>
        <w:spacing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bookmarkStart w:id="11" w:name="OLE_LINK14"/>
      <w:bookmarkStart w:id="12" w:name="OLE_LINK15"/>
      <w:r w:rsidR="00357D90" w:rsidRPr="00A11C75">
        <w:rPr>
          <w:rFonts w:ascii="Book Antiqua" w:hAnsi="Book Antiqua"/>
          <w:sz w:val="24"/>
        </w:rPr>
        <w:t>October</w:t>
      </w:r>
      <w:bookmarkEnd w:id="11"/>
      <w:bookmarkEnd w:id="12"/>
      <w:r w:rsidR="00357D90">
        <w:rPr>
          <w:rFonts w:ascii="Book Antiqua" w:hAnsi="Book Antiqua" w:hint="eastAsia"/>
          <w:sz w:val="24"/>
        </w:rPr>
        <w:t xml:space="preserve"> </w:t>
      </w:r>
      <w:r w:rsidR="00357D90">
        <w:rPr>
          <w:rFonts w:ascii="Book Antiqua" w:eastAsia="SimSun" w:hAnsi="Book Antiqua" w:hint="eastAsia"/>
          <w:sz w:val="24"/>
          <w:lang w:eastAsia="zh-CN"/>
        </w:rPr>
        <w:t>13</w:t>
      </w:r>
      <w:r>
        <w:rPr>
          <w:rFonts w:ascii="Book Antiqua" w:hAnsi="Book Antiqua" w:hint="eastAsia"/>
          <w:sz w:val="24"/>
        </w:rPr>
        <w:t>, 2017</w:t>
      </w:r>
    </w:p>
    <w:p w:rsidR="00557BD7" w:rsidRPr="00867A3A" w:rsidRDefault="00557BD7" w:rsidP="00557BD7">
      <w:pPr>
        <w:spacing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sidR="00BC5F5C" w:rsidRPr="00A11C75">
        <w:rPr>
          <w:rFonts w:ascii="Book Antiqua" w:hAnsi="Book Antiqua"/>
          <w:sz w:val="24"/>
        </w:rPr>
        <w:t>October</w:t>
      </w:r>
      <w:r w:rsidR="00BC5F5C">
        <w:rPr>
          <w:rFonts w:ascii="Book Antiqua" w:hAnsi="Book Antiqua" w:hint="eastAsia"/>
          <w:sz w:val="24"/>
        </w:rPr>
        <w:t xml:space="preserve"> </w:t>
      </w:r>
      <w:r w:rsidR="00BC5F5C">
        <w:rPr>
          <w:rFonts w:ascii="Book Antiqua" w:eastAsia="SimSun" w:hAnsi="Book Antiqua" w:hint="eastAsia"/>
          <w:sz w:val="24"/>
          <w:lang w:eastAsia="zh-CN"/>
        </w:rPr>
        <w:t>30</w:t>
      </w:r>
      <w:r>
        <w:rPr>
          <w:rFonts w:ascii="Book Antiqua" w:hAnsi="Book Antiqua" w:hint="eastAsia"/>
          <w:sz w:val="24"/>
        </w:rPr>
        <w:t>, 2017</w:t>
      </w:r>
    </w:p>
    <w:p w:rsidR="00557BD7" w:rsidRPr="00867A3A" w:rsidRDefault="00557BD7" w:rsidP="00557BD7">
      <w:pPr>
        <w:spacing w:line="360" w:lineRule="auto"/>
        <w:rPr>
          <w:rFonts w:ascii="Book Antiqua" w:hAnsi="Book Antiqua"/>
          <w:b/>
          <w:sz w:val="24"/>
        </w:rPr>
      </w:pPr>
      <w:r w:rsidRPr="00867A3A">
        <w:rPr>
          <w:rFonts w:ascii="Book Antiqua" w:hAnsi="Book Antiqua"/>
          <w:b/>
          <w:sz w:val="24"/>
        </w:rPr>
        <w:t xml:space="preserve">Revised: </w:t>
      </w:r>
      <w:r w:rsidR="00A00FE0" w:rsidRPr="00A11C75">
        <w:rPr>
          <w:rFonts w:ascii="Book Antiqua" w:hAnsi="Book Antiqua"/>
          <w:sz w:val="24"/>
        </w:rPr>
        <w:t>November</w:t>
      </w:r>
      <w:r w:rsidR="00A00FE0">
        <w:rPr>
          <w:rFonts w:ascii="Book Antiqua" w:hAnsi="Book Antiqua" w:hint="eastAsia"/>
          <w:sz w:val="24"/>
        </w:rPr>
        <w:t xml:space="preserve"> </w:t>
      </w:r>
      <w:r w:rsidR="00A00FE0">
        <w:rPr>
          <w:rFonts w:ascii="Book Antiqua" w:eastAsia="SimSun" w:hAnsi="Book Antiqua" w:hint="eastAsia"/>
          <w:sz w:val="24"/>
          <w:lang w:eastAsia="zh-CN"/>
        </w:rPr>
        <w:t>10</w:t>
      </w:r>
      <w:r>
        <w:rPr>
          <w:rFonts w:ascii="Book Antiqua" w:hAnsi="Book Antiqua" w:hint="eastAsia"/>
          <w:sz w:val="24"/>
        </w:rPr>
        <w:t>, 2017</w:t>
      </w:r>
      <w:r w:rsidRPr="00867A3A">
        <w:rPr>
          <w:rFonts w:ascii="Book Antiqua" w:hAnsi="Book Antiqua"/>
          <w:b/>
          <w:sz w:val="24"/>
        </w:rPr>
        <w:t xml:space="preserve"> </w:t>
      </w:r>
    </w:p>
    <w:p w:rsidR="00557BD7" w:rsidRPr="00867A3A" w:rsidRDefault="00557BD7" w:rsidP="00557BD7">
      <w:pPr>
        <w:spacing w:line="360" w:lineRule="auto"/>
        <w:rPr>
          <w:rFonts w:ascii="Book Antiqua" w:hAnsi="Book Antiqua"/>
          <w:b/>
          <w:sz w:val="24"/>
        </w:rPr>
      </w:pPr>
      <w:r w:rsidRPr="00867A3A">
        <w:rPr>
          <w:rFonts w:ascii="Book Antiqua" w:hAnsi="Book Antiqua"/>
          <w:b/>
          <w:sz w:val="24"/>
        </w:rPr>
        <w:t>Accepted:</w:t>
      </w:r>
      <w:r w:rsidR="00BC450A" w:rsidRPr="00BC450A">
        <w:t xml:space="preserve"> </w:t>
      </w:r>
      <w:r w:rsidR="00BC450A" w:rsidRPr="00BC450A">
        <w:rPr>
          <w:rFonts w:ascii="Book Antiqua" w:hAnsi="Book Antiqua"/>
          <w:sz w:val="24"/>
        </w:rPr>
        <w:t>November 28, 2017</w:t>
      </w:r>
      <w:r w:rsidRPr="00867A3A">
        <w:rPr>
          <w:rFonts w:ascii="Book Antiqua" w:hAnsi="Book Antiqua"/>
          <w:b/>
          <w:sz w:val="24"/>
        </w:rPr>
        <w:t xml:space="preserve">  </w:t>
      </w:r>
    </w:p>
    <w:p w:rsidR="00557BD7" w:rsidRPr="00867A3A" w:rsidRDefault="00557BD7" w:rsidP="00557BD7">
      <w:pPr>
        <w:spacing w:line="360" w:lineRule="auto"/>
        <w:rPr>
          <w:rFonts w:ascii="Book Antiqua" w:hAnsi="Book Antiqua"/>
          <w:b/>
          <w:sz w:val="24"/>
        </w:rPr>
      </w:pPr>
      <w:r w:rsidRPr="00867A3A">
        <w:rPr>
          <w:rFonts w:ascii="Book Antiqua" w:hAnsi="Book Antiqua"/>
          <w:b/>
          <w:sz w:val="24"/>
        </w:rPr>
        <w:t>Article in press:</w:t>
      </w:r>
    </w:p>
    <w:p w:rsidR="00557BD7" w:rsidRDefault="00557BD7" w:rsidP="00557BD7">
      <w:pPr>
        <w:spacing w:line="360" w:lineRule="auto"/>
        <w:rPr>
          <w:rFonts w:ascii="Book Antiqua" w:hAnsi="Book Antiqua"/>
          <w:b/>
          <w:sz w:val="24"/>
        </w:rPr>
      </w:pPr>
      <w:r w:rsidRPr="00867A3A">
        <w:rPr>
          <w:rFonts w:ascii="Book Antiqua" w:hAnsi="Book Antiqua"/>
          <w:b/>
          <w:sz w:val="24"/>
        </w:rPr>
        <w:t>Published online:</w:t>
      </w:r>
    </w:p>
    <w:p w:rsidR="00557BD7" w:rsidRPr="00557BD7" w:rsidRDefault="00557BD7" w:rsidP="009B513E">
      <w:pPr>
        <w:spacing w:line="480" w:lineRule="auto"/>
        <w:rPr>
          <w:rFonts w:ascii="Book Antiqua" w:eastAsia="SimSun" w:hAnsi="Book Antiqua"/>
          <w:color w:val="000000" w:themeColor="text1"/>
          <w:sz w:val="24"/>
          <w:szCs w:val="24"/>
          <w:lang w:eastAsia="zh-CN"/>
        </w:rPr>
      </w:pPr>
    </w:p>
    <w:p w:rsidR="0097536B" w:rsidRPr="00220CF9" w:rsidRDefault="0097536B">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br w:type="page"/>
      </w:r>
    </w:p>
    <w:p w:rsidR="0097536B" w:rsidRPr="00220CF9" w:rsidRDefault="0097536B" w:rsidP="0097536B">
      <w:pPr>
        <w:spacing w:line="360" w:lineRule="auto"/>
        <w:rPr>
          <w:rFonts w:ascii="Book Antiqua" w:hAnsi="Book Antiqua"/>
          <w:b/>
          <w:color w:val="000000" w:themeColor="text1"/>
          <w:sz w:val="24"/>
          <w:szCs w:val="24"/>
        </w:rPr>
      </w:pPr>
      <w:r w:rsidRPr="00220CF9">
        <w:rPr>
          <w:rFonts w:ascii="Book Antiqua" w:hAnsi="Book Antiqua"/>
          <w:b/>
          <w:color w:val="000000" w:themeColor="text1"/>
          <w:sz w:val="24"/>
          <w:szCs w:val="24"/>
        </w:rPr>
        <w:lastRenderedPageBreak/>
        <w:t>Abstract</w:t>
      </w:r>
    </w:p>
    <w:p w:rsidR="0097536B" w:rsidRPr="00220CF9" w:rsidRDefault="00A75568" w:rsidP="00566E9F">
      <w:pPr>
        <w:spacing w:line="360" w:lineRule="auto"/>
        <w:rPr>
          <w:rFonts w:ascii="Book Antiqua" w:hAnsi="Book Antiqua"/>
          <w:color w:val="000000" w:themeColor="text1"/>
          <w:sz w:val="24"/>
          <w:szCs w:val="24"/>
        </w:rPr>
      </w:pPr>
      <w:r w:rsidRPr="00220CF9">
        <w:rPr>
          <w:rFonts w:ascii="Book Antiqua" w:hAnsi="Book Antiqua"/>
          <w:color w:val="000000" w:themeColor="text1"/>
          <w:sz w:val="24"/>
          <w:szCs w:val="24"/>
        </w:rPr>
        <w:t>The r</w:t>
      </w:r>
      <w:r w:rsidR="00357DEF" w:rsidRPr="00220CF9">
        <w:rPr>
          <w:rFonts w:ascii="Book Antiqua" w:hAnsi="Book Antiqua"/>
          <w:color w:val="000000" w:themeColor="text1"/>
          <w:sz w:val="24"/>
          <w:szCs w:val="24"/>
        </w:rPr>
        <w:t xml:space="preserve">ecent development of direct-acting antiviral agents (DAAs) against hepatitis C virus (HCV) infection could </w:t>
      </w:r>
      <w:r w:rsidRPr="00220CF9">
        <w:rPr>
          <w:rFonts w:ascii="Book Antiqua" w:hAnsi="Book Antiqua"/>
          <w:color w:val="000000" w:themeColor="text1"/>
          <w:sz w:val="24"/>
          <w:szCs w:val="24"/>
        </w:rPr>
        <w:t>lead to</w:t>
      </w:r>
      <w:r w:rsidR="00357DEF" w:rsidRPr="00220CF9">
        <w:rPr>
          <w:rFonts w:ascii="Book Antiqua" w:hAnsi="Book Antiqua"/>
          <w:color w:val="000000" w:themeColor="text1"/>
          <w:sz w:val="24"/>
          <w:szCs w:val="24"/>
        </w:rPr>
        <w:t xml:space="preserve"> higher sustained virological response (SVR) rates</w:t>
      </w:r>
      <w:r w:rsidRPr="00220CF9">
        <w:rPr>
          <w:rFonts w:ascii="Book Antiqua" w:hAnsi="Book Antiqua"/>
          <w:color w:val="000000" w:themeColor="text1"/>
          <w:sz w:val="24"/>
          <w:szCs w:val="24"/>
        </w:rPr>
        <w:t>,</w:t>
      </w:r>
      <w:r w:rsidR="00357DEF" w:rsidRPr="00220CF9">
        <w:rPr>
          <w:rFonts w:ascii="Book Antiqua" w:hAnsi="Book Antiqua"/>
          <w:color w:val="000000" w:themeColor="text1"/>
          <w:sz w:val="24"/>
          <w:szCs w:val="24"/>
        </w:rPr>
        <w:t xml:space="preserve"> with </w:t>
      </w:r>
      <w:r w:rsidRPr="00220CF9">
        <w:rPr>
          <w:rFonts w:ascii="Book Antiqua" w:hAnsi="Book Antiqua"/>
          <w:color w:val="000000" w:themeColor="text1"/>
          <w:kern w:val="0"/>
          <w:sz w:val="24"/>
          <w:szCs w:val="24"/>
        </w:rPr>
        <w:t xml:space="preserve">shorter treatment </w:t>
      </w:r>
      <w:r w:rsidR="00357DEF" w:rsidRPr="00220CF9">
        <w:rPr>
          <w:rFonts w:ascii="Book Antiqua" w:hAnsi="Book Antiqua"/>
          <w:color w:val="000000" w:themeColor="text1"/>
          <w:sz w:val="24"/>
          <w:szCs w:val="24"/>
        </w:rPr>
        <w:t>duration</w:t>
      </w:r>
      <w:r w:rsidRPr="00220CF9">
        <w:rPr>
          <w:rFonts w:ascii="Book Antiqua" w:hAnsi="Book Antiqua"/>
          <w:color w:val="000000" w:themeColor="text1"/>
          <w:sz w:val="24"/>
          <w:szCs w:val="24"/>
        </w:rPr>
        <w:t>s and fewer adverse events</w:t>
      </w:r>
      <w:r w:rsidR="00357DEF" w:rsidRPr="00220CF9">
        <w:rPr>
          <w:rFonts w:ascii="Book Antiqua" w:hAnsi="Book Antiqua"/>
          <w:color w:val="000000" w:themeColor="text1"/>
          <w:sz w:val="24"/>
          <w:szCs w:val="24"/>
        </w:rPr>
        <w:t xml:space="preserve"> compared with regimens</w:t>
      </w:r>
      <w:r w:rsidRPr="00220CF9">
        <w:rPr>
          <w:rFonts w:ascii="Book Antiqua" w:hAnsi="Book Antiqua"/>
          <w:color w:val="000000" w:themeColor="text1"/>
          <w:sz w:val="24"/>
          <w:szCs w:val="24"/>
        </w:rPr>
        <w:t xml:space="preserve"> that include interferon.</w:t>
      </w:r>
      <w:r w:rsidR="00357DEF" w:rsidRPr="00220CF9">
        <w:rPr>
          <w:rFonts w:ascii="Book Antiqua" w:hAnsi="Book Antiqua"/>
          <w:color w:val="000000" w:themeColor="text1"/>
          <w:sz w:val="24"/>
          <w:szCs w:val="24"/>
        </w:rPr>
        <w:t xml:space="preserve"> </w:t>
      </w:r>
      <w:r w:rsidRPr="00220CF9">
        <w:rPr>
          <w:rFonts w:ascii="Book Antiqua" w:hAnsi="Book Antiqua"/>
          <w:color w:val="000000" w:themeColor="text1"/>
          <w:kern w:val="0"/>
          <w:sz w:val="24"/>
          <w:szCs w:val="24"/>
        </w:rPr>
        <w:t>However, a</w:t>
      </w:r>
      <w:r w:rsidRPr="00220CF9">
        <w:rPr>
          <w:rFonts w:ascii="Book Antiqua" w:hAnsi="Book Antiqua"/>
          <w:color w:val="000000" w:themeColor="text1"/>
          <w:sz w:val="24"/>
          <w:szCs w:val="24"/>
        </w:rPr>
        <w:t xml:space="preserve"> </w:t>
      </w:r>
      <w:r w:rsidR="00357DEF" w:rsidRPr="00220CF9">
        <w:rPr>
          <w:rFonts w:ascii="Book Antiqua" w:hAnsi="Book Antiqua"/>
          <w:color w:val="000000" w:themeColor="text1"/>
          <w:sz w:val="24"/>
          <w:szCs w:val="24"/>
        </w:rPr>
        <w:t xml:space="preserve">relatively small </w:t>
      </w:r>
      <w:r w:rsidRPr="00220CF9">
        <w:rPr>
          <w:rFonts w:ascii="Book Antiqua" w:hAnsi="Book Antiqua"/>
          <w:color w:val="000000" w:themeColor="text1"/>
          <w:sz w:val="24"/>
          <w:szCs w:val="24"/>
        </w:rPr>
        <w:t>pro</w:t>
      </w:r>
      <w:r w:rsidR="00357DEF" w:rsidRPr="00220CF9">
        <w:rPr>
          <w:rFonts w:ascii="Book Antiqua" w:hAnsi="Book Antiqua"/>
          <w:color w:val="000000" w:themeColor="text1"/>
          <w:sz w:val="24"/>
          <w:szCs w:val="24"/>
        </w:rPr>
        <w:t>portion of patients c</w:t>
      </w:r>
      <w:r w:rsidRPr="00220CF9">
        <w:rPr>
          <w:rFonts w:ascii="Book Antiqua" w:hAnsi="Book Antiqua"/>
          <w:color w:val="000000" w:themeColor="text1"/>
          <w:sz w:val="24"/>
          <w:szCs w:val="24"/>
        </w:rPr>
        <w:t>an</w:t>
      </w:r>
      <w:r w:rsidR="00357DEF" w:rsidRPr="00220CF9">
        <w:rPr>
          <w:rFonts w:ascii="Book Antiqua" w:hAnsi="Book Antiqua"/>
          <w:color w:val="000000" w:themeColor="text1"/>
          <w:sz w:val="24"/>
          <w:szCs w:val="24"/>
        </w:rPr>
        <w:t>not achieve SVR in the first treatment</w:t>
      </w:r>
      <w:r w:rsidR="00B57865" w:rsidRPr="00220CF9">
        <w:rPr>
          <w:rFonts w:ascii="Book Antiqua" w:hAnsi="Book Antiqua"/>
          <w:color w:val="000000" w:themeColor="text1"/>
          <w:sz w:val="24"/>
          <w:szCs w:val="24"/>
        </w:rPr>
        <w:t>,</w:t>
      </w:r>
      <w:r w:rsidR="00357DEF" w:rsidRPr="00220CF9">
        <w:rPr>
          <w:rFonts w:ascii="Book Antiqua" w:hAnsi="Book Antiqua"/>
          <w:color w:val="000000" w:themeColor="text1"/>
          <w:sz w:val="24"/>
          <w:szCs w:val="24"/>
        </w:rPr>
        <w:t xml:space="preserve"> including DAAs with or without peginterferon and/or ribavirin.</w:t>
      </w:r>
      <w:r w:rsidR="006B0F72" w:rsidRPr="00220CF9">
        <w:rPr>
          <w:rFonts w:ascii="Book Antiqua" w:hAnsi="Book Antiqua"/>
          <w:color w:val="000000" w:themeColor="text1"/>
          <w:sz w:val="24"/>
          <w:szCs w:val="24"/>
        </w:rPr>
        <w:t xml:space="preserve"> </w:t>
      </w:r>
      <w:r w:rsidR="00566E9F" w:rsidRPr="00220CF9">
        <w:rPr>
          <w:rFonts w:ascii="Book Antiqua" w:hAnsi="Book Antiqua"/>
          <w:color w:val="000000" w:themeColor="text1"/>
          <w:sz w:val="24"/>
          <w:szCs w:val="24"/>
        </w:rPr>
        <w:t>Although r</w:t>
      </w:r>
      <w:r w:rsidR="00B57865" w:rsidRPr="00220CF9">
        <w:rPr>
          <w:rFonts w:ascii="Book Antiqua" w:hAnsi="Book Antiqua"/>
          <w:color w:val="000000" w:themeColor="text1"/>
          <w:sz w:val="24"/>
          <w:szCs w:val="24"/>
        </w:rPr>
        <w:t xml:space="preserve">etreatment with a </w:t>
      </w:r>
      <w:r w:rsidR="00357DEF" w:rsidRPr="00220CF9">
        <w:rPr>
          <w:rFonts w:ascii="Book Antiqua" w:hAnsi="Book Antiqua"/>
          <w:color w:val="000000" w:themeColor="text1"/>
          <w:sz w:val="24"/>
          <w:szCs w:val="24"/>
        </w:rPr>
        <w:t xml:space="preserve">combination of DAAs should </w:t>
      </w:r>
      <w:r w:rsidR="00566E9F" w:rsidRPr="00220CF9">
        <w:rPr>
          <w:rFonts w:ascii="Book Antiqua" w:hAnsi="Book Antiqua"/>
          <w:color w:val="000000" w:themeColor="text1"/>
          <w:sz w:val="24"/>
          <w:szCs w:val="24"/>
        </w:rPr>
        <w:t xml:space="preserve">be conducted for these patients, it is more difficult to achieve SVR </w:t>
      </w:r>
      <w:r w:rsidR="00B57865" w:rsidRPr="00220CF9">
        <w:rPr>
          <w:rFonts w:ascii="Book Antiqua" w:hAnsi="Book Antiqua"/>
          <w:color w:val="000000" w:themeColor="text1"/>
          <w:sz w:val="24"/>
          <w:szCs w:val="24"/>
        </w:rPr>
        <w:t>when</w:t>
      </w:r>
      <w:r w:rsidR="00566E9F" w:rsidRPr="00220CF9">
        <w:rPr>
          <w:rFonts w:ascii="Book Antiqua" w:hAnsi="Book Antiqua"/>
          <w:color w:val="000000" w:themeColor="text1"/>
          <w:sz w:val="24"/>
          <w:szCs w:val="24"/>
        </w:rPr>
        <w:t xml:space="preserve"> retreat</w:t>
      </w:r>
      <w:r w:rsidR="00B57865" w:rsidRPr="00220CF9">
        <w:rPr>
          <w:rFonts w:ascii="Book Antiqua" w:hAnsi="Book Antiqua"/>
          <w:color w:val="000000" w:themeColor="text1"/>
          <w:sz w:val="24"/>
          <w:szCs w:val="24"/>
        </w:rPr>
        <w:t xml:space="preserve">ing </w:t>
      </w:r>
      <w:r w:rsidR="00566E9F" w:rsidRPr="00220CF9">
        <w:rPr>
          <w:rFonts w:ascii="Book Antiqua" w:hAnsi="Book Antiqua"/>
          <w:color w:val="000000" w:themeColor="text1"/>
          <w:sz w:val="24"/>
          <w:szCs w:val="24"/>
        </w:rPr>
        <w:t xml:space="preserve">these patients because of resistance-associated substitutions (RASs) or treatment-emergent substitutions. </w:t>
      </w:r>
      <w:r w:rsidR="006B0F72" w:rsidRPr="00220CF9">
        <w:rPr>
          <w:rFonts w:ascii="Book Antiqua" w:hAnsi="Book Antiqua"/>
          <w:color w:val="000000" w:themeColor="text1"/>
          <w:sz w:val="24"/>
          <w:szCs w:val="24"/>
        </w:rPr>
        <w:t>In Japan, HCV genotype 1b</w:t>
      </w:r>
      <w:r w:rsidR="00557418" w:rsidRPr="00220CF9">
        <w:rPr>
          <w:rFonts w:ascii="Book Antiqua" w:hAnsi="Book Antiqua"/>
          <w:color w:val="000000" w:themeColor="text1"/>
          <w:sz w:val="24"/>
          <w:szCs w:val="24"/>
        </w:rPr>
        <w:t xml:space="preserve"> (GT1b)</w:t>
      </w:r>
      <w:r w:rsidR="006B0F72" w:rsidRPr="00220CF9">
        <w:rPr>
          <w:rFonts w:ascii="Book Antiqua" w:hAnsi="Book Antiqua"/>
          <w:color w:val="000000" w:themeColor="text1"/>
          <w:sz w:val="24"/>
          <w:szCs w:val="24"/>
        </w:rPr>
        <w:t xml:space="preserve"> is </w:t>
      </w:r>
      <w:r w:rsidR="00B57865" w:rsidRPr="00220CF9">
        <w:rPr>
          <w:rFonts w:ascii="Book Antiqua" w:hAnsi="Book Antiqua"/>
          <w:color w:val="000000" w:themeColor="text1"/>
          <w:sz w:val="24"/>
          <w:szCs w:val="24"/>
        </w:rPr>
        <w:t>founded in 70% of HCV-</w:t>
      </w:r>
      <w:r w:rsidR="006B0F72" w:rsidRPr="00220CF9">
        <w:rPr>
          <w:rFonts w:ascii="Book Antiqua" w:hAnsi="Book Antiqua"/>
          <w:color w:val="000000" w:themeColor="text1"/>
          <w:sz w:val="24"/>
          <w:szCs w:val="24"/>
        </w:rPr>
        <w:t>infected individuals. I</w:t>
      </w:r>
      <w:r w:rsidR="00B57865" w:rsidRPr="00220CF9">
        <w:rPr>
          <w:rFonts w:ascii="Book Antiqua" w:hAnsi="Book Antiqua"/>
          <w:color w:val="000000" w:themeColor="text1"/>
          <w:sz w:val="24"/>
          <w:szCs w:val="24"/>
        </w:rPr>
        <w:t>n this minireview, we summarize</w:t>
      </w:r>
      <w:r w:rsidR="006B0F72" w:rsidRPr="00220CF9">
        <w:rPr>
          <w:rFonts w:ascii="Book Antiqua" w:hAnsi="Book Antiqua"/>
          <w:color w:val="000000" w:themeColor="text1"/>
          <w:sz w:val="24"/>
          <w:szCs w:val="24"/>
        </w:rPr>
        <w:t xml:space="preserve"> the </w:t>
      </w:r>
      <w:r w:rsidR="00566E9F" w:rsidRPr="00220CF9">
        <w:rPr>
          <w:rFonts w:ascii="Book Antiqua" w:hAnsi="Book Antiqua"/>
          <w:color w:val="000000" w:themeColor="text1"/>
          <w:sz w:val="24"/>
          <w:szCs w:val="24"/>
        </w:rPr>
        <w:t>re</w:t>
      </w:r>
      <w:r w:rsidR="006B0F72" w:rsidRPr="00220CF9">
        <w:rPr>
          <w:rFonts w:ascii="Book Antiqua" w:hAnsi="Book Antiqua"/>
          <w:color w:val="000000" w:themeColor="text1"/>
          <w:sz w:val="24"/>
          <w:szCs w:val="24"/>
        </w:rPr>
        <w:t xml:space="preserve">treatment </w:t>
      </w:r>
      <w:r w:rsidR="00566E9F" w:rsidRPr="00220CF9">
        <w:rPr>
          <w:rFonts w:ascii="Book Antiqua" w:hAnsi="Book Antiqua"/>
          <w:color w:val="000000" w:themeColor="text1"/>
          <w:sz w:val="24"/>
          <w:szCs w:val="24"/>
        </w:rPr>
        <w:t xml:space="preserve">regimens and </w:t>
      </w:r>
      <w:r w:rsidR="001D4F99" w:rsidRPr="00220CF9">
        <w:rPr>
          <w:rFonts w:ascii="Book Antiqua" w:hAnsi="Book Antiqua"/>
          <w:color w:val="000000" w:themeColor="text1"/>
          <w:sz w:val="24"/>
          <w:szCs w:val="24"/>
        </w:rPr>
        <w:t>their</w:t>
      </w:r>
      <w:r w:rsidR="00566E9F" w:rsidRPr="00220CF9">
        <w:rPr>
          <w:rFonts w:ascii="Book Antiqua" w:hAnsi="Book Antiqua"/>
          <w:color w:val="000000" w:themeColor="text1"/>
          <w:sz w:val="24"/>
          <w:szCs w:val="24"/>
        </w:rPr>
        <w:t xml:space="preserve"> SVR rates </w:t>
      </w:r>
      <w:r w:rsidR="006B0F72" w:rsidRPr="00220CF9">
        <w:rPr>
          <w:rFonts w:ascii="Book Antiqua" w:hAnsi="Book Antiqua"/>
          <w:color w:val="000000" w:themeColor="text1"/>
          <w:sz w:val="24"/>
          <w:szCs w:val="24"/>
        </w:rPr>
        <w:t xml:space="preserve">for </w:t>
      </w:r>
      <w:r w:rsidR="00566E9F" w:rsidRPr="00220CF9">
        <w:rPr>
          <w:rFonts w:ascii="Book Antiqua" w:hAnsi="Book Antiqua"/>
          <w:color w:val="000000" w:themeColor="text1"/>
          <w:sz w:val="24"/>
          <w:szCs w:val="24"/>
        </w:rPr>
        <w:t xml:space="preserve">HCV </w:t>
      </w:r>
      <w:r w:rsidR="00557418" w:rsidRPr="00220CF9">
        <w:rPr>
          <w:rFonts w:ascii="Book Antiqua" w:hAnsi="Book Antiqua"/>
          <w:color w:val="000000" w:themeColor="text1"/>
          <w:sz w:val="24"/>
          <w:szCs w:val="24"/>
        </w:rPr>
        <w:t>GT</w:t>
      </w:r>
      <w:r w:rsidR="00BF4678" w:rsidRPr="00220CF9">
        <w:rPr>
          <w:rFonts w:ascii="Book Antiqua" w:hAnsi="Book Antiqua"/>
          <w:color w:val="000000" w:themeColor="text1"/>
          <w:sz w:val="24"/>
          <w:szCs w:val="24"/>
        </w:rPr>
        <w:t>1b. It is</w:t>
      </w:r>
      <w:r w:rsidR="00566E9F" w:rsidRPr="00220CF9">
        <w:rPr>
          <w:rFonts w:ascii="Book Antiqua" w:hAnsi="Book Antiqua"/>
          <w:color w:val="000000" w:themeColor="text1"/>
          <w:sz w:val="24"/>
          <w:szCs w:val="24"/>
        </w:rPr>
        <w:t xml:space="preserve"> important to avoid drugs</w:t>
      </w:r>
      <w:r w:rsidR="00B57865" w:rsidRPr="00220CF9">
        <w:rPr>
          <w:rFonts w:ascii="Book Antiqua" w:hAnsi="Book Antiqua"/>
          <w:color w:val="000000" w:themeColor="text1"/>
          <w:sz w:val="24"/>
          <w:szCs w:val="24"/>
        </w:rPr>
        <w:t xml:space="preserve"> that</w:t>
      </w:r>
      <w:r w:rsidR="00566E9F" w:rsidRPr="00220CF9">
        <w:rPr>
          <w:rFonts w:ascii="Book Antiqua" w:hAnsi="Book Antiqua"/>
          <w:color w:val="000000" w:themeColor="text1"/>
          <w:sz w:val="24"/>
          <w:szCs w:val="24"/>
        </w:rPr>
        <w:t xml:space="preserve"> </w:t>
      </w:r>
      <w:r w:rsidR="00B57865" w:rsidRPr="00220CF9">
        <w:rPr>
          <w:rFonts w:ascii="Book Antiqua" w:hAnsi="Book Antiqua"/>
          <w:color w:val="000000" w:themeColor="text1"/>
          <w:sz w:val="24"/>
          <w:szCs w:val="24"/>
        </w:rPr>
        <w:t>target the</w:t>
      </w:r>
      <w:r w:rsidR="00566E9F" w:rsidRPr="00220CF9">
        <w:rPr>
          <w:rFonts w:ascii="Book Antiqua" w:hAnsi="Book Antiqua"/>
          <w:color w:val="000000" w:themeColor="text1"/>
          <w:sz w:val="24"/>
          <w:szCs w:val="24"/>
        </w:rPr>
        <w:t xml:space="preserve"> regions </w:t>
      </w:r>
      <w:r w:rsidR="00226057" w:rsidRPr="00220CF9">
        <w:rPr>
          <w:rFonts w:ascii="Book Antiqua" w:hAnsi="Book Antiqua"/>
          <w:color w:val="000000" w:themeColor="text1"/>
          <w:sz w:val="24"/>
          <w:szCs w:val="24"/>
        </w:rPr>
        <w:t xml:space="preserve">targeted by </w:t>
      </w:r>
      <w:r w:rsidR="00557418" w:rsidRPr="00220CF9">
        <w:rPr>
          <w:rFonts w:ascii="Book Antiqua" w:hAnsi="Book Antiqua"/>
          <w:color w:val="000000" w:themeColor="text1"/>
          <w:sz w:val="24"/>
          <w:szCs w:val="24"/>
        </w:rPr>
        <w:t>initial drugs, but</w:t>
      </w:r>
      <w:r w:rsidR="00B974E5" w:rsidRPr="00220CF9">
        <w:rPr>
          <w:rFonts w:ascii="Book Antiqua" w:hAnsi="Book Antiqua"/>
          <w:color w:val="000000" w:themeColor="text1"/>
          <w:sz w:val="24"/>
          <w:szCs w:val="24"/>
        </w:rPr>
        <w:t xml:space="preserve"> next-generation combinations of DAAs, such as sofosbuvir/velpatasvir/voxilaprevir for </w:t>
      </w:r>
      <w:r w:rsidR="00A00FE0">
        <w:rPr>
          <w:rFonts w:ascii="Book Antiqua" w:hAnsi="Book Antiqua"/>
          <w:color w:val="000000" w:themeColor="text1"/>
          <w:sz w:val="24"/>
          <w:szCs w:val="24"/>
        </w:rPr>
        <w:t>12 wk</w:t>
      </w:r>
      <w:r w:rsidR="00B974E5" w:rsidRPr="00220CF9">
        <w:rPr>
          <w:rFonts w:ascii="Book Antiqua" w:hAnsi="Book Antiqua"/>
          <w:color w:val="000000" w:themeColor="text1"/>
          <w:sz w:val="24"/>
          <w:szCs w:val="24"/>
        </w:rPr>
        <w:t xml:space="preserve"> or gle</w:t>
      </w:r>
      <w:r w:rsidR="00942141">
        <w:rPr>
          <w:rFonts w:ascii="Book Antiqua" w:hAnsi="Book Antiqua"/>
          <w:color w:val="000000" w:themeColor="text1"/>
          <w:sz w:val="24"/>
          <w:szCs w:val="24"/>
        </w:rPr>
        <w:t>caprevir/pibrentasvir for 12 wk</w:t>
      </w:r>
      <w:r w:rsidR="00B974E5" w:rsidRPr="00220CF9">
        <w:rPr>
          <w:rFonts w:ascii="Book Antiqua" w:hAnsi="Book Antiqua"/>
          <w:color w:val="000000" w:themeColor="text1"/>
          <w:sz w:val="24"/>
          <w:szCs w:val="24"/>
        </w:rPr>
        <w:t>, are proposed to be potential solution for the HCV GT1b-infected patients with treatment failure, mainly on a basis of targeting distinctive regions.</w:t>
      </w:r>
      <w:r w:rsidR="00557418" w:rsidRPr="00220CF9">
        <w:rPr>
          <w:rFonts w:ascii="Book Antiqua" w:hAnsi="Book Antiqua"/>
          <w:color w:val="000000" w:themeColor="text1"/>
          <w:sz w:val="24"/>
          <w:szCs w:val="24"/>
        </w:rPr>
        <w:t xml:space="preserve"> Clinician</w:t>
      </w:r>
      <w:r w:rsidR="001D4F99" w:rsidRPr="00220CF9">
        <w:rPr>
          <w:rFonts w:ascii="Book Antiqua" w:hAnsi="Book Antiqua"/>
          <w:color w:val="000000" w:themeColor="text1"/>
          <w:sz w:val="24"/>
          <w:szCs w:val="24"/>
        </w:rPr>
        <w:t>s</w:t>
      </w:r>
      <w:r w:rsidR="00557418" w:rsidRPr="00220CF9">
        <w:rPr>
          <w:rFonts w:ascii="Book Antiqua" w:hAnsi="Book Antiqua"/>
          <w:color w:val="000000" w:themeColor="text1"/>
          <w:sz w:val="24"/>
          <w:szCs w:val="24"/>
        </w:rPr>
        <w:t xml:space="preserve"> should follow the new information and resource</w:t>
      </w:r>
      <w:r w:rsidR="00226057" w:rsidRPr="00220CF9">
        <w:rPr>
          <w:rFonts w:ascii="Book Antiqua" w:hAnsi="Book Antiqua"/>
          <w:color w:val="000000" w:themeColor="text1"/>
          <w:sz w:val="24"/>
          <w:szCs w:val="24"/>
        </w:rPr>
        <w:t>s for DAAs</w:t>
      </w:r>
      <w:r w:rsidR="001D4F99" w:rsidRPr="00220CF9">
        <w:rPr>
          <w:rFonts w:ascii="Book Antiqua" w:hAnsi="Book Antiqua"/>
          <w:color w:val="000000" w:themeColor="text1"/>
          <w:sz w:val="24"/>
          <w:szCs w:val="24"/>
        </w:rPr>
        <w:t xml:space="preserve"> and select the proper</w:t>
      </w:r>
      <w:r w:rsidR="00557418" w:rsidRPr="00220CF9">
        <w:rPr>
          <w:rFonts w:ascii="Book Antiqua" w:hAnsi="Book Antiqua"/>
          <w:color w:val="000000" w:themeColor="text1"/>
          <w:sz w:val="24"/>
          <w:szCs w:val="24"/>
        </w:rPr>
        <w:t xml:space="preserve"> combination of DAAs for the retreatment of HCV GT1b-infected patients with treatment failure.</w:t>
      </w:r>
    </w:p>
    <w:p w:rsidR="00566E9F" w:rsidRPr="00220CF9" w:rsidRDefault="00566E9F" w:rsidP="0097536B">
      <w:pPr>
        <w:spacing w:line="360" w:lineRule="auto"/>
        <w:rPr>
          <w:rFonts w:ascii="Book Antiqua" w:hAnsi="Book Antiqua"/>
          <w:b/>
          <w:color w:val="000000" w:themeColor="text1"/>
          <w:sz w:val="24"/>
          <w:szCs w:val="24"/>
        </w:rPr>
      </w:pPr>
    </w:p>
    <w:p w:rsidR="0097536B" w:rsidRPr="00220CF9" w:rsidRDefault="0097536B" w:rsidP="0097536B">
      <w:pPr>
        <w:spacing w:line="360" w:lineRule="auto"/>
        <w:rPr>
          <w:rFonts w:ascii="Book Antiqua" w:eastAsia="SimSun" w:hAnsi="Book Antiqua"/>
          <w:color w:val="000000" w:themeColor="text1"/>
          <w:sz w:val="24"/>
          <w:szCs w:val="24"/>
          <w:lang w:eastAsia="zh-CN"/>
        </w:rPr>
      </w:pPr>
      <w:r w:rsidRPr="00220CF9">
        <w:rPr>
          <w:rFonts w:ascii="Book Antiqua" w:hAnsi="Book Antiqua"/>
          <w:b/>
          <w:color w:val="000000" w:themeColor="text1"/>
          <w:sz w:val="24"/>
          <w:szCs w:val="24"/>
        </w:rPr>
        <w:t>Key words:</w:t>
      </w:r>
      <w:r w:rsidRPr="00220CF9">
        <w:rPr>
          <w:rFonts w:ascii="Book Antiqua" w:hAnsi="Book Antiqua"/>
          <w:color w:val="000000" w:themeColor="text1"/>
          <w:sz w:val="24"/>
          <w:szCs w:val="24"/>
        </w:rPr>
        <w:t xml:space="preserve"> </w:t>
      </w:r>
      <w:r w:rsidR="00A00FE0" w:rsidRPr="00A00FE0">
        <w:rPr>
          <w:rFonts w:ascii="Book Antiqua" w:hAnsi="Book Antiqua"/>
          <w:caps/>
          <w:color w:val="000000" w:themeColor="text1"/>
          <w:sz w:val="24"/>
          <w:szCs w:val="24"/>
        </w:rPr>
        <w:t>d</w:t>
      </w:r>
      <w:r w:rsidR="00A00FE0">
        <w:rPr>
          <w:rFonts w:ascii="Book Antiqua" w:hAnsi="Book Antiqua"/>
          <w:color w:val="000000" w:themeColor="text1"/>
          <w:sz w:val="24"/>
          <w:szCs w:val="24"/>
        </w:rPr>
        <w:t>irect-acting antiviral agent</w:t>
      </w:r>
      <w:r w:rsidRPr="00220CF9">
        <w:rPr>
          <w:rFonts w:ascii="Book Antiqua" w:hAnsi="Book Antiqua"/>
          <w:color w:val="000000" w:themeColor="text1"/>
          <w:sz w:val="24"/>
          <w:szCs w:val="24"/>
        </w:rPr>
        <w:t xml:space="preserve">; </w:t>
      </w:r>
      <w:r w:rsidR="00226057" w:rsidRPr="00220CF9">
        <w:rPr>
          <w:rFonts w:ascii="Book Antiqua" w:hAnsi="Book Antiqua"/>
          <w:color w:val="000000" w:themeColor="text1"/>
          <w:sz w:val="24"/>
          <w:szCs w:val="24"/>
        </w:rPr>
        <w:t xml:space="preserve">Genotype 1b; </w:t>
      </w:r>
      <w:r w:rsidR="00A00FE0" w:rsidRPr="00A00FE0">
        <w:rPr>
          <w:rFonts w:ascii="Book Antiqua" w:hAnsi="Book Antiqua"/>
          <w:caps/>
          <w:color w:val="000000" w:themeColor="text1"/>
          <w:sz w:val="24"/>
          <w:szCs w:val="24"/>
        </w:rPr>
        <w:t>h</w:t>
      </w:r>
      <w:r w:rsidR="00A00FE0" w:rsidRPr="00220CF9">
        <w:rPr>
          <w:rFonts w:ascii="Book Antiqua" w:hAnsi="Book Antiqua"/>
          <w:color w:val="000000" w:themeColor="text1"/>
          <w:sz w:val="24"/>
          <w:szCs w:val="24"/>
        </w:rPr>
        <w:t>epatitis C virus</w:t>
      </w:r>
      <w:r w:rsidRPr="00220CF9">
        <w:rPr>
          <w:rFonts w:ascii="Book Antiqua" w:hAnsi="Book Antiqua"/>
          <w:color w:val="000000" w:themeColor="text1"/>
          <w:sz w:val="24"/>
          <w:szCs w:val="24"/>
        </w:rPr>
        <w:t>; Resistance-associated substitutions</w:t>
      </w:r>
    </w:p>
    <w:p w:rsidR="0097536B" w:rsidRPr="00220CF9" w:rsidRDefault="0097536B" w:rsidP="0097536B">
      <w:pPr>
        <w:spacing w:line="360" w:lineRule="auto"/>
        <w:rPr>
          <w:rFonts w:ascii="Book Antiqua" w:eastAsia="SimSun" w:hAnsi="Book Antiqua"/>
          <w:color w:val="000000" w:themeColor="text1"/>
          <w:sz w:val="24"/>
          <w:szCs w:val="24"/>
          <w:lang w:eastAsia="zh-CN"/>
        </w:rPr>
      </w:pPr>
    </w:p>
    <w:p w:rsidR="0097536B" w:rsidRPr="00220CF9" w:rsidRDefault="0097536B" w:rsidP="0097536B">
      <w:pPr>
        <w:spacing w:line="360" w:lineRule="auto"/>
        <w:rPr>
          <w:rFonts w:ascii="Book Antiqua" w:hAnsi="Book Antiqua" w:cs="Arial"/>
          <w:color w:val="000000" w:themeColor="text1"/>
          <w:sz w:val="24"/>
          <w:szCs w:val="24"/>
        </w:rPr>
      </w:pPr>
      <w:bookmarkStart w:id="13" w:name="OLE_LINK55"/>
      <w:bookmarkStart w:id="14" w:name="OLE_LINK56"/>
      <w:bookmarkStart w:id="15" w:name="OLE_LINK105"/>
      <w:bookmarkStart w:id="16" w:name="OLE_LINK116"/>
      <w:bookmarkStart w:id="17" w:name="OLE_LINK89"/>
      <w:r w:rsidRPr="00220CF9">
        <w:rPr>
          <w:rFonts w:ascii="Book Antiqua" w:hAnsi="Book Antiqua"/>
          <w:b/>
          <w:color w:val="000000" w:themeColor="text1"/>
          <w:sz w:val="24"/>
          <w:szCs w:val="24"/>
        </w:rPr>
        <w:lastRenderedPageBreak/>
        <w:t>©</w:t>
      </w:r>
      <w:bookmarkEnd w:id="13"/>
      <w:bookmarkEnd w:id="14"/>
      <w:r w:rsidRPr="00220CF9">
        <w:rPr>
          <w:rFonts w:ascii="Book Antiqua" w:hAnsi="Book Antiqua"/>
          <w:b/>
          <w:color w:val="000000" w:themeColor="text1"/>
          <w:sz w:val="24"/>
          <w:szCs w:val="24"/>
        </w:rPr>
        <w:t xml:space="preserve"> </w:t>
      </w:r>
      <w:r w:rsidRPr="00220CF9">
        <w:rPr>
          <w:rFonts w:ascii="Book Antiqua" w:hAnsi="Book Antiqua" w:cs="Arial"/>
          <w:b/>
          <w:color w:val="000000" w:themeColor="text1"/>
          <w:sz w:val="24"/>
          <w:szCs w:val="24"/>
        </w:rPr>
        <w:t xml:space="preserve">The Author(s) 2017. </w:t>
      </w:r>
      <w:r w:rsidRPr="00220CF9">
        <w:rPr>
          <w:rFonts w:ascii="Book Antiqua" w:hAnsi="Book Antiqua" w:cs="Arial"/>
          <w:color w:val="000000" w:themeColor="text1"/>
          <w:sz w:val="24"/>
          <w:szCs w:val="24"/>
        </w:rPr>
        <w:t>Published by Baishideng Publishing Group Inc. All rights reserved.</w:t>
      </w:r>
    </w:p>
    <w:p w:rsidR="00BB69E7" w:rsidRPr="00A00FE0" w:rsidRDefault="00BB69E7" w:rsidP="0097536B">
      <w:pPr>
        <w:spacing w:line="360" w:lineRule="auto"/>
        <w:rPr>
          <w:rFonts w:ascii="Book Antiqua" w:eastAsia="SimSun" w:hAnsi="Book Antiqua"/>
          <w:b/>
          <w:color w:val="000000" w:themeColor="text1"/>
          <w:sz w:val="24"/>
          <w:szCs w:val="24"/>
          <w:lang w:eastAsia="zh-CN"/>
        </w:rPr>
      </w:pPr>
    </w:p>
    <w:p w:rsidR="0097536B" w:rsidRPr="00220CF9" w:rsidRDefault="0097536B" w:rsidP="0097536B">
      <w:pPr>
        <w:spacing w:line="360" w:lineRule="auto"/>
        <w:rPr>
          <w:rFonts w:ascii="Book Antiqua" w:hAnsi="Book Antiqua"/>
          <w:color w:val="000000" w:themeColor="text1"/>
          <w:sz w:val="24"/>
          <w:szCs w:val="24"/>
        </w:rPr>
      </w:pPr>
      <w:r w:rsidRPr="00220CF9">
        <w:rPr>
          <w:rFonts w:ascii="Book Antiqua" w:hAnsi="Book Antiqua"/>
          <w:b/>
          <w:color w:val="000000" w:themeColor="text1"/>
          <w:sz w:val="24"/>
          <w:szCs w:val="24"/>
        </w:rPr>
        <w:t>Core tip:</w:t>
      </w:r>
      <w:r w:rsidR="00174BB4" w:rsidRPr="00220CF9">
        <w:rPr>
          <w:rFonts w:ascii="Book Antiqua" w:hAnsi="Book Antiqua"/>
          <w:b/>
          <w:color w:val="000000" w:themeColor="text1"/>
          <w:sz w:val="24"/>
          <w:szCs w:val="24"/>
        </w:rPr>
        <w:t xml:space="preserve"> </w:t>
      </w:r>
      <w:r w:rsidR="00174BB4" w:rsidRPr="00220CF9">
        <w:rPr>
          <w:rFonts w:ascii="Book Antiqua" w:hAnsi="Book Antiqua"/>
          <w:color w:val="000000" w:themeColor="text1"/>
          <w:sz w:val="24"/>
          <w:szCs w:val="24"/>
        </w:rPr>
        <w:t xml:space="preserve">In this minireview, we focused on the retreatment of </w:t>
      </w:r>
      <w:r w:rsidR="002A35E2" w:rsidRPr="00220CF9">
        <w:rPr>
          <w:rFonts w:ascii="Book Antiqua" w:hAnsi="Book Antiqua"/>
          <w:color w:val="000000" w:themeColor="text1"/>
          <w:sz w:val="24"/>
          <w:szCs w:val="24"/>
        </w:rPr>
        <w:t xml:space="preserve">patients with treatment failure of </w:t>
      </w:r>
      <w:r w:rsidR="00174BB4" w:rsidRPr="00220CF9">
        <w:rPr>
          <w:rFonts w:ascii="Book Antiqua" w:hAnsi="Book Antiqua"/>
          <w:color w:val="000000" w:themeColor="text1"/>
          <w:sz w:val="24"/>
          <w:szCs w:val="24"/>
        </w:rPr>
        <w:t xml:space="preserve">direct-acting antiviral agents </w:t>
      </w:r>
      <w:r w:rsidR="002A35E2" w:rsidRPr="00220CF9">
        <w:rPr>
          <w:rFonts w:ascii="Book Antiqua" w:hAnsi="Book Antiqua"/>
          <w:color w:val="000000" w:themeColor="text1"/>
          <w:sz w:val="24"/>
          <w:szCs w:val="24"/>
        </w:rPr>
        <w:t xml:space="preserve">against hepatitis C virus genotype 1b (HCV GT1b) </w:t>
      </w:r>
      <w:r w:rsidR="00174BB4" w:rsidRPr="00220CF9">
        <w:rPr>
          <w:rFonts w:ascii="Book Antiqua" w:hAnsi="Book Antiqua"/>
          <w:color w:val="000000" w:themeColor="text1"/>
          <w:sz w:val="24"/>
          <w:szCs w:val="24"/>
        </w:rPr>
        <w:t>infection</w:t>
      </w:r>
      <w:r w:rsidR="002A35E2" w:rsidRPr="00220CF9">
        <w:rPr>
          <w:rFonts w:ascii="Book Antiqua" w:hAnsi="Book Antiqua"/>
          <w:color w:val="000000" w:themeColor="text1"/>
          <w:sz w:val="24"/>
          <w:szCs w:val="24"/>
        </w:rPr>
        <w:t xml:space="preserve">. We </w:t>
      </w:r>
      <w:r w:rsidR="00164918" w:rsidRPr="00220CF9">
        <w:rPr>
          <w:rFonts w:ascii="Book Antiqua" w:hAnsi="Book Antiqua"/>
          <w:color w:val="000000" w:themeColor="text1"/>
          <w:sz w:val="24"/>
          <w:szCs w:val="24"/>
        </w:rPr>
        <w:t>summarize</w:t>
      </w:r>
      <w:r w:rsidR="00880169" w:rsidRPr="00220CF9">
        <w:rPr>
          <w:rFonts w:ascii="Book Antiqua" w:hAnsi="Book Antiqua"/>
          <w:color w:val="000000" w:themeColor="text1"/>
          <w:sz w:val="24"/>
          <w:szCs w:val="24"/>
        </w:rPr>
        <w:t>d</w:t>
      </w:r>
      <w:r w:rsidR="00174BB4" w:rsidRPr="00220CF9">
        <w:rPr>
          <w:rFonts w:ascii="Book Antiqua" w:hAnsi="Book Antiqua"/>
          <w:color w:val="000000" w:themeColor="text1"/>
          <w:sz w:val="24"/>
          <w:szCs w:val="24"/>
        </w:rPr>
        <w:t xml:space="preserve"> the retreatment regimens for </w:t>
      </w:r>
      <w:r w:rsidR="00226057" w:rsidRPr="00220CF9">
        <w:rPr>
          <w:rFonts w:ascii="Book Antiqua" w:hAnsi="Book Antiqua"/>
          <w:color w:val="000000" w:themeColor="text1"/>
          <w:sz w:val="24"/>
          <w:szCs w:val="24"/>
        </w:rPr>
        <w:t xml:space="preserve">patients with failure of </w:t>
      </w:r>
      <w:r w:rsidR="00174BB4" w:rsidRPr="00220CF9">
        <w:rPr>
          <w:rFonts w:ascii="Book Antiqua" w:hAnsi="Book Antiqua"/>
          <w:color w:val="000000" w:themeColor="text1"/>
          <w:sz w:val="24"/>
          <w:szCs w:val="24"/>
        </w:rPr>
        <w:t>peginterferon and ribavirin plus HCV NS3/4A</w:t>
      </w:r>
      <w:r w:rsidR="002A35E2" w:rsidRPr="00220CF9">
        <w:rPr>
          <w:rFonts w:ascii="Book Antiqua" w:hAnsi="Book Antiqua"/>
          <w:color w:val="000000" w:themeColor="text1"/>
          <w:sz w:val="24"/>
          <w:szCs w:val="24"/>
        </w:rPr>
        <w:t xml:space="preserve"> inhibitors</w:t>
      </w:r>
      <w:r w:rsidR="00226057" w:rsidRPr="00220CF9">
        <w:rPr>
          <w:rFonts w:ascii="Book Antiqua" w:hAnsi="Book Antiqua"/>
          <w:color w:val="000000" w:themeColor="text1"/>
          <w:kern w:val="0"/>
          <w:sz w:val="24"/>
          <w:szCs w:val="24"/>
        </w:rPr>
        <w:t xml:space="preserve"> and for those with failure of HCV NS5A inhibitors.</w:t>
      </w:r>
      <w:r w:rsidR="002A35E2" w:rsidRPr="00220CF9">
        <w:rPr>
          <w:rFonts w:ascii="Book Antiqua" w:hAnsi="Book Antiqua"/>
          <w:color w:val="000000" w:themeColor="text1"/>
          <w:sz w:val="24"/>
          <w:szCs w:val="24"/>
        </w:rPr>
        <w:t xml:space="preserve"> We also demonstrated the resistance-associated substitutions of HCV NS5B nucleos(t)ide inhibitors. Attention should be paid </w:t>
      </w:r>
      <w:r w:rsidR="00771BC6" w:rsidRPr="00220CF9">
        <w:rPr>
          <w:rFonts w:ascii="Book Antiqua" w:hAnsi="Book Antiqua"/>
          <w:color w:val="000000" w:themeColor="text1"/>
          <w:sz w:val="24"/>
          <w:szCs w:val="24"/>
        </w:rPr>
        <w:t xml:space="preserve">when </w:t>
      </w:r>
      <w:r w:rsidR="002A35E2" w:rsidRPr="00220CF9">
        <w:rPr>
          <w:rFonts w:ascii="Book Antiqua" w:hAnsi="Book Antiqua"/>
          <w:color w:val="000000" w:themeColor="text1"/>
          <w:sz w:val="24"/>
          <w:szCs w:val="24"/>
        </w:rPr>
        <w:t>select</w:t>
      </w:r>
      <w:r w:rsidR="00771BC6" w:rsidRPr="00220CF9">
        <w:rPr>
          <w:rFonts w:ascii="Book Antiqua" w:hAnsi="Book Antiqua"/>
          <w:color w:val="000000" w:themeColor="text1"/>
          <w:sz w:val="24"/>
          <w:szCs w:val="24"/>
        </w:rPr>
        <w:t>ing both</w:t>
      </w:r>
      <w:r w:rsidR="002A35E2" w:rsidRPr="00220CF9">
        <w:rPr>
          <w:rFonts w:ascii="Book Antiqua" w:hAnsi="Book Antiqua"/>
          <w:color w:val="000000" w:themeColor="text1"/>
          <w:sz w:val="24"/>
          <w:szCs w:val="24"/>
        </w:rPr>
        <w:t xml:space="preserve"> </w:t>
      </w:r>
      <w:r w:rsidR="00771BC6" w:rsidRPr="00220CF9">
        <w:rPr>
          <w:rFonts w:ascii="Book Antiqua" w:hAnsi="Book Antiqua"/>
          <w:color w:val="000000" w:themeColor="text1"/>
          <w:sz w:val="24"/>
          <w:szCs w:val="24"/>
        </w:rPr>
        <w:t xml:space="preserve">the </w:t>
      </w:r>
      <w:r w:rsidR="002A35E2" w:rsidRPr="00220CF9">
        <w:rPr>
          <w:rFonts w:ascii="Book Antiqua" w:hAnsi="Book Antiqua"/>
          <w:color w:val="000000" w:themeColor="text1"/>
          <w:sz w:val="24"/>
          <w:szCs w:val="24"/>
        </w:rPr>
        <w:t xml:space="preserve">initial treatment </w:t>
      </w:r>
      <w:r w:rsidR="00771BC6" w:rsidRPr="00220CF9">
        <w:rPr>
          <w:rFonts w:ascii="Book Antiqua" w:hAnsi="Book Antiqua"/>
          <w:color w:val="000000" w:themeColor="text1"/>
          <w:sz w:val="24"/>
          <w:szCs w:val="24"/>
        </w:rPr>
        <w:t xml:space="preserve">and </w:t>
      </w:r>
      <w:r w:rsidR="002A35E2" w:rsidRPr="00220CF9">
        <w:rPr>
          <w:rFonts w:ascii="Book Antiqua" w:hAnsi="Book Antiqua"/>
          <w:color w:val="000000" w:themeColor="text1"/>
          <w:sz w:val="24"/>
          <w:szCs w:val="24"/>
        </w:rPr>
        <w:t>retreat regimens to completely eradicate HCV infection.</w:t>
      </w:r>
    </w:p>
    <w:bookmarkEnd w:id="15"/>
    <w:bookmarkEnd w:id="16"/>
    <w:bookmarkEnd w:id="17"/>
    <w:p w:rsidR="0097536B" w:rsidRPr="00220CF9" w:rsidRDefault="0097536B" w:rsidP="0097536B">
      <w:pPr>
        <w:spacing w:line="480" w:lineRule="auto"/>
        <w:rPr>
          <w:rFonts w:ascii="Book Antiqua" w:hAnsi="Book Antiqua"/>
          <w:b/>
          <w:color w:val="000000" w:themeColor="text1"/>
          <w:sz w:val="24"/>
          <w:szCs w:val="24"/>
        </w:rPr>
      </w:pPr>
    </w:p>
    <w:p w:rsidR="00032899" w:rsidRPr="007C07DC" w:rsidRDefault="007C07DC" w:rsidP="0097536B">
      <w:pPr>
        <w:spacing w:line="480" w:lineRule="auto"/>
        <w:rPr>
          <w:rFonts w:ascii="Book Antiqua" w:eastAsia="SimSun" w:hAnsi="Book Antiqua"/>
          <w:color w:val="000000" w:themeColor="text1"/>
          <w:sz w:val="24"/>
          <w:szCs w:val="24"/>
          <w:lang w:eastAsia="zh-CN"/>
        </w:rPr>
      </w:pPr>
      <w:r w:rsidRPr="00220CF9">
        <w:rPr>
          <w:rFonts w:ascii="Book Antiqua" w:hAnsi="Book Antiqua"/>
          <w:color w:val="000000" w:themeColor="text1"/>
          <w:sz w:val="24"/>
          <w:szCs w:val="24"/>
        </w:rPr>
        <w:t>Kanda</w:t>
      </w:r>
      <w:r>
        <w:rPr>
          <w:rFonts w:ascii="Book Antiqua" w:eastAsia="SimSun" w:hAnsi="Book Antiqua" w:hint="eastAsia"/>
          <w:color w:val="000000" w:themeColor="text1"/>
          <w:sz w:val="24"/>
          <w:szCs w:val="24"/>
          <w:lang w:eastAsia="zh-CN"/>
        </w:rPr>
        <w:t xml:space="preserve"> T</w:t>
      </w:r>
      <w:r w:rsidRPr="00220CF9">
        <w:rPr>
          <w:rFonts w:ascii="Book Antiqua" w:hAnsi="Book Antiqua"/>
          <w:color w:val="000000" w:themeColor="text1"/>
          <w:sz w:val="24"/>
          <w:szCs w:val="24"/>
        </w:rPr>
        <w:t>, Nirei</w:t>
      </w:r>
      <w:r>
        <w:rPr>
          <w:rFonts w:ascii="Book Antiqua" w:eastAsia="SimSun" w:hAnsi="Book Antiqua" w:hint="eastAsia"/>
          <w:color w:val="000000" w:themeColor="text1"/>
          <w:sz w:val="24"/>
          <w:szCs w:val="24"/>
          <w:lang w:eastAsia="zh-CN"/>
        </w:rPr>
        <w:t xml:space="preserve"> K</w:t>
      </w:r>
      <w:r w:rsidRPr="00220CF9">
        <w:rPr>
          <w:rFonts w:ascii="Book Antiqua" w:hAnsi="Book Antiqua"/>
          <w:color w:val="000000" w:themeColor="text1"/>
          <w:sz w:val="24"/>
          <w:szCs w:val="24"/>
        </w:rPr>
        <w:t>, Matsumoto</w:t>
      </w:r>
      <w:r>
        <w:rPr>
          <w:rFonts w:ascii="Book Antiqua" w:eastAsia="SimSun" w:hAnsi="Book Antiqua" w:hint="eastAsia"/>
          <w:color w:val="000000" w:themeColor="text1"/>
          <w:sz w:val="24"/>
          <w:szCs w:val="24"/>
          <w:lang w:eastAsia="zh-CN"/>
        </w:rPr>
        <w:t xml:space="preserve"> N</w:t>
      </w:r>
      <w:r w:rsidRPr="00220CF9">
        <w:rPr>
          <w:rFonts w:ascii="Book Antiqua" w:hAnsi="Book Antiqua"/>
          <w:color w:val="000000" w:themeColor="text1"/>
          <w:sz w:val="24"/>
          <w:szCs w:val="24"/>
        </w:rPr>
        <w:t>, Higuchi</w:t>
      </w:r>
      <w:r>
        <w:rPr>
          <w:rFonts w:ascii="Book Antiqua" w:eastAsia="SimSun" w:hAnsi="Book Antiqua" w:hint="eastAsia"/>
          <w:color w:val="000000" w:themeColor="text1"/>
          <w:sz w:val="24"/>
          <w:szCs w:val="24"/>
          <w:lang w:eastAsia="zh-CN"/>
        </w:rPr>
        <w:t xml:space="preserve"> T</w:t>
      </w:r>
      <w:r w:rsidRPr="00220CF9">
        <w:rPr>
          <w:rFonts w:ascii="Book Antiqua" w:hAnsi="Book Antiqua"/>
          <w:color w:val="000000" w:themeColor="text1"/>
          <w:sz w:val="24"/>
          <w:szCs w:val="24"/>
        </w:rPr>
        <w:t>, Nakamura</w:t>
      </w:r>
      <w:r>
        <w:rPr>
          <w:rFonts w:ascii="Book Antiqua" w:eastAsia="SimSun" w:hAnsi="Book Antiqua" w:hint="eastAsia"/>
          <w:color w:val="000000" w:themeColor="text1"/>
          <w:sz w:val="24"/>
          <w:szCs w:val="24"/>
          <w:lang w:eastAsia="zh-CN"/>
        </w:rPr>
        <w:t xml:space="preserve"> H</w:t>
      </w:r>
      <w:r w:rsidRPr="00220CF9">
        <w:rPr>
          <w:rFonts w:ascii="Book Antiqua" w:hAnsi="Book Antiqua"/>
          <w:color w:val="000000" w:themeColor="text1"/>
          <w:sz w:val="24"/>
          <w:szCs w:val="24"/>
        </w:rPr>
        <w:t>, Yamagami</w:t>
      </w:r>
      <w:r>
        <w:rPr>
          <w:rFonts w:ascii="Book Antiqua" w:eastAsia="SimSun" w:hAnsi="Book Antiqua" w:hint="eastAsia"/>
          <w:color w:val="000000" w:themeColor="text1"/>
          <w:sz w:val="24"/>
          <w:szCs w:val="24"/>
          <w:lang w:eastAsia="zh-CN"/>
        </w:rPr>
        <w:t xml:space="preserve"> H</w:t>
      </w:r>
      <w:r w:rsidRPr="00220CF9">
        <w:rPr>
          <w:rFonts w:ascii="Book Antiqua" w:hAnsi="Book Antiqua"/>
          <w:color w:val="000000" w:themeColor="text1"/>
          <w:sz w:val="24"/>
          <w:szCs w:val="24"/>
        </w:rPr>
        <w:t>, Matsuoka</w:t>
      </w:r>
      <w:r>
        <w:rPr>
          <w:rFonts w:ascii="Book Antiqua" w:eastAsia="SimSun" w:hAnsi="Book Antiqua" w:hint="eastAsia"/>
          <w:color w:val="000000" w:themeColor="text1"/>
          <w:sz w:val="24"/>
          <w:szCs w:val="24"/>
          <w:lang w:eastAsia="zh-CN"/>
        </w:rPr>
        <w:t xml:space="preserve"> S</w:t>
      </w:r>
      <w:r w:rsidRPr="00220CF9">
        <w:rPr>
          <w:rFonts w:ascii="Book Antiqua" w:hAnsi="Book Antiqua"/>
          <w:color w:val="000000" w:themeColor="text1"/>
          <w:sz w:val="24"/>
          <w:szCs w:val="24"/>
        </w:rPr>
        <w:t>, Moriyama</w:t>
      </w:r>
      <w:r w:rsidR="0097536B" w:rsidRPr="00220CF9">
        <w:rPr>
          <w:rFonts w:ascii="Book Antiqua" w:hAnsi="Book Antiqua"/>
          <w:color w:val="000000" w:themeColor="text1"/>
          <w:sz w:val="24"/>
          <w:szCs w:val="24"/>
        </w:rPr>
        <w:t xml:space="preserve"> </w:t>
      </w:r>
      <w:r>
        <w:rPr>
          <w:rFonts w:ascii="Book Antiqua" w:eastAsia="SimSun" w:hAnsi="Book Antiqua" w:hint="eastAsia"/>
          <w:color w:val="000000" w:themeColor="text1"/>
          <w:sz w:val="24"/>
          <w:szCs w:val="24"/>
          <w:lang w:eastAsia="zh-CN"/>
        </w:rPr>
        <w:t xml:space="preserve">M. </w:t>
      </w:r>
      <w:r w:rsidR="0097536B" w:rsidRPr="00220CF9">
        <w:rPr>
          <w:rFonts w:ascii="Book Antiqua" w:hAnsi="Book Antiqua"/>
          <w:color w:val="000000" w:themeColor="text1"/>
          <w:sz w:val="24"/>
          <w:szCs w:val="24"/>
        </w:rPr>
        <w:t>Retreatment of patients with treatment failure of direct-acting antivirals against hepatitis C virus</w:t>
      </w:r>
      <w:r w:rsidR="00032899" w:rsidRPr="00220CF9">
        <w:rPr>
          <w:rFonts w:ascii="Book Antiqua" w:hAnsi="Book Antiqua"/>
          <w:color w:val="000000" w:themeColor="text1"/>
          <w:sz w:val="24"/>
          <w:szCs w:val="24"/>
        </w:rPr>
        <w:t>.</w:t>
      </w:r>
      <w:r w:rsidR="00032899" w:rsidRPr="00220CF9">
        <w:rPr>
          <w:rFonts w:ascii="Book Antiqua" w:hAnsi="Book Antiqua"/>
          <w:i/>
          <w:color w:val="000000" w:themeColor="text1"/>
          <w:sz w:val="24"/>
          <w:szCs w:val="24"/>
        </w:rPr>
        <w:t xml:space="preserve"> </w:t>
      </w:r>
      <w:bookmarkStart w:id="18" w:name="OLE_LINK92"/>
      <w:bookmarkStart w:id="19" w:name="OLE_LINK94"/>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7</w:t>
      </w:r>
      <w:r w:rsidRPr="009E3692">
        <w:rPr>
          <w:rFonts w:ascii="Book Antiqua" w:hAnsi="Book Antiqua"/>
          <w:sz w:val="24"/>
        </w:rPr>
        <w:t>; In press</w:t>
      </w:r>
      <w:bookmarkEnd w:id="18"/>
      <w:bookmarkEnd w:id="19"/>
    </w:p>
    <w:p w:rsidR="00032899" w:rsidRPr="00220CF9" w:rsidRDefault="00032899">
      <w:pPr>
        <w:widowControl/>
        <w:jc w:val="left"/>
        <w:rPr>
          <w:rFonts w:ascii="Book Antiqua" w:hAnsi="Book Antiqua"/>
          <w:color w:val="000000" w:themeColor="text1"/>
          <w:sz w:val="24"/>
          <w:szCs w:val="24"/>
        </w:rPr>
      </w:pPr>
      <w:bookmarkStart w:id="20" w:name="_GoBack"/>
      <w:bookmarkEnd w:id="20"/>
      <w:r w:rsidRPr="00220CF9">
        <w:rPr>
          <w:rFonts w:ascii="Book Antiqua" w:hAnsi="Book Antiqua"/>
          <w:color w:val="000000" w:themeColor="text1"/>
          <w:sz w:val="24"/>
          <w:szCs w:val="24"/>
        </w:rPr>
        <w:br w:type="page"/>
      </w:r>
    </w:p>
    <w:p w:rsidR="00032899" w:rsidRPr="00220CF9" w:rsidRDefault="00032899" w:rsidP="00032899">
      <w:pPr>
        <w:spacing w:line="360" w:lineRule="auto"/>
        <w:rPr>
          <w:rFonts w:ascii="Book Antiqua" w:hAnsi="Book Antiqua"/>
          <w:b/>
          <w:color w:val="000000" w:themeColor="text1"/>
          <w:sz w:val="24"/>
          <w:szCs w:val="24"/>
        </w:rPr>
      </w:pPr>
      <w:r w:rsidRPr="00220CF9">
        <w:rPr>
          <w:rFonts w:ascii="Book Antiqua" w:hAnsi="Book Antiqua"/>
          <w:b/>
          <w:color w:val="000000" w:themeColor="text1"/>
          <w:sz w:val="24"/>
          <w:szCs w:val="24"/>
        </w:rPr>
        <w:lastRenderedPageBreak/>
        <w:t>INTRODUCTION</w:t>
      </w:r>
    </w:p>
    <w:p w:rsidR="00D35DDC" w:rsidRPr="00220CF9" w:rsidRDefault="00F95933" w:rsidP="00416731">
      <w:pPr>
        <w:spacing w:line="480" w:lineRule="auto"/>
        <w:rPr>
          <w:rFonts w:ascii="Book Antiqua" w:hAnsi="Book Antiqua"/>
          <w:color w:val="000000" w:themeColor="text1"/>
          <w:sz w:val="24"/>
          <w:szCs w:val="24"/>
        </w:rPr>
      </w:pPr>
      <w:r w:rsidRPr="00220CF9">
        <w:rPr>
          <w:rFonts w:ascii="Book Antiqua" w:hAnsi="Book Antiqua"/>
          <w:color w:val="000000" w:themeColor="text1"/>
          <w:kern w:val="0"/>
          <w:sz w:val="24"/>
          <w:szCs w:val="24"/>
        </w:rPr>
        <w:t xml:space="preserve">In the interferon era, the eradication of the hepatitis C virus (HCV) has had beneficial effects, such as the regression of liver fibrosis, hepatic decompensation, </w:t>
      </w:r>
      <w:r w:rsidR="006E66D3" w:rsidRPr="00220CF9">
        <w:rPr>
          <w:rFonts w:ascii="Book Antiqua" w:hAnsi="Book Antiqua"/>
          <w:color w:val="000000" w:themeColor="text1"/>
          <w:sz w:val="24"/>
          <w:szCs w:val="24"/>
        </w:rPr>
        <w:t xml:space="preserve">and </w:t>
      </w:r>
      <w:r w:rsidR="00FE5A25" w:rsidRPr="00220CF9">
        <w:rPr>
          <w:rFonts w:ascii="Book Antiqua" w:hAnsi="Book Antiqua"/>
          <w:color w:val="000000" w:themeColor="text1"/>
          <w:sz w:val="24"/>
          <w:szCs w:val="24"/>
        </w:rPr>
        <w:t xml:space="preserve">the reduction of </w:t>
      </w:r>
      <w:r w:rsidR="00D35DDC" w:rsidRPr="00220CF9">
        <w:rPr>
          <w:rFonts w:ascii="Book Antiqua" w:hAnsi="Book Antiqua"/>
          <w:color w:val="000000" w:themeColor="text1"/>
          <w:sz w:val="24"/>
          <w:szCs w:val="24"/>
        </w:rPr>
        <w:t>hepatocellular carcinoma (HCC) in HCV-infected individuals</w:t>
      </w:r>
      <w:r w:rsidR="00D35DDC" w:rsidRPr="00220CF9">
        <w:rPr>
          <w:rFonts w:ascii="Book Antiqua" w:hAnsi="Book Antiqua"/>
          <w:color w:val="000000" w:themeColor="text1"/>
          <w:sz w:val="24"/>
          <w:szCs w:val="24"/>
          <w:vertAlign w:val="superscript"/>
        </w:rPr>
        <w:t>[1]</w:t>
      </w:r>
      <w:r w:rsidR="00D35DDC" w:rsidRPr="00220CF9">
        <w:rPr>
          <w:rFonts w:ascii="Book Antiqua" w:hAnsi="Book Antiqua"/>
          <w:color w:val="000000" w:themeColor="text1"/>
          <w:sz w:val="24"/>
          <w:szCs w:val="24"/>
        </w:rPr>
        <w:t>.</w:t>
      </w:r>
      <w:r w:rsidR="00FE5A25" w:rsidRPr="00220CF9">
        <w:rPr>
          <w:rFonts w:ascii="Book Antiqua" w:hAnsi="Book Antiqua"/>
          <w:color w:val="000000" w:themeColor="text1"/>
          <w:sz w:val="24"/>
          <w:szCs w:val="24"/>
        </w:rPr>
        <w:t xml:space="preserve"> </w:t>
      </w:r>
      <w:r w:rsidR="00D83A98" w:rsidRPr="00220CF9">
        <w:rPr>
          <w:rFonts w:ascii="Book Antiqua" w:hAnsi="Book Antiqua"/>
          <w:color w:val="000000" w:themeColor="text1"/>
          <w:sz w:val="24"/>
          <w:szCs w:val="24"/>
        </w:rPr>
        <w:t xml:space="preserve">Based on these results, in </w:t>
      </w:r>
      <w:r w:rsidRPr="00220CF9">
        <w:rPr>
          <w:rFonts w:ascii="Book Antiqua" w:hAnsi="Book Antiqua"/>
          <w:color w:val="000000" w:themeColor="text1"/>
          <w:sz w:val="24"/>
          <w:szCs w:val="24"/>
        </w:rPr>
        <w:t xml:space="preserve">the </w:t>
      </w:r>
      <w:r w:rsidR="00D83A98" w:rsidRPr="00220CF9">
        <w:rPr>
          <w:rFonts w:ascii="Book Antiqua" w:hAnsi="Book Antiqua"/>
          <w:color w:val="000000" w:themeColor="text1"/>
          <w:sz w:val="24"/>
          <w:szCs w:val="24"/>
        </w:rPr>
        <w:t xml:space="preserve">direct-acting antiviral agents (DAAs) era, it </w:t>
      </w:r>
      <w:r w:rsidRPr="00220CF9">
        <w:rPr>
          <w:rFonts w:ascii="Book Antiqua" w:hAnsi="Book Antiqua"/>
          <w:color w:val="000000" w:themeColor="text1"/>
          <w:sz w:val="24"/>
          <w:szCs w:val="24"/>
        </w:rPr>
        <w:t xml:space="preserve">also </w:t>
      </w:r>
      <w:r w:rsidR="00D83A98" w:rsidRPr="00220CF9">
        <w:rPr>
          <w:rFonts w:ascii="Book Antiqua" w:hAnsi="Book Antiqua"/>
          <w:color w:val="000000" w:themeColor="text1"/>
          <w:sz w:val="24"/>
          <w:szCs w:val="24"/>
        </w:rPr>
        <w:t>seems important to eradicate HCV to improve the prognosis of HCV-infected individuals.</w:t>
      </w:r>
    </w:p>
    <w:p w:rsidR="003277C0" w:rsidRPr="00220CF9" w:rsidRDefault="003277C0" w:rsidP="00416731">
      <w:pPr>
        <w:spacing w:line="480" w:lineRule="auto"/>
        <w:rPr>
          <w:rFonts w:ascii="Book Antiqua" w:hAnsi="Book Antiqua"/>
          <w:color w:val="000000" w:themeColor="text1"/>
          <w:sz w:val="24"/>
          <w:szCs w:val="24"/>
        </w:rPr>
      </w:pPr>
      <w:r w:rsidRPr="00220CF9">
        <w:rPr>
          <w:rFonts w:ascii="Book Antiqua" w:hAnsi="Book Antiqua"/>
          <w:color w:val="000000" w:themeColor="text1"/>
          <w:sz w:val="24"/>
          <w:szCs w:val="24"/>
        </w:rPr>
        <w:tab/>
      </w:r>
      <w:r w:rsidR="00E641B2" w:rsidRPr="00220CF9">
        <w:rPr>
          <w:rFonts w:ascii="Book Antiqua" w:hAnsi="Book Antiqua"/>
          <w:color w:val="000000" w:themeColor="text1"/>
          <w:sz w:val="24"/>
          <w:szCs w:val="24"/>
        </w:rPr>
        <w:t>Interferon acts on the target cells</w:t>
      </w:r>
      <w:r w:rsidR="008A04C0" w:rsidRPr="00220CF9">
        <w:rPr>
          <w:rFonts w:ascii="Book Antiqua" w:hAnsi="Book Antiqua"/>
          <w:color w:val="000000" w:themeColor="text1"/>
          <w:sz w:val="24"/>
          <w:szCs w:val="24"/>
        </w:rPr>
        <w:t>,</w:t>
      </w:r>
      <w:r w:rsidR="00E641B2" w:rsidRPr="00220CF9">
        <w:rPr>
          <w:rFonts w:ascii="Book Antiqua" w:hAnsi="Book Antiqua"/>
          <w:color w:val="000000" w:themeColor="text1"/>
          <w:sz w:val="24"/>
          <w:szCs w:val="24"/>
        </w:rPr>
        <w:t xml:space="preserve"> such as hepatocytes and/or lymphocytes through</w:t>
      </w:r>
      <w:r w:rsidR="0077517D" w:rsidRPr="00220CF9">
        <w:rPr>
          <w:rFonts w:ascii="Book Antiqua" w:hAnsi="Book Antiqua"/>
          <w:color w:val="000000" w:themeColor="text1"/>
          <w:sz w:val="24"/>
          <w:szCs w:val="24"/>
        </w:rPr>
        <w:t xml:space="preserve"> the interf</w:t>
      </w:r>
      <w:r w:rsidR="008A04C0" w:rsidRPr="00220CF9">
        <w:rPr>
          <w:rFonts w:ascii="Book Antiqua" w:hAnsi="Book Antiqua"/>
          <w:color w:val="000000" w:themeColor="text1"/>
          <w:sz w:val="24"/>
          <w:szCs w:val="24"/>
        </w:rPr>
        <w:t>eron receptors on their surface</w:t>
      </w:r>
      <w:r w:rsidR="0077517D" w:rsidRPr="00220CF9">
        <w:rPr>
          <w:rFonts w:ascii="Book Antiqua" w:hAnsi="Book Antiqua"/>
          <w:color w:val="000000" w:themeColor="text1"/>
          <w:sz w:val="24"/>
          <w:szCs w:val="24"/>
        </w:rPr>
        <w:t xml:space="preserve"> and induces interferon-stimulated genes (ISGs) and antiviral effects</w:t>
      </w:r>
      <w:r w:rsidR="00CC4A75" w:rsidRPr="00220CF9">
        <w:rPr>
          <w:rFonts w:ascii="Book Antiqua" w:hAnsi="Book Antiqua"/>
          <w:color w:val="000000" w:themeColor="text1"/>
          <w:sz w:val="24"/>
          <w:szCs w:val="24"/>
          <w:vertAlign w:val="superscript"/>
        </w:rPr>
        <w:t>[2]</w:t>
      </w:r>
      <w:r w:rsidR="0077517D" w:rsidRPr="00220CF9">
        <w:rPr>
          <w:rFonts w:ascii="Book Antiqua" w:hAnsi="Book Antiqua"/>
          <w:color w:val="000000" w:themeColor="text1"/>
          <w:sz w:val="24"/>
          <w:szCs w:val="24"/>
        </w:rPr>
        <w:t>.</w:t>
      </w:r>
      <w:r w:rsidR="00E641B2" w:rsidRPr="00220CF9">
        <w:rPr>
          <w:rFonts w:ascii="Book Antiqua" w:hAnsi="Book Antiqua"/>
          <w:color w:val="000000" w:themeColor="text1"/>
          <w:sz w:val="24"/>
          <w:szCs w:val="24"/>
        </w:rPr>
        <w:t xml:space="preserve"> </w:t>
      </w:r>
      <w:r w:rsidR="00663C90" w:rsidRPr="00220CF9">
        <w:rPr>
          <w:rFonts w:ascii="Book Antiqua" w:hAnsi="Book Antiqua"/>
          <w:color w:val="000000" w:themeColor="text1"/>
          <w:sz w:val="24"/>
          <w:szCs w:val="24"/>
        </w:rPr>
        <w:t xml:space="preserve">Almost all </w:t>
      </w:r>
      <w:r w:rsidR="000F2E32" w:rsidRPr="00220CF9">
        <w:rPr>
          <w:rFonts w:ascii="Book Antiqua" w:hAnsi="Book Antiqua"/>
          <w:color w:val="000000" w:themeColor="text1"/>
          <w:sz w:val="24"/>
          <w:szCs w:val="24"/>
        </w:rPr>
        <w:t xml:space="preserve">human </w:t>
      </w:r>
      <w:r w:rsidR="00663C90" w:rsidRPr="00220CF9">
        <w:rPr>
          <w:rFonts w:ascii="Book Antiqua" w:hAnsi="Book Antiqua"/>
          <w:color w:val="000000" w:themeColor="text1"/>
          <w:sz w:val="24"/>
          <w:szCs w:val="24"/>
        </w:rPr>
        <w:t>cells have interferon receptors on their surfaces</w:t>
      </w:r>
      <w:r w:rsidR="008A04C0" w:rsidRPr="00220CF9">
        <w:rPr>
          <w:rFonts w:ascii="Book Antiqua" w:hAnsi="Book Antiqua"/>
          <w:color w:val="000000" w:themeColor="text1"/>
          <w:sz w:val="24"/>
          <w:szCs w:val="24"/>
        </w:rPr>
        <w:t>,</w:t>
      </w:r>
      <w:r w:rsidR="00663C90" w:rsidRPr="00220CF9">
        <w:rPr>
          <w:rFonts w:ascii="Book Antiqua" w:hAnsi="Book Antiqua"/>
          <w:color w:val="000000" w:themeColor="text1"/>
          <w:sz w:val="24"/>
          <w:szCs w:val="24"/>
        </w:rPr>
        <w:t xml:space="preserve"> and </w:t>
      </w:r>
      <w:r w:rsidR="008A04C0" w:rsidRPr="00220CF9">
        <w:rPr>
          <w:rFonts w:ascii="Book Antiqua" w:hAnsi="Book Antiqua"/>
          <w:color w:val="000000" w:themeColor="text1"/>
          <w:sz w:val="24"/>
          <w:szCs w:val="24"/>
        </w:rPr>
        <w:t xml:space="preserve">the use of </w:t>
      </w:r>
      <w:r w:rsidR="00663C90" w:rsidRPr="00220CF9">
        <w:rPr>
          <w:rFonts w:ascii="Book Antiqua" w:hAnsi="Book Antiqua"/>
          <w:color w:val="000000" w:themeColor="text1"/>
          <w:sz w:val="24"/>
          <w:szCs w:val="24"/>
        </w:rPr>
        <w:t xml:space="preserve">interferon exhibits </w:t>
      </w:r>
      <w:r w:rsidR="008A04C0" w:rsidRPr="00220CF9">
        <w:rPr>
          <w:rFonts w:ascii="Book Antiqua" w:hAnsi="Book Antiqua"/>
          <w:color w:val="000000" w:themeColor="text1"/>
          <w:sz w:val="24"/>
          <w:szCs w:val="24"/>
        </w:rPr>
        <w:t>numerous</w:t>
      </w:r>
      <w:r w:rsidR="00663C90" w:rsidRPr="00220CF9">
        <w:rPr>
          <w:rFonts w:ascii="Book Antiqua" w:hAnsi="Book Antiqua"/>
          <w:color w:val="000000" w:themeColor="text1"/>
          <w:sz w:val="24"/>
          <w:szCs w:val="24"/>
        </w:rPr>
        <w:t xml:space="preserve"> adverse events. However, b</w:t>
      </w:r>
      <w:r w:rsidR="002F4B21" w:rsidRPr="00220CF9">
        <w:rPr>
          <w:rFonts w:ascii="Book Antiqua" w:hAnsi="Book Antiqua"/>
          <w:color w:val="000000" w:themeColor="text1"/>
          <w:sz w:val="24"/>
          <w:szCs w:val="24"/>
        </w:rPr>
        <w:t>ecause i</w:t>
      </w:r>
      <w:r w:rsidR="00193662" w:rsidRPr="00220CF9">
        <w:rPr>
          <w:rFonts w:ascii="Book Antiqua" w:hAnsi="Book Antiqua"/>
          <w:color w:val="000000" w:themeColor="text1"/>
          <w:sz w:val="24"/>
          <w:szCs w:val="24"/>
        </w:rPr>
        <w:t xml:space="preserve">nterferon acts </w:t>
      </w:r>
      <w:r w:rsidR="00A3665D" w:rsidRPr="00220CF9">
        <w:rPr>
          <w:rFonts w:ascii="Book Antiqua" w:hAnsi="Book Antiqua"/>
          <w:color w:val="000000" w:themeColor="text1"/>
          <w:sz w:val="24"/>
          <w:szCs w:val="24"/>
        </w:rPr>
        <w:t xml:space="preserve">in </w:t>
      </w:r>
      <w:r w:rsidR="008A04C0" w:rsidRPr="00220CF9">
        <w:rPr>
          <w:rFonts w:ascii="Book Antiqua" w:hAnsi="Book Antiqua"/>
          <w:color w:val="000000" w:themeColor="text1"/>
          <w:sz w:val="24"/>
          <w:szCs w:val="24"/>
        </w:rPr>
        <w:t xml:space="preserve">a </w:t>
      </w:r>
      <w:r w:rsidR="00A3665D" w:rsidRPr="00220CF9">
        <w:rPr>
          <w:rFonts w:ascii="Book Antiqua" w:hAnsi="Book Antiqua"/>
          <w:color w:val="000000" w:themeColor="text1"/>
          <w:sz w:val="24"/>
          <w:szCs w:val="24"/>
        </w:rPr>
        <w:t>HCV-nonspecific manner</w:t>
      </w:r>
      <w:r w:rsidR="002F4B21" w:rsidRPr="00220CF9">
        <w:rPr>
          <w:rFonts w:ascii="Book Antiqua" w:hAnsi="Book Antiqua"/>
          <w:color w:val="000000" w:themeColor="text1"/>
          <w:sz w:val="24"/>
          <w:szCs w:val="24"/>
        </w:rPr>
        <w:t>, interferon can eradicate mutant virus</w:t>
      </w:r>
      <w:r w:rsidR="008A04C0" w:rsidRPr="00220CF9">
        <w:rPr>
          <w:rFonts w:ascii="Book Antiqua" w:hAnsi="Book Antiqua"/>
          <w:color w:val="000000" w:themeColor="text1"/>
          <w:sz w:val="24"/>
          <w:szCs w:val="24"/>
        </w:rPr>
        <w:t>es</w:t>
      </w:r>
      <w:r w:rsidR="002F4B21" w:rsidRPr="00220CF9">
        <w:rPr>
          <w:rFonts w:ascii="Book Antiqua" w:hAnsi="Book Antiqua"/>
          <w:color w:val="000000" w:themeColor="text1"/>
          <w:sz w:val="24"/>
          <w:szCs w:val="24"/>
        </w:rPr>
        <w:t xml:space="preserve"> in most cases</w:t>
      </w:r>
      <w:r w:rsidR="00A3665D" w:rsidRPr="00220CF9">
        <w:rPr>
          <w:rFonts w:ascii="Book Antiqua" w:hAnsi="Book Antiqua"/>
          <w:color w:val="000000" w:themeColor="text1"/>
          <w:sz w:val="24"/>
          <w:szCs w:val="24"/>
        </w:rPr>
        <w:t xml:space="preserve"> (Figure 1)</w:t>
      </w:r>
      <w:r w:rsidR="002F4B21" w:rsidRPr="00220CF9">
        <w:rPr>
          <w:rFonts w:ascii="Book Antiqua" w:hAnsi="Book Antiqua"/>
          <w:color w:val="000000" w:themeColor="text1"/>
          <w:sz w:val="24"/>
          <w:szCs w:val="24"/>
        </w:rPr>
        <w:t>.</w:t>
      </w:r>
      <w:r w:rsidR="00663C90" w:rsidRPr="00220CF9">
        <w:rPr>
          <w:rFonts w:ascii="Book Antiqua" w:hAnsi="Book Antiqua"/>
          <w:color w:val="000000" w:themeColor="text1"/>
          <w:sz w:val="24"/>
          <w:szCs w:val="24"/>
        </w:rPr>
        <w:t xml:space="preserve"> </w:t>
      </w:r>
      <w:r w:rsidR="0077517D" w:rsidRPr="00220CF9">
        <w:rPr>
          <w:rFonts w:ascii="Book Antiqua" w:hAnsi="Book Antiqua"/>
          <w:color w:val="000000" w:themeColor="text1"/>
          <w:sz w:val="24"/>
          <w:szCs w:val="24"/>
        </w:rPr>
        <w:t>T</w:t>
      </w:r>
      <w:r w:rsidR="00E641B2" w:rsidRPr="00220CF9">
        <w:rPr>
          <w:rFonts w:ascii="Book Antiqua" w:hAnsi="Book Antiqua"/>
          <w:color w:val="000000" w:themeColor="text1"/>
          <w:sz w:val="24"/>
          <w:szCs w:val="24"/>
        </w:rPr>
        <w:t xml:space="preserve">he achievement of </w:t>
      </w:r>
      <w:r w:rsidR="0002235C" w:rsidRPr="00220CF9">
        <w:rPr>
          <w:rFonts w:ascii="Book Antiqua" w:hAnsi="Book Antiqua"/>
          <w:color w:val="000000" w:themeColor="text1"/>
          <w:sz w:val="24"/>
          <w:szCs w:val="24"/>
        </w:rPr>
        <w:t xml:space="preserve">sustained virological response </w:t>
      </w:r>
      <w:r w:rsidR="00B27A42" w:rsidRPr="00220CF9">
        <w:rPr>
          <w:rFonts w:ascii="Book Antiqua" w:hAnsi="Book Antiqua"/>
          <w:color w:val="000000" w:themeColor="text1"/>
          <w:sz w:val="24"/>
          <w:szCs w:val="24"/>
        </w:rPr>
        <w:t>at week 24 after</w:t>
      </w:r>
      <w:r w:rsidR="00731BBA" w:rsidRPr="00220CF9">
        <w:rPr>
          <w:rFonts w:ascii="Book Antiqua" w:hAnsi="Book Antiqua"/>
          <w:color w:val="000000" w:themeColor="text1"/>
          <w:sz w:val="24"/>
          <w:szCs w:val="24"/>
        </w:rPr>
        <w:t xml:space="preserve"> the</w:t>
      </w:r>
      <w:r w:rsidR="00B27A42" w:rsidRPr="00220CF9">
        <w:rPr>
          <w:rFonts w:ascii="Book Antiqua" w:hAnsi="Book Antiqua"/>
          <w:color w:val="000000" w:themeColor="text1"/>
          <w:sz w:val="24"/>
          <w:szCs w:val="24"/>
        </w:rPr>
        <w:t xml:space="preserve"> end of treatment </w:t>
      </w:r>
      <w:r w:rsidR="0002235C" w:rsidRPr="00220CF9">
        <w:rPr>
          <w:rFonts w:ascii="Book Antiqua" w:hAnsi="Book Antiqua"/>
          <w:color w:val="000000" w:themeColor="text1"/>
          <w:sz w:val="24"/>
          <w:szCs w:val="24"/>
        </w:rPr>
        <w:t>(</w:t>
      </w:r>
      <w:r w:rsidR="00E641B2" w:rsidRPr="00220CF9">
        <w:rPr>
          <w:rFonts w:ascii="Book Antiqua" w:hAnsi="Book Antiqua"/>
          <w:color w:val="000000" w:themeColor="text1"/>
          <w:sz w:val="24"/>
          <w:szCs w:val="24"/>
        </w:rPr>
        <w:t>SVR</w:t>
      </w:r>
      <w:r w:rsidR="00B27A42" w:rsidRPr="00220CF9">
        <w:rPr>
          <w:rFonts w:ascii="Book Antiqua" w:hAnsi="Book Antiqua"/>
          <w:color w:val="000000" w:themeColor="text1"/>
          <w:sz w:val="24"/>
          <w:szCs w:val="24"/>
        </w:rPr>
        <w:t>24</w:t>
      </w:r>
      <w:r w:rsidR="0002235C" w:rsidRPr="00220CF9">
        <w:rPr>
          <w:rFonts w:ascii="Book Antiqua" w:hAnsi="Book Antiqua"/>
          <w:color w:val="000000" w:themeColor="text1"/>
          <w:sz w:val="24"/>
          <w:szCs w:val="24"/>
        </w:rPr>
        <w:t>)</w:t>
      </w:r>
      <w:r w:rsidR="00E641B2" w:rsidRPr="00220CF9">
        <w:rPr>
          <w:rFonts w:ascii="Book Antiqua" w:hAnsi="Book Antiqua"/>
          <w:color w:val="000000" w:themeColor="text1"/>
          <w:sz w:val="24"/>
          <w:szCs w:val="24"/>
        </w:rPr>
        <w:t xml:space="preserve"> was </w:t>
      </w:r>
      <w:r w:rsidR="0077517D" w:rsidRPr="00220CF9">
        <w:rPr>
          <w:rFonts w:ascii="Book Antiqua" w:hAnsi="Book Antiqua"/>
          <w:color w:val="000000" w:themeColor="text1"/>
          <w:sz w:val="24"/>
          <w:szCs w:val="24"/>
        </w:rPr>
        <w:t xml:space="preserve">strongly </w:t>
      </w:r>
      <w:r w:rsidR="00E641B2" w:rsidRPr="00220CF9">
        <w:rPr>
          <w:rFonts w:ascii="Book Antiqua" w:hAnsi="Book Antiqua"/>
          <w:color w:val="000000" w:themeColor="text1"/>
          <w:sz w:val="24"/>
          <w:szCs w:val="24"/>
        </w:rPr>
        <w:t>affected by</w:t>
      </w:r>
      <w:r w:rsidR="0077517D" w:rsidRPr="00220CF9">
        <w:rPr>
          <w:rFonts w:ascii="Book Antiqua" w:hAnsi="Book Antiqua"/>
          <w:color w:val="000000" w:themeColor="text1"/>
          <w:sz w:val="24"/>
          <w:szCs w:val="24"/>
        </w:rPr>
        <w:t xml:space="preserve"> </w:t>
      </w:r>
      <w:r w:rsidR="008A04C0" w:rsidRPr="00220CF9">
        <w:rPr>
          <w:rFonts w:ascii="Book Antiqua" w:hAnsi="Book Antiqua"/>
          <w:color w:val="000000" w:themeColor="text1"/>
          <w:kern w:val="0"/>
          <w:sz w:val="24"/>
          <w:szCs w:val="24"/>
        </w:rPr>
        <w:t>single-nucleotide</w:t>
      </w:r>
      <w:r w:rsidR="0077517D" w:rsidRPr="00220CF9">
        <w:rPr>
          <w:rFonts w:ascii="Book Antiqua" w:hAnsi="Book Antiqua"/>
          <w:color w:val="000000" w:themeColor="text1"/>
          <w:sz w:val="24"/>
          <w:szCs w:val="24"/>
        </w:rPr>
        <w:t xml:space="preserve"> polymorphisms (SNPs) near the interleukin-28 B (IL28B)/interferon lambda 3-coding region in patients </w:t>
      </w:r>
      <w:r w:rsidR="008A04C0" w:rsidRPr="00220CF9">
        <w:rPr>
          <w:rFonts w:ascii="Book Antiqua" w:hAnsi="Book Antiqua"/>
          <w:color w:val="000000" w:themeColor="text1"/>
          <w:sz w:val="24"/>
          <w:szCs w:val="24"/>
        </w:rPr>
        <w:t xml:space="preserve">who were </w:t>
      </w:r>
      <w:r w:rsidR="0077517D" w:rsidRPr="00220CF9">
        <w:rPr>
          <w:rFonts w:ascii="Book Antiqua" w:hAnsi="Book Antiqua"/>
          <w:color w:val="000000" w:themeColor="text1"/>
          <w:sz w:val="24"/>
          <w:szCs w:val="24"/>
        </w:rPr>
        <w:t>treated with peginterferon plus ribavirin</w:t>
      </w:r>
      <w:r w:rsidR="008A04C0" w:rsidRPr="00220CF9">
        <w:rPr>
          <w:rFonts w:ascii="Book Antiqua" w:hAnsi="Book Antiqua"/>
          <w:color w:val="000000" w:themeColor="text1"/>
          <w:sz w:val="24"/>
          <w:szCs w:val="24"/>
        </w:rPr>
        <w:t>,</w:t>
      </w:r>
      <w:r w:rsidR="0077517D" w:rsidRPr="00220CF9">
        <w:rPr>
          <w:rFonts w:ascii="Book Antiqua" w:hAnsi="Book Antiqua"/>
          <w:color w:val="000000" w:themeColor="text1"/>
          <w:sz w:val="24"/>
          <w:szCs w:val="24"/>
        </w:rPr>
        <w:t xml:space="preserve"> with or without </w:t>
      </w:r>
      <w:r w:rsidR="009728B0" w:rsidRPr="00220CF9">
        <w:rPr>
          <w:rFonts w:ascii="Book Antiqua" w:hAnsi="Book Antiqua"/>
          <w:color w:val="000000" w:themeColor="text1"/>
          <w:sz w:val="24"/>
          <w:szCs w:val="24"/>
        </w:rPr>
        <w:t>DAAs</w:t>
      </w:r>
      <w:r w:rsidR="009728B0" w:rsidRPr="00220CF9">
        <w:rPr>
          <w:rFonts w:ascii="Book Antiqua" w:hAnsi="Book Antiqua"/>
          <w:color w:val="000000" w:themeColor="text1"/>
          <w:sz w:val="24"/>
          <w:szCs w:val="24"/>
          <w:vertAlign w:val="superscript"/>
        </w:rPr>
        <w:t>[3-6]</w:t>
      </w:r>
      <w:r w:rsidR="0077517D" w:rsidRPr="00220CF9">
        <w:rPr>
          <w:rFonts w:ascii="Book Antiqua" w:hAnsi="Book Antiqua"/>
          <w:color w:val="000000" w:themeColor="text1"/>
          <w:sz w:val="24"/>
          <w:szCs w:val="24"/>
        </w:rPr>
        <w:t>.</w:t>
      </w:r>
    </w:p>
    <w:p w:rsidR="00987F72" w:rsidRPr="00220CF9" w:rsidRDefault="005D20D7" w:rsidP="00D75140">
      <w:pPr>
        <w:spacing w:line="480" w:lineRule="auto"/>
        <w:ind w:firstLine="840"/>
        <w:rPr>
          <w:rFonts w:ascii="Book Antiqua" w:hAnsi="Book Antiqua"/>
          <w:color w:val="000000" w:themeColor="text1"/>
          <w:sz w:val="24"/>
          <w:szCs w:val="24"/>
        </w:rPr>
      </w:pPr>
      <w:r w:rsidRPr="00220CF9">
        <w:rPr>
          <w:rFonts w:ascii="Book Antiqua" w:hAnsi="Book Antiqua"/>
          <w:color w:val="000000" w:themeColor="text1"/>
          <w:sz w:val="24"/>
          <w:szCs w:val="24"/>
        </w:rPr>
        <w:lastRenderedPageBreak/>
        <w:t xml:space="preserve">HCV </w:t>
      </w:r>
      <w:r w:rsidR="00757CC9" w:rsidRPr="00220CF9">
        <w:rPr>
          <w:rFonts w:ascii="Book Antiqua" w:hAnsi="Book Antiqua"/>
          <w:color w:val="000000" w:themeColor="text1"/>
          <w:sz w:val="24"/>
          <w:szCs w:val="24"/>
        </w:rPr>
        <w:t xml:space="preserve">genome </w:t>
      </w:r>
      <w:r w:rsidRPr="00220CF9">
        <w:rPr>
          <w:rFonts w:ascii="Book Antiqua" w:hAnsi="Book Antiqua"/>
          <w:color w:val="000000" w:themeColor="text1"/>
          <w:sz w:val="24"/>
          <w:szCs w:val="24"/>
        </w:rPr>
        <w:t xml:space="preserve">encodes at least 10 proteins: core, E1, E2, </w:t>
      </w:r>
      <w:r w:rsidR="00757CC9" w:rsidRPr="00220CF9">
        <w:rPr>
          <w:rFonts w:ascii="Book Antiqua" w:hAnsi="Book Antiqua"/>
          <w:color w:val="000000" w:themeColor="text1"/>
          <w:sz w:val="24"/>
          <w:szCs w:val="24"/>
        </w:rPr>
        <w:t xml:space="preserve">p7, </w:t>
      </w:r>
      <w:r w:rsidRPr="00220CF9">
        <w:rPr>
          <w:rFonts w:ascii="Book Antiqua" w:hAnsi="Book Antiqua"/>
          <w:color w:val="000000" w:themeColor="text1"/>
          <w:sz w:val="24"/>
          <w:szCs w:val="24"/>
        </w:rPr>
        <w:t>NS2, NS3, NS4A, NS4B, NS5A and NS5B</w:t>
      </w:r>
      <w:r w:rsidRPr="00220CF9">
        <w:rPr>
          <w:rFonts w:ascii="Book Antiqua" w:hAnsi="Book Antiqua"/>
          <w:color w:val="000000" w:themeColor="text1"/>
          <w:sz w:val="24"/>
          <w:szCs w:val="24"/>
          <w:vertAlign w:val="superscript"/>
        </w:rPr>
        <w:t>[7]</w:t>
      </w:r>
      <w:r w:rsidRPr="00220CF9">
        <w:rPr>
          <w:rFonts w:ascii="Book Antiqua" w:hAnsi="Book Antiqua"/>
          <w:color w:val="000000" w:themeColor="text1"/>
          <w:sz w:val="24"/>
          <w:szCs w:val="24"/>
        </w:rPr>
        <w:t>. In current DAA treatment for patients infected with HCV,</w:t>
      </w:r>
      <w:r w:rsidR="00511F3B" w:rsidRPr="00220CF9">
        <w:rPr>
          <w:rFonts w:ascii="Book Antiqua" w:hAnsi="Book Antiqua"/>
          <w:color w:val="000000" w:themeColor="text1"/>
          <w:sz w:val="24"/>
          <w:szCs w:val="24"/>
        </w:rPr>
        <w:t xml:space="preserve"> viral proteins targeted by HCV DAAs are HCV NS3/4A, NS5A and</w:t>
      </w:r>
      <w:r w:rsidR="00677EF5" w:rsidRPr="00220CF9">
        <w:rPr>
          <w:rFonts w:ascii="Book Antiqua" w:hAnsi="Book Antiqua"/>
          <w:color w:val="000000" w:themeColor="text1"/>
          <w:sz w:val="24"/>
          <w:szCs w:val="24"/>
        </w:rPr>
        <w:t>/or</w:t>
      </w:r>
      <w:r w:rsidR="00511F3B" w:rsidRPr="00220CF9">
        <w:rPr>
          <w:rFonts w:ascii="Book Antiqua" w:hAnsi="Book Antiqua"/>
          <w:color w:val="000000" w:themeColor="text1"/>
          <w:sz w:val="24"/>
          <w:szCs w:val="24"/>
        </w:rPr>
        <w:t xml:space="preserve"> NS5B.</w:t>
      </w:r>
      <w:r w:rsidR="00987F72" w:rsidRPr="00220CF9">
        <w:rPr>
          <w:rFonts w:ascii="Book Antiqua" w:hAnsi="Book Antiqua"/>
          <w:color w:val="000000" w:themeColor="text1"/>
          <w:sz w:val="24"/>
          <w:szCs w:val="24"/>
        </w:rPr>
        <w:t xml:space="preserve"> </w:t>
      </w:r>
      <w:r w:rsidR="008A04C0" w:rsidRPr="00220CF9">
        <w:rPr>
          <w:rFonts w:ascii="Book Antiqua" w:hAnsi="Book Antiqua"/>
          <w:color w:val="000000" w:themeColor="text1"/>
          <w:sz w:val="24"/>
          <w:szCs w:val="24"/>
        </w:rPr>
        <w:t>A</w:t>
      </w:r>
      <w:r w:rsidR="00416731" w:rsidRPr="00220CF9">
        <w:rPr>
          <w:rFonts w:ascii="Book Antiqua" w:hAnsi="Book Antiqua"/>
          <w:color w:val="000000" w:themeColor="text1"/>
          <w:sz w:val="24"/>
          <w:szCs w:val="24"/>
        </w:rPr>
        <w:t xml:space="preserve"> combination of HCV NS3/4A protease inhibitors, HCV NS5A inhibitors and/or HCV NS5B polymerase inhibitors</w:t>
      </w:r>
      <w:r w:rsidR="008A04C0" w:rsidRPr="00220CF9">
        <w:rPr>
          <w:rFonts w:ascii="Book Antiqua" w:hAnsi="Book Antiqua"/>
          <w:color w:val="000000" w:themeColor="text1"/>
          <w:sz w:val="24"/>
          <w:szCs w:val="24"/>
        </w:rPr>
        <w:t>,</w:t>
      </w:r>
      <w:r w:rsidR="00416731" w:rsidRPr="00220CF9">
        <w:rPr>
          <w:rFonts w:ascii="Book Antiqua" w:hAnsi="Book Antiqua"/>
          <w:color w:val="000000" w:themeColor="text1"/>
          <w:sz w:val="24"/>
          <w:szCs w:val="24"/>
        </w:rPr>
        <w:t xml:space="preserve"> with or without ribavirin</w:t>
      </w:r>
      <w:r w:rsidR="008A04C0" w:rsidRPr="00220CF9">
        <w:rPr>
          <w:rFonts w:ascii="Book Antiqua" w:hAnsi="Book Antiqua"/>
          <w:color w:val="000000" w:themeColor="text1"/>
          <w:sz w:val="24"/>
          <w:szCs w:val="24"/>
        </w:rPr>
        <w:t>,</w:t>
      </w:r>
      <w:r w:rsidR="00416731" w:rsidRPr="00220CF9">
        <w:rPr>
          <w:rFonts w:ascii="Book Antiqua" w:hAnsi="Book Antiqua"/>
          <w:color w:val="000000" w:themeColor="text1"/>
          <w:sz w:val="24"/>
          <w:szCs w:val="24"/>
        </w:rPr>
        <w:t xml:space="preserve"> are </w:t>
      </w:r>
      <w:r w:rsidR="003277C0" w:rsidRPr="00220CF9">
        <w:rPr>
          <w:rFonts w:ascii="Book Antiqua" w:hAnsi="Book Antiqua"/>
          <w:color w:val="000000" w:themeColor="text1"/>
          <w:sz w:val="24"/>
          <w:szCs w:val="24"/>
        </w:rPr>
        <w:t xml:space="preserve">currently </w:t>
      </w:r>
      <w:r w:rsidR="008A04C0" w:rsidRPr="00220CF9">
        <w:rPr>
          <w:rFonts w:ascii="Book Antiqua" w:hAnsi="Book Antiqua"/>
          <w:color w:val="000000" w:themeColor="text1"/>
          <w:sz w:val="24"/>
          <w:szCs w:val="24"/>
        </w:rPr>
        <w:t>available for the treatment of</w:t>
      </w:r>
      <w:r w:rsidR="00416731" w:rsidRPr="00220CF9">
        <w:rPr>
          <w:rFonts w:ascii="Book Antiqua" w:hAnsi="Book Antiqua"/>
          <w:color w:val="000000" w:themeColor="text1"/>
          <w:sz w:val="24"/>
          <w:szCs w:val="24"/>
        </w:rPr>
        <w:t xml:space="preserve"> HCV-infected patients, according to </w:t>
      </w:r>
      <w:r w:rsidR="008A04C0" w:rsidRPr="00220CF9">
        <w:rPr>
          <w:rFonts w:ascii="Book Antiqua" w:hAnsi="Book Antiqua"/>
          <w:color w:val="000000" w:themeColor="text1"/>
          <w:sz w:val="24"/>
          <w:szCs w:val="24"/>
        </w:rPr>
        <w:t xml:space="preserve">their </w:t>
      </w:r>
      <w:r w:rsidR="00416731" w:rsidRPr="00220CF9">
        <w:rPr>
          <w:rFonts w:ascii="Book Antiqua" w:hAnsi="Book Antiqua"/>
          <w:color w:val="000000" w:themeColor="text1"/>
          <w:sz w:val="24"/>
          <w:szCs w:val="24"/>
        </w:rPr>
        <w:t>HCV genotypes</w:t>
      </w:r>
      <w:r w:rsidR="00F91461" w:rsidRPr="00220CF9">
        <w:rPr>
          <w:rFonts w:ascii="Book Antiqua" w:hAnsi="Book Antiqua"/>
          <w:color w:val="000000" w:themeColor="text1"/>
          <w:sz w:val="24"/>
          <w:szCs w:val="24"/>
        </w:rPr>
        <w:t xml:space="preserve"> (GTs)</w:t>
      </w:r>
      <w:r w:rsidR="009728B0" w:rsidRPr="00220CF9">
        <w:rPr>
          <w:rFonts w:ascii="Book Antiqua" w:hAnsi="Book Antiqua"/>
          <w:color w:val="000000" w:themeColor="text1"/>
          <w:sz w:val="24"/>
          <w:szCs w:val="24"/>
          <w:vertAlign w:val="superscript"/>
        </w:rPr>
        <w:t>[7</w:t>
      </w:r>
      <w:r w:rsidR="00416731" w:rsidRPr="00220CF9">
        <w:rPr>
          <w:rFonts w:ascii="Book Antiqua" w:hAnsi="Book Antiqua"/>
          <w:color w:val="000000" w:themeColor="text1"/>
          <w:sz w:val="24"/>
          <w:szCs w:val="24"/>
          <w:vertAlign w:val="superscript"/>
        </w:rPr>
        <w:t>]</w:t>
      </w:r>
      <w:r w:rsidR="00416731" w:rsidRPr="00220CF9">
        <w:rPr>
          <w:rFonts w:ascii="Book Antiqua" w:hAnsi="Book Antiqua"/>
          <w:color w:val="000000" w:themeColor="text1"/>
          <w:sz w:val="24"/>
          <w:szCs w:val="24"/>
        </w:rPr>
        <w:t>.</w:t>
      </w:r>
      <w:r w:rsidR="008A04C0" w:rsidRPr="00220CF9">
        <w:rPr>
          <w:rFonts w:ascii="Book Antiqua" w:hAnsi="Book Antiqua"/>
          <w:color w:val="000000" w:themeColor="text1"/>
          <w:sz w:val="24"/>
          <w:szCs w:val="24"/>
        </w:rPr>
        <w:t xml:space="preserve"> </w:t>
      </w:r>
      <w:r w:rsidR="00987F72" w:rsidRPr="00220CF9">
        <w:rPr>
          <w:rFonts w:ascii="Book Antiqua" w:hAnsi="Book Antiqua"/>
          <w:color w:val="000000" w:themeColor="text1"/>
          <w:sz w:val="24"/>
          <w:szCs w:val="24"/>
        </w:rPr>
        <w:t>Until the appearance of HCV pan</w:t>
      </w:r>
      <w:r w:rsidR="002D437C" w:rsidRPr="00220CF9">
        <w:rPr>
          <w:rFonts w:ascii="Book Antiqua" w:hAnsi="Book Antiqua"/>
          <w:color w:val="000000" w:themeColor="text1"/>
          <w:sz w:val="24"/>
          <w:szCs w:val="24"/>
        </w:rPr>
        <w:t>-</w:t>
      </w:r>
      <w:r w:rsidR="00987F72" w:rsidRPr="00220CF9">
        <w:rPr>
          <w:rFonts w:ascii="Book Antiqua" w:hAnsi="Book Antiqua"/>
          <w:color w:val="000000" w:themeColor="text1"/>
          <w:sz w:val="24"/>
          <w:szCs w:val="24"/>
        </w:rPr>
        <w:t>genotypic DAA</w:t>
      </w:r>
      <w:r w:rsidR="00E441DE" w:rsidRPr="00220CF9">
        <w:rPr>
          <w:rFonts w:ascii="Book Antiqua" w:hAnsi="Book Antiqua"/>
          <w:color w:val="000000" w:themeColor="text1"/>
          <w:sz w:val="24"/>
          <w:szCs w:val="24"/>
        </w:rPr>
        <w:t xml:space="preserve"> regimens</w:t>
      </w:r>
      <w:r w:rsidR="00987F72" w:rsidRPr="00220CF9">
        <w:rPr>
          <w:rFonts w:ascii="Book Antiqua" w:hAnsi="Book Antiqua"/>
          <w:color w:val="000000" w:themeColor="text1"/>
          <w:sz w:val="24"/>
          <w:szCs w:val="24"/>
        </w:rPr>
        <w:t xml:space="preserve">, </w:t>
      </w:r>
      <w:r w:rsidR="002D437C" w:rsidRPr="00220CF9">
        <w:rPr>
          <w:rFonts w:ascii="Book Antiqua" w:hAnsi="Book Antiqua"/>
          <w:color w:val="000000" w:themeColor="text1"/>
          <w:sz w:val="24"/>
          <w:szCs w:val="24"/>
        </w:rPr>
        <w:t xml:space="preserve">most of </w:t>
      </w:r>
      <w:r w:rsidR="00615F5B" w:rsidRPr="00220CF9">
        <w:rPr>
          <w:rFonts w:ascii="Book Antiqua" w:hAnsi="Book Antiqua"/>
          <w:color w:val="000000" w:themeColor="text1"/>
          <w:sz w:val="24"/>
          <w:szCs w:val="24"/>
        </w:rPr>
        <w:t>treatments</w:t>
      </w:r>
      <w:r w:rsidR="00987F72" w:rsidRPr="00220CF9">
        <w:rPr>
          <w:rFonts w:ascii="Book Antiqua" w:hAnsi="Book Antiqua"/>
          <w:color w:val="000000" w:themeColor="text1"/>
          <w:sz w:val="24"/>
          <w:szCs w:val="24"/>
        </w:rPr>
        <w:t xml:space="preserve"> had been </w:t>
      </w:r>
      <w:r w:rsidR="00615F5B" w:rsidRPr="00220CF9">
        <w:rPr>
          <w:rFonts w:ascii="Book Antiqua" w:hAnsi="Book Antiqua"/>
          <w:color w:val="000000" w:themeColor="text1"/>
          <w:sz w:val="24"/>
          <w:szCs w:val="24"/>
        </w:rPr>
        <w:t xml:space="preserve">HCV </w:t>
      </w:r>
      <w:r w:rsidR="00987F72" w:rsidRPr="00220CF9">
        <w:rPr>
          <w:rFonts w:ascii="Book Antiqua" w:hAnsi="Book Antiqua"/>
          <w:color w:val="000000" w:themeColor="text1"/>
          <w:sz w:val="24"/>
          <w:szCs w:val="24"/>
        </w:rPr>
        <w:t>GT-specific</w:t>
      </w:r>
      <w:r w:rsidR="00615F5B" w:rsidRPr="00220CF9">
        <w:rPr>
          <w:rFonts w:ascii="Book Antiqua" w:hAnsi="Book Antiqua"/>
          <w:color w:val="000000" w:themeColor="text1"/>
          <w:sz w:val="24"/>
          <w:szCs w:val="24"/>
        </w:rPr>
        <w:t xml:space="preserve"> regimens</w:t>
      </w:r>
      <w:r w:rsidR="00987F72" w:rsidRPr="00220CF9">
        <w:rPr>
          <w:rFonts w:ascii="Book Antiqua" w:hAnsi="Book Antiqua"/>
          <w:color w:val="000000" w:themeColor="text1"/>
          <w:sz w:val="24"/>
          <w:szCs w:val="24"/>
        </w:rPr>
        <w:t>.</w:t>
      </w:r>
      <w:r w:rsidR="002D437C" w:rsidRPr="00220CF9">
        <w:rPr>
          <w:rFonts w:ascii="Book Antiqua" w:hAnsi="Book Antiqua"/>
          <w:color w:val="000000" w:themeColor="text1"/>
          <w:sz w:val="24"/>
          <w:szCs w:val="24"/>
        </w:rPr>
        <w:t xml:space="preserve"> Representative HCV pan-genotypic drugs are </w:t>
      </w:r>
      <w:r w:rsidR="009C41D5" w:rsidRPr="00220CF9">
        <w:rPr>
          <w:rFonts w:ascii="Book Antiqua" w:hAnsi="Book Antiqua"/>
          <w:color w:val="000000" w:themeColor="text1"/>
          <w:sz w:val="24"/>
          <w:szCs w:val="24"/>
        </w:rPr>
        <w:t xml:space="preserve">shown in </w:t>
      </w:r>
      <w:r w:rsidR="00716DA1" w:rsidRPr="00220CF9">
        <w:rPr>
          <w:rFonts w:ascii="Book Antiqua" w:hAnsi="Book Antiqua"/>
          <w:color w:val="000000" w:themeColor="text1"/>
          <w:sz w:val="24"/>
          <w:szCs w:val="24"/>
        </w:rPr>
        <w:t>Table 1</w:t>
      </w:r>
      <w:r w:rsidR="002D437C" w:rsidRPr="00220CF9">
        <w:rPr>
          <w:rFonts w:ascii="Book Antiqua" w:hAnsi="Book Antiqua"/>
          <w:color w:val="000000" w:themeColor="text1"/>
          <w:sz w:val="24"/>
          <w:szCs w:val="24"/>
        </w:rPr>
        <w:t>.</w:t>
      </w:r>
    </w:p>
    <w:p w:rsidR="00C1245B" w:rsidRPr="00220CF9" w:rsidRDefault="008A04C0" w:rsidP="00D83A98">
      <w:pPr>
        <w:spacing w:line="480" w:lineRule="auto"/>
        <w:ind w:firstLine="840"/>
        <w:rPr>
          <w:rFonts w:ascii="Book Antiqua" w:hAnsi="Book Antiqua"/>
          <w:color w:val="000000" w:themeColor="text1"/>
          <w:sz w:val="24"/>
          <w:szCs w:val="24"/>
        </w:rPr>
      </w:pPr>
      <w:r w:rsidRPr="00220CF9">
        <w:rPr>
          <w:rFonts w:ascii="Book Antiqua" w:hAnsi="Book Antiqua"/>
          <w:color w:val="000000" w:themeColor="text1"/>
          <w:sz w:val="24"/>
          <w:szCs w:val="24"/>
        </w:rPr>
        <w:t>The d</w:t>
      </w:r>
      <w:r w:rsidR="00A3665D" w:rsidRPr="00220CF9">
        <w:rPr>
          <w:rFonts w:ascii="Book Antiqua" w:hAnsi="Book Antiqua"/>
          <w:color w:val="000000" w:themeColor="text1"/>
          <w:sz w:val="24"/>
          <w:szCs w:val="24"/>
        </w:rPr>
        <w:t xml:space="preserve">aily oral administration of DAAs does not </w:t>
      </w:r>
      <w:r w:rsidRPr="00220CF9">
        <w:rPr>
          <w:rFonts w:ascii="Book Antiqua" w:hAnsi="Book Antiqua"/>
          <w:color w:val="000000" w:themeColor="text1"/>
          <w:sz w:val="24"/>
          <w:szCs w:val="24"/>
        </w:rPr>
        <w:t>require</w:t>
      </w:r>
      <w:r w:rsidR="00A3665D" w:rsidRPr="00220CF9">
        <w:rPr>
          <w:rFonts w:ascii="Book Antiqua" w:hAnsi="Book Antiqua"/>
          <w:color w:val="000000" w:themeColor="text1"/>
          <w:sz w:val="24"/>
          <w:szCs w:val="24"/>
        </w:rPr>
        <w:t xml:space="preserve"> injection therap</w:t>
      </w:r>
      <w:r w:rsidRPr="00220CF9">
        <w:rPr>
          <w:rFonts w:ascii="Book Antiqua" w:hAnsi="Book Antiqua"/>
          <w:color w:val="000000" w:themeColor="text1"/>
          <w:sz w:val="24"/>
          <w:szCs w:val="24"/>
        </w:rPr>
        <w:t>y</w:t>
      </w:r>
      <w:r w:rsidR="00A3665D" w:rsidRPr="00220CF9">
        <w:rPr>
          <w:rFonts w:ascii="Book Antiqua" w:hAnsi="Book Antiqua"/>
          <w:color w:val="000000" w:themeColor="text1"/>
          <w:sz w:val="24"/>
          <w:szCs w:val="24"/>
        </w:rPr>
        <w:t xml:space="preserve">. Interferon-free treatment </w:t>
      </w:r>
      <w:r w:rsidRPr="00220CF9">
        <w:rPr>
          <w:rFonts w:ascii="Book Antiqua" w:hAnsi="Book Antiqua"/>
          <w:color w:val="000000" w:themeColor="text1"/>
          <w:sz w:val="24"/>
          <w:szCs w:val="24"/>
        </w:rPr>
        <w:t xml:space="preserve">acts </w:t>
      </w:r>
      <w:r w:rsidR="00A3665D" w:rsidRPr="00220CF9">
        <w:rPr>
          <w:rFonts w:ascii="Book Antiqua" w:hAnsi="Book Antiqua"/>
          <w:color w:val="000000" w:themeColor="text1"/>
          <w:sz w:val="24"/>
          <w:szCs w:val="24"/>
        </w:rPr>
        <w:t>directly</w:t>
      </w:r>
      <w:r w:rsidRPr="00220CF9">
        <w:rPr>
          <w:rFonts w:ascii="Book Antiqua" w:hAnsi="Book Antiqua"/>
          <w:color w:val="000000" w:themeColor="text1"/>
          <w:sz w:val="24"/>
          <w:szCs w:val="24"/>
        </w:rPr>
        <w:t xml:space="preserve"> on</w:t>
      </w:r>
      <w:r w:rsidR="00A3665D" w:rsidRPr="00220CF9">
        <w:rPr>
          <w:rFonts w:ascii="Book Antiqua" w:hAnsi="Book Antiqua"/>
          <w:color w:val="000000" w:themeColor="text1"/>
          <w:sz w:val="24"/>
          <w:szCs w:val="24"/>
        </w:rPr>
        <w:t xml:space="preserve"> HCV in </w:t>
      </w:r>
      <w:r w:rsidRPr="00220CF9">
        <w:rPr>
          <w:rFonts w:ascii="Book Antiqua" w:hAnsi="Book Antiqua"/>
          <w:color w:val="000000" w:themeColor="text1"/>
          <w:sz w:val="24"/>
          <w:szCs w:val="24"/>
        </w:rPr>
        <w:t xml:space="preserve">a </w:t>
      </w:r>
      <w:r w:rsidR="00A3665D" w:rsidRPr="00220CF9">
        <w:rPr>
          <w:rFonts w:ascii="Book Antiqua" w:hAnsi="Book Antiqua"/>
          <w:color w:val="000000" w:themeColor="text1"/>
          <w:sz w:val="24"/>
          <w:szCs w:val="24"/>
        </w:rPr>
        <w:t>HCV</w:t>
      </w:r>
      <w:r w:rsidR="0046583F" w:rsidRPr="00220CF9">
        <w:rPr>
          <w:rFonts w:ascii="Book Antiqua" w:hAnsi="Book Antiqua"/>
          <w:color w:val="000000" w:themeColor="text1"/>
          <w:sz w:val="24"/>
          <w:szCs w:val="24"/>
        </w:rPr>
        <w:t xml:space="preserve"> RNA </w:t>
      </w:r>
      <w:r w:rsidRPr="00220CF9">
        <w:rPr>
          <w:rFonts w:ascii="Book Antiqua" w:hAnsi="Book Antiqua"/>
          <w:color w:val="000000" w:themeColor="text1"/>
          <w:sz w:val="24"/>
          <w:szCs w:val="24"/>
        </w:rPr>
        <w:t>genome-</w:t>
      </w:r>
      <w:r w:rsidR="00A3665D" w:rsidRPr="00220CF9">
        <w:rPr>
          <w:rFonts w:ascii="Book Antiqua" w:hAnsi="Book Antiqua"/>
          <w:color w:val="000000" w:themeColor="text1"/>
          <w:sz w:val="24"/>
          <w:szCs w:val="24"/>
        </w:rPr>
        <w:t xml:space="preserve">specific manner and has </w:t>
      </w:r>
      <w:r w:rsidRPr="00220CF9">
        <w:rPr>
          <w:rFonts w:ascii="Book Antiqua" w:hAnsi="Book Antiqua"/>
          <w:color w:val="000000" w:themeColor="text1"/>
          <w:sz w:val="24"/>
          <w:szCs w:val="24"/>
        </w:rPr>
        <w:t>fewer</w:t>
      </w:r>
      <w:r w:rsidR="00A3665D" w:rsidRPr="00220CF9">
        <w:rPr>
          <w:rFonts w:ascii="Book Antiqua" w:hAnsi="Book Antiqua"/>
          <w:color w:val="000000" w:themeColor="text1"/>
          <w:sz w:val="24"/>
          <w:szCs w:val="24"/>
        </w:rPr>
        <w:t xml:space="preserve"> adverse events than interferon treatment</w:t>
      </w:r>
      <w:r w:rsidRPr="00220CF9">
        <w:rPr>
          <w:rFonts w:ascii="Book Antiqua" w:hAnsi="Book Antiqua"/>
          <w:color w:val="000000" w:themeColor="text1"/>
          <w:sz w:val="24"/>
          <w:szCs w:val="24"/>
        </w:rPr>
        <w:t xml:space="preserve"> does</w:t>
      </w:r>
      <w:r w:rsidR="00B27A42" w:rsidRPr="00220CF9">
        <w:rPr>
          <w:rFonts w:ascii="Book Antiqua" w:hAnsi="Book Antiqua"/>
          <w:color w:val="000000" w:themeColor="text1"/>
          <w:sz w:val="24"/>
          <w:szCs w:val="24"/>
        </w:rPr>
        <w:t>(Figure 1)</w:t>
      </w:r>
      <w:r w:rsidR="00A3665D" w:rsidRPr="00220CF9">
        <w:rPr>
          <w:rFonts w:ascii="Book Antiqua" w:hAnsi="Book Antiqua"/>
          <w:color w:val="000000" w:themeColor="text1"/>
          <w:sz w:val="24"/>
          <w:szCs w:val="24"/>
          <w:vertAlign w:val="superscript"/>
        </w:rPr>
        <w:t>[8</w:t>
      </w:r>
      <w:r w:rsidR="00E479B1" w:rsidRPr="00220CF9">
        <w:rPr>
          <w:rFonts w:ascii="Book Antiqua" w:hAnsi="Book Antiqua"/>
          <w:color w:val="000000" w:themeColor="text1"/>
          <w:sz w:val="24"/>
          <w:szCs w:val="24"/>
          <w:vertAlign w:val="superscript"/>
        </w:rPr>
        <w:t>-10</w:t>
      </w:r>
      <w:r w:rsidR="00A3665D" w:rsidRPr="00220CF9">
        <w:rPr>
          <w:rFonts w:ascii="Book Antiqua" w:hAnsi="Book Antiqua"/>
          <w:color w:val="000000" w:themeColor="text1"/>
          <w:sz w:val="24"/>
          <w:szCs w:val="24"/>
          <w:vertAlign w:val="superscript"/>
        </w:rPr>
        <w:t>]</w:t>
      </w:r>
      <w:r w:rsidR="00A3665D" w:rsidRPr="00220CF9">
        <w:rPr>
          <w:rFonts w:ascii="Book Antiqua" w:hAnsi="Book Antiqua"/>
          <w:color w:val="000000" w:themeColor="text1"/>
          <w:sz w:val="24"/>
          <w:szCs w:val="24"/>
        </w:rPr>
        <w:t>.</w:t>
      </w:r>
      <w:r w:rsidR="00E479B1" w:rsidRPr="00220CF9">
        <w:rPr>
          <w:rFonts w:ascii="Book Antiqua" w:hAnsi="Book Antiqua"/>
          <w:color w:val="000000" w:themeColor="text1"/>
          <w:sz w:val="24"/>
          <w:szCs w:val="24"/>
        </w:rPr>
        <w:t xml:space="preserve"> </w:t>
      </w:r>
      <w:r w:rsidR="00B27A42" w:rsidRPr="00220CF9">
        <w:rPr>
          <w:rFonts w:ascii="Book Antiqua" w:hAnsi="Book Antiqua"/>
          <w:color w:val="000000" w:themeColor="text1"/>
          <w:sz w:val="24"/>
          <w:szCs w:val="24"/>
        </w:rPr>
        <w:t xml:space="preserve">In interferon-era or interferon-free-era, respectively, SVR24 and SVR12 have been defined as SVR because DAA combination regimens have stronger effects. </w:t>
      </w:r>
      <w:r w:rsidR="00E479B1" w:rsidRPr="00220CF9">
        <w:rPr>
          <w:rFonts w:ascii="Book Antiqua" w:hAnsi="Book Antiqua"/>
          <w:color w:val="000000" w:themeColor="text1"/>
          <w:sz w:val="24"/>
          <w:szCs w:val="24"/>
        </w:rPr>
        <w:t xml:space="preserve">However, resistance-associated substitutions (RASs) in </w:t>
      </w:r>
      <w:r w:rsidR="00326D1C" w:rsidRPr="00220CF9">
        <w:rPr>
          <w:rFonts w:ascii="Book Antiqua" w:hAnsi="Book Antiqua"/>
          <w:color w:val="000000" w:themeColor="text1"/>
          <w:sz w:val="24"/>
          <w:szCs w:val="24"/>
        </w:rPr>
        <w:t xml:space="preserve">the </w:t>
      </w:r>
      <w:r w:rsidR="00E479B1" w:rsidRPr="00220CF9">
        <w:rPr>
          <w:rFonts w:ascii="Book Antiqua" w:hAnsi="Book Antiqua"/>
          <w:color w:val="000000" w:themeColor="text1"/>
          <w:sz w:val="24"/>
          <w:szCs w:val="24"/>
        </w:rPr>
        <w:t xml:space="preserve">HCV </w:t>
      </w:r>
      <w:r w:rsidR="0046583F" w:rsidRPr="00220CF9">
        <w:rPr>
          <w:rFonts w:ascii="Book Antiqua" w:hAnsi="Book Antiqua"/>
          <w:color w:val="000000" w:themeColor="text1"/>
          <w:sz w:val="24"/>
          <w:szCs w:val="24"/>
        </w:rPr>
        <w:t xml:space="preserve">RNA </w:t>
      </w:r>
      <w:r w:rsidR="00DF7C19" w:rsidRPr="00220CF9">
        <w:rPr>
          <w:rFonts w:ascii="Book Antiqua" w:hAnsi="Book Antiqua"/>
          <w:color w:val="000000" w:themeColor="text1"/>
          <w:sz w:val="24"/>
          <w:szCs w:val="24"/>
        </w:rPr>
        <w:t>genome</w:t>
      </w:r>
      <w:r w:rsidR="00E479B1" w:rsidRPr="00220CF9">
        <w:rPr>
          <w:rFonts w:ascii="Book Antiqua" w:hAnsi="Book Antiqua"/>
          <w:color w:val="000000" w:themeColor="text1"/>
          <w:sz w:val="24"/>
          <w:szCs w:val="24"/>
        </w:rPr>
        <w:t xml:space="preserve"> at baseline reduce the efficacy of some DAA combination regimens</w:t>
      </w:r>
      <w:r w:rsidR="00E479B1" w:rsidRPr="00220CF9">
        <w:rPr>
          <w:rFonts w:ascii="Book Antiqua" w:hAnsi="Book Antiqua"/>
          <w:color w:val="000000" w:themeColor="text1"/>
          <w:sz w:val="24"/>
          <w:szCs w:val="24"/>
          <w:vertAlign w:val="superscript"/>
        </w:rPr>
        <w:t>[11</w:t>
      </w:r>
      <w:r w:rsidR="000111D9" w:rsidRPr="00220CF9">
        <w:rPr>
          <w:rFonts w:ascii="Book Antiqua" w:hAnsi="Book Antiqua"/>
          <w:color w:val="000000" w:themeColor="text1"/>
          <w:sz w:val="24"/>
          <w:szCs w:val="24"/>
          <w:vertAlign w:val="superscript"/>
        </w:rPr>
        <w:t>-13</w:t>
      </w:r>
      <w:r w:rsidR="00E479B1" w:rsidRPr="00220CF9">
        <w:rPr>
          <w:rFonts w:ascii="Book Antiqua" w:hAnsi="Book Antiqua"/>
          <w:color w:val="000000" w:themeColor="text1"/>
          <w:sz w:val="24"/>
          <w:szCs w:val="24"/>
          <w:vertAlign w:val="superscript"/>
        </w:rPr>
        <w:t>]</w:t>
      </w:r>
      <w:r w:rsidR="00E479B1" w:rsidRPr="00220CF9">
        <w:rPr>
          <w:rFonts w:ascii="Book Antiqua" w:hAnsi="Book Antiqua"/>
          <w:color w:val="000000" w:themeColor="text1"/>
          <w:sz w:val="24"/>
          <w:szCs w:val="24"/>
        </w:rPr>
        <w:t>. It is well known</w:t>
      </w:r>
      <w:r w:rsidR="00326D1C" w:rsidRPr="00220CF9">
        <w:rPr>
          <w:rFonts w:ascii="Book Antiqua" w:hAnsi="Book Antiqua"/>
          <w:color w:val="000000" w:themeColor="text1"/>
          <w:sz w:val="24"/>
          <w:szCs w:val="24"/>
        </w:rPr>
        <w:t xml:space="preserve"> that RASs in HCV genomes with treatment failure have significantly</w:t>
      </w:r>
      <w:r w:rsidR="00E479B1" w:rsidRPr="00220CF9">
        <w:rPr>
          <w:rFonts w:ascii="Book Antiqua" w:hAnsi="Book Antiqua"/>
          <w:color w:val="000000" w:themeColor="text1"/>
          <w:sz w:val="24"/>
          <w:szCs w:val="24"/>
        </w:rPr>
        <w:t xml:space="preserve"> negative effects on the </w:t>
      </w:r>
      <w:r w:rsidR="00E479B1" w:rsidRPr="00220CF9">
        <w:rPr>
          <w:rFonts w:ascii="Book Antiqua" w:hAnsi="Book Antiqua"/>
          <w:color w:val="000000" w:themeColor="text1"/>
          <w:sz w:val="24"/>
          <w:szCs w:val="24"/>
        </w:rPr>
        <w:lastRenderedPageBreak/>
        <w:t>efficacy of retreatment with DAAs</w:t>
      </w:r>
      <w:r w:rsidR="000111D9" w:rsidRPr="00220CF9">
        <w:rPr>
          <w:rFonts w:ascii="Book Antiqua" w:hAnsi="Book Antiqua"/>
          <w:color w:val="000000" w:themeColor="text1"/>
          <w:sz w:val="24"/>
          <w:szCs w:val="24"/>
          <w:vertAlign w:val="superscript"/>
        </w:rPr>
        <w:t>[14-16</w:t>
      </w:r>
      <w:r w:rsidR="00E479B1" w:rsidRPr="00220CF9">
        <w:rPr>
          <w:rFonts w:ascii="Book Antiqua" w:hAnsi="Book Antiqua"/>
          <w:color w:val="000000" w:themeColor="text1"/>
          <w:sz w:val="24"/>
          <w:szCs w:val="24"/>
          <w:vertAlign w:val="superscript"/>
        </w:rPr>
        <w:t>]</w:t>
      </w:r>
      <w:r w:rsidR="00E479B1" w:rsidRPr="00220CF9">
        <w:rPr>
          <w:rFonts w:ascii="Book Antiqua" w:hAnsi="Book Antiqua"/>
          <w:color w:val="000000" w:themeColor="text1"/>
          <w:sz w:val="24"/>
          <w:szCs w:val="24"/>
        </w:rPr>
        <w:t>.</w:t>
      </w:r>
      <w:r w:rsidR="00326D1C" w:rsidRPr="00220CF9">
        <w:rPr>
          <w:rFonts w:ascii="Book Antiqua" w:hAnsi="Book Antiqua"/>
          <w:color w:val="000000" w:themeColor="text1"/>
          <w:sz w:val="24"/>
          <w:szCs w:val="24"/>
        </w:rPr>
        <w:t xml:space="preserve"> </w:t>
      </w:r>
      <w:r w:rsidR="009065DC" w:rsidRPr="00220CF9">
        <w:rPr>
          <w:rFonts w:ascii="Book Antiqua" w:hAnsi="Book Antiqua"/>
          <w:color w:val="000000" w:themeColor="text1"/>
          <w:sz w:val="24"/>
          <w:szCs w:val="24"/>
        </w:rPr>
        <w:t>Ultra-deep sequencing has been used for the research purpose, but direct-sequencing method is applicable for the screening detection of RASs in clinical daily practice.</w:t>
      </w:r>
      <w:r w:rsidR="008C3906" w:rsidRPr="00220CF9">
        <w:rPr>
          <w:rFonts w:ascii="Book Antiqua" w:hAnsi="Book Antiqua"/>
          <w:color w:val="000000" w:themeColor="text1"/>
          <w:sz w:val="24"/>
          <w:szCs w:val="24"/>
        </w:rPr>
        <w:t xml:space="preserve"> </w:t>
      </w:r>
      <w:r w:rsidR="00326D1C" w:rsidRPr="00220CF9">
        <w:rPr>
          <w:rFonts w:ascii="Book Antiqua" w:hAnsi="Book Antiqua"/>
          <w:color w:val="000000" w:themeColor="text1"/>
          <w:sz w:val="24"/>
          <w:szCs w:val="24"/>
        </w:rPr>
        <w:t>When using</w:t>
      </w:r>
      <w:r w:rsidR="00EA1367" w:rsidRPr="00220CF9">
        <w:rPr>
          <w:rFonts w:ascii="Book Antiqua" w:hAnsi="Book Antiqua"/>
          <w:color w:val="000000" w:themeColor="text1"/>
          <w:sz w:val="24"/>
          <w:szCs w:val="24"/>
        </w:rPr>
        <w:t xml:space="preserve"> DAA combination</w:t>
      </w:r>
      <w:r w:rsidR="00326D1C" w:rsidRPr="00220CF9">
        <w:rPr>
          <w:rFonts w:ascii="Book Antiqua" w:hAnsi="Book Antiqua"/>
          <w:color w:val="000000" w:themeColor="text1"/>
          <w:sz w:val="24"/>
          <w:szCs w:val="24"/>
        </w:rPr>
        <w:t>s</w:t>
      </w:r>
      <w:r w:rsidR="00EA1367" w:rsidRPr="00220CF9">
        <w:rPr>
          <w:rFonts w:ascii="Book Antiqua" w:hAnsi="Book Antiqua"/>
          <w:color w:val="000000" w:themeColor="text1"/>
          <w:sz w:val="24"/>
          <w:szCs w:val="24"/>
        </w:rPr>
        <w:t xml:space="preserve">, attention should be paid to </w:t>
      </w:r>
      <w:r w:rsidR="00326D1C" w:rsidRPr="00220CF9">
        <w:rPr>
          <w:rFonts w:ascii="Book Antiqua" w:hAnsi="Book Antiqua"/>
          <w:color w:val="000000" w:themeColor="text1"/>
          <w:kern w:val="0"/>
          <w:sz w:val="24"/>
          <w:szCs w:val="24"/>
        </w:rPr>
        <w:t>the RASs and the</w:t>
      </w:r>
      <w:r w:rsidR="00EA1367" w:rsidRPr="00220CF9">
        <w:rPr>
          <w:rFonts w:ascii="Book Antiqua" w:hAnsi="Book Antiqua"/>
          <w:color w:val="000000" w:themeColor="text1"/>
          <w:sz w:val="24"/>
          <w:szCs w:val="24"/>
        </w:rPr>
        <w:t xml:space="preserve"> drug-drug interaction</w:t>
      </w:r>
      <w:r w:rsidR="00326D1C" w:rsidRPr="00220CF9">
        <w:rPr>
          <w:rFonts w:ascii="Book Antiqua" w:hAnsi="Book Antiqua"/>
          <w:color w:val="000000" w:themeColor="text1"/>
          <w:sz w:val="24"/>
          <w:szCs w:val="24"/>
        </w:rPr>
        <w:t>s</w:t>
      </w:r>
      <w:r w:rsidR="00C1245B" w:rsidRPr="00220CF9">
        <w:rPr>
          <w:rFonts w:ascii="Book Antiqua" w:hAnsi="Book Antiqua"/>
          <w:color w:val="000000" w:themeColor="text1"/>
          <w:sz w:val="24"/>
          <w:szCs w:val="24"/>
        </w:rPr>
        <w:t>.</w:t>
      </w:r>
    </w:p>
    <w:p w:rsidR="00272A49" w:rsidRPr="00220CF9" w:rsidRDefault="00272A49" w:rsidP="00D83A98">
      <w:pPr>
        <w:spacing w:line="480" w:lineRule="auto"/>
        <w:ind w:firstLine="840"/>
        <w:rPr>
          <w:rFonts w:ascii="Book Antiqua" w:hAnsi="Book Antiqua"/>
          <w:color w:val="000000" w:themeColor="text1"/>
          <w:sz w:val="24"/>
          <w:szCs w:val="24"/>
        </w:rPr>
      </w:pPr>
      <w:r w:rsidRPr="00220CF9">
        <w:rPr>
          <w:rFonts w:ascii="Book Antiqua" w:hAnsi="Book Antiqua"/>
          <w:color w:val="000000" w:themeColor="text1"/>
          <w:sz w:val="24"/>
          <w:szCs w:val="24"/>
        </w:rPr>
        <w:t xml:space="preserve">Naturally occurring HCV variants depend on different geographic areas and they have some impacts on the context of current HCV therapy. </w:t>
      </w:r>
      <w:r w:rsidR="00282E10" w:rsidRPr="00220CF9">
        <w:rPr>
          <w:rFonts w:ascii="Book Antiqua" w:hAnsi="Book Antiqua"/>
          <w:color w:val="000000" w:themeColor="text1"/>
          <w:sz w:val="24"/>
          <w:szCs w:val="24"/>
        </w:rPr>
        <w:t>Because of the high-prevalent infection of HCV GT1b</w:t>
      </w:r>
      <w:r w:rsidR="00844FA6" w:rsidRPr="00220CF9">
        <w:rPr>
          <w:rFonts w:ascii="Book Antiqua" w:hAnsi="Book Antiqua"/>
          <w:color w:val="000000" w:themeColor="text1"/>
          <w:sz w:val="24"/>
          <w:szCs w:val="24"/>
        </w:rPr>
        <w:t xml:space="preserve"> in Japanese c</w:t>
      </w:r>
      <w:r w:rsidR="00282E10" w:rsidRPr="00220CF9">
        <w:rPr>
          <w:rFonts w:ascii="Book Antiqua" w:hAnsi="Book Antiqua"/>
          <w:color w:val="000000" w:themeColor="text1"/>
          <w:sz w:val="24"/>
          <w:szCs w:val="24"/>
        </w:rPr>
        <w:t>hronic hepatitis C patients, retreatment regimens of HCV GT1b is intensively discussed.</w:t>
      </w:r>
    </w:p>
    <w:p w:rsidR="00C1245B" w:rsidRPr="00220CF9" w:rsidRDefault="00C1245B" w:rsidP="00F91461">
      <w:pPr>
        <w:spacing w:line="480" w:lineRule="auto"/>
        <w:rPr>
          <w:rFonts w:ascii="Book Antiqua" w:hAnsi="Book Antiqua"/>
          <w:color w:val="000000" w:themeColor="text1"/>
          <w:sz w:val="24"/>
          <w:szCs w:val="24"/>
        </w:rPr>
      </w:pPr>
    </w:p>
    <w:p w:rsidR="00F91461" w:rsidRPr="00220CF9" w:rsidRDefault="00F91461" w:rsidP="00F91461">
      <w:pPr>
        <w:spacing w:line="360" w:lineRule="auto"/>
        <w:rPr>
          <w:rFonts w:ascii="Book Antiqua" w:hAnsi="Book Antiqua"/>
          <w:b/>
          <w:color w:val="000000" w:themeColor="text1"/>
          <w:sz w:val="24"/>
          <w:szCs w:val="24"/>
        </w:rPr>
      </w:pPr>
      <w:r w:rsidRPr="00220CF9">
        <w:rPr>
          <w:rFonts w:ascii="Book Antiqua" w:hAnsi="Book Antiqua"/>
          <w:b/>
          <w:color w:val="000000" w:themeColor="text1"/>
          <w:sz w:val="24"/>
          <w:szCs w:val="24"/>
        </w:rPr>
        <w:t xml:space="preserve">RETREATMENT OF </w:t>
      </w:r>
      <w:r w:rsidR="00326D1C" w:rsidRPr="00220CF9">
        <w:rPr>
          <w:rFonts w:ascii="Book Antiqua" w:hAnsi="Book Antiqua"/>
          <w:b/>
          <w:color w:val="000000" w:themeColor="text1"/>
          <w:sz w:val="24"/>
          <w:szCs w:val="24"/>
        </w:rPr>
        <w:t xml:space="preserve">PATIENTS INFECTED WITH HCV GT1B WITH </w:t>
      </w:r>
      <w:r w:rsidR="00E86BA8" w:rsidRPr="00220CF9">
        <w:rPr>
          <w:rFonts w:ascii="Book Antiqua" w:hAnsi="Book Antiqua"/>
          <w:b/>
          <w:color w:val="000000" w:themeColor="text1"/>
          <w:kern w:val="0"/>
          <w:sz w:val="24"/>
          <w:szCs w:val="24"/>
        </w:rPr>
        <w:t>FAILURE</w:t>
      </w:r>
      <w:r w:rsidR="00E86BA8" w:rsidRPr="00220CF9">
        <w:rPr>
          <w:rFonts w:ascii="Book Antiqua" w:hAnsi="Book Antiqua"/>
          <w:b/>
          <w:color w:val="000000" w:themeColor="text1"/>
          <w:sz w:val="24"/>
          <w:szCs w:val="24"/>
        </w:rPr>
        <w:t xml:space="preserve"> OF </w:t>
      </w:r>
      <w:r w:rsidRPr="00220CF9">
        <w:rPr>
          <w:rFonts w:ascii="Book Antiqua" w:hAnsi="Book Antiqua"/>
          <w:b/>
          <w:color w:val="000000" w:themeColor="text1"/>
          <w:sz w:val="24"/>
          <w:szCs w:val="24"/>
        </w:rPr>
        <w:t>PEGINTERFERON AND RIBAVIRIN PLU</w:t>
      </w:r>
      <w:r w:rsidR="00326D1C" w:rsidRPr="00220CF9">
        <w:rPr>
          <w:rFonts w:ascii="Book Antiqua" w:hAnsi="Book Antiqua"/>
          <w:b/>
          <w:color w:val="000000" w:themeColor="text1"/>
          <w:sz w:val="24"/>
          <w:szCs w:val="24"/>
        </w:rPr>
        <w:t xml:space="preserve">S HCV NS3/4A </w:t>
      </w:r>
      <w:r w:rsidR="00E86BA8" w:rsidRPr="00220CF9">
        <w:rPr>
          <w:rFonts w:ascii="Book Antiqua" w:hAnsi="Book Antiqua"/>
          <w:b/>
          <w:color w:val="000000" w:themeColor="text1"/>
          <w:kern w:val="0"/>
          <w:sz w:val="24"/>
          <w:szCs w:val="24"/>
        </w:rPr>
        <w:t>INHIBITORS</w:t>
      </w:r>
    </w:p>
    <w:p w:rsidR="0066249C" w:rsidRPr="00220CF9" w:rsidRDefault="00326D1C" w:rsidP="0066249C">
      <w:pPr>
        <w:spacing w:line="480" w:lineRule="auto"/>
        <w:rPr>
          <w:rFonts w:ascii="Book Antiqua" w:hAnsi="Book Antiqua"/>
          <w:color w:val="000000" w:themeColor="text1"/>
          <w:sz w:val="24"/>
          <w:szCs w:val="24"/>
        </w:rPr>
      </w:pPr>
      <w:r w:rsidRPr="00220CF9">
        <w:rPr>
          <w:rFonts w:ascii="Book Antiqua" w:hAnsi="Book Antiqua"/>
          <w:color w:val="000000" w:themeColor="text1"/>
          <w:sz w:val="24"/>
          <w:szCs w:val="24"/>
        </w:rPr>
        <w:t>Using a c</w:t>
      </w:r>
      <w:r w:rsidR="00C1245B" w:rsidRPr="00220CF9">
        <w:rPr>
          <w:rFonts w:ascii="Book Antiqua" w:hAnsi="Book Antiqua"/>
          <w:color w:val="000000" w:themeColor="text1"/>
          <w:sz w:val="24"/>
          <w:szCs w:val="24"/>
        </w:rPr>
        <w:t xml:space="preserve">ombination </w:t>
      </w:r>
      <w:r w:rsidRPr="00220CF9">
        <w:rPr>
          <w:rFonts w:ascii="Book Antiqua" w:hAnsi="Book Antiqua"/>
          <w:color w:val="000000" w:themeColor="text1"/>
          <w:sz w:val="24"/>
          <w:szCs w:val="24"/>
        </w:rPr>
        <w:t>of</w:t>
      </w:r>
      <w:r w:rsidR="00C1245B" w:rsidRPr="00220CF9">
        <w:rPr>
          <w:rFonts w:ascii="Book Antiqua" w:hAnsi="Book Antiqua"/>
          <w:color w:val="000000" w:themeColor="text1"/>
          <w:sz w:val="24"/>
          <w:szCs w:val="24"/>
        </w:rPr>
        <w:t xml:space="preserve"> peginterferon and ribavirin plus these protease inhibitors </w:t>
      </w:r>
      <w:r w:rsidRPr="00220CF9">
        <w:rPr>
          <w:rFonts w:ascii="Book Antiqua" w:hAnsi="Book Antiqua"/>
          <w:color w:val="000000" w:themeColor="text1"/>
          <w:sz w:val="24"/>
          <w:szCs w:val="24"/>
        </w:rPr>
        <w:t>has le</w:t>
      </w:r>
      <w:r w:rsidR="00C1245B" w:rsidRPr="00220CF9">
        <w:rPr>
          <w:rFonts w:ascii="Book Antiqua" w:hAnsi="Book Antiqua"/>
          <w:color w:val="000000" w:themeColor="text1"/>
          <w:sz w:val="24"/>
          <w:szCs w:val="24"/>
        </w:rPr>
        <w:t xml:space="preserve">d to </w:t>
      </w:r>
      <w:r w:rsidR="003F64A9">
        <w:rPr>
          <w:rFonts w:ascii="Book Antiqua" w:eastAsia="SimSun" w:hAnsi="Book Antiqua" w:hint="eastAsia"/>
          <w:color w:val="000000" w:themeColor="text1"/>
          <w:sz w:val="24"/>
          <w:szCs w:val="24"/>
          <w:lang w:eastAsia="zh-CN"/>
        </w:rPr>
        <w:t xml:space="preserve">approxiately </w:t>
      </w:r>
      <w:r w:rsidR="00C1245B" w:rsidRPr="00220CF9">
        <w:rPr>
          <w:rFonts w:ascii="Book Antiqua" w:hAnsi="Book Antiqua"/>
          <w:color w:val="000000" w:themeColor="text1"/>
          <w:sz w:val="24"/>
          <w:szCs w:val="24"/>
        </w:rPr>
        <w:t>70% SVR rates in HCV GT1b-infected patients</w:t>
      </w:r>
      <w:r w:rsidR="002246CE" w:rsidRPr="00220CF9">
        <w:rPr>
          <w:rFonts w:ascii="Book Antiqua" w:hAnsi="Book Antiqua"/>
          <w:color w:val="000000" w:themeColor="text1"/>
          <w:sz w:val="24"/>
          <w:szCs w:val="24"/>
          <w:vertAlign w:val="superscript"/>
        </w:rPr>
        <w:t>[</w:t>
      </w:r>
      <w:r w:rsidR="00FF0CA9" w:rsidRPr="00220CF9">
        <w:rPr>
          <w:rFonts w:ascii="Book Antiqua" w:hAnsi="Book Antiqua"/>
          <w:color w:val="000000" w:themeColor="text1"/>
          <w:sz w:val="24"/>
          <w:szCs w:val="24"/>
          <w:vertAlign w:val="superscript"/>
        </w:rPr>
        <w:t>6,</w:t>
      </w:r>
      <w:r w:rsidR="002246CE" w:rsidRPr="00220CF9">
        <w:rPr>
          <w:rFonts w:ascii="Book Antiqua" w:hAnsi="Book Antiqua"/>
          <w:color w:val="000000" w:themeColor="text1"/>
          <w:sz w:val="24"/>
          <w:szCs w:val="24"/>
          <w:vertAlign w:val="superscript"/>
        </w:rPr>
        <w:t>17</w:t>
      </w:r>
      <w:r w:rsidR="00C54E07" w:rsidRPr="00220CF9">
        <w:rPr>
          <w:rFonts w:ascii="Book Antiqua" w:hAnsi="Book Antiqua"/>
          <w:color w:val="000000" w:themeColor="text1"/>
          <w:sz w:val="24"/>
          <w:szCs w:val="24"/>
          <w:vertAlign w:val="superscript"/>
        </w:rPr>
        <w:t>-22</w:t>
      </w:r>
      <w:r w:rsidR="002246CE" w:rsidRPr="00220CF9">
        <w:rPr>
          <w:rFonts w:ascii="Book Antiqua" w:hAnsi="Book Antiqua"/>
          <w:color w:val="000000" w:themeColor="text1"/>
          <w:sz w:val="24"/>
          <w:szCs w:val="24"/>
          <w:vertAlign w:val="superscript"/>
        </w:rPr>
        <w:t>]</w:t>
      </w:r>
      <w:r w:rsidR="00C1245B" w:rsidRPr="00220CF9">
        <w:rPr>
          <w:rFonts w:ascii="Book Antiqua" w:hAnsi="Book Antiqua"/>
          <w:color w:val="000000" w:themeColor="text1"/>
          <w:sz w:val="24"/>
          <w:szCs w:val="24"/>
        </w:rPr>
        <w:t>.</w:t>
      </w:r>
      <w:r w:rsidR="00BE38B2" w:rsidRPr="00220CF9">
        <w:rPr>
          <w:rFonts w:ascii="Book Antiqua" w:hAnsi="Book Antiqua"/>
          <w:color w:val="000000" w:themeColor="text1"/>
          <w:sz w:val="24"/>
          <w:szCs w:val="24"/>
        </w:rPr>
        <w:t xml:space="preserve"> </w:t>
      </w:r>
      <w:r w:rsidR="00F75F30" w:rsidRPr="00220CF9">
        <w:rPr>
          <w:rFonts w:ascii="Book Antiqua" w:hAnsi="Book Antiqua"/>
          <w:color w:val="000000" w:themeColor="text1"/>
          <w:sz w:val="24"/>
          <w:szCs w:val="24"/>
        </w:rPr>
        <w:t>Th</w:t>
      </w:r>
      <w:r w:rsidR="0055503E" w:rsidRPr="00220CF9">
        <w:rPr>
          <w:rFonts w:ascii="Book Antiqua" w:hAnsi="Book Antiqua"/>
          <w:color w:val="000000" w:themeColor="text1"/>
          <w:sz w:val="24"/>
          <w:szCs w:val="24"/>
        </w:rPr>
        <w:t>is combination has fewer</w:t>
      </w:r>
      <w:r w:rsidR="00F75F30" w:rsidRPr="00220CF9">
        <w:rPr>
          <w:rFonts w:ascii="Book Antiqua" w:hAnsi="Book Antiqua"/>
          <w:color w:val="000000" w:themeColor="text1"/>
          <w:sz w:val="24"/>
          <w:szCs w:val="24"/>
        </w:rPr>
        <w:t xml:space="preserve"> adverse events than </w:t>
      </w:r>
      <w:r w:rsidR="0055503E" w:rsidRPr="00220CF9">
        <w:rPr>
          <w:rFonts w:ascii="Book Antiqua" w:hAnsi="Book Antiqua"/>
          <w:color w:val="000000" w:themeColor="text1"/>
          <w:sz w:val="24"/>
          <w:szCs w:val="24"/>
        </w:rPr>
        <w:t xml:space="preserve">do regimens including </w:t>
      </w:r>
      <w:r w:rsidR="00F75F30" w:rsidRPr="00220CF9">
        <w:rPr>
          <w:rFonts w:ascii="Book Antiqua" w:hAnsi="Book Antiqua"/>
          <w:color w:val="000000" w:themeColor="text1"/>
          <w:sz w:val="24"/>
          <w:szCs w:val="24"/>
        </w:rPr>
        <w:t xml:space="preserve">telaprevir or boceprevir, and </w:t>
      </w:r>
      <w:r w:rsidR="0055503E" w:rsidRPr="00220CF9">
        <w:rPr>
          <w:rFonts w:ascii="Book Antiqua" w:hAnsi="Book Antiqua"/>
          <w:color w:val="000000" w:themeColor="text1"/>
          <w:sz w:val="24"/>
          <w:szCs w:val="24"/>
        </w:rPr>
        <w:t xml:space="preserve">it has </w:t>
      </w:r>
      <w:r w:rsidR="00F75F30" w:rsidRPr="00220CF9">
        <w:rPr>
          <w:rFonts w:ascii="Book Antiqua" w:hAnsi="Book Antiqua"/>
          <w:color w:val="000000" w:themeColor="text1"/>
          <w:sz w:val="24"/>
          <w:szCs w:val="24"/>
        </w:rPr>
        <w:t>similar SVR rates</w:t>
      </w:r>
      <w:r w:rsidR="00F75F30" w:rsidRPr="00220CF9">
        <w:rPr>
          <w:rFonts w:ascii="Book Antiqua" w:hAnsi="Book Antiqua"/>
          <w:color w:val="000000" w:themeColor="text1"/>
          <w:sz w:val="24"/>
          <w:szCs w:val="24"/>
          <w:vertAlign w:val="superscript"/>
        </w:rPr>
        <w:t>[</w:t>
      </w:r>
      <w:r w:rsidR="00FF0CA9" w:rsidRPr="00220CF9">
        <w:rPr>
          <w:rFonts w:ascii="Book Antiqua" w:hAnsi="Book Antiqua"/>
          <w:color w:val="000000" w:themeColor="text1"/>
          <w:sz w:val="24"/>
          <w:szCs w:val="24"/>
          <w:vertAlign w:val="superscript"/>
        </w:rPr>
        <w:t>6,</w:t>
      </w:r>
      <w:r w:rsidR="00F75F30" w:rsidRPr="00220CF9">
        <w:rPr>
          <w:rFonts w:ascii="Book Antiqua" w:hAnsi="Book Antiqua"/>
          <w:color w:val="000000" w:themeColor="text1"/>
          <w:sz w:val="24"/>
          <w:szCs w:val="24"/>
          <w:vertAlign w:val="superscript"/>
        </w:rPr>
        <w:t>22-25]</w:t>
      </w:r>
      <w:r w:rsidR="00F75F30" w:rsidRPr="00220CF9">
        <w:rPr>
          <w:rFonts w:ascii="Book Antiqua" w:hAnsi="Book Antiqua"/>
          <w:color w:val="000000" w:themeColor="text1"/>
          <w:sz w:val="24"/>
          <w:szCs w:val="24"/>
        </w:rPr>
        <w:t>.</w:t>
      </w:r>
    </w:p>
    <w:p w:rsidR="00B03A24" w:rsidRPr="00220CF9" w:rsidRDefault="00B03A24" w:rsidP="00B03A24">
      <w:pPr>
        <w:spacing w:line="480" w:lineRule="auto"/>
        <w:ind w:firstLine="840"/>
        <w:rPr>
          <w:rFonts w:ascii="Book Antiqua" w:hAnsi="Book Antiqua"/>
          <w:color w:val="000000" w:themeColor="text1"/>
          <w:sz w:val="24"/>
          <w:szCs w:val="24"/>
        </w:rPr>
      </w:pPr>
      <w:r w:rsidRPr="00220CF9">
        <w:rPr>
          <w:rFonts w:ascii="Book Antiqua" w:hAnsi="Book Antiqua"/>
          <w:color w:val="000000" w:themeColor="text1"/>
          <w:sz w:val="24"/>
          <w:szCs w:val="24"/>
        </w:rPr>
        <w:t>Among HCV GT1-infected Japanese patients, 98</w:t>
      </w:r>
      <w:r w:rsidR="00A543CB">
        <w:rPr>
          <w:rFonts w:ascii="Book Antiqua" w:eastAsia="SimSun" w:hAnsi="Book Antiqua" w:hint="eastAsia"/>
          <w:color w:val="000000" w:themeColor="text1"/>
          <w:sz w:val="24"/>
          <w:szCs w:val="24"/>
          <w:lang w:eastAsia="zh-CN"/>
        </w:rPr>
        <w:t>%</w:t>
      </w:r>
      <w:r w:rsidRPr="00220CF9">
        <w:rPr>
          <w:rFonts w:ascii="Book Antiqua" w:hAnsi="Book Antiqua"/>
          <w:color w:val="000000" w:themeColor="text1"/>
          <w:sz w:val="24"/>
          <w:szCs w:val="24"/>
        </w:rPr>
        <w:t xml:space="preserve">-99% of these patients </w:t>
      </w:r>
      <w:r w:rsidRPr="00220CF9">
        <w:rPr>
          <w:rFonts w:ascii="Book Antiqua" w:hAnsi="Book Antiqua"/>
          <w:color w:val="000000" w:themeColor="text1"/>
          <w:sz w:val="24"/>
          <w:szCs w:val="24"/>
        </w:rPr>
        <w:lastRenderedPageBreak/>
        <w:t>are infected with HCV GT1b</w:t>
      </w:r>
      <w:r w:rsidRPr="00220CF9">
        <w:rPr>
          <w:rFonts w:ascii="Book Antiqua" w:hAnsi="Book Antiqua"/>
          <w:color w:val="000000" w:themeColor="text1"/>
          <w:sz w:val="24"/>
          <w:szCs w:val="24"/>
          <w:vertAlign w:val="superscript"/>
        </w:rPr>
        <w:t>[26]</w:t>
      </w:r>
      <w:r w:rsidRPr="00220CF9">
        <w:rPr>
          <w:rFonts w:ascii="Book Antiqua" w:hAnsi="Book Antiqua"/>
          <w:color w:val="000000" w:themeColor="text1"/>
          <w:sz w:val="24"/>
          <w:szCs w:val="24"/>
        </w:rPr>
        <w:t>. D168N mutations were observed in only 1.1% (1/88) of HCV GT1b NS3/4A inhibitor-treatment-naïve patients</w:t>
      </w:r>
      <w:r w:rsidRPr="00220CF9">
        <w:rPr>
          <w:rFonts w:ascii="Book Antiqua" w:hAnsi="Book Antiqua"/>
          <w:color w:val="000000" w:themeColor="text1"/>
          <w:sz w:val="24"/>
          <w:szCs w:val="24"/>
          <w:vertAlign w:val="superscript"/>
        </w:rPr>
        <w:t>[27]</w:t>
      </w:r>
      <w:r w:rsidRPr="00220CF9">
        <w:rPr>
          <w:rFonts w:ascii="Book Antiqua" w:hAnsi="Book Antiqua"/>
          <w:color w:val="000000" w:themeColor="text1"/>
          <w:sz w:val="24"/>
          <w:szCs w:val="24"/>
        </w:rPr>
        <w:t>. In Japan, resistance mutations at the HCV NS3/4A regions are not always measured before treatment with a combination of peginterferon and ribavirin plus HCV NS3/4A protease inhibitors. During and after the use of HCV NS3/4A inhibitors, treatment failure occurs in HCV GT1a patients more often than it occurs in HCV GT1b patients. We have previously summarized the resistance mutations associated with resistance to HCV NS3/4A protease inhibitors</w:t>
      </w:r>
      <w:r w:rsidRPr="00220CF9">
        <w:rPr>
          <w:rFonts w:ascii="Book Antiqua" w:hAnsi="Book Antiqua"/>
          <w:color w:val="000000" w:themeColor="text1"/>
          <w:sz w:val="24"/>
          <w:szCs w:val="24"/>
          <w:vertAlign w:val="superscript"/>
        </w:rPr>
        <w:t>[27]</w:t>
      </w:r>
      <w:r w:rsidRPr="00220CF9">
        <w:rPr>
          <w:rFonts w:ascii="Book Antiqua" w:hAnsi="Book Antiqua"/>
          <w:color w:val="000000" w:themeColor="text1"/>
          <w:sz w:val="24"/>
          <w:szCs w:val="24"/>
        </w:rPr>
        <w:t>.</w:t>
      </w:r>
    </w:p>
    <w:p w:rsidR="00CA1580" w:rsidRPr="00220CF9" w:rsidRDefault="00B03A24" w:rsidP="00CA1580">
      <w:pPr>
        <w:spacing w:line="480" w:lineRule="auto"/>
        <w:ind w:firstLine="840"/>
        <w:rPr>
          <w:rFonts w:ascii="Book Antiqua" w:hAnsi="Book Antiqua"/>
          <w:color w:val="000000" w:themeColor="text1"/>
          <w:sz w:val="24"/>
          <w:szCs w:val="24"/>
        </w:rPr>
      </w:pPr>
      <w:r w:rsidRPr="00220CF9">
        <w:rPr>
          <w:rFonts w:ascii="Book Antiqua" w:hAnsi="Book Antiqua"/>
          <w:color w:val="000000" w:themeColor="text1"/>
          <w:sz w:val="24"/>
          <w:szCs w:val="24"/>
        </w:rPr>
        <w:t xml:space="preserve"> </w:t>
      </w:r>
      <w:r w:rsidR="00036185" w:rsidRPr="00220CF9">
        <w:rPr>
          <w:rFonts w:ascii="Book Antiqua" w:hAnsi="Book Antiqua"/>
          <w:color w:val="000000" w:themeColor="text1"/>
          <w:sz w:val="24"/>
          <w:szCs w:val="24"/>
        </w:rPr>
        <w:t xml:space="preserve">The </w:t>
      </w:r>
      <w:r w:rsidR="00DB7634" w:rsidRPr="00220CF9">
        <w:rPr>
          <w:rFonts w:ascii="Book Antiqua" w:hAnsi="Book Antiqua"/>
          <w:color w:val="000000" w:themeColor="text1"/>
          <w:sz w:val="24"/>
          <w:szCs w:val="24"/>
        </w:rPr>
        <w:t xml:space="preserve">American </w:t>
      </w:r>
      <w:r w:rsidR="00AC6B8B" w:rsidRPr="00220CF9">
        <w:rPr>
          <w:rFonts w:ascii="Book Antiqua" w:hAnsi="Book Antiqua"/>
          <w:color w:val="000000" w:themeColor="text1"/>
          <w:sz w:val="24"/>
          <w:szCs w:val="24"/>
        </w:rPr>
        <w:t>Association for the Study of Liver Diseases (AASLD)</w:t>
      </w:r>
      <w:r w:rsidR="00CA1580" w:rsidRPr="00220CF9">
        <w:rPr>
          <w:rFonts w:ascii="Book Antiqua" w:hAnsi="Book Antiqua"/>
          <w:color w:val="000000" w:themeColor="text1"/>
          <w:sz w:val="24"/>
          <w:szCs w:val="24"/>
          <w:vertAlign w:val="superscript"/>
        </w:rPr>
        <w:t>[28-31]</w:t>
      </w:r>
      <w:r w:rsidR="00AC6B8B" w:rsidRPr="00220CF9">
        <w:rPr>
          <w:rFonts w:ascii="Book Antiqua" w:hAnsi="Book Antiqua"/>
          <w:color w:val="000000" w:themeColor="text1"/>
          <w:sz w:val="24"/>
          <w:szCs w:val="24"/>
        </w:rPr>
        <w:t xml:space="preserve"> </w:t>
      </w:r>
      <w:r w:rsidR="00036185" w:rsidRPr="00220CF9">
        <w:rPr>
          <w:rFonts w:ascii="Book Antiqua" w:hAnsi="Book Antiqua"/>
          <w:color w:val="000000" w:themeColor="text1"/>
          <w:sz w:val="24"/>
          <w:szCs w:val="24"/>
        </w:rPr>
        <w:t>has</w:t>
      </w:r>
      <w:r w:rsidR="00AC6B8B" w:rsidRPr="00220CF9">
        <w:rPr>
          <w:rFonts w:ascii="Book Antiqua" w:hAnsi="Book Antiqua"/>
          <w:color w:val="000000" w:themeColor="text1"/>
          <w:sz w:val="24"/>
          <w:szCs w:val="24"/>
        </w:rPr>
        <w:t xml:space="preserve"> recommended </w:t>
      </w:r>
      <w:r w:rsidR="00036185" w:rsidRPr="00220CF9">
        <w:rPr>
          <w:rFonts w:ascii="Book Antiqua" w:hAnsi="Book Antiqua"/>
          <w:color w:val="000000" w:themeColor="text1"/>
          <w:sz w:val="24"/>
          <w:szCs w:val="24"/>
        </w:rPr>
        <w:t xml:space="preserve">a </w:t>
      </w:r>
      <w:r w:rsidR="00AC6B8B" w:rsidRPr="00220CF9">
        <w:rPr>
          <w:rFonts w:ascii="Book Antiqua" w:hAnsi="Book Antiqua"/>
          <w:color w:val="000000" w:themeColor="text1"/>
          <w:sz w:val="24"/>
          <w:szCs w:val="24"/>
        </w:rPr>
        <w:t>daily fixed-dose combination of sofosbuvir (400 mg)/HCV NS5A inhibitor velpatasvir (100 mg)</w:t>
      </w:r>
      <w:r w:rsidR="00E078BC">
        <w:rPr>
          <w:rFonts w:ascii="Book Antiqua" w:hAnsi="Book Antiqua"/>
          <w:color w:val="000000" w:themeColor="text1"/>
          <w:sz w:val="24"/>
          <w:szCs w:val="24"/>
        </w:rPr>
        <w:t xml:space="preserve"> for 12 wk</w:t>
      </w:r>
      <w:r w:rsidR="00AC6B8B" w:rsidRPr="00220CF9">
        <w:rPr>
          <w:rFonts w:ascii="Book Antiqua" w:hAnsi="Book Antiqua"/>
          <w:color w:val="000000" w:themeColor="text1"/>
          <w:sz w:val="24"/>
          <w:szCs w:val="24"/>
        </w:rPr>
        <w:t xml:space="preserve">, or </w:t>
      </w:r>
      <w:r w:rsidR="00036185" w:rsidRPr="00220CF9">
        <w:rPr>
          <w:rFonts w:ascii="Book Antiqua" w:hAnsi="Book Antiqua"/>
          <w:color w:val="000000" w:themeColor="text1"/>
          <w:sz w:val="24"/>
          <w:szCs w:val="24"/>
        </w:rPr>
        <w:t xml:space="preserve">a </w:t>
      </w:r>
      <w:r w:rsidR="00AC6B8B" w:rsidRPr="00220CF9">
        <w:rPr>
          <w:rFonts w:ascii="Book Antiqua" w:hAnsi="Book Antiqua"/>
          <w:color w:val="000000" w:themeColor="text1"/>
          <w:sz w:val="24"/>
          <w:szCs w:val="24"/>
        </w:rPr>
        <w:t>daily fixed-dose combination of HCV NS3/4A inhibitor glecaprevir (300 mg)/HCV NS5A inhibitor pibrentasvir (120 mg)</w:t>
      </w:r>
      <w:r w:rsidR="00E078BC">
        <w:rPr>
          <w:rFonts w:ascii="Book Antiqua" w:hAnsi="Book Antiqua"/>
          <w:color w:val="000000" w:themeColor="text1"/>
          <w:sz w:val="24"/>
          <w:szCs w:val="24"/>
        </w:rPr>
        <w:t xml:space="preserve"> for 12 wk</w:t>
      </w:r>
      <w:r w:rsidR="00FB6573" w:rsidRPr="00220CF9">
        <w:rPr>
          <w:rFonts w:ascii="Book Antiqua" w:hAnsi="Book Antiqua"/>
          <w:color w:val="000000" w:themeColor="text1"/>
          <w:sz w:val="24"/>
          <w:szCs w:val="24"/>
        </w:rPr>
        <w:t xml:space="preserve">, </w:t>
      </w:r>
      <w:r w:rsidR="0040422C" w:rsidRPr="00220CF9">
        <w:rPr>
          <w:rFonts w:ascii="Book Antiqua" w:hAnsi="Book Antiqua"/>
          <w:color w:val="000000" w:themeColor="text1"/>
          <w:sz w:val="24"/>
          <w:szCs w:val="24"/>
        </w:rPr>
        <w:t>for</w:t>
      </w:r>
      <w:r w:rsidR="00AC6B8B" w:rsidRPr="00220CF9">
        <w:rPr>
          <w:rFonts w:ascii="Book Antiqua" w:hAnsi="Book Antiqua"/>
          <w:color w:val="000000" w:themeColor="text1"/>
          <w:sz w:val="24"/>
          <w:szCs w:val="24"/>
        </w:rPr>
        <w:t xml:space="preserve"> </w:t>
      </w:r>
      <w:r w:rsidR="0040422C" w:rsidRPr="00220CF9">
        <w:rPr>
          <w:rFonts w:ascii="Book Antiqua" w:hAnsi="Book Antiqua"/>
          <w:color w:val="000000" w:themeColor="text1"/>
          <w:sz w:val="24"/>
          <w:szCs w:val="24"/>
        </w:rPr>
        <w:t xml:space="preserve">the retreatment against </w:t>
      </w:r>
      <w:r w:rsidR="00AC6B8B" w:rsidRPr="00220CF9">
        <w:rPr>
          <w:rFonts w:ascii="Book Antiqua" w:hAnsi="Book Antiqua"/>
          <w:color w:val="000000" w:themeColor="text1"/>
          <w:sz w:val="24"/>
          <w:szCs w:val="24"/>
        </w:rPr>
        <w:t xml:space="preserve">HCV NS3/4A protease inhibitor with peginterferon and ribavirin-experienced, HCV GT1-patients </w:t>
      </w:r>
      <w:r w:rsidR="00CA1580" w:rsidRPr="00220CF9">
        <w:rPr>
          <w:rFonts w:ascii="Book Antiqua" w:hAnsi="Book Antiqua"/>
          <w:color w:val="000000" w:themeColor="text1"/>
          <w:sz w:val="24"/>
          <w:szCs w:val="24"/>
        </w:rPr>
        <w:t xml:space="preserve">with or </w:t>
      </w:r>
      <w:r w:rsidR="00AC6B8B" w:rsidRPr="00220CF9">
        <w:rPr>
          <w:rFonts w:ascii="Book Antiqua" w:hAnsi="Book Antiqua"/>
          <w:color w:val="000000" w:themeColor="text1"/>
          <w:sz w:val="24"/>
          <w:szCs w:val="24"/>
        </w:rPr>
        <w:t>without cirrhosis.</w:t>
      </w:r>
      <w:r w:rsidR="00FB6573" w:rsidRPr="00220CF9">
        <w:rPr>
          <w:rFonts w:ascii="Book Antiqua" w:hAnsi="Book Antiqua"/>
          <w:color w:val="000000" w:themeColor="text1"/>
          <w:sz w:val="24"/>
          <w:szCs w:val="24"/>
        </w:rPr>
        <w:t xml:space="preserve"> </w:t>
      </w:r>
      <w:r w:rsidR="00CA1580" w:rsidRPr="00220CF9">
        <w:rPr>
          <w:rFonts w:ascii="Book Antiqua" w:hAnsi="Book Antiqua"/>
          <w:color w:val="000000" w:themeColor="text1"/>
          <w:sz w:val="24"/>
          <w:szCs w:val="24"/>
        </w:rPr>
        <w:t xml:space="preserve">They also recommended </w:t>
      </w:r>
      <w:r w:rsidR="00CA1580" w:rsidRPr="00220CF9">
        <w:rPr>
          <w:rFonts w:ascii="Book Antiqua" w:hAnsi="Book Antiqua"/>
          <w:color w:val="000000" w:themeColor="text1"/>
          <w:kern w:val="0"/>
          <w:sz w:val="24"/>
          <w:szCs w:val="24"/>
        </w:rPr>
        <w:t>a daily fixed-dose combination of HCV NS5A inhibitor elbasvir (50 mg)/HCV NS3/4A inhibitor</w:t>
      </w:r>
      <w:r w:rsidR="00E078BC">
        <w:rPr>
          <w:rFonts w:ascii="Book Antiqua" w:hAnsi="Book Antiqua"/>
          <w:color w:val="000000" w:themeColor="text1"/>
          <w:kern w:val="0"/>
          <w:sz w:val="24"/>
          <w:szCs w:val="24"/>
        </w:rPr>
        <w:t xml:space="preserve"> grazoprevir (100 mg) for 12 wk</w:t>
      </w:r>
      <w:r w:rsidR="00CA1580" w:rsidRPr="00220CF9">
        <w:rPr>
          <w:rFonts w:ascii="Book Antiqua" w:hAnsi="Book Antiqua"/>
          <w:color w:val="000000" w:themeColor="text1"/>
          <w:sz w:val="24"/>
          <w:szCs w:val="24"/>
        </w:rPr>
        <w:t xml:space="preserve"> or a daily fixed-dose combination of HCV NS5A inhibitor ledipasvir (90 mg)/HCV NS5B polymerase inhibitor </w:t>
      </w:r>
      <w:r w:rsidR="00CA1580" w:rsidRPr="00220CF9">
        <w:rPr>
          <w:rFonts w:ascii="Book Antiqua" w:hAnsi="Book Antiqua"/>
          <w:color w:val="000000" w:themeColor="text1"/>
          <w:sz w:val="24"/>
          <w:szCs w:val="24"/>
        </w:rPr>
        <w:lastRenderedPageBreak/>
        <w:t>sofosbuvir (400 mg)</w:t>
      </w:r>
      <w:r w:rsidR="00E078BC">
        <w:rPr>
          <w:rFonts w:ascii="Book Antiqua" w:hAnsi="Book Antiqua"/>
          <w:color w:val="000000" w:themeColor="text1"/>
          <w:sz w:val="24"/>
          <w:szCs w:val="24"/>
        </w:rPr>
        <w:t xml:space="preserve"> for 12 wk</w:t>
      </w:r>
      <w:r w:rsidR="00CA1580" w:rsidRPr="00220CF9">
        <w:rPr>
          <w:rFonts w:ascii="Book Antiqua" w:hAnsi="Book Antiqua"/>
          <w:color w:val="000000" w:themeColor="text1"/>
          <w:sz w:val="24"/>
          <w:szCs w:val="24"/>
        </w:rPr>
        <w:t xml:space="preserve"> in the retreatment for HCV GT1b patients with or without cirrhosis, respectively</w:t>
      </w:r>
      <w:r w:rsidR="00CA1580" w:rsidRPr="00220CF9">
        <w:rPr>
          <w:rFonts w:ascii="Book Antiqua" w:hAnsi="Book Antiqua"/>
          <w:color w:val="000000" w:themeColor="text1"/>
          <w:sz w:val="24"/>
          <w:szCs w:val="24"/>
          <w:vertAlign w:val="superscript"/>
        </w:rPr>
        <w:t>[28,29]</w:t>
      </w:r>
      <w:r w:rsidR="00CA1580" w:rsidRPr="00220CF9">
        <w:rPr>
          <w:rFonts w:ascii="Book Antiqua" w:hAnsi="Book Antiqua"/>
          <w:color w:val="000000" w:themeColor="text1"/>
          <w:sz w:val="24"/>
          <w:szCs w:val="24"/>
        </w:rPr>
        <w:t>.</w:t>
      </w:r>
    </w:p>
    <w:p w:rsidR="00BF4678" w:rsidRPr="00220CF9" w:rsidRDefault="000000EB" w:rsidP="00CA1580">
      <w:pPr>
        <w:spacing w:line="480" w:lineRule="auto"/>
        <w:ind w:firstLine="840"/>
        <w:rPr>
          <w:rFonts w:ascii="Book Antiqua" w:hAnsi="Book Antiqua"/>
          <w:color w:val="000000" w:themeColor="text1"/>
          <w:sz w:val="24"/>
          <w:szCs w:val="24"/>
        </w:rPr>
      </w:pPr>
      <w:r w:rsidRPr="00220CF9">
        <w:rPr>
          <w:rFonts w:ascii="Book Antiqua" w:hAnsi="Book Antiqua"/>
          <w:color w:val="000000" w:themeColor="text1"/>
          <w:sz w:val="24"/>
          <w:szCs w:val="24"/>
        </w:rPr>
        <w:t>For HCV GT1 and non-cirrhotic</w:t>
      </w:r>
      <w:r w:rsidR="00DC554E" w:rsidRPr="00220CF9">
        <w:rPr>
          <w:rFonts w:ascii="Book Antiqua" w:hAnsi="Book Antiqua"/>
          <w:color w:val="000000" w:themeColor="text1"/>
          <w:sz w:val="24"/>
          <w:szCs w:val="24"/>
        </w:rPr>
        <w:t>/cirrhotic</w:t>
      </w:r>
      <w:r w:rsidRPr="00220CF9">
        <w:rPr>
          <w:rFonts w:ascii="Book Antiqua" w:hAnsi="Book Antiqua"/>
          <w:color w:val="000000" w:themeColor="text1"/>
          <w:sz w:val="24"/>
          <w:szCs w:val="24"/>
        </w:rPr>
        <w:t xml:space="preserve"> patients who were previously treated with peginterferon and ribavirin plus HCV NS3/4A protease inhibitors, a daily fixed-dose combination of ledipasvir (90 mg)/sofosbuvir (400 mg) with or wit</w:t>
      </w:r>
      <w:r w:rsidR="00E078BC">
        <w:rPr>
          <w:rFonts w:ascii="Book Antiqua" w:hAnsi="Book Antiqua"/>
          <w:color w:val="000000" w:themeColor="text1"/>
          <w:sz w:val="24"/>
          <w:szCs w:val="24"/>
        </w:rPr>
        <w:t>hout ribavirin for 12 and 24 wk</w:t>
      </w:r>
      <w:r w:rsidRPr="00220CF9">
        <w:rPr>
          <w:rFonts w:ascii="Book Antiqua" w:hAnsi="Book Antiqua"/>
          <w:color w:val="000000" w:themeColor="text1"/>
          <w:sz w:val="24"/>
          <w:szCs w:val="24"/>
        </w:rPr>
        <w:t xml:space="preserve"> led to SVR rates of 96.2% (50/52)</w:t>
      </w:r>
      <w:r w:rsidR="00DC554E" w:rsidRPr="00220CF9">
        <w:rPr>
          <w:rFonts w:ascii="Book Antiqua" w:hAnsi="Book Antiqua"/>
          <w:color w:val="000000" w:themeColor="text1"/>
          <w:sz w:val="24"/>
          <w:szCs w:val="24"/>
        </w:rPr>
        <w:t>/85.7% (12/14)</w:t>
      </w:r>
      <w:r w:rsidRPr="00220CF9">
        <w:rPr>
          <w:rFonts w:ascii="Book Antiqua" w:hAnsi="Book Antiqua"/>
          <w:color w:val="000000" w:themeColor="text1"/>
          <w:sz w:val="24"/>
          <w:szCs w:val="24"/>
        </w:rPr>
        <w:t xml:space="preserve"> or 100% (51/51)</w:t>
      </w:r>
      <w:r w:rsidR="00DC554E" w:rsidRPr="00220CF9">
        <w:rPr>
          <w:rFonts w:ascii="Book Antiqua" w:hAnsi="Book Antiqua"/>
          <w:color w:val="000000" w:themeColor="text1"/>
          <w:sz w:val="24"/>
          <w:szCs w:val="24"/>
        </w:rPr>
        <w:t>/84.6% (11/13)</w:t>
      </w:r>
      <w:r w:rsidRPr="00220CF9">
        <w:rPr>
          <w:rFonts w:ascii="Book Antiqua" w:hAnsi="Book Antiqua"/>
          <w:color w:val="000000" w:themeColor="text1"/>
          <w:sz w:val="24"/>
          <w:szCs w:val="24"/>
        </w:rPr>
        <w:t xml:space="preserve"> and 97.2% (35/36)</w:t>
      </w:r>
      <w:r w:rsidR="00DC554E" w:rsidRPr="00220CF9">
        <w:rPr>
          <w:rFonts w:ascii="Book Antiqua" w:hAnsi="Book Antiqua"/>
          <w:color w:val="000000" w:themeColor="text1"/>
          <w:sz w:val="24"/>
          <w:szCs w:val="24"/>
        </w:rPr>
        <w:t>/100% (14/14)</w:t>
      </w:r>
      <w:r w:rsidRPr="00220CF9">
        <w:rPr>
          <w:rFonts w:ascii="Book Antiqua" w:hAnsi="Book Antiqua"/>
          <w:color w:val="000000" w:themeColor="text1"/>
          <w:sz w:val="24"/>
          <w:szCs w:val="24"/>
        </w:rPr>
        <w:t xml:space="preserve"> or 100% (38/38)</w:t>
      </w:r>
      <w:r w:rsidR="00DC554E" w:rsidRPr="00220CF9">
        <w:rPr>
          <w:rFonts w:ascii="Book Antiqua" w:hAnsi="Book Antiqua"/>
          <w:color w:val="000000" w:themeColor="text1"/>
          <w:sz w:val="24"/>
          <w:szCs w:val="24"/>
        </w:rPr>
        <w:t>/100% (13/13)</w:t>
      </w:r>
      <w:r w:rsidRPr="00220CF9">
        <w:rPr>
          <w:rFonts w:ascii="Book Antiqua" w:hAnsi="Book Antiqua"/>
          <w:color w:val="000000" w:themeColor="text1"/>
          <w:sz w:val="24"/>
          <w:szCs w:val="24"/>
        </w:rPr>
        <w:t>, respectively</w:t>
      </w:r>
      <w:r w:rsidRPr="00220CF9">
        <w:rPr>
          <w:rFonts w:ascii="Book Antiqua" w:hAnsi="Book Antiqua"/>
          <w:color w:val="000000" w:themeColor="text1"/>
          <w:sz w:val="24"/>
          <w:szCs w:val="24"/>
          <w:vertAlign w:val="superscript"/>
        </w:rPr>
        <w:t>[29]</w:t>
      </w:r>
      <w:r w:rsidRPr="00220CF9">
        <w:rPr>
          <w:rFonts w:ascii="Book Antiqua" w:hAnsi="Book Antiqua"/>
          <w:color w:val="000000" w:themeColor="text1"/>
          <w:sz w:val="24"/>
          <w:szCs w:val="24"/>
        </w:rPr>
        <w:t>. In the retreatment of previous users of peginterferon plus ribavirin with HCV NS3/4A inhibitors, ledipasvir plus sofosbuvir should be selected as a first-line treatment</w:t>
      </w:r>
      <w:r w:rsidRPr="00220CF9">
        <w:rPr>
          <w:rFonts w:ascii="Book Antiqua" w:hAnsi="Book Antiqua"/>
          <w:color w:val="000000" w:themeColor="text1"/>
          <w:sz w:val="24"/>
          <w:szCs w:val="24"/>
          <w:vertAlign w:val="superscript"/>
        </w:rPr>
        <w:t>[1,6, 28]</w:t>
      </w:r>
      <w:r w:rsidRPr="00220CF9">
        <w:rPr>
          <w:rFonts w:ascii="Book Antiqua" w:hAnsi="Book Antiqua"/>
          <w:color w:val="000000" w:themeColor="text1"/>
          <w:sz w:val="24"/>
          <w:szCs w:val="24"/>
        </w:rPr>
        <w:t>. We reported that 100% SVR rates</w:t>
      </w:r>
      <w:r w:rsidR="00E078BC">
        <w:rPr>
          <w:rFonts w:ascii="Book Antiqua" w:hAnsi="Book Antiqua"/>
          <w:color w:val="000000" w:themeColor="text1"/>
          <w:sz w:val="24"/>
          <w:szCs w:val="24"/>
        </w:rPr>
        <w:t xml:space="preserve"> (25/25) were achieved by 12 wk</w:t>
      </w:r>
      <w:r w:rsidRPr="00220CF9">
        <w:rPr>
          <w:rFonts w:ascii="Book Antiqua" w:hAnsi="Book Antiqua"/>
          <w:color w:val="000000" w:themeColor="text1"/>
          <w:sz w:val="24"/>
          <w:szCs w:val="24"/>
        </w:rPr>
        <w:t xml:space="preserve"> of combination treatment with ledipasvir plus sofosbuvir in patients previously treated with peginterferon plus ribavirin with various HCV NS3/4A inhibitors</w:t>
      </w:r>
      <w:r w:rsidRPr="00220CF9">
        <w:rPr>
          <w:rFonts w:ascii="Book Antiqua" w:hAnsi="Book Antiqua"/>
          <w:color w:val="000000" w:themeColor="text1"/>
          <w:sz w:val="24"/>
          <w:szCs w:val="24"/>
          <w:vertAlign w:val="superscript"/>
        </w:rPr>
        <w:t>[6]</w:t>
      </w:r>
      <w:r w:rsidRPr="00220CF9">
        <w:rPr>
          <w:rFonts w:ascii="Book Antiqua" w:hAnsi="Book Antiqua"/>
          <w:color w:val="000000" w:themeColor="text1"/>
          <w:sz w:val="24"/>
          <w:szCs w:val="24"/>
        </w:rPr>
        <w:t>.</w:t>
      </w:r>
      <w:r w:rsidR="00CA1580" w:rsidRPr="00220CF9">
        <w:rPr>
          <w:rFonts w:ascii="Book Antiqua" w:hAnsi="Book Antiqua"/>
          <w:color w:val="000000" w:themeColor="text1"/>
          <w:sz w:val="24"/>
          <w:szCs w:val="24"/>
        </w:rPr>
        <w:t xml:space="preserve"> It may be important to avoid drugs that target the regions targeted by initial drugs.</w:t>
      </w:r>
    </w:p>
    <w:p w:rsidR="00A37EDC" w:rsidRPr="00220CF9" w:rsidRDefault="000000EB" w:rsidP="000000EB">
      <w:pPr>
        <w:spacing w:line="480" w:lineRule="auto"/>
        <w:ind w:firstLine="840"/>
        <w:rPr>
          <w:rFonts w:ascii="Book Antiqua" w:hAnsi="Book Antiqua"/>
          <w:color w:val="000000" w:themeColor="text1"/>
          <w:sz w:val="24"/>
          <w:szCs w:val="24"/>
        </w:rPr>
      </w:pPr>
      <w:r w:rsidRPr="00220CF9">
        <w:rPr>
          <w:rFonts w:ascii="Book Antiqua" w:hAnsi="Book Antiqua"/>
          <w:color w:val="000000" w:themeColor="text1"/>
          <w:sz w:val="24"/>
          <w:szCs w:val="24"/>
        </w:rPr>
        <w:t>For HCV GT1 and cirrhotic patients who were previously treated with peginterferon and ribavirin plus DAAs, a daily fixed-dose combination of sofosbuvir (400 mg)</w:t>
      </w:r>
      <w:r w:rsidR="00E078BC">
        <w:rPr>
          <w:rFonts w:ascii="Book Antiqua" w:hAnsi="Book Antiqua"/>
          <w:color w:val="000000" w:themeColor="text1"/>
          <w:sz w:val="24"/>
          <w:szCs w:val="24"/>
        </w:rPr>
        <w:t>/velpatasvir (100 mg) for 12 wk</w:t>
      </w:r>
      <w:r w:rsidRPr="00220CF9">
        <w:rPr>
          <w:rFonts w:ascii="Book Antiqua" w:hAnsi="Book Antiqua"/>
          <w:color w:val="000000" w:themeColor="text1"/>
          <w:sz w:val="24"/>
          <w:szCs w:val="24"/>
        </w:rPr>
        <w:t xml:space="preserve"> led to 100% (48/48) SVR rates [100% (37/37) and 100% (11/11) in GT1a and GT1b patients, </w:t>
      </w:r>
      <w:r w:rsidRPr="00220CF9">
        <w:rPr>
          <w:rFonts w:ascii="Book Antiqua" w:hAnsi="Book Antiqua"/>
          <w:color w:val="000000" w:themeColor="text1"/>
          <w:sz w:val="24"/>
          <w:szCs w:val="24"/>
        </w:rPr>
        <w:lastRenderedPageBreak/>
        <w:t>respectively]</w:t>
      </w:r>
      <w:r w:rsidRPr="00220CF9">
        <w:rPr>
          <w:rFonts w:ascii="Book Antiqua" w:hAnsi="Book Antiqua"/>
          <w:color w:val="000000" w:themeColor="text1"/>
          <w:sz w:val="24"/>
          <w:szCs w:val="24"/>
          <w:vertAlign w:val="superscript"/>
        </w:rPr>
        <w:t>[30]</w:t>
      </w:r>
      <w:r w:rsidRPr="00220CF9">
        <w:rPr>
          <w:rFonts w:ascii="Book Antiqua" w:hAnsi="Book Antiqua"/>
          <w:color w:val="000000" w:themeColor="text1"/>
          <w:sz w:val="24"/>
          <w:szCs w:val="24"/>
        </w:rPr>
        <w:t>. Among those previously treated with HCV NS3/4A protease inhibitor-based therapy without HCV NS5A inhibitor exposure who were retreated with the daily fixed-dose combination of glecaprevir (300 mg)/pibrentasvir (120 mg) administered as three 100 mg/40 mg fixed-d</w:t>
      </w:r>
      <w:r w:rsidR="00E078BC">
        <w:rPr>
          <w:rFonts w:ascii="Book Antiqua" w:hAnsi="Book Antiqua"/>
          <w:color w:val="000000" w:themeColor="text1"/>
          <w:sz w:val="24"/>
          <w:szCs w:val="24"/>
        </w:rPr>
        <w:t>ose combination pills for 12 wk</w:t>
      </w:r>
      <w:r w:rsidRPr="00220CF9">
        <w:rPr>
          <w:rFonts w:ascii="Book Antiqua" w:hAnsi="Book Antiqua"/>
          <w:color w:val="000000" w:themeColor="text1"/>
          <w:sz w:val="24"/>
          <w:szCs w:val="24"/>
        </w:rPr>
        <w:t>, the SVR12 rates were 92% (23/25)</w:t>
      </w:r>
      <w:r w:rsidRPr="00220CF9">
        <w:rPr>
          <w:rFonts w:ascii="Book Antiqua" w:hAnsi="Book Antiqua"/>
          <w:color w:val="000000" w:themeColor="text1"/>
          <w:sz w:val="24"/>
          <w:szCs w:val="24"/>
          <w:vertAlign w:val="superscript"/>
        </w:rPr>
        <w:t>[31]</w:t>
      </w:r>
      <w:r w:rsidRPr="00220CF9">
        <w:rPr>
          <w:rFonts w:ascii="Book Antiqua" w:hAnsi="Book Antiqua"/>
          <w:color w:val="000000" w:themeColor="text1"/>
          <w:sz w:val="24"/>
          <w:szCs w:val="24"/>
        </w:rPr>
        <w:t>.</w:t>
      </w:r>
      <w:r w:rsidR="00A37EDC" w:rsidRPr="00220CF9">
        <w:rPr>
          <w:rFonts w:ascii="Book Antiqua" w:hAnsi="Book Antiqua"/>
          <w:color w:val="000000" w:themeColor="text1"/>
          <w:sz w:val="24"/>
          <w:szCs w:val="24"/>
        </w:rPr>
        <w:t xml:space="preserve"> </w:t>
      </w:r>
      <w:r w:rsidR="0012540B" w:rsidRPr="00220CF9">
        <w:rPr>
          <w:rFonts w:ascii="Book Antiqua" w:hAnsi="Book Antiqua"/>
          <w:color w:val="000000" w:themeColor="text1"/>
          <w:sz w:val="24"/>
          <w:szCs w:val="24"/>
        </w:rPr>
        <w:t>These next-generation combinations of DAAs are proposed to be potential solution for the HCV GT1b-infected patients with treatment failure, mainly on a basis of targeting distinctive regions.</w:t>
      </w:r>
    </w:p>
    <w:p w:rsidR="00E86BA8" w:rsidRPr="00220CF9" w:rsidRDefault="00E86BA8" w:rsidP="00E86BA8">
      <w:pPr>
        <w:spacing w:line="480" w:lineRule="auto"/>
        <w:ind w:firstLine="840"/>
        <w:rPr>
          <w:rFonts w:ascii="Book Antiqua" w:hAnsi="Book Antiqua"/>
          <w:color w:val="000000" w:themeColor="text1"/>
          <w:sz w:val="24"/>
          <w:szCs w:val="24"/>
        </w:rPr>
      </w:pPr>
      <w:r w:rsidRPr="00220CF9">
        <w:rPr>
          <w:rFonts w:ascii="Book Antiqua" w:hAnsi="Book Antiqua"/>
          <w:color w:val="000000" w:themeColor="text1"/>
          <w:sz w:val="24"/>
          <w:szCs w:val="24"/>
        </w:rPr>
        <w:t>The use of daclatasvir plus asunaprevir for HCV GT1b was ineffective for patients with pre-existent HCV NS5A RASs or simeprevir failure, regardless of fibrosis status</w:t>
      </w:r>
      <w:r w:rsidRPr="00220CF9">
        <w:rPr>
          <w:rFonts w:ascii="Book Antiqua" w:hAnsi="Book Antiqua"/>
          <w:color w:val="000000" w:themeColor="text1"/>
          <w:sz w:val="24"/>
          <w:szCs w:val="24"/>
          <w:vertAlign w:val="superscript"/>
        </w:rPr>
        <w:t>[32]</w:t>
      </w:r>
      <w:r w:rsidRPr="00220CF9">
        <w:rPr>
          <w:rFonts w:ascii="Book Antiqua" w:hAnsi="Book Antiqua"/>
          <w:color w:val="000000" w:themeColor="text1"/>
          <w:sz w:val="24"/>
          <w:szCs w:val="24"/>
        </w:rPr>
        <w:t>. If possible, retreatment without HCV NS3/4A inhibitors should be selected for HCV GT1b-infected patients with treatment failure of peginterferon and ribavirin plus HCV NS3/4A inhibitors</w:t>
      </w:r>
      <w:r w:rsidRPr="00220CF9">
        <w:rPr>
          <w:rFonts w:ascii="Book Antiqua" w:hAnsi="Book Antiqua"/>
          <w:color w:val="000000" w:themeColor="text1"/>
          <w:sz w:val="24"/>
          <w:szCs w:val="24"/>
          <w:vertAlign w:val="superscript"/>
        </w:rPr>
        <w:t>[6,33]</w:t>
      </w:r>
      <w:r w:rsidRPr="00220CF9">
        <w:rPr>
          <w:rFonts w:ascii="Book Antiqua" w:hAnsi="Book Antiqua"/>
          <w:color w:val="000000" w:themeColor="text1"/>
          <w:sz w:val="24"/>
          <w:szCs w:val="24"/>
        </w:rPr>
        <w:t>.</w:t>
      </w:r>
    </w:p>
    <w:p w:rsidR="00032899" w:rsidRPr="00220CF9" w:rsidRDefault="00032899" w:rsidP="006F744D">
      <w:pPr>
        <w:spacing w:line="480" w:lineRule="auto"/>
        <w:rPr>
          <w:rFonts w:ascii="Book Antiqua" w:hAnsi="Book Antiqua"/>
          <w:color w:val="000000" w:themeColor="text1"/>
          <w:sz w:val="24"/>
          <w:szCs w:val="24"/>
        </w:rPr>
      </w:pPr>
    </w:p>
    <w:p w:rsidR="00E86BA8" w:rsidRPr="00220CF9" w:rsidRDefault="00E86BA8" w:rsidP="006F744D">
      <w:pPr>
        <w:spacing w:line="480" w:lineRule="auto"/>
        <w:rPr>
          <w:rFonts w:ascii="Book Antiqua" w:hAnsi="Book Antiqua"/>
          <w:color w:val="000000" w:themeColor="text1"/>
          <w:sz w:val="24"/>
          <w:szCs w:val="24"/>
        </w:rPr>
      </w:pPr>
      <w:r w:rsidRPr="00220CF9">
        <w:rPr>
          <w:rFonts w:ascii="Book Antiqua" w:hAnsi="Book Antiqua"/>
          <w:b/>
          <w:color w:val="000000" w:themeColor="text1"/>
          <w:kern w:val="0"/>
          <w:sz w:val="24"/>
          <w:szCs w:val="24"/>
        </w:rPr>
        <w:t>RETREATMENT OF PATIENTS INFECTED WITH HCV GT1B WITH FAILURE OF HCV NS5A INHIBITORS</w:t>
      </w:r>
    </w:p>
    <w:p w:rsidR="002F2DA8" w:rsidRPr="00220CF9" w:rsidRDefault="002F2DA8" w:rsidP="002F2DA8">
      <w:pPr>
        <w:spacing w:line="480" w:lineRule="auto"/>
        <w:rPr>
          <w:rFonts w:ascii="Book Antiqua" w:hAnsi="Book Antiqua"/>
          <w:color w:val="000000" w:themeColor="text1"/>
          <w:sz w:val="24"/>
          <w:szCs w:val="24"/>
        </w:rPr>
      </w:pPr>
      <w:r w:rsidRPr="00220CF9">
        <w:rPr>
          <w:rFonts w:ascii="Book Antiqua" w:hAnsi="Book Antiqua"/>
          <w:color w:val="000000" w:themeColor="text1"/>
          <w:sz w:val="24"/>
          <w:szCs w:val="24"/>
        </w:rPr>
        <w:t xml:space="preserve">HCV NS5A inhibitors, such as daclatasvir and ledipasvir, in combination with other DAAs against other regions of HCV, with or without </w:t>
      </w:r>
      <w:r w:rsidRPr="00220CF9">
        <w:rPr>
          <w:rFonts w:ascii="Book Antiqua" w:hAnsi="Book Antiqua"/>
          <w:color w:val="000000" w:themeColor="text1"/>
          <w:sz w:val="24"/>
          <w:szCs w:val="24"/>
        </w:rPr>
        <w:lastRenderedPageBreak/>
        <w:t>peginterferon/ribavirin, could efficiently inhibit HCV replication, according to HCV GTs</w:t>
      </w:r>
      <w:r w:rsidRPr="00220CF9">
        <w:rPr>
          <w:rFonts w:ascii="Book Antiqua" w:hAnsi="Book Antiqua"/>
          <w:color w:val="000000" w:themeColor="text1"/>
          <w:sz w:val="24"/>
          <w:szCs w:val="24"/>
          <w:vertAlign w:val="superscript"/>
        </w:rPr>
        <w:t>[34]</w:t>
      </w:r>
      <w:r w:rsidRPr="00220CF9">
        <w:rPr>
          <w:rFonts w:ascii="Book Antiqua" w:hAnsi="Book Antiqua"/>
          <w:color w:val="000000" w:themeColor="text1"/>
          <w:sz w:val="24"/>
          <w:szCs w:val="24"/>
        </w:rPr>
        <w:t>. We have also reported the summary of resistance mutations associated with resistance to HCV NS5A inhibitors</w:t>
      </w:r>
      <w:r w:rsidRPr="00220CF9">
        <w:rPr>
          <w:rFonts w:ascii="Book Antiqua" w:hAnsi="Book Antiqua"/>
          <w:color w:val="000000" w:themeColor="text1"/>
          <w:sz w:val="24"/>
          <w:szCs w:val="24"/>
          <w:vertAlign w:val="superscript"/>
        </w:rPr>
        <w:t>[34]</w:t>
      </w:r>
      <w:r w:rsidRPr="00220CF9">
        <w:rPr>
          <w:rFonts w:ascii="Book Antiqua" w:hAnsi="Book Antiqua"/>
          <w:color w:val="000000" w:themeColor="text1"/>
          <w:sz w:val="24"/>
          <w:szCs w:val="24"/>
        </w:rPr>
        <w:t>.</w:t>
      </w:r>
    </w:p>
    <w:p w:rsidR="002F2DA8" w:rsidRPr="00220CF9" w:rsidRDefault="002F2DA8" w:rsidP="002F2DA8">
      <w:pPr>
        <w:spacing w:line="480" w:lineRule="auto"/>
        <w:ind w:firstLine="840"/>
        <w:rPr>
          <w:rFonts w:ascii="Book Antiqua" w:hAnsi="Book Antiqua"/>
          <w:color w:val="000000" w:themeColor="text1"/>
          <w:sz w:val="24"/>
          <w:szCs w:val="24"/>
        </w:rPr>
      </w:pPr>
      <w:r w:rsidRPr="00220CF9">
        <w:rPr>
          <w:rFonts w:ascii="Book Antiqua" w:hAnsi="Book Antiqua"/>
          <w:color w:val="000000" w:themeColor="text1"/>
          <w:kern w:val="0"/>
          <w:sz w:val="24"/>
          <w:szCs w:val="24"/>
        </w:rPr>
        <w:t>In Japan, daclatasvir plus HCV NS3/4A protease inhibitor asunaprevir was introduced for the treatment of chronic HCV GT1b infection in 2013</w:t>
      </w:r>
      <w:r w:rsidRPr="00220CF9">
        <w:rPr>
          <w:rFonts w:ascii="Book Antiqua" w:hAnsi="Book Antiqua"/>
          <w:color w:val="000000" w:themeColor="text1"/>
          <w:kern w:val="0"/>
          <w:sz w:val="24"/>
          <w:szCs w:val="24"/>
          <w:vertAlign w:val="superscript"/>
        </w:rPr>
        <w:t>[35]</w:t>
      </w:r>
      <w:r w:rsidRPr="00220CF9">
        <w:rPr>
          <w:rFonts w:ascii="Book Antiqua" w:hAnsi="Book Antiqua"/>
          <w:color w:val="000000" w:themeColor="text1"/>
          <w:kern w:val="0"/>
          <w:sz w:val="24"/>
          <w:szCs w:val="24"/>
        </w:rPr>
        <w:t>. Treatment with daclatasvir and asunaprevir after screening for HCV NS5A RASs is a relatively safe and effective treatment for HCV GT1b patients in Japan</w:t>
      </w:r>
      <w:r w:rsidRPr="00220CF9">
        <w:rPr>
          <w:rFonts w:ascii="Book Antiqua" w:hAnsi="Book Antiqua"/>
          <w:color w:val="000000" w:themeColor="text1"/>
          <w:kern w:val="0"/>
          <w:sz w:val="24"/>
          <w:szCs w:val="24"/>
          <w:vertAlign w:val="superscript"/>
        </w:rPr>
        <w:t>[36,37]</w:t>
      </w:r>
      <w:r w:rsidRPr="00220CF9">
        <w:rPr>
          <w:rFonts w:ascii="Book Antiqua" w:hAnsi="Book Antiqua"/>
          <w:color w:val="000000" w:themeColor="text1"/>
          <w:kern w:val="0"/>
          <w:sz w:val="24"/>
          <w:szCs w:val="24"/>
        </w:rPr>
        <w:t>. However, 85.3% (29/34) of the patients with virologic failure had RASs to both daclatasvir (predominantly HCV NS5A-L31M/V-Y93H) and asunaprevir (predominantly NS3-D168 variants) detected at failure</w:t>
      </w:r>
      <w:r w:rsidRPr="00220CF9">
        <w:rPr>
          <w:rFonts w:ascii="Book Antiqua" w:hAnsi="Book Antiqua"/>
          <w:color w:val="000000" w:themeColor="text1"/>
          <w:kern w:val="0"/>
          <w:sz w:val="24"/>
          <w:szCs w:val="24"/>
          <w:vertAlign w:val="superscript"/>
        </w:rPr>
        <w:t>[35]</w:t>
      </w:r>
      <w:r w:rsidRPr="00220CF9">
        <w:rPr>
          <w:rFonts w:ascii="Book Antiqua" w:hAnsi="Book Antiqua"/>
          <w:color w:val="000000" w:themeColor="text1"/>
          <w:kern w:val="0"/>
          <w:sz w:val="24"/>
          <w:szCs w:val="24"/>
        </w:rPr>
        <w:t>. Japanese clinicians used the combination regimens of ledipas</w:t>
      </w:r>
      <w:r w:rsidR="00942141">
        <w:rPr>
          <w:rFonts w:ascii="Book Antiqua" w:hAnsi="Book Antiqua"/>
          <w:color w:val="000000" w:themeColor="text1"/>
          <w:kern w:val="0"/>
          <w:sz w:val="24"/>
          <w:szCs w:val="24"/>
        </w:rPr>
        <w:t>vir plus sofosbuvir for 12 wk</w:t>
      </w:r>
      <w:r w:rsidRPr="00220CF9">
        <w:rPr>
          <w:rFonts w:ascii="Book Antiqua" w:hAnsi="Book Antiqua"/>
          <w:color w:val="000000" w:themeColor="text1"/>
          <w:kern w:val="0"/>
          <w:sz w:val="24"/>
          <w:szCs w:val="24"/>
        </w:rPr>
        <w:t xml:space="preserve"> in daclatasvir/asunaprevir-failure patients, resulting in only 64%-70%</w:t>
      </w:r>
      <w:r w:rsidR="004545C5" w:rsidRPr="00220CF9">
        <w:rPr>
          <w:rFonts w:ascii="Book Antiqua" w:hAnsi="Book Antiqua"/>
          <w:color w:val="000000" w:themeColor="text1"/>
          <w:kern w:val="0"/>
          <w:sz w:val="24"/>
          <w:szCs w:val="24"/>
        </w:rPr>
        <w:t xml:space="preserve"> SVR rates</w:t>
      </w:r>
      <w:r w:rsidRPr="00220CF9">
        <w:rPr>
          <w:rFonts w:ascii="Book Antiqua" w:hAnsi="Book Antiqua"/>
          <w:color w:val="000000" w:themeColor="text1"/>
          <w:kern w:val="0"/>
          <w:sz w:val="24"/>
          <w:szCs w:val="24"/>
          <w:vertAlign w:val="superscript"/>
        </w:rPr>
        <w:t>[14,15,38]</w:t>
      </w:r>
      <w:r w:rsidRPr="00220CF9">
        <w:rPr>
          <w:rFonts w:ascii="Book Antiqua" w:hAnsi="Book Antiqua"/>
          <w:color w:val="000000" w:themeColor="text1"/>
          <w:kern w:val="0"/>
          <w:sz w:val="24"/>
          <w:szCs w:val="24"/>
        </w:rPr>
        <w:t xml:space="preserve">. </w:t>
      </w:r>
    </w:p>
    <w:p w:rsidR="007B397E" w:rsidRPr="00220CF9" w:rsidRDefault="002F2DA8" w:rsidP="002F2DA8">
      <w:pPr>
        <w:spacing w:line="480" w:lineRule="auto"/>
        <w:ind w:firstLine="840"/>
        <w:rPr>
          <w:rFonts w:ascii="Book Antiqua" w:hAnsi="Book Antiqua"/>
          <w:color w:val="000000" w:themeColor="text1"/>
          <w:sz w:val="24"/>
          <w:szCs w:val="24"/>
        </w:rPr>
      </w:pPr>
      <w:r w:rsidRPr="00220CF9">
        <w:rPr>
          <w:rFonts w:ascii="Book Antiqua" w:hAnsi="Book Antiqua"/>
          <w:color w:val="000000" w:themeColor="text1"/>
          <w:sz w:val="24"/>
          <w:szCs w:val="24"/>
        </w:rPr>
        <w:t xml:space="preserve"> </w:t>
      </w:r>
      <w:r w:rsidR="00CC7ACC" w:rsidRPr="00220CF9">
        <w:rPr>
          <w:rFonts w:ascii="Book Antiqua" w:hAnsi="Book Antiqua"/>
          <w:color w:val="000000" w:themeColor="text1"/>
          <w:sz w:val="24"/>
          <w:szCs w:val="24"/>
        </w:rPr>
        <w:t>The prevalence of HCV NS5A RASs was significantly higher in daclatasvir/asunaprevir-failure patients at amino acid position</w:t>
      </w:r>
      <w:r w:rsidR="00607B96" w:rsidRPr="00220CF9">
        <w:rPr>
          <w:rFonts w:ascii="Book Antiqua" w:hAnsi="Book Antiqua"/>
          <w:color w:val="000000" w:themeColor="text1"/>
          <w:sz w:val="24"/>
          <w:szCs w:val="24"/>
        </w:rPr>
        <w:t>s 24, 28, 30, 31, 32 and 93</w:t>
      </w:r>
      <w:r w:rsidR="00CC7ACC" w:rsidRPr="00220CF9">
        <w:rPr>
          <w:rFonts w:ascii="Book Antiqua" w:hAnsi="Book Antiqua"/>
          <w:color w:val="000000" w:themeColor="text1"/>
          <w:sz w:val="24"/>
          <w:szCs w:val="24"/>
        </w:rPr>
        <w:t xml:space="preserve"> </w:t>
      </w:r>
      <w:r w:rsidR="00607B96" w:rsidRPr="00220CF9">
        <w:rPr>
          <w:rFonts w:ascii="Book Antiqua" w:hAnsi="Book Antiqua"/>
          <w:color w:val="000000" w:themeColor="text1"/>
          <w:sz w:val="24"/>
          <w:szCs w:val="24"/>
        </w:rPr>
        <w:t xml:space="preserve">than it was in </w:t>
      </w:r>
      <w:r w:rsidR="00CC7ACC" w:rsidRPr="00220CF9">
        <w:rPr>
          <w:rFonts w:ascii="Book Antiqua" w:hAnsi="Book Antiqua"/>
          <w:color w:val="000000" w:themeColor="text1"/>
          <w:sz w:val="24"/>
          <w:szCs w:val="24"/>
        </w:rPr>
        <w:t>da</w:t>
      </w:r>
      <w:r w:rsidR="00607B96" w:rsidRPr="00220CF9">
        <w:rPr>
          <w:rFonts w:ascii="Book Antiqua" w:hAnsi="Book Antiqua"/>
          <w:color w:val="000000" w:themeColor="text1"/>
          <w:sz w:val="24"/>
          <w:szCs w:val="24"/>
        </w:rPr>
        <w:t>clatasvir/asunaprevir-treatment naïve</w:t>
      </w:r>
      <w:r w:rsidR="00CC7ACC" w:rsidRPr="00220CF9">
        <w:rPr>
          <w:rFonts w:ascii="Book Antiqua" w:hAnsi="Book Antiqua"/>
          <w:color w:val="000000" w:themeColor="text1"/>
          <w:sz w:val="24"/>
          <w:szCs w:val="24"/>
        </w:rPr>
        <w:t xml:space="preserve"> patients</w:t>
      </w:r>
      <w:r w:rsidR="009A199B" w:rsidRPr="00220CF9">
        <w:rPr>
          <w:rFonts w:ascii="Book Antiqua" w:hAnsi="Book Antiqua"/>
          <w:color w:val="000000" w:themeColor="text1"/>
          <w:sz w:val="24"/>
          <w:szCs w:val="24"/>
          <w:vertAlign w:val="superscript"/>
        </w:rPr>
        <w:t>[38</w:t>
      </w:r>
      <w:r w:rsidR="00CC7ACC" w:rsidRPr="00220CF9">
        <w:rPr>
          <w:rFonts w:ascii="Book Antiqua" w:hAnsi="Book Antiqua"/>
          <w:color w:val="000000" w:themeColor="text1"/>
          <w:sz w:val="24"/>
          <w:szCs w:val="24"/>
          <w:vertAlign w:val="superscript"/>
        </w:rPr>
        <w:t>]</w:t>
      </w:r>
      <w:r w:rsidR="00CC7ACC" w:rsidRPr="00220CF9">
        <w:rPr>
          <w:rFonts w:ascii="Book Antiqua" w:hAnsi="Book Antiqua"/>
          <w:color w:val="000000" w:themeColor="text1"/>
          <w:sz w:val="24"/>
          <w:szCs w:val="24"/>
        </w:rPr>
        <w:t>. The presence of HCV NS5A RAS at position</w:t>
      </w:r>
      <w:r w:rsidR="00607B96" w:rsidRPr="00220CF9">
        <w:rPr>
          <w:rFonts w:ascii="Book Antiqua" w:hAnsi="Book Antiqua"/>
          <w:color w:val="000000" w:themeColor="text1"/>
          <w:sz w:val="24"/>
          <w:szCs w:val="24"/>
        </w:rPr>
        <w:t>s</w:t>
      </w:r>
      <w:r w:rsidR="00CC7ACC" w:rsidRPr="00220CF9">
        <w:rPr>
          <w:rFonts w:ascii="Book Antiqua" w:hAnsi="Book Antiqua"/>
          <w:color w:val="000000" w:themeColor="text1"/>
          <w:sz w:val="24"/>
          <w:szCs w:val="24"/>
        </w:rPr>
        <w:t xml:space="preserve"> 31, 32, 92, and 93 significantl</w:t>
      </w:r>
      <w:r w:rsidR="00960FE1" w:rsidRPr="00220CF9">
        <w:rPr>
          <w:rFonts w:ascii="Book Antiqua" w:hAnsi="Book Antiqua"/>
          <w:color w:val="000000" w:themeColor="text1"/>
          <w:sz w:val="24"/>
          <w:szCs w:val="24"/>
        </w:rPr>
        <w:t>y attenuated the efficacy of re</w:t>
      </w:r>
      <w:r w:rsidR="00607B96" w:rsidRPr="00220CF9">
        <w:rPr>
          <w:rFonts w:ascii="Book Antiqua" w:hAnsi="Book Antiqua"/>
          <w:color w:val="000000" w:themeColor="text1"/>
          <w:sz w:val="24"/>
          <w:szCs w:val="24"/>
        </w:rPr>
        <w:t>treatment with</w:t>
      </w:r>
      <w:r w:rsidR="00CC7ACC" w:rsidRPr="00220CF9">
        <w:rPr>
          <w:rFonts w:ascii="Book Antiqua" w:hAnsi="Book Antiqua"/>
          <w:color w:val="000000" w:themeColor="text1"/>
          <w:sz w:val="24"/>
          <w:szCs w:val="24"/>
        </w:rPr>
        <w:t xml:space="preserve"> ledipasvir plus sofosbuvir. Of </w:t>
      </w:r>
      <w:r w:rsidR="00CC7ACC" w:rsidRPr="00220CF9">
        <w:rPr>
          <w:rFonts w:ascii="Book Antiqua" w:hAnsi="Book Antiqua"/>
          <w:color w:val="000000" w:themeColor="text1"/>
          <w:sz w:val="24"/>
          <w:szCs w:val="24"/>
        </w:rPr>
        <w:lastRenderedPageBreak/>
        <w:t>importance, HCV NS5A RASs at these positions have a negative impact on the achievement of SVR.</w:t>
      </w:r>
    </w:p>
    <w:p w:rsidR="002927FD" w:rsidRPr="00220CF9" w:rsidRDefault="007B397E" w:rsidP="006B014E">
      <w:pPr>
        <w:spacing w:line="480" w:lineRule="auto"/>
        <w:ind w:firstLine="840"/>
        <w:rPr>
          <w:rFonts w:ascii="Book Antiqua" w:hAnsi="Book Antiqua"/>
          <w:color w:val="000000" w:themeColor="text1"/>
          <w:sz w:val="24"/>
          <w:szCs w:val="24"/>
        </w:rPr>
      </w:pPr>
      <w:r w:rsidRPr="00220CF9">
        <w:rPr>
          <w:rFonts w:ascii="Book Antiqua" w:hAnsi="Book Antiqua"/>
          <w:color w:val="000000" w:themeColor="text1"/>
          <w:sz w:val="24"/>
          <w:szCs w:val="24"/>
        </w:rPr>
        <w:t xml:space="preserve">Recently, more effective regimens for treatment-experienced patients with HCV NS5A inhibitors </w:t>
      </w:r>
      <w:r w:rsidR="00607B96" w:rsidRPr="00220CF9">
        <w:rPr>
          <w:rFonts w:ascii="Book Antiqua" w:hAnsi="Book Antiqua"/>
          <w:color w:val="000000" w:themeColor="text1"/>
          <w:sz w:val="24"/>
          <w:szCs w:val="24"/>
        </w:rPr>
        <w:t xml:space="preserve">have </w:t>
      </w:r>
      <w:r w:rsidRPr="00220CF9">
        <w:rPr>
          <w:rFonts w:ascii="Book Antiqua" w:hAnsi="Book Antiqua"/>
          <w:color w:val="000000" w:themeColor="text1"/>
          <w:sz w:val="24"/>
          <w:szCs w:val="24"/>
        </w:rPr>
        <w:t>appeared</w:t>
      </w:r>
      <w:r w:rsidRPr="00220CF9">
        <w:rPr>
          <w:rFonts w:ascii="Book Antiqua" w:hAnsi="Book Antiqua"/>
          <w:color w:val="000000" w:themeColor="text1"/>
          <w:sz w:val="24"/>
          <w:szCs w:val="24"/>
          <w:vertAlign w:val="superscript"/>
        </w:rPr>
        <w:t>[28]</w:t>
      </w:r>
      <w:r w:rsidR="00607B96" w:rsidRPr="00220CF9">
        <w:rPr>
          <w:rFonts w:ascii="Book Antiqua" w:hAnsi="Book Antiqua"/>
          <w:color w:val="000000" w:themeColor="text1"/>
          <w:sz w:val="24"/>
          <w:szCs w:val="24"/>
        </w:rPr>
        <w:t>,</w:t>
      </w:r>
      <w:r w:rsidRPr="00220CF9">
        <w:rPr>
          <w:rFonts w:ascii="Book Antiqua" w:hAnsi="Book Antiqua"/>
          <w:color w:val="000000" w:themeColor="text1"/>
          <w:sz w:val="24"/>
          <w:szCs w:val="24"/>
        </w:rPr>
        <w:t xml:space="preserve"> although it was recommended </w:t>
      </w:r>
      <w:r w:rsidR="00607B96" w:rsidRPr="00220CF9">
        <w:rPr>
          <w:rFonts w:ascii="Book Antiqua" w:hAnsi="Book Antiqua"/>
          <w:color w:val="000000" w:themeColor="text1"/>
          <w:sz w:val="24"/>
          <w:szCs w:val="24"/>
        </w:rPr>
        <w:t xml:space="preserve">that </w:t>
      </w:r>
      <w:r w:rsidRPr="00220CF9">
        <w:rPr>
          <w:rFonts w:ascii="Book Antiqua" w:hAnsi="Book Antiqua"/>
          <w:color w:val="000000" w:themeColor="text1"/>
          <w:sz w:val="24"/>
          <w:szCs w:val="24"/>
        </w:rPr>
        <w:t xml:space="preserve">treatment-experienced </w:t>
      </w:r>
      <w:r w:rsidR="00607B96" w:rsidRPr="00220CF9">
        <w:rPr>
          <w:rFonts w:ascii="Book Antiqua" w:hAnsi="Book Antiqua"/>
          <w:color w:val="000000" w:themeColor="text1"/>
          <w:sz w:val="24"/>
          <w:szCs w:val="24"/>
        </w:rPr>
        <w:t xml:space="preserve">patients </w:t>
      </w:r>
      <w:r w:rsidRPr="00220CF9">
        <w:rPr>
          <w:rFonts w:ascii="Book Antiqua" w:hAnsi="Book Antiqua"/>
          <w:color w:val="000000" w:themeColor="text1"/>
          <w:sz w:val="24"/>
          <w:szCs w:val="24"/>
        </w:rPr>
        <w:t xml:space="preserve">with HCV NS5A inhibitors should check </w:t>
      </w:r>
      <w:r w:rsidR="00607B96" w:rsidRPr="00220CF9">
        <w:rPr>
          <w:rFonts w:ascii="Book Antiqua" w:hAnsi="Book Antiqua"/>
          <w:color w:val="000000" w:themeColor="text1"/>
          <w:sz w:val="24"/>
          <w:szCs w:val="24"/>
        </w:rPr>
        <w:t xml:space="preserve">their </w:t>
      </w:r>
      <w:r w:rsidRPr="00220CF9">
        <w:rPr>
          <w:rFonts w:ascii="Book Antiqua" w:hAnsi="Book Antiqua"/>
          <w:color w:val="000000" w:themeColor="text1"/>
          <w:sz w:val="24"/>
          <w:szCs w:val="24"/>
        </w:rPr>
        <w:t>RASs or wait</w:t>
      </w:r>
      <w:r w:rsidR="00607B96" w:rsidRPr="00220CF9">
        <w:rPr>
          <w:rFonts w:ascii="Book Antiqua" w:hAnsi="Book Antiqua"/>
          <w:color w:val="000000" w:themeColor="text1"/>
          <w:sz w:val="24"/>
          <w:szCs w:val="24"/>
        </w:rPr>
        <w:t xml:space="preserve"> before further treatment</w:t>
      </w:r>
      <w:r w:rsidRPr="00220CF9">
        <w:rPr>
          <w:rFonts w:ascii="Book Antiqua" w:hAnsi="Book Antiqua"/>
          <w:color w:val="000000" w:themeColor="text1"/>
          <w:sz w:val="24"/>
          <w:szCs w:val="24"/>
          <w:vertAlign w:val="superscript"/>
        </w:rPr>
        <w:t>[1]</w:t>
      </w:r>
      <w:r w:rsidRPr="00220CF9">
        <w:rPr>
          <w:rFonts w:ascii="Book Antiqua" w:hAnsi="Book Antiqua"/>
          <w:color w:val="000000" w:themeColor="text1"/>
          <w:sz w:val="24"/>
          <w:szCs w:val="24"/>
        </w:rPr>
        <w:t xml:space="preserve">. </w:t>
      </w:r>
      <w:r w:rsidR="003F42F6" w:rsidRPr="00220CF9">
        <w:rPr>
          <w:rFonts w:ascii="Book Antiqua" w:hAnsi="Book Antiqua"/>
          <w:color w:val="000000" w:themeColor="text1"/>
          <w:sz w:val="24"/>
          <w:szCs w:val="24"/>
        </w:rPr>
        <w:t>AASLD guideline</w:t>
      </w:r>
      <w:r w:rsidR="00607B96" w:rsidRPr="00220CF9">
        <w:rPr>
          <w:rFonts w:ascii="Book Antiqua" w:hAnsi="Book Antiqua"/>
          <w:color w:val="000000" w:themeColor="text1"/>
          <w:sz w:val="24"/>
          <w:szCs w:val="24"/>
        </w:rPr>
        <w:t>s</w:t>
      </w:r>
      <w:r w:rsidR="003F42F6" w:rsidRPr="00220CF9">
        <w:rPr>
          <w:rFonts w:ascii="Book Antiqua" w:hAnsi="Book Antiqua"/>
          <w:color w:val="000000" w:themeColor="text1"/>
          <w:sz w:val="24"/>
          <w:szCs w:val="24"/>
        </w:rPr>
        <w:t xml:space="preserve"> recommend the d</w:t>
      </w:r>
      <w:r w:rsidRPr="00220CF9">
        <w:rPr>
          <w:rFonts w:ascii="Book Antiqua" w:hAnsi="Book Antiqua"/>
          <w:color w:val="000000" w:themeColor="text1"/>
          <w:sz w:val="24"/>
          <w:szCs w:val="24"/>
        </w:rPr>
        <w:t>aily fixed-dose combination of sofosbuvir (400 mg)/velpatasvir (100 mg)/</w:t>
      </w:r>
      <w:r w:rsidR="00C15954" w:rsidRPr="00220CF9">
        <w:rPr>
          <w:rFonts w:ascii="Book Antiqua" w:hAnsi="Book Antiqua"/>
          <w:color w:val="000000" w:themeColor="text1"/>
          <w:sz w:val="24"/>
          <w:szCs w:val="24"/>
        </w:rPr>
        <w:t xml:space="preserve">HCV NS3/4A protease inhibitor </w:t>
      </w:r>
      <w:r w:rsidRPr="00220CF9">
        <w:rPr>
          <w:rFonts w:ascii="Book Antiqua" w:hAnsi="Book Antiqua"/>
          <w:color w:val="000000" w:themeColor="text1"/>
          <w:sz w:val="24"/>
          <w:szCs w:val="24"/>
        </w:rPr>
        <w:t>voxilaprevir (100</w:t>
      </w:r>
      <w:r w:rsidR="00607B96" w:rsidRPr="00220CF9">
        <w:rPr>
          <w:rFonts w:ascii="Book Antiqua" w:hAnsi="Book Antiqua"/>
          <w:color w:val="000000" w:themeColor="text1"/>
          <w:sz w:val="24"/>
          <w:szCs w:val="24"/>
        </w:rPr>
        <w:t xml:space="preserve"> </w:t>
      </w:r>
      <w:r w:rsidRPr="00220CF9">
        <w:rPr>
          <w:rFonts w:ascii="Book Antiqua" w:hAnsi="Book Antiqua"/>
          <w:color w:val="000000" w:themeColor="text1"/>
          <w:sz w:val="24"/>
          <w:szCs w:val="24"/>
        </w:rPr>
        <w:t>mg) for GT1 patients</w:t>
      </w:r>
      <w:r w:rsidR="003F42F6" w:rsidRPr="00220CF9">
        <w:rPr>
          <w:rFonts w:ascii="Book Antiqua" w:hAnsi="Book Antiqua"/>
          <w:color w:val="000000" w:themeColor="text1"/>
          <w:sz w:val="24"/>
          <w:szCs w:val="24"/>
        </w:rPr>
        <w:t xml:space="preserve"> with or without cirrhosis</w:t>
      </w:r>
      <w:r w:rsidR="003F42F6" w:rsidRPr="00220CF9">
        <w:rPr>
          <w:rFonts w:ascii="Book Antiqua" w:hAnsi="Book Antiqua"/>
          <w:color w:val="000000" w:themeColor="text1"/>
          <w:sz w:val="24"/>
          <w:szCs w:val="24"/>
          <w:vertAlign w:val="superscript"/>
        </w:rPr>
        <w:t>[28]</w:t>
      </w:r>
      <w:r w:rsidR="00652868" w:rsidRPr="00220CF9">
        <w:rPr>
          <w:rFonts w:ascii="Book Antiqua" w:hAnsi="Book Antiqua"/>
          <w:color w:val="000000" w:themeColor="text1"/>
          <w:sz w:val="24"/>
          <w:szCs w:val="24"/>
        </w:rPr>
        <w:t xml:space="preserve"> (See also next sections</w:t>
      </w:r>
      <w:r w:rsidR="00652868" w:rsidRPr="00220CF9">
        <w:rPr>
          <w:rFonts w:ascii="Book Antiqua" w:hAnsi="Book Antiqua"/>
          <w:color w:val="000000" w:themeColor="text1"/>
          <w:sz w:val="24"/>
          <w:szCs w:val="24"/>
          <w:vertAlign w:val="superscript"/>
        </w:rPr>
        <w:t>[39]</w:t>
      </w:r>
      <w:r w:rsidR="00652868" w:rsidRPr="00220CF9">
        <w:rPr>
          <w:rFonts w:ascii="Book Antiqua" w:hAnsi="Book Antiqua"/>
          <w:color w:val="000000" w:themeColor="text1"/>
          <w:sz w:val="24"/>
          <w:szCs w:val="24"/>
        </w:rPr>
        <w:t>)</w:t>
      </w:r>
      <w:r w:rsidR="003F42F6" w:rsidRPr="00220CF9">
        <w:rPr>
          <w:rFonts w:ascii="Book Antiqua" w:hAnsi="Book Antiqua"/>
          <w:color w:val="000000" w:themeColor="text1"/>
          <w:sz w:val="24"/>
          <w:szCs w:val="24"/>
        </w:rPr>
        <w:t>.</w:t>
      </w:r>
    </w:p>
    <w:p w:rsidR="006F744D" w:rsidRPr="00220CF9" w:rsidRDefault="006F744D" w:rsidP="006F744D">
      <w:pPr>
        <w:spacing w:line="480" w:lineRule="auto"/>
        <w:rPr>
          <w:rFonts w:ascii="Book Antiqua" w:hAnsi="Book Antiqua"/>
          <w:color w:val="000000" w:themeColor="text1"/>
          <w:sz w:val="24"/>
          <w:szCs w:val="24"/>
        </w:rPr>
      </w:pPr>
    </w:p>
    <w:p w:rsidR="002D2A57" w:rsidRPr="00220CF9" w:rsidRDefault="00DB5AE3" w:rsidP="006F744D">
      <w:pPr>
        <w:spacing w:line="480" w:lineRule="auto"/>
        <w:rPr>
          <w:rFonts w:ascii="Book Antiqua" w:hAnsi="Book Antiqua"/>
          <w:b/>
          <w:color w:val="000000" w:themeColor="text1"/>
          <w:sz w:val="24"/>
          <w:szCs w:val="24"/>
        </w:rPr>
      </w:pPr>
      <w:r w:rsidRPr="00220CF9">
        <w:rPr>
          <w:rFonts w:ascii="Book Antiqua" w:hAnsi="Book Antiqua"/>
          <w:b/>
          <w:color w:val="000000" w:themeColor="text1"/>
          <w:sz w:val="24"/>
          <w:szCs w:val="24"/>
        </w:rPr>
        <w:t>HCV NS5B</w:t>
      </w:r>
      <w:r w:rsidR="002D2A57" w:rsidRPr="00220CF9">
        <w:rPr>
          <w:rFonts w:ascii="Book Antiqua" w:hAnsi="Book Antiqua"/>
          <w:b/>
          <w:color w:val="000000" w:themeColor="text1"/>
          <w:sz w:val="24"/>
          <w:szCs w:val="24"/>
        </w:rPr>
        <w:t xml:space="preserve"> </w:t>
      </w:r>
      <w:r w:rsidR="006763A1" w:rsidRPr="00220CF9">
        <w:rPr>
          <w:rFonts w:ascii="Book Antiqua" w:hAnsi="Book Antiqua"/>
          <w:b/>
          <w:color w:val="000000" w:themeColor="text1"/>
          <w:sz w:val="24"/>
          <w:szCs w:val="24"/>
        </w:rPr>
        <w:t xml:space="preserve">POLYMERASE </w:t>
      </w:r>
      <w:r w:rsidR="002D2A57" w:rsidRPr="00220CF9">
        <w:rPr>
          <w:rFonts w:ascii="Book Antiqua" w:hAnsi="Book Antiqua"/>
          <w:b/>
          <w:color w:val="000000" w:themeColor="text1"/>
          <w:sz w:val="24"/>
          <w:szCs w:val="24"/>
        </w:rPr>
        <w:t>INHIBITORS-</w:t>
      </w:r>
      <w:r w:rsidRPr="00220CF9">
        <w:rPr>
          <w:rFonts w:ascii="Book Antiqua" w:hAnsi="Book Antiqua"/>
          <w:b/>
          <w:color w:val="000000" w:themeColor="text1"/>
          <w:sz w:val="24"/>
          <w:szCs w:val="24"/>
        </w:rPr>
        <w:t>RASs IN</w:t>
      </w:r>
      <w:r w:rsidR="002D2A57" w:rsidRPr="00220CF9">
        <w:rPr>
          <w:rFonts w:ascii="Book Antiqua" w:hAnsi="Book Antiqua"/>
          <w:b/>
          <w:color w:val="000000" w:themeColor="text1"/>
          <w:sz w:val="24"/>
          <w:szCs w:val="24"/>
        </w:rPr>
        <w:t xml:space="preserve"> PATIENTS INFECTED WITH HCV GT1B</w:t>
      </w:r>
    </w:p>
    <w:p w:rsidR="002F6951" w:rsidRPr="00220CF9" w:rsidRDefault="002C438F" w:rsidP="006F744D">
      <w:pPr>
        <w:spacing w:line="480" w:lineRule="auto"/>
        <w:rPr>
          <w:rFonts w:ascii="Book Antiqua" w:hAnsi="Book Antiqua"/>
          <w:color w:val="000000" w:themeColor="text1"/>
          <w:sz w:val="24"/>
          <w:szCs w:val="24"/>
        </w:rPr>
      </w:pPr>
      <w:r w:rsidRPr="00220CF9">
        <w:rPr>
          <w:rFonts w:ascii="Book Antiqua" w:hAnsi="Book Antiqua"/>
          <w:color w:val="000000" w:themeColor="text1"/>
          <w:sz w:val="24"/>
          <w:szCs w:val="24"/>
        </w:rPr>
        <w:t>There are</w:t>
      </w:r>
      <w:r w:rsidR="006763A1" w:rsidRPr="00220CF9">
        <w:rPr>
          <w:rFonts w:ascii="Book Antiqua" w:hAnsi="Book Antiqua"/>
          <w:color w:val="000000" w:themeColor="text1"/>
          <w:sz w:val="24"/>
          <w:szCs w:val="24"/>
        </w:rPr>
        <w:t xml:space="preserve"> </w:t>
      </w:r>
      <w:r w:rsidR="005C54D4" w:rsidRPr="00220CF9">
        <w:rPr>
          <w:rFonts w:ascii="Book Antiqua" w:hAnsi="Book Antiqua"/>
          <w:color w:val="000000" w:themeColor="text1"/>
          <w:sz w:val="24"/>
          <w:szCs w:val="24"/>
        </w:rPr>
        <w:t xml:space="preserve">two types of HCV NS5B polymerase inhibitors: </w:t>
      </w:r>
      <w:r w:rsidR="006763A1" w:rsidRPr="00220CF9">
        <w:rPr>
          <w:rFonts w:ascii="Book Antiqua" w:hAnsi="Book Antiqua"/>
          <w:color w:val="000000" w:themeColor="text1"/>
          <w:sz w:val="24"/>
          <w:szCs w:val="24"/>
        </w:rPr>
        <w:t>nucleos(t)ide inhibitors and non</w:t>
      </w:r>
      <w:r w:rsidR="008964AC" w:rsidRPr="00220CF9">
        <w:rPr>
          <w:rFonts w:ascii="Book Antiqua" w:hAnsi="Book Antiqua"/>
          <w:color w:val="000000" w:themeColor="text1"/>
          <w:sz w:val="24"/>
          <w:szCs w:val="24"/>
        </w:rPr>
        <w:t>-</w:t>
      </w:r>
      <w:r w:rsidR="006763A1" w:rsidRPr="00220CF9">
        <w:rPr>
          <w:rFonts w:ascii="Book Antiqua" w:hAnsi="Book Antiqua"/>
          <w:color w:val="000000" w:themeColor="text1"/>
          <w:sz w:val="24"/>
          <w:szCs w:val="24"/>
        </w:rPr>
        <w:t>nucleoside inhibitors</w:t>
      </w:r>
      <w:r w:rsidRPr="00220CF9">
        <w:rPr>
          <w:rFonts w:ascii="Book Antiqua" w:hAnsi="Book Antiqua"/>
          <w:color w:val="000000" w:themeColor="text1"/>
          <w:sz w:val="24"/>
          <w:szCs w:val="24"/>
        </w:rPr>
        <w:t xml:space="preserve">. </w:t>
      </w:r>
      <w:r w:rsidR="002F6951" w:rsidRPr="00220CF9">
        <w:rPr>
          <w:rFonts w:ascii="Book Antiqua" w:hAnsi="Book Antiqua"/>
          <w:color w:val="000000" w:themeColor="text1"/>
          <w:sz w:val="24"/>
          <w:szCs w:val="24"/>
        </w:rPr>
        <w:t xml:space="preserve">Treatment regimens including sofosbuvir, </w:t>
      </w:r>
      <w:r w:rsidR="003C547C" w:rsidRPr="00220CF9">
        <w:rPr>
          <w:rFonts w:ascii="Book Antiqua" w:hAnsi="Book Antiqua"/>
          <w:color w:val="000000" w:themeColor="text1"/>
          <w:sz w:val="24"/>
          <w:szCs w:val="24"/>
        </w:rPr>
        <w:t>which is a</w:t>
      </w:r>
      <w:r w:rsidR="002F6951" w:rsidRPr="00220CF9">
        <w:rPr>
          <w:rFonts w:ascii="Book Antiqua" w:hAnsi="Book Antiqua"/>
          <w:color w:val="000000" w:themeColor="text1"/>
          <w:sz w:val="24"/>
          <w:szCs w:val="24"/>
        </w:rPr>
        <w:t xml:space="preserve"> nucleoside analogue, achieved higher SVR rates.</w:t>
      </w:r>
      <w:r w:rsidR="005C54D4" w:rsidRPr="00220CF9">
        <w:rPr>
          <w:rFonts w:ascii="Book Antiqua" w:hAnsi="Book Antiqua"/>
          <w:color w:val="000000" w:themeColor="text1"/>
          <w:sz w:val="24"/>
          <w:szCs w:val="24"/>
        </w:rPr>
        <w:t xml:space="preserve"> RASs </w:t>
      </w:r>
      <w:r w:rsidR="004866CA" w:rsidRPr="00220CF9">
        <w:rPr>
          <w:rFonts w:ascii="Book Antiqua" w:hAnsi="Book Antiqua"/>
          <w:color w:val="000000" w:themeColor="text1"/>
          <w:sz w:val="24"/>
          <w:szCs w:val="24"/>
        </w:rPr>
        <w:t>associated with the use of sofosbuvir</w:t>
      </w:r>
      <w:r w:rsidR="003C547C" w:rsidRPr="00220CF9">
        <w:rPr>
          <w:rFonts w:ascii="Book Antiqua" w:hAnsi="Book Antiqua"/>
          <w:color w:val="000000" w:themeColor="text1"/>
          <w:sz w:val="24"/>
          <w:szCs w:val="24"/>
        </w:rPr>
        <w:t xml:space="preserve"> </w:t>
      </w:r>
      <w:r w:rsidR="005C54D4" w:rsidRPr="00220CF9">
        <w:rPr>
          <w:rFonts w:ascii="Book Antiqua" w:hAnsi="Book Antiqua"/>
          <w:color w:val="000000" w:themeColor="text1"/>
          <w:sz w:val="24"/>
          <w:szCs w:val="24"/>
        </w:rPr>
        <w:t xml:space="preserve">are shown in </w:t>
      </w:r>
      <w:r w:rsidR="00716DA1" w:rsidRPr="00220CF9">
        <w:rPr>
          <w:rFonts w:ascii="Book Antiqua" w:hAnsi="Book Antiqua"/>
          <w:color w:val="000000" w:themeColor="text1"/>
          <w:sz w:val="24"/>
          <w:szCs w:val="24"/>
        </w:rPr>
        <w:t>Table 2</w:t>
      </w:r>
      <w:r w:rsidR="003C547C" w:rsidRPr="00220CF9">
        <w:rPr>
          <w:rFonts w:ascii="Book Antiqua" w:hAnsi="Book Antiqua"/>
          <w:color w:val="000000" w:themeColor="text1"/>
          <w:kern w:val="0"/>
          <w:sz w:val="24"/>
          <w:szCs w:val="24"/>
          <w:vertAlign w:val="superscript"/>
        </w:rPr>
        <w:t>[40-44]</w:t>
      </w:r>
      <w:r w:rsidR="004866CA" w:rsidRPr="00220CF9">
        <w:rPr>
          <w:rFonts w:ascii="Book Antiqua" w:hAnsi="Book Antiqua"/>
          <w:color w:val="000000" w:themeColor="text1"/>
          <w:sz w:val="24"/>
          <w:szCs w:val="24"/>
        </w:rPr>
        <w:t>.</w:t>
      </w:r>
      <w:r w:rsidR="00982272" w:rsidRPr="00220CF9">
        <w:rPr>
          <w:rFonts w:ascii="Book Antiqua" w:hAnsi="Book Antiqua"/>
          <w:color w:val="000000" w:themeColor="text1"/>
          <w:sz w:val="24"/>
          <w:szCs w:val="24"/>
        </w:rPr>
        <w:t xml:space="preserve"> Although RASs are distributed in all domains of </w:t>
      </w:r>
      <w:r w:rsidR="003C547C" w:rsidRPr="00220CF9">
        <w:rPr>
          <w:rFonts w:ascii="Book Antiqua" w:hAnsi="Book Antiqua"/>
          <w:color w:val="000000" w:themeColor="text1"/>
          <w:sz w:val="24"/>
          <w:szCs w:val="24"/>
        </w:rPr>
        <w:t xml:space="preserve">the </w:t>
      </w:r>
      <w:r w:rsidR="00982272" w:rsidRPr="00220CF9">
        <w:rPr>
          <w:rFonts w:ascii="Book Antiqua" w:hAnsi="Book Antiqua"/>
          <w:color w:val="000000" w:themeColor="text1"/>
          <w:sz w:val="24"/>
          <w:szCs w:val="24"/>
        </w:rPr>
        <w:t>HCV NS5B polymerase</w:t>
      </w:r>
      <w:r w:rsidR="00192D53" w:rsidRPr="00220CF9">
        <w:rPr>
          <w:rFonts w:ascii="Book Antiqua" w:hAnsi="Book Antiqua"/>
          <w:color w:val="000000" w:themeColor="text1"/>
          <w:sz w:val="24"/>
          <w:szCs w:val="24"/>
        </w:rPr>
        <w:t xml:space="preserve"> structure</w:t>
      </w:r>
      <w:r w:rsidR="00AD7B94" w:rsidRPr="00220CF9">
        <w:rPr>
          <w:rFonts w:ascii="Book Antiqua" w:hAnsi="Book Antiqua"/>
          <w:color w:val="000000" w:themeColor="text1"/>
          <w:sz w:val="24"/>
          <w:szCs w:val="24"/>
          <w:vertAlign w:val="superscript"/>
        </w:rPr>
        <w:t>[45</w:t>
      </w:r>
      <w:r w:rsidR="00982272" w:rsidRPr="00220CF9">
        <w:rPr>
          <w:rFonts w:ascii="Book Antiqua" w:hAnsi="Book Antiqua"/>
          <w:color w:val="000000" w:themeColor="text1"/>
          <w:sz w:val="24"/>
          <w:szCs w:val="24"/>
          <w:vertAlign w:val="superscript"/>
        </w:rPr>
        <w:t>]</w:t>
      </w:r>
      <w:r w:rsidR="00982272" w:rsidRPr="00220CF9">
        <w:rPr>
          <w:rFonts w:ascii="Book Antiqua" w:hAnsi="Book Antiqua"/>
          <w:color w:val="000000" w:themeColor="text1"/>
          <w:sz w:val="24"/>
          <w:szCs w:val="24"/>
        </w:rPr>
        <w:t>,</w:t>
      </w:r>
      <w:r w:rsidR="00B5009E" w:rsidRPr="00220CF9">
        <w:rPr>
          <w:rFonts w:ascii="Book Antiqua" w:hAnsi="Book Antiqua"/>
          <w:color w:val="000000" w:themeColor="text1"/>
          <w:sz w:val="24"/>
          <w:szCs w:val="24"/>
        </w:rPr>
        <w:t xml:space="preserve"> </w:t>
      </w:r>
      <w:r w:rsidR="003C547C" w:rsidRPr="00220CF9">
        <w:rPr>
          <w:rFonts w:ascii="Book Antiqua" w:hAnsi="Book Antiqua"/>
          <w:color w:val="000000" w:themeColor="text1"/>
          <w:sz w:val="24"/>
          <w:szCs w:val="24"/>
        </w:rPr>
        <w:t xml:space="preserve">the </w:t>
      </w:r>
      <w:r w:rsidR="00B5009E" w:rsidRPr="00220CF9">
        <w:rPr>
          <w:rFonts w:ascii="Book Antiqua" w:hAnsi="Book Antiqua"/>
          <w:color w:val="000000" w:themeColor="text1"/>
          <w:sz w:val="24"/>
          <w:szCs w:val="24"/>
        </w:rPr>
        <w:t>S282</w:t>
      </w:r>
      <w:r w:rsidR="003C547C" w:rsidRPr="00220CF9">
        <w:rPr>
          <w:rFonts w:ascii="Book Antiqua" w:hAnsi="Book Antiqua"/>
          <w:color w:val="000000" w:themeColor="text1"/>
          <w:sz w:val="24"/>
          <w:szCs w:val="24"/>
        </w:rPr>
        <w:t xml:space="preserve"> is</w:t>
      </w:r>
      <w:r w:rsidR="00B5009E" w:rsidRPr="00220CF9">
        <w:rPr>
          <w:rFonts w:ascii="Book Antiqua" w:hAnsi="Book Antiqua"/>
          <w:color w:val="000000" w:themeColor="text1"/>
          <w:sz w:val="24"/>
          <w:szCs w:val="24"/>
        </w:rPr>
        <w:t xml:space="preserve"> located at the finge</w:t>
      </w:r>
      <w:r w:rsidR="003C547C" w:rsidRPr="00220CF9">
        <w:rPr>
          <w:rFonts w:ascii="Book Antiqua" w:hAnsi="Book Antiqua"/>
          <w:color w:val="000000" w:themeColor="text1"/>
          <w:sz w:val="24"/>
          <w:szCs w:val="24"/>
        </w:rPr>
        <w:t xml:space="preserve">rs domain near the palm domain, and the C316 and </w:t>
      </w:r>
      <w:r w:rsidR="003C547C" w:rsidRPr="00220CF9">
        <w:rPr>
          <w:rFonts w:ascii="Book Antiqua" w:hAnsi="Book Antiqua"/>
          <w:color w:val="000000" w:themeColor="text1"/>
          <w:sz w:val="24"/>
          <w:szCs w:val="24"/>
        </w:rPr>
        <w:lastRenderedPageBreak/>
        <w:t xml:space="preserve">V321 are both located at the </w:t>
      </w:r>
      <w:r w:rsidR="00B5009E" w:rsidRPr="00220CF9">
        <w:rPr>
          <w:rFonts w:ascii="Book Antiqua" w:hAnsi="Book Antiqua"/>
          <w:color w:val="000000" w:themeColor="text1"/>
          <w:sz w:val="24"/>
          <w:szCs w:val="24"/>
        </w:rPr>
        <w:t>palm doma</w:t>
      </w:r>
      <w:r w:rsidR="003C547C" w:rsidRPr="00220CF9">
        <w:rPr>
          <w:rFonts w:ascii="Book Antiqua" w:hAnsi="Book Antiqua"/>
          <w:color w:val="000000" w:themeColor="text1"/>
          <w:sz w:val="24"/>
          <w:szCs w:val="24"/>
        </w:rPr>
        <w:t>in</w:t>
      </w:r>
      <w:r w:rsidR="00AD7B94" w:rsidRPr="00220CF9">
        <w:rPr>
          <w:rFonts w:ascii="Book Antiqua" w:hAnsi="Book Antiqua"/>
          <w:color w:val="000000" w:themeColor="text1"/>
          <w:sz w:val="24"/>
          <w:szCs w:val="24"/>
          <w:vertAlign w:val="superscript"/>
        </w:rPr>
        <w:t>[41,45</w:t>
      </w:r>
      <w:r w:rsidR="00B5009E" w:rsidRPr="00220CF9">
        <w:rPr>
          <w:rFonts w:ascii="Book Antiqua" w:hAnsi="Book Antiqua"/>
          <w:color w:val="000000" w:themeColor="text1"/>
          <w:sz w:val="24"/>
          <w:szCs w:val="24"/>
          <w:vertAlign w:val="superscript"/>
        </w:rPr>
        <w:t>]</w:t>
      </w:r>
      <w:r w:rsidR="00B5009E" w:rsidRPr="00220CF9">
        <w:rPr>
          <w:rFonts w:ascii="Book Antiqua" w:hAnsi="Book Antiqua"/>
          <w:color w:val="000000" w:themeColor="text1"/>
          <w:sz w:val="24"/>
          <w:szCs w:val="24"/>
        </w:rPr>
        <w:t>. Of note, ribavirin associated RASs T390I and F415</w:t>
      </w:r>
      <w:r w:rsidR="00AF5CB0" w:rsidRPr="00220CF9">
        <w:rPr>
          <w:rFonts w:ascii="Book Antiqua" w:hAnsi="Book Antiqua"/>
          <w:color w:val="000000" w:themeColor="text1"/>
          <w:sz w:val="24"/>
          <w:szCs w:val="24"/>
        </w:rPr>
        <w:t>Y</w:t>
      </w:r>
      <w:r w:rsidR="00B5009E" w:rsidRPr="00220CF9">
        <w:rPr>
          <w:rFonts w:ascii="Book Antiqua" w:hAnsi="Book Antiqua"/>
          <w:color w:val="000000" w:themeColor="text1"/>
          <w:sz w:val="24"/>
          <w:szCs w:val="24"/>
        </w:rPr>
        <w:t xml:space="preserve"> are </w:t>
      </w:r>
      <w:r w:rsidR="009A6436" w:rsidRPr="00220CF9">
        <w:rPr>
          <w:rFonts w:ascii="Book Antiqua" w:hAnsi="Book Antiqua"/>
          <w:color w:val="000000" w:themeColor="text1"/>
          <w:sz w:val="24"/>
          <w:szCs w:val="24"/>
        </w:rPr>
        <w:t xml:space="preserve">both </w:t>
      </w:r>
      <w:r w:rsidR="00B5009E" w:rsidRPr="00220CF9">
        <w:rPr>
          <w:rFonts w:ascii="Book Antiqua" w:hAnsi="Book Antiqua"/>
          <w:color w:val="000000" w:themeColor="text1"/>
          <w:sz w:val="24"/>
          <w:szCs w:val="24"/>
        </w:rPr>
        <w:t xml:space="preserve">located in </w:t>
      </w:r>
      <w:r w:rsidR="00FF0FD6" w:rsidRPr="00220CF9">
        <w:rPr>
          <w:rFonts w:ascii="Book Antiqua" w:hAnsi="Book Antiqua"/>
          <w:color w:val="000000" w:themeColor="text1"/>
          <w:sz w:val="24"/>
          <w:szCs w:val="24"/>
        </w:rPr>
        <w:t xml:space="preserve">the </w:t>
      </w:r>
      <w:r w:rsidR="00B5009E" w:rsidRPr="00220CF9">
        <w:rPr>
          <w:rFonts w:ascii="Book Antiqua" w:hAnsi="Book Antiqua"/>
          <w:color w:val="000000" w:themeColor="text1"/>
          <w:sz w:val="24"/>
          <w:szCs w:val="24"/>
        </w:rPr>
        <w:t>thumb domain of HCV NS5B polymerase</w:t>
      </w:r>
      <w:r w:rsidR="00B5009E" w:rsidRPr="00220CF9">
        <w:rPr>
          <w:rFonts w:ascii="Book Antiqua" w:hAnsi="Book Antiqua"/>
          <w:color w:val="000000" w:themeColor="text1"/>
          <w:sz w:val="24"/>
          <w:szCs w:val="24"/>
          <w:vertAlign w:val="superscript"/>
        </w:rPr>
        <w:t>[42</w:t>
      </w:r>
      <w:r w:rsidR="009A6436" w:rsidRPr="00220CF9">
        <w:rPr>
          <w:rFonts w:ascii="Book Antiqua" w:hAnsi="Book Antiqua"/>
          <w:color w:val="000000" w:themeColor="text1"/>
          <w:sz w:val="24"/>
          <w:szCs w:val="24"/>
          <w:vertAlign w:val="superscript"/>
        </w:rPr>
        <w:t>]</w:t>
      </w:r>
      <w:r w:rsidR="009A6436" w:rsidRPr="00220CF9">
        <w:rPr>
          <w:rFonts w:ascii="Book Antiqua" w:hAnsi="Book Antiqua"/>
          <w:color w:val="000000" w:themeColor="text1"/>
          <w:sz w:val="24"/>
          <w:szCs w:val="24"/>
        </w:rPr>
        <w:t>.</w:t>
      </w:r>
      <w:r w:rsidR="00273A33" w:rsidRPr="00220CF9">
        <w:rPr>
          <w:rFonts w:ascii="Book Antiqua" w:hAnsi="Book Antiqua"/>
          <w:color w:val="000000" w:themeColor="text1"/>
          <w:sz w:val="24"/>
          <w:szCs w:val="24"/>
        </w:rPr>
        <w:t xml:space="preserve"> </w:t>
      </w:r>
      <w:r w:rsidR="002A0030" w:rsidRPr="00220CF9">
        <w:rPr>
          <w:rFonts w:ascii="Book Antiqua" w:hAnsi="Book Antiqua"/>
          <w:color w:val="000000" w:themeColor="text1"/>
          <w:sz w:val="24"/>
          <w:szCs w:val="24"/>
        </w:rPr>
        <w:t xml:space="preserve">It </w:t>
      </w:r>
      <w:r w:rsidR="00FF0FD6" w:rsidRPr="00220CF9">
        <w:rPr>
          <w:rFonts w:ascii="Book Antiqua" w:hAnsi="Book Antiqua"/>
          <w:color w:val="000000" w:themeColor="text1"/>
          <w:sz w:val="24"/>
          <w:szCs w:val="24"/>
        </w:rPr>
        <w:t>has been</w:t>
      </w:r>
      <w:r w:rsidR="002A0030" w:rsidRPr="00220CF9">
        <w:rPr>
          <w:rFonts w:ascii="Book Antiqua" w:hAnsi="Book Antiqua"/>
          <w:color w:val="000000" w:themeColor="text1"/>
          <w:sz w:val="24"/>
          <w:szCs w:val="24"/>
        </w:rPr>
        <w:t xml:space="preserve"> reported that </w:t>
      </w:r>
      <w:r w:rsidR="00273A33" w:rsidRPr="00220CF9">
        <w:rPr>
          <w:rFonts w:ascii="Book Antiqua" w:hAnsi="Book Antiqua"/>
          <w:color w:val="000000" w:themeColor="text1"/>
          <w:sz w:val="24"/>
          <w:szCs w:val="24"/>
        </w:rPr>
        <w:t>RASs of non</w:t>
      </w:r>
      <w:r w:rsidR="008964AC" w:rsidRPr="00220CF9">
        <w:rPr>
          <w:rFonts w:ascii="Book Antiqua" w:hAnsi="Book Antiqua"/>
          <w:color w:val="000000" w:themeColor="text1"/>
          <w:sz w:val="24"/>
          <w:szCs w:val="24"/>
        </w:rPr>
        <w:t>-</w:t>
      </w:r>
      <w:r w:rsidR="00273A33" w:rsidRPr="00220CF9">
        <w:rPr>
          <w:rFonts w:ascii="Book Antiqua" w:hAnsi="Book Antiqua"/>
          <w:color w:val="000000" w:themeColor="text1"/>
          <w:sz w:val="24"/>
          <w:szCs w:val="24"/>
        </w:rPr>
        <w:t xml:space="preserve">nucleoside inhibitors are </w:t>
      </w:r>
      <w:r w:rsidR="00FF0FD6" w:rsidRPr="00220CF9">
        <w:rPr>
          <w:rFonts w:ascii="Book Antiqua" w:hAnsi="Book Antiqua"/>
          <w:color w:val="000000" w:themeColor="text1"/>
          <w:kern w:val="0"/>
          <w:sz w:val="24"/>
          <w:szCs w:val="24"/>
        </w:rPr>
        <w:t>the following:</w:t>
      </w:r>
      <w:r w:rsidR="00273A33" w:rsidRPr="00220CF9">
        <w:rPr>
          <w:rFonts w:ascii="Book Antiqua" w:hAnsi="Book Antiqua"/>
          <w:color w:val="000000" w:themeColor="text1"/>
          <w:sz w:val="24"/>
          <w:szCs w:val="24"/>
        </w:rPr>
        <w:t xml:space="preserve"> C316N/Y, M414I/V/T, L419M/S. R422K, M423A/I/T/B, C445F, Y448H, Y452H, I482L, A486I/T, V494A, </w:t>
      </w:r>
      <w:r w:rsidR="002A0030" w:rsidRPr="00220CF9">
        <w:rPr>
          <w:rFonts w:ascii="Book Antiqua" w:hAnsi="Book Antiqua"/>
          <w:color w:val="000000" w:themeColor="text1"/>
          <w:sz w:val="24"/>
          <w:szCs w:val="24"/>
        </w:rPr>
        <w:t xml:space="preserve">P495A/T, </w:t>
      </w:r>
      <w:r w:rsidR="00273A33" w:rsidRPr="00220CF9">
        <w:rPr>
          <w:rFonts w:ascii="Book Antiqua" w:hAnsi="Book Antiqua"/>
          <w:color w:val="000000" w:themeColor="text1"/>
          <w:sz w:val="24"/>
          <w:szCs w:val="24"/>
        </w:rPr>
        <w:t xml:space="preserve">V499A, </w:t>
      </w:r>
      <w:r w:rsidR="002A0030" w:rsidRPr="00220CF9">
        <w:rPr>
          <w:rFonts w:ascii="Book Antiqua" w:hAnsi="Book Antiqua"/>
          <w:color w:val="000000" w:themeColor="text1"/>
          <w:sz w:val="24"/>
          <w:szCs w:val="24"/>
        </w:rPr>
        <w:t xml:space="preserve">P496S, G554S, S556G and D559G, which are </w:t>
      </w:r>
      <w:r w:rsidR="0017767F" w:rsidRPr="00220CF9">
        <w:rPr>
          <w:rFonts w:ascii="Book Antiqua" w:hAnsi="Book Antiqua"/>
          <w:color w:val="000000" w:themeColor="text1"/>
          <w:sz w:val="24"/>
          <w:szCs w:val="24"/>
        </w:rPr>
        <w:t xml:space="preserve">all </w:t>
      </w:r>
      <w:r w:rsidR="002A0030" w:rsidRPr="00220CF9">
        <w:rPr>
          <w:rFonts w:ascii="Book Antiqua" w:hAnsi="Book Antiqua"/>
          <w:color w:val="000000" w:themeColor="text1"/>
          <w:sz w:val="24"/>
          <w:szCs w:val="24"/>
        </w:rPr>
        <w:t>located at the palm and thumb domains</w:t>
      </w:r>
      <w:r w:rsidR="00F16D71" w:rsidRPr="00220CF9">
        <w:rPr>
          <w:rFonts w:ascii="Book Antiqua" w:hAnsi="Book Antiqua"/>
          <w:color w:val="000000" w:themeColor="text1"/>
          <w:sz w:val="24"/>
          <w:szCs w:val="24"/>
        </w:rPr>
        <w:t xml:space="preserve"> </w:t>
      </w:r>
      <w:r w:rsidR="00192D53" w:rsidRPr="00220CF9">
        <w:rPr>
          <w:rFonts w:ascii="Book Antiqua" w:hAnsi="Book Antiqua"/>
          <w:color w:val="000000" w:themeColor="text1"/>
          <w:sz w:val="24"/>
          <w:szCs w:val="24"/>
        </w:rPr>
        <w:t>of HCV NS5B polymerase structure</w:t>
      </w:r>
      <w:r w:rsidR="002A0030" w:rsidRPr="00220CF9">
        <w:rPr>
          <w:rFonts w:ascii="Book Antiqua" w:hAnsi="Book Antiqua"/>
          <w:color w:val="000000" w:themeColor="text1"/>
          <w:sz w:val="24"/>
          <w:szCs w:val="24"/>
          <w:vertAlign w:val="superscript"/>
        </w:rPr>
        <w:t>[42]</w:t>
      </w:r>
      <w:r w:rsidR="002A0030" w:rsidRPr="00220CF9">
        <w:rPr>
          <w:rFonts w:ascii="Book Antiqua" w:hAnsi="Book Antiqua"/>
          <w:color w:val="000000" w:themeColor="text1"/>
          <w:sz w:val="24"/>
          <w:szCs w:val="24"/>
        </w:rPr>
        <w:t>.</w:t>
      </w:r>
    </w:p>
    <w:p w:rsidR="00C27A0B" w:rsidRPr="00220CF9" w:rsidRDefault="00E01B98" w:rsidP="00C27A0B">
      <w:pPr>
        <w:spacing w:line="480" w:lineRule="auto"/>
        <w:rPr>
          <w:rFonts w:ascii="Book Antiqua" w:hAnsi="Book Antiqua"/>
          <w:color w:val="000000" w:themeColor="text1"/>
          <w:sz w:val="24"/>
          <w:szCs w:val="24"/>
        </w:rPr>
      </w:pPr>
      <w:r w:rsidRPr="00220CF9">
        <w:rPr>
          <w:rFonts w:ascii="Book Antiqua" w:hAnsi="Book Antiqua"/>
          <w:color w:val="000000" w:themeColor="text1"/>
          <w:sz w:val="24"/>
          <w:szCs w:val="24"/>
        </w:rPr>
        <w:tab/>
      </w:r>
      <w:r w:rsidR="00F16D71" w:rsidRPr="00220CF9">
        <w:rPr>
          <w:rFonts w:ascii="Book Antiqua" w:hAnsi="Book Antiqua"/>
          <w:color w:val="000000" w:themeColor="text1"/>
          <w:sz w:val="24"/>
          <w:szCs w:val="24"/>
        </w:rPr>
        <w:t>When treatm</w:t>
      </w:r>
      <w:r w:rsidR="005907B1" w:rsidRPr="00220CF9">
        <w:rPr>
          <w:rFonts w:ascii="Book Antiqua" w:hAnsi="Book Antiqua"/>
          <w:color w:val="000000" w:themeColor="text1"/>
          <w:sz w:val="24"/>
          <w:szCs w:val="24"/>
        </w:rPr>
        <w:t>ent failure was observed in case where</w:t>
      </w:r>
      <w:r w:rsidR="00F16D71" w:rsidRPr="00220CF9">
        <w:rPr>
          <w:rFonts w:ascii="Book Antiqua" w:hAnsi="Book Antiqua"/>
          <w:color w:val="000000" w:themeColor="text1"/>
          <w:sz w:val="24"/>
          <w:szCs w:val="24"/>
        </w:rPr>
        <w:t xml:space="preserve"> the first</w:t>
      </w:r>
      <w:r w:rsidR="005907B1" w:rsidRPr="00220CF9">
        <w:rPr>
          <w:rFonts w:ascii="Book Antiqua" w:hAnsi="Book Antiqua"/>
          <w:color w:val="000000" w:themeColor="text1"/>
          <w:sz w:val="24"/>
          <w:szCs w:val="24"/>
        </w:rPr>
        <w:t>-</w:t>
      </w:r>
      <w:r w:rsidR="00F16D71" w:rsidRPr="00220CF9">
        <w:rPr>
          <w:rFonts w:ascii="Book Antiqua" w:hAnsi="Book Antiqua"/>
          <w:color w:val="000000" w:themeColor="text1"/>
          <w:sz w:val="24"/>
          <w:szCs w:val="24"/>
        </w:rPr>
        <w:t xml:space="preserve">generation HCV </w:t>
      </w:r>
      <w:r w:rsidR="005E3C2F" w:rsidRPr="00220CF9">
        <w:rPr>
          <w:rFonts w:ascii="Book Antiqua" w:hAnsi="Book Antiqua"/>
          <w:color w:val="000000" w:themeColor="text1"/>
          <w:sz w:val="24"/>
          <w:szCs w:val="24"/>
        </w:rPr>
        <w:t xml:space="preserve">NS5A inhibitor plus </w:t>
      </w:r>
      <w:r w:rsidR="00F16D71" w:rsidRPr="00220CF9">
        <w:rPr>
          <w:rFonts w:ascii="Book Antiqua" w:hAnsi="Book Antiqua"/>
          <w:color w:val="000000" w:themeColor="text1"/>
          <w:sz w:val="24"/>
          <w:szCs w:val="24"/>
        </w:rPr>
        <w:t>nucleoside inhibitor such as sofosbu</w:t>
      </w:r>
      <w:r w:rsidR="005907B1" w:rsidRPr="00220CF9">
        <w:rPr>
          <w:rFonts w:ascii="Book Antiqua" w:hAnsi="Book Antiqua"/>
          <w:color w:val="000000" w:themeColor="text1"/>
          <w:sz w:val="24"/>
          <w:szCs w:val="24"/>
        </w:rPr>
        <w:t>vir with or without ribavirin had been</w:t>
      </w:r>
      <w:r w:rsidR="00F16D71" w:rsidRPr="00220CF9">
        <w:rPr>
          <w:rFonts w:ascii="Book Antiqua" w:hAnsi="Book Antiqua"/>
          <w:color w:val="000000" w:themeColor="text1"/>
          <w:sz w:val="24"/>
          <w:szCs w:val="24"/>
        </w:rPr>
        <w:t xml:space="preserve"> selected as an initial DAA treatment for HCV GT1 patient</w:t>
      </w:r>
      <w:r w:rsidR="005907B1" w:rsidRPr="00220CF9">
        <w:rPr>
          <w:rFonts w:ascii="Book Antiqua" w:hAnsi="Book Antiqua"/>
          <w:color w:val="000000" w:themeColor="text1"/>
          <w:sz w:val="24"/>
          <w:szCs w:val="24"/>
        </w:rPr>
        <w:t>s</w:t>
      </w:r>
      <w:r w:rsidR="00F16D71" w:rsidRPr="00220CF9">
        <w:rPr>
          <w:rFonts w:ascii="Book Antiqua" w:hAnsi="Book Antiqua"/>
          <w:color w:val="000000" w:themeColor="text1"/>
          <w:sz w:val="24"/>
          <w:szCs w:val="24"/>
        </w:rPr>
        <w:t xml:space="preserve">, HCV genome sequences often had HCV NS5A RASs. </w:t>
      </w:r>
      <w:r w:rsidR="00B104FF" w:rsidRPr="00220CF9">
        <w:rPr>
          <w:rFonts w:ascii="Book Antiqua" w:hAnsi="Book Antiqua"/>
          <w:color w:val="000000" w:themeColor="text1"/>
          <w:sz w:val="24"/>
          <w:szCs w:val="24"/>
        </w:rPr>
        <w:t xml:space="preserve">It has been reported </w:t>
      </w:r>
      <w:r w:rsidR="005907B1" w:rsidRPr="00220CF9">
        <w:rPr>
          <w:rFonts w:ascii="Book Antiqua" w:hAnsi="Book Antiqua"/>
          <w:color w:val="000000" w:themeColor="text1"/>
          <w:sz w:val="24"/>
          <w:szCs w:val="24"/>
        </w:rPr>
        <w:t xml:space="preserve">in POLARIS-1 and POLARIS-4 studies </w:t>
      </w:r>
      <w:r w:rsidR="00B104FF" w:rsidRPr="00220CF9">
        <w:rPr>
          <w:rFonts w:ascii="Book Antiqua" w:hAnsi="Book Antiqua"/>
          <w:color w:val="000000" w:themeColor="text1"/>
          <w:sz w:val="24"/>
          <w:szCs w:val="24"/>
        </w:rPr>
        <w:t xml:space="preserve">that </w:t>
      </w:r>
      <w:r w:rsidR="005907B1" w:rsidRPr="00220CF9">
        <w:rPr>
          <w:rFonts w:ascii="Book Antiqua" w:hAnsi="Book Antiqua"/>
          <w:color w:val="000000" w:themeColor="text1"/>
          <w:sz w:val="24"/>
          <w:szCs w:val="24"/>
        </w:rPr>
        <w:t xml:space="preserve">treatment with </w:t>
      </w:r>
      <w:r w:rsidR="00B104FF" w:rsidRPr="00220CF9">
        <w:rPr>
          <w:rFonts w:ascii="Book Antiqua" w:hAnsi="Book Antiqua"/>
          <w:color w:val="000000" w:themeColor="text1"/>
          <w:sz w:val="24"/>
          <w:szCs w:val="24"/>
        </w:rPr>
        <w:t>s</w:t>
      </w:r>
      <w:r w:rsidR="00B8210E" w:rsidRPr="00220CF9">
        <w:rPr>
          <w:rFonts w:ascii="Book Antiqua" w:hAnsi="Book Antiqua"/>
          <w:color w:val="000000" w:themeColor="text1"/>
          <w:sz w:val="24"/>
          <w:szCs w:val="24"/>
        </w:rPr>
        <w:t>ofosbuvir/velpatasvir</w:t>
      </w:r>
      <w:r w:rsidR="00B104FF" w:rsidRPr="00220CF9">
        <w:rPr>
          <w:rFonts w:ascii="Book Antiqua" w:hAnsi="Book Antiqua"/>
          <w:color w:val="000000" w:themeColor="text1"/>
          <w:sz w:val="24"/>
          <w:szCs w:val="24"/>
        </w:rPr>
        <w:t>/</w:t>
      </w:r>
      <w:r w:rsidR="00B8210E" w:rsidRPr="00220CF9">
        <w:rPr>
          <w:rFonts w:ascii="Book Antiqua" w:hAnsi="Book Antiqua"/>
          <w:color w:val="000000" w:themeColor="text1"/>
          <w:sz w:val="24"/>
          <w:szCs w:val="24"/>
        </w:rPr>
        <w:t>v</w:t>
      </w:r>
      <w:r w:rsidR="00942141">
        <w:rPr>
          <w:rFonts w:ascii="Book Antiqua" w:hAnsi="Book Antiqua"/>
          <w:color w:val="000000" w:themeColor="text1"/>
          <w:sz w:val="24"/>
          <w:szCs w:val="24"/>
        </w:rPr>
        <w:t>oxilaprevir for 12 wk</w:t>
      </w:r>
      <w:r w:rsidR="00B8210E" w:rsidRPr="00220CF9">
        <w:rPr>
          <w:rFonts w:ascii="Book Antiqua" w:hAnsi="Book Antiqua"/>
          <w:color w:val="000000" w:themeColor="text1"/>
          <w:sz w:val="24"/>
          <w:szCs w:val="24"/>
        </w:rPr>
        <w:t xml:space="preserve"> could lead to 96% (253/263) and 98% (178/182) SVR</w:t>
      </w:r>
      <w:r w:rsidR="002A0AF1" w:rsidRPr="00220CF9">
        <w:rPr>
          <w:rFonts w:ascii="Book Antiqua" w:hAnsi="Book Antiqua"/>
          <w:color w:val="000000" w:themeColor="text1"/>
          <w:sz w:val="24"/>
          <w:szCs w:val="24"/>
        </w:rPr>
        <w:t xml:space="preserve"> </w:t>
      </w:r>
      <w:r w:rsidR="00C27A0B" w:rsidRPr="00220CF9">
        <w:rPr>
          <w:rFonts w:ascii="Book Antiqua" w:hAnsi="Book Antiqua"/>
          <w:color w:val="000000" w:themeColor="text1"/>
          <w:sz w:val="24"/>
          <w:szCs w:val="24"/>
        </w:rPr>
        <w:t>rates</w:t>
      </w:r>
      <w:r w:rsidR="005907B1" w:rsidRPr="00220CF9">
        <w:rPr>
          <w:rFonts w:ascii="Book Antiqua" w:hAnsi="Book Antiqua"/>
          <w:color w:val="000000" w:themeColor="text1"/>
          <w:sz w:val="24"/>
          <w:szCs w:val="24"/>
        </w:rPr>
        <w:t>, respectively,</w:t>
      </w:r>
      <w:r w:rsidR="00C27A0B" w:rsidRPr="00220CF9">
        <w:rPr>
          <w:rFonts w:ascii="Book Antiqua" w:hAnsi="Book Antiqua"/>
          <w:color w:val="000000" w:themeColor="text1"/>
          <w:sz w:val="24"/>
          <w:szCs w:val="24"/>
        </w:rPr>
        <w:t xml:space="preserve"> in HCV GTs1-6 patients </w:t>
      </w:r>
      <w:r w:rsidR="005907B1" w:rsidRPr="00220CF9">
        <w:rPr>
          <w:rFonts w:ascii="Book Antiqua" w:hAnsi="Book Antiqua"/>
          <w:color w:val="000000" w:themeColor="text1"/>
          <w:sz w:val="24"/>
          <w:szCs w:val="24"/>
        </w:rPr>
        <w:t xml:space="preserve">who were </w:t>
      </w:r>
      <w:r w:rsidR="00C27A0B" w:rsidRPr="00220CF9">
        <w:rPr>
          <w:rFonts w:ascii="Book Antiqua" w:hAnsi="Book Antiqua"/>
          <w:color w:val="000000" w:themeColor="text1"/>
          <w:sz w:val="24"/>
          <w:szCs w:val="24"/>
        </w:rPr>
        <w:t>previously treated with DAAs</w:t>
      </w:r>
      <w:r w:rsidR="00C27A0B" w:rsidRPr="00220CF9">
        <w:rPr>
          <w:rFonts w:ascii="Book Antiqua" w:hAnsi="Book Antiqua"/>
          <w:color w:val="000000" w:themeColor="text1"/>
          <w:sz w:val="24"/>
          <w:szCs w:val="24"/>
          <w:vertAlign w:val="superscript"/>
        </w:rPr>
        <w:t>[39]</w:t>
      </w:r>
      <w:r w:rsidR="00C27A0B" w:rsidRPr="00220CF9">
        <w:rPr>
          <w:rFonts w:ascii="Book Antiqua" w:hAnsi="Book Antiqua"/>
          <w:color w:val="000000" w:themeColor="text1"/>
          <w:sz w:val="24"/>
          <w:szCs w:val="24"/>
        </w:rPr>
        <w:t xml:space="preserve">. In POLARIS-1 and POLARIS-4 studies, respectively, </w:t>
      </w:r>
      <w:r w:rsidR="005907B1" w:rsidRPr="00220CF9">
        <w:rPr>
          <w:rFonts w:ascii="Book Antiqua" w:hAnsi="Book Antiqua"/>
          <w:color w:val="000000" w:themeColor="text1"/>
          <w:sz w:val="24"/>
          <w:szCs w:val="24"/>
        </w:rPr>
        <w:t xml:space="preserve">SVR rates of </w:t>
      </w:r>
      <w:r w:rsidR="00C27A0B" w:rsidRPr="00220CF9">
        <w:rPr>
          <w:rFonts w:ascii="Book Antiqua" w:hAnsi="Book Antiqua"/>
          <w:color w:val="000000" w:themeColor="text1"/>
          <w:sz w:val="24"/>
          <w:szCs w:val="24"/>
        </w:rPr>
        <w:t>97% (146/150) and 97% (76/78)</w:t>
      </w:r>
      <w:r w:rsidR="005907B1" w:rsidRPr="00220CF9">
        <w:rPr>
          <w:rFonts w:ascii="Book Antiqua" w:hAnsi="Book Antiqua"/>
          <w:color w:val="000000" w:themeColor="text1"/>
          <w:sz w:val="24"/>
          <w:szCs w:val="24"/>
        </w:rPr>
        <w:t>, respectively,</w:t>
      </w:r>
      <w:r w:rsidR="00C27A0B" w:rsidRPr="00220CF9">
        <w:rPr>
          <w:rFonts w:ascii="Book Antiqua" w:hAnsi="Book Antiqua"/>
          <w:color w:val="000000" w:themeColor="text1"/>
          <w:sz w:val="24"/>
          <w:szCs w:val="24"/>
        </w:rPr>
        <w:t xml:space="preserve"> were achieved </w:t>
      </w:r>
      <w:r w:rsidR="005907B1" w:rsidRPr="00220CF9">
        <w:rPr>
          <w:rFonts w:ascii="Book Antiqua" w:hAnsi="Book Antiqua"/>
          <w:color w:val="000000" w:themeColor="text1"/>
          <w:sz w:val="24"/>
          <w:szCs w:val="24"/>
        </w:rPr>
        <w:t xml:space="preserve">in HCV GT1-patients, </w:t>
      </w:r>
      <w:r w:rsidR="00C27A0B" w:rsidRPr="00220CF9">
        <w:rPr>
          <w:rFonts w:ascii="Book Antiqua" w:hAnsi="Book Antiqua"/>
          <w:color w:val="000000" w:themeColor="text1"/>
          <w:sz w:val="24"/>
          <w:szCs w:val="24"/>
        </w:rPr>
        <w:t>by sofosbuvir/velpatasvir/v</w:t>
      </w:r>
      <w:r w:rsidR="00AC75A0">
        <w:rPr>
          <w:rFonts w:ascii="Book Antiqua" w:hAnsi="Book Antiqua"/>
          <w:color w:val="000000" w:themeColor="text1"/>
          <w:sz w:val="24"/>
          <w:szCs w:val="24"/>
        </w:rPr>
        <w:t>oxilaprevir for 12 wk</w:t>
      </w:r>
      <w:r w:rsidR="00C27A0B" w:rsidRPr="00220CF9">
        <w:rPr>
          <w:rFonts w:ascii="Book Antiqua" w:hAnsi="Book Antiqua"/>
          <w:color w:val="000000" w:themeColor="text1"/>
          <w:sz w:val="24"/>
          <w:szCs w:val="24"/>
          <w:vertAlign w:val="superscript"/>
        </w:rPr>
        <w:t>[39]</w:t>
      </w:r>
      <w:r w:rsidR="00C27A0B" w:rsidRPr="00220CF9">
        <w:rPr>
          <w:rFonts w:ascii="Book Antiqua" w:hAnsi="Book Antiqua"/>
          <w:color w:val="000000" w:themeColor="text1"/>
          <w:sz w:val="24"/>
          <w:szCs w:val="24"/>
        </w:rPr>
        <w:t xml:space="preserve">; 96% (97/101) and 98% (53/54) in HCV GT1a-patients; and 100% (45/45) </w:t>
      </w:r>
      <w:r w:rsidR="00C27A0B" w:rsidRPr="00220CF9">
        <w:rPr>
          <w:rFonts w:ascii="Book Antiqua" w:hAnsi="Book Antiqua"/>
          <w:color w:val="000000" w:themeColor="text1"/>
          <w:sz w:val="24"/>
          <w:szCs w:val="24"/>
        </w:rPr>
        <w:lastRenderedPageBreak/>
        <w:t>and 96% (23/24) in HCV GT1b-patients</w:t>
      </w:r>
      <w:r w:rsidR="00C27A0B" w:rsidRPr="00220CF9">
        <w:rPr>
          <w:rFonts w:ascii="Book Antiqua" w:hAnsi="Book Antiqua"/>
          <w:color w:val="000000" w:themeColor="text1"/>
          <w:sz w:val="24"/>
          <w:szCs w:val="24"/>
          <w:vertAlign w:val="superscript"/>
        </w:rPr>
        <w:t>[39]</w:t>
      </w:r>
      <w:r w:rsidR="00C27A0B" w:rsidRPr="00220CF9">
        <w:rPr>
          <w:rFonts w:ascii="Book Antiqua" w:hAnsi="Book Antiqua"/>
          <w:color w:val="000000" w:themeColor="text1"/>
          <w:sz w:val="24"/>
          <w:szCs w:val="24"/>
        </w:rPr>
        <w:t xml:space="preserve">. </w:t>
      </w:r>
      <w:r w:rsidR="005907B1" w:rsidRPr="00220CF9">
        <w:rPr>
          <w:rFonts w:ascii="Book Antiqua" w:hAnsi="Book Antiqua"/>
          <w:color w:val="000000" w:themeColor="text1"/>
          <w:sz w:val="24"/>
          <w:szCs w:val="24"/>
        </w:rPr>
        <w:t>Twelve</w:t>
      </w:r>
      <w:r w:rsidR="00C27A0B" w:rsidRPr="00220CF9">
        <w:rPr>
          <w:rFonts w:ascii="Book Antiqua" w:hAnsi="Book Antiqua"/>
          <w:color w:val="000000" w:themeColor="text1"/>
          <w:sz w:val="24"/>
          <w:szCs w:val="24"/>
        </w:rPr>
        <w:t xml:space="preserve"> weeks of treatment with a ﬁxed-dose combination of sofosbuvir/velpatasvir/voxilaprevir</w:t>
      </w:r>
      <w:r w:rsidR="00F243DF" w:rsidRPr="00220CF9">
        <w:rPr>
          <w:rFonts w:ascii="Book Antiqua" w:hAnsi="Book Antiqua"/>
          <w:color w:val="000000" w:themeColor="text1"/>
          <w:sz w:val="24"/>
          <w:szCs w:val="24"/>
        </w:rPr>
        <w:t xml:space="preserve"> </w:t>
      </w:r>
      <w:r w:rsidR="00C27A0B" w:rsidRPr="00220CF9">
        <w:rPr>
          <w:rFonts w:ascii="Book Antiqua" w:hAnsi="Book Antiqua"/>
          <w:color w:val="000000" w:themeColor="text1"/>
          <w:sz w:val="24"/>
          <w:szCs w:val="24"/>
        </w:rPr>
        <w:t xml:space="preserve">was effective and well tolerated among patients with GT1 infection </w:t>
      </w:r>
      <w:r w:rsidR="005907B1" w:rsidRPr="00220CF9">
        <w:rPr>
          <w:rFonts w:ascii="Book Antiqua" w:hAnsi="Book Antiqua"/>
          <w:color w:val="000000" w:themeColor="text1"/>
          <w:sz w:val="24"/>
          <w:szCs w:val="24"/>
        </w:rPr>
        <w:t xml:space="preserve">for </w:t>
      </w:r>
      <w:r w:rsidR="00C27A0B" w:rsidRPr="00220CF9">
        <w:rPr>
          <w:rFonts w:ascii="Book Antiqua" w:hAnsi="Book Antiqua"/>
          <w:color w:val="000000" w:themeColor="text1"/>
          <w:sz w:val="24"/>
          <w:szCs w:val="24"/>
        </w:rPr>
        <w:t>who</w:t>
      </w:r>
      <w:r w:rsidR="005907B1" w:rsidRPr="00220CF9">
        <w:rPr>
          <w:rFonts w:ascii="Book Antiqua" w:hAnsi="Book Antiqua"/>
          <w:color w:val="000000" w:themeColor="text1"/>
          <w:sz w:val="24"/>
          <w:szCs w:val="24"/>
        </w:rPr>
        <w:t>m</w:t>
      </w:r>
      <w:r w:rsidR="00C27A0B" w:rsidRPr="00220CF9">
        <w:rPr>
          <w:rFonts w:ascii="Book Antiqua" w:hAnsi="Book Antiqua"/>
          <w:color w:val="000000" w:themeColor="text1"/>
          <w:sz w:val="24"/>
          <w:szCs w:val="24"/>
        </w:rPr>
        <w:t xml:space="preserve"> a DAA-based regimen</w:t>
      </w:r>
      <w:r w:rsidR="005907B1" w:rsidRPr="00220CF9">
        <w:rPr>
          <w:rFonts w:ascii="Book Antiqua" w:hAnsi="Book Antiqua"/>
          <w:color w:val="000000" w:themeColor="text1"/>
          <w:sz w:val="24"/>
          <w:szCs w:val="24"/>
        </w:rPr>
        <w:t xml:space="preserve"> had previously failed</w:t>
      </w:r>
      <w:r w:rsidR="00C27A0B" w:rsidRPr="00220CF9">
        <w:rPr>
          <w:rFonts w:ascii="Book Antiqua" w:hAnsi="Book Antiqua"/>
          <w:color w:val="000000" w:themeColor="text1"/>
          <w:sz w:val="24"/>
          <w:szCs w:val="24"/>
          <w:vertAlign w:val="superscript"/>
        </w:rPr>
        <w:t>[39,46]</w:t>
      </w:r>
      <w:r w:rsidR="00C27A0B" w:rsidRPr="00220CF9">
        <w:rPr>
          <w:rFonts w:ascii="Book Antiqua" w:hAnsi="Book Antiqua"/>
          <w:color w:val="000000" w:themeColor="text1"/>
          <w:sz w:val="24"/>
          <w:szCs w:val="24"/>
        </w:rPr>
        <w:t>.</w:t>
      </w:r>
    </w:p>
    <w:p w:rsidR="00C27A0B" w:rsidRPr="00220CF9" w:rsidRDefault="00C27A0B" w:rsidP="00C27A0B">
      <w:pPr>
        <w:spacing w:line="480" w:lineRule="auto"/>
        <w:rPr>
          <w:rFonts w:ascii="Book Antiqua" w:hAnsi="Book Antiqua"/>
          <w:color w:val="000000" w:themeColor="text1"/>
          <w:sz w:val="24"/>
          <w:szCs w:val="24"/>
        </w:rPr>
      </w:pPr>
    </w:p>
    <w:p w:rsidR="00C27A0B" w:rsidRPr="00220CF9" w:rsidRDefault="00C27A0B" w:rsidP="00C27A0B">
      <w:pPr>
        <w:spacing w:line="480" w:lineRule="auto"/>
        <w:rPr>
          <w:rFonts w:ascii="Book Antiqua" w:hAnsi="Book Antiqua"/>
          <w:b/>
          <w:color w:val="000000" w:themeColor="text1"/>
          <w:sz w:val="24"/>
          <w:szCs w:val="24"/>
        </w:rPr>
      </w:pPr>
      <w:r w:rsidRPr="00220CF9">
        <w:rPr>
          <w:rFonts w:ascii="Book Antiqua" w:hAnsi="Book Antiqua"/>
          <w:b/>
          <w:color w:val="000000" w:themeColor="text1"/>
          <w:sz w:val="24"/>
          <w:szCs w:val="24"/>
        </w:rPr>
        <w:t>CONCLUSION</w:t>
      </w:r>
    </w:p>
    <w:p w:rsidR="00FA06BE" w:rsidRPr="00220CF9" w:rsidRDefault="00FA06BE" w:rsidP="00842A30">
      <w:pPr>
        <w:spacing w:line="480" w:lineRule="auto"/>
        <w:rPr>
          <w:rFonts w:ascii="Book Antiqua" w:hAnsi="Book Antiqua"/>
          <w:color w:val="000000" w:themeColor="text1"/>
          <w:sz w:val="24"/>
          <w:szCs w:val="24"/>
        </w:rPr>
      </w:pPr>
      <w:r w:rsidRPr="00220CF9">
        <w:rPr>
          <w:rFonts w:ascii="Book Antiqua" w:hAnsi="Book Antiqua"/>
          <w:color w:val="000000" w:themeColor="text1"/>
          <w:sz w:val="24"/>
          <w:szCs w:val="24"/>
        </w:rPr>
        <w:t xml:space="preserve">Sergi </w:t>
      </w:r>
      <w:r w:rsidRPr="005F68E1">
        <w:rPr>
          <w:rFonts w:ascii="Book Antiqua" w:hAnsi="Book Antiqua"/>
          <w:i/>
          <w:color w:val="000000" w:themeColor="text1"/>
          <w:sz w:val="24"/>
          <w:szCs w:val="24"/>
        </w:rPr>
        <w:t>et al</w:t>
      </w:r>
      <w:r w:rsidRPr="00220CF9">
        <w:rPr>
          <w:rFonts w:ascii="Book Antiqua" w:hAnsi="Book Antiqua"/>
          <w:color w:val="000000" w:themeColor="text1"/>
          <w:sz w:val="24"/>
          <w:szCs w:val="24"/>
          <w:vertAlign w:val="superscript"/>
        </w:rPr>
        <w:t>[47]</w:t>
      </w:r>
      <w:r w:rsidRPr="00220CF9">
        <w:rPr>
          <w:rFonts w:ascii="Book Antiqua" w:hAnsi="Book Antiqua"/>
          <w:color w:val="000000" w:themeColor="text1"/>
          <w:sz w:val="24"/>
          <w:szCs w:val="24"/>
        </w:rPr>
        <w:t xml:space="preserve"> reviewed that there was the association between HCV GT1b and fulminant liver failure, although HCV is a rare cause of fulminant hepatitis in Japan</w:t>
      </w:r>
      <w:r w:rsidRPr="00220CF9">
        <w:rPr>
          <w:rFonts w:ascii="Book Antiqua" w:hAnsi="Book Antiqua"/>
          <w:color w:val="000000" w:themeColor="text1"/>
          <w:sz w:val="24"/>
          <w:szCs w:val="24"/>
          <w:vertAlign w:val="superscript"/>
        </w:rPr>
        <w:t>[48]</w:t>
      </w:r>
      <w:r w:rsidRPr="00220CF9">
        <w:rPr>
          <w:rFonts w:ascii="Book Antiqua" w:hAnsi="Book Antiqua"/>
          <w:color w:val="000000" w:themeColor="text1"/>
          <w:sz w:val="24"/>
          <w:szCs w:val="24"/>
        </w:rPr>
        <w:t xml:space="preserve">. </w:t>
      </w:r>
      <w:r w:rsidR="00F56C77" w:rsidRPr="00220CF9">
        <w:rPr>
          <w:rFonts w:ascii="Book Antiqua" w:hAnsi="Book Antiqua"/>
          <w:color w:val="000000" w:themeColor="text1"/>
          <w:sz w:val="24"/>
          <w:szCs w:val="24"/>
        </w:rPr>
        <w:t>Of their two HCV RNA-positive cases with evidence of HBV infection, one case had a real coinfection showing simultaneous detection of HBV DNA in serum and liver, while the other patient was a chronic HBV carrier, seropositive for HBsAg and anti-HBc IgG but negative for anti-HBc IgM and HBV DNA in liver tissue</w:t>
      </w:r>
      <w:r w:rsidR="00F56C77" w:rsidRPr="00220CF9">
        <w:rPr>
          <w:rFonts w:ascii="Book Antiqua" w:hAnsi="Book Antiqua"/>
          <w:color w:val="000000" w:themeColor="text1"/>
          <w:sz w:val="24"/>
          <w:szCs w:val="24"/>
          <w:vertAlign w:val="superscript"/>
        </w:rPr>
        <w:t>[47]</w:t>
      </w:r>
      <w:r w:rsidR="00F56C77" w:rsidRPr="00220CF9">
        <w:rPr>
          <w:rFonts w:ascii="Book Antiqua" w:hAnsi="Book Antiqua"/>
          <w:color w:val="000000" w:themeColor="text1"/>
          <w:sz w:val="24"/>
          <w:szCs w:val="24"/>
        </w:rPr>
        <w:t>. It has been reported that hepatitis B reactivation during or after the treatment of DAA for chronic hepatitis C</w:t>
      </w:r>
      <w:r w:rsidR="00F56C77" w:rsidRPr="00220CF9">
        <w:rPr>
          <w:rFonts w:ascii="Book Antiqua" w:hAnsi="Book Antiqua"/>
          <w:color w:val="000000" w:themeColor="text1"/>
          <w:sz w:val="24"/>
          <w:szCs w:val="24"/>
          <w:vertAlign w:val="superscript"/>
        </w:rPr>
        <w:t>[4</w:t>
      </w:r>
      <w:r w:rsidR="00CE0069" w:rsidRPr="00220CF9">
        <w:rPr>
          <w:rFonts w:ascii="Book Antiqua" w:hAnsi="Book Antiqua"/>
          <w:color w:val="000000" w:themeColor="text1"/>
          <w:sz w:val="24"/>
          <w:szCs w:val="24"/>
          <w:vertAlign w:val="superscript"/>
        </w:rPr>
        <w:t>9</w:t>
      </w:r>
      <w:r w:rsidR="00F56C77" w:rsidRPr="00220CF9">
        <w:rPr>
          <w:rFonts w:ascii="Book Antiqua" w:hAnsi="Book Antiqua"/>
          <w:color w:val="000000" w:themeColor="text1"/>
          <w:sz w:val="24"/>
          <w:szCs w:val="24"/>
          <w:vertAlign w:val="superscript"/>
        </w:rPr>
        <w:t>]</w:t>
      </w:r>
      <w:r w:rsidR="00F56C77" w:rsidRPr="00220CF9">
        <w:rPr>
          <w:rFonts w:ascii="Book Antiqua" w:hAnsi="Book Antiqua"/>
          <w:color w:val="000000" w:themeColor="text1"/>
          <w:sz w:val="24"/>
          <w:szCs w:val="24"/>
        </w:rPr>
        <w:t>.</w:t>
      </w:r>
      <w:r w:rsidR="0045193D" w:rsidRPr="00220CF9">
        <w:rPr>
          <w:rFonts w:ascii="Book Antiqua" w:hAnsi="Book Antiqua"/>
          <w:color w:val="000000" w:themeColor="text1"/>
          <w:sz w:val="24"/>
          <w:szCs w:val="24"/>
        </w:rPr>
        <w:t xml:space="preserve"> Similar SVR rates</w:t>
      </w:r>
      <w:r w:rsidR="005F2A73" w:rsidRPr="00220CF9">
        <w:rPr>
          <w:rFonts w:ascii="Book Antiqua" w:hAnsi="Book Antiqua"/>
          <w:color w:val="000000" w:themeColor="text1"/>
          <w:sz w:val="24"/>
          <w:szCs w:val="24"/>
        </w:rPr>
        <w:t xml:space="preserve"> seem to be</w:t>
      </w:r>
      <w:r w:rsidR="0045193D" w:rsidRPr="00220CF9">
        <w:rPr>
          <w:rFonts w:ascii="Book Antiqua" w:hAnsi="Book Antiqua"/>
          <w:color w:val="000000" w:themeColor="text1"/>
          <w:sz w:val="24"/>
          <w:szCs w:val="24"/>
        </w:rPr>
        <w:t xml:space="preserve"> achieved</w:t>
      </w:r>
      <w:r w:rsidR="005F2A73" w:rsidRPr="00220CF9">
        <w:rPr>
          <w:rFonts w:ascii="Book Antiqua" w:hAnsi="Book Antiqua"/>
          <w:color w:val="000000" w:themeColor="text1"/>
          <w:sz w:val="24"/>
          <w:szCs w:val="24"/>
        </w:rPr>
        <w:t xml:space="preserve"> with DAAs in HCV/HBV co-infected patients</w:t>
      </w:r>
      <w:r w:rsidR="00CE0069" w:rsidRPr="00220CF9">
        <w:rPr>
          <w:rFonts w:ascii="Book Antiqua" w:hAnsi="Book Antiqua"/>
          <w:color w:val="000000" w:themeColor="text1"/>
          <w:sz w:val="24"/>
          <w:szCs w:val="24"/>
          <w:vertAlign w:val="superscript"/>
        </w:rPr>
        <w:t>[50</w:t>
      </w:r>
      <w:r w:rsidR="00273AC9" w:rsidRPr="00220CF9">
        <w:rPr>
          <w:rFonts w:ascii="Book Antiqua" w:hAnsi="Book Antiqua"/>
          <w:color w:val="000000" w:themeColor="text1"/>
          <w:sz w:val="24"/>
          <w:szCs w:val="24"/>
          <w:vertAlign w:val="superscript"/>
        </w:rPr>
        <w:t>,51</w:t>
      </w:r>
      <w:r w:rsidR="00374844" w:rsidRPr="00220CF9">
        <w:rPr>
          <w:rFonts w:ascii="Book Antiqua" w:hAnsi="Book Antiqua"/>
          <w:color w:val="000000" w:themeColor="text1"/>
          <w:sz w:val="24"/>
          <w:szCs w:val="24"/>
          <w:vertAlign w:val="superscript"/>
        </w:rPr>
        <w:t>]</w:t>
      </w:r>
      <w:r w:rsidR="005F2A73" w:rsidRPr="00220CF9">
        <w:rPr>
          <w:rFonts w:ascii="Book Antiqua" w:hAnsi="Book Antiqua"/>
          <w:color w:val="000000" w:themeColor="text1"/>
          <w:sz w:val="24"/>
          <w:szCs w:val="24"/>
        </w:rPr>
        <w:t>. However, nucleos(t)ide analogues for HBV should be added to DAA therapy for HCV when serum HBV DNA levels are elevated</w:t>
      </w:r>
      <w:r w:rsidR="005F2A73" w:rsidRPr="00220CF9">
        <w:rPr>
          <w:rFonts w:ascii="Book Antiqua" w:hAnsi="Book Antiqua"/>
          <w:color w:val="000000" w:themeColor="text1"/>
          <w:sz w:val="24"/>
          <w:szCs w:val="24"/>
          <w:vertAlign w:val="superscript"/>
        </w:rPr>
        <w:t>[1]</w:t>
      </w:r>
      <w:r w:rsidR="005F2A73" w:rsidRPr="00220CF9">
        <w:rPr>
          <w:rFonts w:ascii="Book Antiqua" w:hAnsi="Book Antiqua"/>
          <w:color w:val="000000" w:themeColor="text1"/>
          <w:sz w:val="24"/>
          <w:szCs w:val="24"/>
        </w:rPr>
        <w:t>.</w:t>
      </w:r>
    </w:p>
    <w:p w:rsidR="00842A30" w:rsidRPr="00220CF9" w:rsidRDefault="00842A30" w:rsidP="00F56C77">
      <w:pPr>
        <w:spacing w:line="480" w:lineRule="auto"/>
        <w:ind w:firstLine="840"/>
        <w:rPr>
          <w:rFonts w:ascii="Book Antiqua" w:hAnsi="Book Antiqua"/>
          <w:color w:val="000000" w:themeColor="text1"/>
          <w:sz w:val="24"/>
          <w:szCs w:val="24"/>
        </w:rPr>
      </w:pPr>
      <w:r w:rsidRPr="00220CF9">
        <w:rPr>
          <w:rFonts w:ascii="Book Antiqua" w:hAnsi="Book Antiqua"/>
          <w:color w:val="000000" w:themeColor="text1"/>
          <w:sz w:val="24"/>
          <w:szCs w:val="24"/>
        </w:rPr>
        <w:t xml:space="preserve">There is no doubt that new, more effective combinations of DAAs have </w:t>
      </w:r>
      <w:r w:rsidRPr="00220CF9">
        <w:rPr>
          <w:rFonts w:ascii="Book Antiqua" w:hAnsi="Book Antiqua"/>
          <w:color w:val="000000" w:themeColor="text1"/>
          <w:sz w:val="24"/>
          <w:szCs w:val="24"/>
        </w:rPr>
        <w:lastRenderedPageBreak/>
        <w:t xml:space="preserve">appeared and will continue to appear in the retreatment of patients who have experienced treatment failure of DAAs. Clinicians should pay careful attention when selecting the initial treatment and retreatment regimens to completely </w:t>
      </w:r>
      <w:r w:rsidR="00716DA1" w:rsidRPr="00220CF9">
        <w:rPr>
          <w:rFonts w:ascii="Book Antiqua" w:hAnsi="Book Antiqua"/>
          <w:color w:val="000000" w:themeColor="text1"/>
          <w:sz w:val="24"/>
          <w:szCs w:val="24"/>
        </w:rPr>
        <w:t>eradicate HCV infection (Table 3</w:t>
      </w:r>
      <w:r w:rsidRPr="00220CF9">
        <w:rPr>
          <w:rFonts w:ascii="Book Antiqua" w:hAnsi="Book Antiqua"/>
          <w:color w:val="000000" w:themeColor="text1"/>
          <w:sz w:val="24"/>
          <w:szCs w:val="24"/>
        </w:rPr>
        <w:t>).</w:t>
      </w:r>
    </w:p>
    <w:p w:rsidR="002D7481" w:rsidRDefault="002D7481" w:rsidP="00E76102">
      <w:pPr>
        <w:spacing w:line="480"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rsidR="00032899" w:rsidRDefault="00032899" w:rsidP="00032899">
      <w:pPr>
        <w:pStyle w:val="Default"/>
        <w:spacing w:line="360" w:lineRule="auto"/>
        <w:jc w:val="both"/>
        <w:rPr>
          <w:rFonts w:eastAsia="SimSun"/>
          <w:b/>
          <w:bCs/>
          <w:color w:val="000000" w:themeColor="text1"/>
          <w:lang w:eastAsia="zh-CN"/>
        </w:rPr>
      </w:pPr>
      <w:r w:rsidRPr="00220CF9">
        <w:rPr>
          <w:b/>
          <w:bCs/>
          <w:color w:val="000000" w:themeColor="text1"/>
        </w:rPr>
        <w:lastRenderedPageBreak/>
        <w:t>REFERENCES</w:t>
      </w:r>
      <w:bookmarkStart w:id="21" w:name="OLE_LINK194"/>
      <w:bookmarkStart w:id="22" w:name="OLE_LINK195"/>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1 </w:t>
      </w:r>
      <w:r w:rsidRPr="00092289">
        <w:rPr>
          <w:rFonts w:ascii="Book Antiqua" w:hAnsi="Book Antiqua"/>
          <w:b/>
          <w:sz w:val="24"/>
          <w:szCs w:val="24"/>
        </w:rPr>
        <w:t>Omata M</w:t>
      </w:r>
      <w:r w:rsidRPr="00092289">
        <w:rPr>
          <w:rFonts w:ascii="Book Antiqua" w:hAnsi="Book Antiqua"/>
          <w:sz w:val="24"/>
          <w:szCs w:val="24"/>
        </w:rPr>
        <w:t xml:space="preserve">, Kanda T, Wei L, Yu ML, Chuang WL, Ibrahim A, Lesmana CR, Sollano J, Kumar M, Jindal A, Sharma BC, Hamid SS, Dokmeci AK, Mamun-Al-Mahtab, McCaughan GW, Wasim J, Crawford DH, Kao JH, Yokosuka O, Lau GK, Sarin SK. APASL consensus statements and recommendation on treatment of hepatitis C. </w:t>
      </w:r>
      <w:r w:rsidRPr="00092289">
        <w:rPr>
          <w:rFonts w:ascii="Book Antiqua" w:hAnsi="Book Antiqua"/>
          <w:i/>
          <w:sz w:val="24"/>
          <w:szCs w:val="24"/>
        </w:rPr>
        <w:t>Hepatol Int</w:t>
      </w:r>
      <w:r w:rsidRPr="00092289">
        <w:rPr>
          <w:rFonts w:ascii="Book Antiqua" w:hAnsi="Book Antiqua"/>
          <w:sz w:val="24"/>
          <w:szCs w:val="24"/>
        </w:rPr>
        <w:t xml:space="preserve"> 2016; </w:t>
      </w:r>
      <w:r w:rsidRPr="00092289">
        <w:rPr>
          <w:rFonts w:ascii="Book Antiqua" w:hAnsi="Book Antiqua"/>
          <w:b/>
          <w:sz w:val="24"/>
          <w:szCs w:val="24"/>
        </w:rPr>
        <w:t>10</w:t>
      </w:r>
      <w:r w:rsidRPr="00092289">
        <w:rPr>
          <w:rFonts w:ascii="Book Antiqua" w:hAnsi="Book Antiqua"/>
          <w:sz w:val="24"/>
          <w:szCs w:val="24"/>
        </w:rPr>
        <w:t>: 702-726 [PMID: 27130427 DOI: 10.1007/s12072-016-9717-6]</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2 </w:t>
      </w:r>
      <w:r w:rsidRPr="00092289">
        <w:rPr>
          <w:rFonts w:ascii="Book Antiqua" w:hAnsi="Book Antiqua"/>
          <w:b/>
          <w:sz w:val="24"/>
          <w:szCs w:val="24"/>
        </w:rPr>
        <w:t>Sasaki R</w:t>
      </w:r>
      <w:r w:rsidRPr="00092289">
        <w:rPr>
          <w:rFonts w:ascii="Book Antiqua" w:hAnsi="Book Antiqua"/>
          <w:sz w:val="24"/>
          <w:szCs w:val="24"/>
        </w:rPr>
        <w:t xml:space="preserve">, Kanda T, Nakamoto S, Haga Y, Nakamura M, Yasui S, Jiang X, Wu S, Arai M, Yokosuka O. Natural interferon-beta treatment for patients with chronic hepatitis C in Japan. </w:t>
      </w:r>
      <w:r w:rsidRPr="00092289">
        <w:rPr>
          <w:rFonts w:ascii="Book Antiqua" w:hAnsi="Book Antiqua"/>
          <w:i/>
          <w:sz w:val="24"/>
          <w:szCs w:val="24"/>
        </w:rPr>
        <w:t>World J Hepatol</w:t>
      </w:r>
      <w:r w:rsidRPr="00092289">
        <w:rPr>
          <w:rFonts w:ascii="Book Antiqua" w:hAnsi="Book Antiqua"/>
          <w:sz w:val="24"/>
          <w:szCs w:val="24"/>
        </w:rPr>
        <w:t xml:space="preserve"> 2015; </w:t>
      </w:r>
      <w:r w:rsidRPr="00092289">
        <w:rPr>
          <w:rFonts w:ascii="Book Antiqua" w:hAnsi="Book Antiqua"/>
          <w:b/>
          <w:sz w:val="24"/>
          <w:szCs w:val="24"/>
        </w:rPr>
        <w:t>7</w:t>
      </w:r>
      <w:r w:rsidRPr="00092289">
        <w:rPr>
          <w:rFonts w:ascii="Book Antiqua" w:hAnsi="Book Antiqua"/>
          <w:sz w:val="24"/>
          <w:szCs w:val="24"/>
        </w:rPr>
        <w:t>: 1125-1132 [PMID: 26052401 DOI: 10.4254/wjh.v7.i8.1125]</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3 </w:t>
      </w:r>
      <w:r w:rsidRPr="00092289">
        <w:rPr>
          <w:rFonts w:ascii="Book Antiqua" w:hAnsi="Book Antiqua"/>
          <w:b/>
          <w:sz w:val="24"/>
          <w:szCs w:val="24"/>
        </w:rPr>
        <w:t>Ge D</w:t>
      </w:r>
      <w:r w:rsidRPr="00092289">
        <w:rPr>
          <w:rFonts w:ascii="Book Antiqua" w:hAnsi="Book Antiqua"/>
          <w:sz w:val="24"/>
          <w:szCs w:val="24"/>
        </w:rPr>
        <w:t xml:space="preserve">, Fellay J, Thompson AJ, Simon JS, Shianna KV, Urban TJ, Heinzen EL, Qiu P, Bertelsen AH, Muir AJ, Sulkowski M, McHutchison JG, Goldstein DB. Genetic variation in IL28B predicts hepatitis C treatment-induced viral clearance. </w:t>
      </w:r>
      <w:r w:rsidRPr="00092289">
        <w:rPr>
          <w:rFonts w:ascii="Book Antiqua" w:hAnsi="Book Antiqua"/>
          <w:i/>
          <w:sz w:val="24"/>
          <w:szCs w:val="24"/>
        </w:rPr>
        <w:t>Nature</w:t>
      </w:r>
      <w:r w:rsidRPr="00092289">
        <w:rPr>
          <w:rFonts w:ascii="Book Antiqua" w:hAnsi="Book Antiqua"/>
          <w:sz w:val="24"/>
          <w:szCs w:val="24"/>
        </w:rPr>
        <w:t xml:space="preserve"> 2009; </w:t>
      </w:r>
      <w:r w:rsidRPr="00092289">
        <w:rPr>
          <w:rFonts w:ascii="Book Antiqua" w:hAnsi="Book Antiqua"/>
          <w:b/>
          <w:sz w:val="24"/>
          <w:szCs w:val="24"/>
        </w:rPr>
        <w:t>461</w:t>
      </w:r>
      <w:r w:rsidRPr="00092289">
        <w:rPr>
          <w:rFonts w:ascii="Book Antiqua" w:hAnsi="Book Antiqua"/>
          <w:sz w:val="24"/>
          <w:szCs w:val="24"/>
        </w:rPr>
        <w:t>: 399-401 [PMID: 19684573 DOI: 10.1038/nature08309]</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4 </w:t>
      </w:r>
      <w:r w:rsidRPr="00092289">
        <w:rPr>
          <w:rFonts w:ascii="Book Antiqua" w:hAnsi="Book Antiqua"/>
          <w:b/>
          <w:sz w:val="24"/>
          <w:szCs w:val="24"/>
        </w:rPr>
        <w:t>Suppiah V</w:t>
      </w:r>
      <w:r w:rsidRPr="00092289">
        <w:rPr>
          <w:rFonts w:ascii="Book Antiqua" w:hAnsi="Book Antiqua"/>
          <w:sz w:val="24"/>
          <w:szCs w:val="24"/>
        </w:rPr>
        <w:t xml:space="preserve">,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092289">
        <w:rPr>
          <w:rFonts w:ascii="Book Antiqua" w:hAnsi="Book Antiqua"/>
          <w:i/>
          <w:sz w:val="24"/>
          <w:szCs w:val="24"/>
        </w:rPr>
        <w:t>Nat Genet</w:t>
      </w:r>
      <w:r w:rsidRPr="00092289">
        <w:rPr>
          <w:rFonts w:ascii="Book Antiqua" w:hAnsi="Book Antiqua"/>
          <w:sz w:val="24"/>
          <w:szCs w:val="24"/>
        </w:rPr>
        <w:t xml:space="preserve"> 2009; </w:t>
      </w:r>
      <w:r w:rsidRPr="00092289">
        <w:rPr>
          <w:rFonts w:ascii="Book Antiqua" w:hAnsi="Book Antiqua"/>
          <w:b/>
          <w:sz w:val="24"/>
          <w:szCs w:val="24"/>
        </w:rPr>
        <w:t>41</w:t>
      </w:r>
      <w:r w:rsidRPr="00092289">
        <w:rPr>
          <w:rFonts w:ascii="Book Antiqua" w:hAnsi="Book Antiqua"/>
          <w:sz w:val="24"/>
          <w:szCs w:val="24"/>
        </w:rPr>
        <w:t>: 1100-1104 [PMID: 19749758 DOI: 10.1038/ng.447]</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5 </w:t>
      </w:r>
      <w:r w:rsidRPr="00092289">
        <w:rPr>
          <w:rFonts w:ascii="Book Antiqua" w:hAnsi="Book Antiqua"/>
          <w:b/>
          <w:sz w:val="24"/>
          <w:szCs w:val="24"/>
        </w:rPr>
        <w:t>Tanaka Y</w:t>
      </w:r>
      <w:r w:rsidRPr="00092289">
        <w:rPr>
          <w:rFonts w:ascii="Book Antiqua" w:hAnsi="Book Antiqua"/>
          <w:sz w:val="24"/>
          <w:szCs w:val="24"/>
        </w:rPr>
        <w:t xml:space="preserve">,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 </w:t>
      </w:r>
      <w:r w:rsidRPr="00092289">
        <w:rPr>
          <w:rFonts w:ascii="Book Antiqua" w:hAnsi="Book Antiqua"/>
          <w:i/>
          <w:sz w:val="24"/>
          <w:szCs w:val="24"/>
        </w:rPr>
        <w:t>Nat Genet</w:t>
      </w:r>
      <w:r w:rsidRPr="00092289">
        <w:rPr>
          <w:rFonts w:ascii="Book Antiqua" w:hAnsi="Book Antiqua"/>
          <w:sz w:val="24"/>
          <w:szCs w:val="24"/>
        </w:rPr>
        <w:t xml:space="preserve"> 2009; </w:t>
      </w:r>
      <w:r w:rsidRPr="00092289">
        <w:rPr>
          <w:rFonts w:ascii="Book Antiqua" w:hAnsi="Book Antiqua"/>
          <w:b/>
          <w:sz w:val="24"/>
          <w:szCs w:val="24"/>
        </w:rPr>
        <w:t>41</w:t>
      </w:r>
      <w:r w:rsidRPr="00092289">
        <w:rPr>
          <w:rFonts w:ascii="Book Antiqua" w:hAnsi="Book Antiqua"/>
          <w:sz w:val="24"/>
          <w:szCs w:val="24"/>
        </w:rPr>
        <w:t>: 1105-1109 [PMID: 19749757 DOI: 10.1038/ng.449]</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6 </w:t>
      </w:r>
      <w:r w:rsidRPr="00092289">
        <w:rPr>
          <w:rFonts w:ascii="Book Antiqua" w:hAnsi="Book Antiqua"/>
          <w:b/>
          <w:sz w:val="24"/>
          <w:szCs w:val="24"/>
        </w:rPr>
        <w:t>Kanda T</w:t>
      </w:r>
      <w:r w:rsidRPr="00092289">
        <w:rPr>
          <w:rFonts w:ascii="Book Antiqua" w:hAnsi="Book Antiqua"/>
          <w:sz w:val="24"/>
          <w:szCs w:val="24"/>
        </w:rPr>
        <w:t xml:space="preserve">, Nakamoto S, Sasaki R, Nakamura M, Yasui S, Haga Y, Ogasawara S, Tawada A, Arai M, Mikami S, Imazeki F, Yokosuka O. Sustained Virologic Response at 24 Weeks after the End of Treatment Is a Better Predictor for Treatment Outcome in Real-World HCV-Infected Patients Treated by HCV NS3/4A Protease Inhibitors with Peginterferon plus Ribavirin. </w:t>
      </w:r>
      <w:r w:rsidRPr="00092289">
        <w:rPr>
          <w:rFonts w:ascii="Book Antiqua" w:hAnsi="Book Antiqua"/>
          <w:i/>
          <w:sz w:val="24"/>
          <w:szCs w:val="24"/>
        </w:rPr>
        <w:t>Int J Med Sci</w:t>
      </w:r>
      <w:r w:rsidRPr="00092289">
        <w:rPr>
          <w:rFonts w:ascii="Book Antiqua" w:hAnsi="Book Antiqua"/>
          <w:sz w:val="24"/>
          <w:szCs w:val="24"/>
        </w:rPr>
        <w:t xml:space="preserve"> 2016; </w:t>
      </w:r>
      <w:r w:rsidRPr="00092289">
        <w:rPr>
          <w:rFonts w:ascii="Book Antiqua" w:hAnsi="Book Antiqua"/>
          <w:b/>
          <w:sz w:val="24"/>
          <w:szCs w:val="24"/>
        </w:rPr>
        <w:t>13</w:t>
      </w:r>
      <w:r w:rsidRPr="00092289">
        <w:rPr>
          <w:rFonts w:ascii="Book Antiqua" w:hAnsi="Book Antiqua"/>
          <w:sz w:val="24"/>
          <w:szCs w:val="24"/>
        </w:rPr>
        <w:t>: 310-315 [PMID: 27076789 DOI: 10.7150/ijms.14953]</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7 </w:t>
      </w:r>
      <w:r w:rsidRPr="00092289">
        <w:rPr>
          <w:rFonts w:ascii="Book Antiqua" w:hAnsi="Book Antiqua"/>
          <w:b/>
          <w:sz w:val="24"/>
          <w:szCs w:val="24"/>
        </w:rPr>
        <w:t>Kanda T</w:t>
      </w:r>
      <w:r w:rsidRPr="00092289">
        <w:rPr>
          <w:rFonts w:ascii="Book Antiqua" w:hAnsi="Book Antiqua"/>
          <w:sz w:val="24"/>
          <w:szCs w:val="24"/>
        </w:rPr>
        <w:t xml:space="preserve">, Imazeki F, Yokosuka O. New antiviral therapies for chronic hepatitis C. </w:t>
      </w:r>
      <w:r w:rsidRPr="00092289">
        <w:rPr>
          <w:rFonts w:ascii="Book Antiqua" w:hAnsi="Book Antiqua"/>
          <w:i/>
          <w:sz w:val="24"/>
          <w:szCs w:val="24"/>
        </w:rPr>
        <w:t>Hepatol Int</w:t>
      </w:r>
      <w:r w:rsidRPr="00092289">
        <w:rPr>
          <w:rFonts w:ascii="Book Antiqua" w:hAnsi="Book Antiqua"/>
          <w:sz w:val="24"/>
          <w:szCs w:val="24"/>
        </w:rPr>
        <w:t xml:space="preserve"> 2010; </w:t>
      </w:r>
      <w:r w:rsidRPr="00092289">
        <w:rPr>
          <w:rFonts w:ascii="Book Antiqua" w:hAnsi="Book Antiqua"/>
          <w:b/>
          <w:sz w:val="24"/>
          <w:szCs w:val="24"/>
        </w:rPr>
        <w:t>4</w:t>
      </w:r>
      <w:r w:rsidRPr="00092289">
        <w:rPr>
          <w:rFonts w:ascii="Book Antiqua" w:hAnsi="Book Antiqua"/>
          <w:sz w:val="24"/>
          <w:szCs w:val="24"/>
        </w:rPr>
        <w:t xml:space="preserve">: 548-561 [PMID: 21063477 DOI: </w:t>
      </w:r>
      <w:r w:rsidRPr="00092289">
        <w:rPr>
          <w:rFonts w:ascii="Book Antiqua" w:hAnsi="Book Antiqua"/>
          <w:sz w:val="24"/>
          <w:szCs w:val="24"/>
        </w:rPr>
        <w:lastRenderedPageBreak/>
        <w:t>10.1007/s12072-010-9193-3]</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8 </w:t>
      </w:r>
      <w:r w:rsidRPr="00092289">
        <w:rPr>
          <w:rFonts w:ascii="Book Antiqua" w:hAnsi="Book Antiqua"/>
          <w:b/>
          <w:sz w:val="24"/>
          <w:szCs w:val="24"/>
        </w:rPr>
        <w:t>Gane EJ</w:t>
      </w:r>
      <w:r w:rsidRPr="00092289">
        <w:rPr>
          <w:rFonts w:ascii="Book Antiqua" w:hAnsi="Book Antiqua"/>
          <w:sz w:val="24"/>
          <w:szCs w:val="24"/>
        </w:rPr>
        <w:t xml:space="preserve">, Roberts SK, Stedman CA, Angus PW, Ritchie B, Elston R, Ipe D, Morcos PN, Baher L, Najera I, Chu T, Lopatin U, Berrey MM, Bradford W, Laughlin M, Shulman NS, Smith PF. Oral combination therapy with a nucleoside polymerase inhibitor (RG7128) and danoprevir for chronic hepatitis C genotype 1 infection (INFORM-1): a randomised, double-blind, placebo-controlled, dose-escalation trial. </w:t>
      </w:r>
      <w:r w:rsidRPr="00092289">
        <w:rPr>
          <w:rFonts w:ascii="Book Antiqua" w:hAnsi="Book Antiqua"/>
          <w:i/>
          <w:sz w:val="24"/>
          <w:szCs w:val="24"/>
        </w:rPr>
        <w:t>Lancet</w:t>
      </w:r>
      <w:r w:rsidRPr="00092289">
        <w:rPr>
          <w:rFonts w:ascii="Book Antiqua" w:hAnsi="Book Antiqua"/>
          <w:sz w:val="24"/>
          <w:szCs w:val="24"/>
        </w:rPr>
        <w:t xml:space="preserve"> 2010; </w:t>
      </w:r>
      <w:r w:rsidRPr="00092289">
        <w:rPr>
          <w:rFonts w:ascii="Book Antiqua" w:hAnsi="Book Antiqua"/>
          <w:b/>
          <w:sz w:val="24"/>
          <w:szCs w:val="24"/>
        </w:rPr>
        <w:t>376</w:t>
      </w:r>
      <w:r w:rsidRPr="00092289">
        <w:rPr>
          <w:rFonts w:ascii="Book Antiqua" w:hAnsi="Book Antiqua"/>
          <w:sz w:val="24"/>
          <w:szCs w:val="24"/>
        </w:rPr>
        <w:t>: 1467-1475 [PMID: 20951424 DOI: 10.1016/S0140-6736(10)61384-0]</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9 </w:t>
      </w:r>
      <w:r w:rsidRPr="00092289">
        <w:rPr>
          <w:rFonts w:ascii="Book Antiqua" w:hAnsi="Book Antiqua"/>
          <w:b/>
          <w:sz w:val="24"/>
          <w:szCs w:val="24"/>
        </w:rPr>
        <w:t>Lawitz E</w:t>
      </w:r>
      <w:r w:rsidRPr="00092289">
        <w:rPr>
          <w:rFonts w:ascii="Book Antiqua" w:hAnsi="Book Antiqua"/>
          <w:sz w:val="24"/>
          <w:szCs w:val="24"/>
        </w:rPr>
        <w:t xml:space="preserve">, Poordad FF, Pang PS, Hyland RH, Ding X, Mo H, Symonds WT, McHutchison JG, Membreno FE. Sofosbuvir and ledipasvir fixed-dose combination with and without ribavirin in treatment-naive and previously treated patients with genotype 1 hepatitis C virus infection (LONESTAR): an open-label, randomised, phase 2 trial. </w:t>
      </w:r>
      <w:r w:rsidRPr="00092289">
        <w:rPr>
          <w:rFonts w:ascii="Book Antiqua" w:hAnsi="Book Antiqua"/>
          <w:i/>
          <w:sz w:val="24"/>
          <w:szCs w:val="24"/>
        </w:rPr>
        <w:t>Lancet</w:t>
      </w:r>
      <w:r w:rsidRPr="00092289">
        <w:rPr>
          <w:rFonts w:ascii="Book Antiqua" w:hAnsi="Book Antiqua"/>
          <w:sz w:val="24"/>
          <w:szCs w:val="24"/>
        </w:rPr>
        <w:t xml:space="preserve"> 2014; </w:t>
      </w:r>
      <w:r w:rsidRPr="00092289">
        <w:rPr>
          <w:rFonts w:ascii="Book Antiqua" w:hAnsi="Book Antiqua"/>
          <w:b/>
          <w:sz w:val="24"/>
          <w:szCs w:val="24"/>
        </w:rPr>
        <w:t>383</w:t>
      </w:r>
      <w:r w:rsidRPr="00092289">
        <w:rPr>
          <w:rFonts w:ascii="Book Antiqua" w:hAnsi="Book Antiqua"/>
          <w:sz w:val="24"/>
          <w:szCs w:val="24"/>
        </w:rPr>
        <w:t>: 515-523 [PMID: 24209977 DOI: 10.1016/S0140-6736(13)62121-2]</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10 </w:t>
      </w:r>
      <w:r w:rsidRPr="00092289">
        <w:rPr>
          <w:rFonts w:ascii="Book Antiqua" w:hAnsi="Book Antiqua"/>
          <w:b/>
          <w:sz w:val="24"/>
          <w:szCs w:val="24"/>
        </w:rPr>
        <w:t>Sulkowski M</w:t>
      </w:r>
      <w:r w:rsidRPr="00092289">
        <w:rPr>
          <w:rFonts w:ascii="Book Antiqua" w:hAnsi="Book Antiqua"/>
          <w:sz w:val="24"/>
          <w:szCs w:val="24"/>
        </w:rPr>
        <w:t xml:space="preserve">, Hezode C, Gerstoft J, Vierling JM, Mallolas J, Pol S, Kugelmas M, Murillo A, Weis N, Nahass R, Shibolet O, Serfaty L, Bourliere M, DeJesus E, Zuckerman E, Dutko F, Shaughnessy M, Hwang P, Howe AY, Wahl J, Robertson M, Barr E, Haber B. Efficacy and safety of 8 weeks versus 12 weeks of treatment with grazoprevir (MK-5172) and elbasvir (MK-8742) with or without ribavirin in patients with hepatitis C virus genotype 1 mono-infection and HIV/hepatitis C virus co-infection (C-WORTHY): a randomised, open-label phase 2 trial. </w:t>
      </w:r>
      <w:r w:rsidRPr="00092289">
        <w:rPr>
          <w:rFonts w:ascii="Book Antiqua" w:hAnsi="Book Antiqua"/>
          <w:i/>
          <w:sz w:val="24"/>
          <w:szCs w:val="24"/>
        </w:rPr>
        <w:t>Lancet</w:t>
      </w:r>
      <w:r w:rsidRPr="00092289">
        <w:rPr>
          <w:rFonts w:ascii="Book Antiqua" w:hAnsi="Book Antiqua"/>
          <w:sz w:val="24"/>
          <w:szCs w:val="24"/>
        </w:rPr>
        <w:t xml:space="preserve"> 2015; </w:t>
      </w:r>
      <w:r w:rsidRPr="00092289">
        <w:rPr>
          <w:rFonts w:ascii="Book Antiqua" w:hAnsi="Book Antiqua"/>
          <w:b/>
          <w:sz w:val="24"/>
          <w:szCs w:val="24"/>
        </w:rPr>
        <w:t>385</w:t>
      </w:r>
      <w:r w:rsidRPr="00092289">
        <w:rPr>
          <w:rFonts w:ascii="Book Antiqua" w:hAnsi="Book Antiqua"/>
          <w:sz w:val="24"/>
          <w:szCs w:val="24"/>
        </w:rPr>
        <w:t>: 1087-1097 [PMID: 25467560 DOI: 10.1016/S0140-6736(14)61793-1]</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11 </w:t>
      </w:r>
      <w:r w:rsidRPr="00092289">
        <w:rPr>
          <w:rFonts w:ascii="Book Antiqua" w:hAnsi="Book Antiqua"/>
          <w:b/>
          <w:sz w:val="24"/>
          <w:szCs w:val="24"/>
        </w:rPr>
        <w:t>Lok AS</w:t>
      </w:r>
      <w:r w:rsidRPr="00092289">
        <w:rPr>
          <w:rFonts w:ascii="Book Antiqua" w:hAnsi="Book Antiqua"/>
          <w:sz w:val="24"/>
          <w:szCs w:val="24"/>
        </w:rPr>
        <w:t xml:space="preserve">, Gardiner DF, Lawitz E, Martorell C, Everson GT, Ghalib R, Reindollar R, Rustgi V, McPhee F, Wind-Rotolo M, Persson A, Zhu K, Dimitrova DI, Eley T, Guo T, Grasela DM, Pasquinelli C. Preliminary study of two antiviral agents for hepatitis C genotype 1. </w:t>
      </w:r>
      <w:r w:rsidRPr="00092289">
        <w:rPr>
          <w:rFonts w:ascii="Book Antiqua" w:hAnsi="Book Antiqua"/>
          <w:i/>
          <w:sz w:val="24"/>
          <w:szCs w:val="24"/>
        </w:rPr>
        <w:t>N Engl J Med</w:t>
      </w:r>
      <w:r w:rsidRPr="00092289">
        <w:rPr>
          <w:rFonts w:ascii="Book Antiqua" w:hAnsi="Book Antiqua"/>
          <w:sz w:val="24"/>
          <w:szCs w:val="24"/>
        </w:rPr>
        <w:t xml:space="preserve"> 2012; </w:t>
      </w:r>
      <w:r w:rsidRPr="00092289">
        <w:rPr>
          <w:rFonts w:ascii="Book Antiqua" w:hAnsi="Book Antiqua"/>
          <w:b/>
          <w:sz w:val="24"/>
          <w:szCs w:val="24"/>
        </w:rPr>
        <w:t>366</w:t>
      </w:r>
      <w:r w:rsidRPr="00092289">
        <w:rPr>
          <w:rFonts w:ascii="Book Antiqua" w:hAnsi="Book Antiqua"/>
          <w:sz w:val="24"/>
          <w:szCs w:val="24"/>
        </w:rPr>
        <w:t>: 216-224 [PMID: 22256805 DOI: 10.1056/NEJMoa1104430]</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12 </w:t>
      </w:r>
      <w:r w:rsidRPr="00092289">
        <w:rPr>
          <w:rFonts w:ascii="Book Antiqua" w:hAnsi="Book Antiqua"/>
          <w:b/>
          <w:sz w:val="24"/>
          <w:szCs w:val="24"/>
        </w:rPr>
        <w:t>Karino Y</w:t>
      </w:r>
      <w:r w:rsidRPr="00092289">
        <w:rPr>
          <w:rFonts w:ascii="Book Antiqua" w:hAnsi="Book Antiqua"/>
          <w:sz w:val="24"/>
          <w:szCs w:val="24"/>
        </w:rPr>
        <w:t xml:space="preserve">, Toyota J, Ikeda K, Suzuki F, Chayama K, Kawakami Y, Ishikawa H, Watanabe H, Hernandez D, Yu F, McPhee F, Kumada H. Characterization of virologic escape in hepatitis C virus genotype 1b patients treated with the direct-acting antivirals daclatasvir and asunaprevir. </w:t>
      </w:r>
      <w:r w:rsidRPr="00092289">
        <w:rPr>
          <w:rFonts w:ascii="Book Antiqua" w:hAnsi="Book Antiqua"/>
          <w:i/>
          <w:sz w:val="24"/>
          <w:szCs w:val="24"/>
        </w:rPr>
        <w:t>J Hepatol</w:t>
      </w:r>
      <w:r w:rsidRPr="00092289">
        <w:rPr>
          <w:rFonts w:ascii="Book Antiqua" w:hAnsi="Book Antiqua"/>
          <w:sz w:val="24"/>
          <w:szCs w:val="24"/>
        </w:rPr>
        <w:t xml:space="preserve"> 2013; </w:t>
      </w:r>
      <w:r w:rsidRPr="00092289">
        <w:rPr>
          <w:rFonts w:ascii="Book Antiqua" w:hAnsi="Book Antiqua"/>
          <w:b/>
          <w:sz w:val="24"/>
          <w:szCs w:val="24"/>
        </w:rPr>
        <w:t>58</w:t>
      </w:r>
      <w:r w:rsidRPr="00092289">
        <w:rPr>
          <w:rFonts w:ascii="Book Antiqua" w:hAnsi="Book Antiqua"/>
          <w:sz w:val="24"/>
          <w:szCs w:val="24"/>
        </w:rPr>
        <w:t>: 646-654 [PMID: 23178977 DOI: 10.1016/j.jhep.2012.11.012]</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13 </w:t>
      </w:r>
      <w:r w:rsidRPr="00092289">
        <w:rPr>
          <w:rFonts w:ascii="Book Antiqua" w:hAnsi="Book Antiqua"/>
          <w:b/>
          <w:sz w:val="24"/>
          <w:szCs w:val="24"/>
        </w:rPr>
        <w:t>Kumada H</w:t>
      </w:r>
      <w:r w:rsidRPr="00092289">
        <w:rPr>
          <w:rFonts w:ascii="Book Antiqua" w:hAnsi="Book Antiqua"/>
          <w:sz w:val="24"/>
          <w:szCs w:val="24"/>
        </w:rPr>
        <w:t xml:space="preserve">, Chayama K, Rodrigues L Jr, Suzuki F, Ikeda K, Toyoda H, Sato K, Karino Y, Matsuzaki Y, Kioka K, Setze C, Pilot-Matias T, Patwardhan M, Vilchez RA, Burroughs M, Redman R. Randomized phase 3 trial of </w:t>
      </w:r>
      <w:r w:rsidRPr="00092289">
        <w:rPr>
          <w:rFonts w:ascii="Book Antiqua" w:hAnsi="Book Antiqua"/>
          <w:sz w:val="24"/>
          <w:szCs w:val="24"/>
        </w:rPr>
        <w:lastRenderedPageBreak/>
        <w:t xml:space="preserve">ombitasvir/paritaprevir/ritonavir for hepatitis C virus genotype 1b-infected Japanese patients with or without cirrhosis. </w:t>
      </w:r>
      <w:r w:rsidRPr="00092289">
        <w:rPr>
          <w:rFonts w:ascii="Book Antiqua" w:hAnsi="Book Antiqua"/>
          <w:i/>
          <w:sz w:val="24"/>
          <w:szCs w:val="24"/>
        </w:rPr>
        <w:t>Hepatology</w:t>
      </w:r>
      <w:r w:rsidRPr="00092289">
        <w:rPr>
          <w:rFonts w:ascii="Book Antiqua" w:hAnsi="Book Antiqua"/>
          <w:sz w:val="24"/>
          <w:szCs w:val="24"/>
        </w:rPr>
        <w:t xml:space="preserve"> 2015; </w:t>
      </w:r>
      <w:r w:rsidRPr="00092289">
        <w:rPr>
          <w:rFonts w:ascii="Book Antiqua" w:hAnsi="Book Antiqua"/>
          <w:b/>
          <w:sz w:val="24"/>
          <w:szCs w:val="24"/>
        </w:rPr>
        <w:t>62</w:t>
      </w:r>
      <w:r w:rsidRPr="00092289">
        <w:rPr>
          <w:rFonts w:ascii="Book Antiqua" w:hAnsi="Book Antiqua"/>
          <w:sz w:val="24"/>
          <w:szCs w:val="24"/>
        </w:rPr>
        <w:t>: 1037-1046 [PMID: 26147154 DOI: 10.1002/hep.27972]</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14 </w:t>
      </w:r>
      <w:r w:rsidRPr="00092289">
        <w:rPr>
          <w:rFonts w:ascii="Book Antiqua" w:hAnsi="Book Antiqua"/>
          <w:b/>
          <w:sz w:val="24"/>
          <w:szCs w:val="24"/>
        </w:rPr>
        <w:t>Akuta N</w:t>
      </w:r>
      <w:r w:rsidRPr="00092289">
        <w:rPr>
          <w:rFonts w:ascii="Book Antiqua" w:hAnsi="Book Antiqua"/>
          <w:sz w:val="24"/>
          <w:szCs w:val="24"/>
        </w:rPr>
        <w:t xml:space="preserve">, Sezaki H, Suzuki F, Fujiyama S, Kawamura Y, Hosaka T, Kobayashi M, Kobayashi M, Saitoh S, Suzuki Y, Arase Y, Ikeda K, Kumada H. Ledipasvir plus sofosbuvir as salvage therapy for HCV genotype 1 failures to prior NS5A inhibitors regimens. </w:t>
      </w:r>
      <w:r w:rsidRPr="00092289">
        <w:rPr>
          <w:rFonts w:ascii="Book Antiqua" w:hAnsi="Book Antiqua"/>
          <w:i/>
          <w:sz w:val="24"/>
          <w:szCs w:val="24"/>
        </w:rPr>
        <w:t>J Med Virol</w:t>
      </w:r>
      <w:r w:rsidRPr="00092289">
        <w:rPr>
          <w:rFonts w:ascii="Book Antiqua" w:hAnsi="Book Antiqua"/>
          <w:sz w:val="24"/>
          <w:szCs w:val="24"/>
        </w:rPr>
        <w:t xml:space="preserve"> 2017; </w:t>
      </w:r>
      <w:r w:rsidRPr="00092289">
        <w:rPr>
          <w:rFonts w:ascii="Book Antiqua" w:hAnsi="Book Antiqua"/>
          <w:b/>
          <w:sz w:val="24"/>
          <w:szCs w:val="24"/>
        </w:rPr>
        <w:t>89</w:t>
      </w:r>
      <w:r w:rsidRPr="00092289">
        <w:rPr>
          <w:rFonts w:ascii="Book Antiqua" w:hAnsi="Book Antiqua"/>
          <w:sz w:val="24"/>
          <w:szCs w:val="24"/>
        </w:rPr>
        <w:t>: 1248-1254 [PMID: 28079269 DOI: 10.1002/jmv.24767]</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15 </w:t>
      </w:r>
      <w:r w:rsidRPr="00092289">
        <w:rPr>
          <w:rFonts w:ascii="Book Antiqua" w:hAnsi="Book Antiqua"/>
          <w:b/>
          <w:sz w:val="24"/>
          <w:szCs w:val="24"/>
        </w:rPr>
        <w:t>Iio E</w:t>
      </w:r>
      <w:r w:rsidRPr="00092289">
        <w:rPr>
          <w:rFonts w:ascii="Book Antiqua" w:hAnsi="Book Antiqua"/>
          <w:sz w:val="24"/>
          <w:szCs w:val="24"/>
        </w:rPr>
        <w:t xml:space="preserve">, Shimada N, Takaguchi K, Senoh T, Eguchi Y, Atsukawa M, Tsubota A, Abe H, Kato K, Kusakabe A, Miyaki T, Matsuura K, Matsunami K, Shinkai N, Fujiwara K, Nojiri S, Tanaka Y. Clinical evaluation of sofosbuvir/ledipasvir in patients with chronic hepatitis C genotype 1 with and without prior daclatasvir/asunaprevir therapy. </w:t>
      </w:r>
      <w:r w:rsidRPr="00092289">
        <w:rPr>
          <w:rFonts w:ascii="Book Antiqua" w:hAnsi="Book Antiqua"/>
          <w:i/>
          <w:sz w:val="24"/>
          <w:szCs w:val="24"/>
        </w:rPr>
        <w:t>Hepatol Res</w:t>
      </w:r>
      <w:r w:rsidRPr="00092289">
        <w:rPr>
          <w:rFonts w:ascii="Book Antiqua" w:hAnsi="Book Antiqua"/>
          <w:sz w:val="24"/>
          <w:szCs w:val="24"/>
        </w:rPr>
        <w:t xml:space="preserve"> 2017; </w:t>
      </w:r>
      <w:r w:rsidRPr="00092289">
        <w:rPr>
          <w:rFonts w:ascii="Book Antiqua" w:hAnsi="Book Antiqua"/>
          <w:b/>
          <w:sz w:val="24"/>
          <w:szCs w:val="24"/>
        </w:rPr>
        <w:t>47</w:t>
      </w:r>
      <w:r w:rsidRPr="00092289">
        <w:rPr>
          <w:rFonts w:ascii="Book Antiqua" w:hAnsi="Book Antiqua"/>
          <w:sz w:val="24"/>
          <w:szCs w:val="24"/>
        </w:rPr>
        <w:t>: 1308-1316 [PMID: 28332272 DOI: 10.1111/hepr.12898]</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16 </w:t>
      </w:r>
      <w:r w:rsidRPr="00092289">
        <w:rPr>
          <w:rFonts w:ascii="Book Antiqua" w:hAnsi="Book Antiqua"/>
          <w:b/>
          <w:sz w:val="24"/>
          <w:szCs w:val="24"/>
        </w:rPr>
        <w:t>Kawakami Y</w:t>
      </w:r>
      <w:r w:rsidRPr="00092289">
        <w:rPr>
          <w:rFonts w:ascii="Book Antiqua" w:hAnsi="Book Antiqua"/>
          <w:sz w:val="24"/>
          <w:szCs w:val="24"/>
        </w:rPr>
        <w:t xml:space="preserve">, Ochi H, Hayes CN, Imamura M, Tsuge M, Nakahara T, Katamura Y, Kohno H, Kohno H, Tsuji K, Takaki S, Mori N, Honda Y, Arataki K, Takahashi S, Kira S, Tamura T, Masuda K, Nakamura T, Kikkawa M, Chayama K. Efficacy and safety of ledipasvir/sofosbuvir with ribavirin in chronic hepatitis C patients who failed daclatasvir/asunaprevir therapy: pilot study. </w:t>
      </w:r>
      <w:r w:rsidRPr="00092289">
        <w:rPr>
          <w:rFonts w:ascii="Book Antiqua" w:hAnsi="Book Antiqua"/>
          <w:i/>
          <w:sz w:val="24"/>
          <w:szCs w:val="24"/>
        </w:rPr>
        <w:t>J Gastroenterol</w:t>
      </w:r>
      <w:r w:rsidRPr="00092289">
        <w:rPr>
          <w:rFonts w:ascii="Book Antiqua" w:hAnsi="Book Antiqua"/>
          <w:sz w:val="24"/>
          <w:szCs w:val="24"/>
        </w:rPr>
        <w:t xml:space="preserve"> 2017</w:t>
      </w:r>
      <w:r>
        <w:rPr>
          <w:rFonts w:ascii="Book Antiqua" w:hAnsi="Book Antiqua" w:hint="eastAsia"/>
          <w:sz w:val="24"/>
          <w:szCs w:val="24"/>
        </w:rPr>
        <w:t xml:space="preserve"> </w:t>
      </w:r>
      <w:r w:rsidRPr="00092289">
        <w:rPr>
          <w:rFonts w:ascii="Book Antiqua" w:hAnsi="Book Antiqua"/>
          <w:sz w:val="24"/>
          <w:szCs w:val="24"/>
        </w:rPr>
        <w:t xml:space="preserve">Aug 16. </w:t>
      </w:r>
      <w:r w:rsidRPr="00092289">
        <w:rPr>
          <w:rFonts w:ascii="Book Antiqua" w:hAnsi="Book Antiqua"/>
          <w:i/>
          <w:sz w:val="24"/>
          <w:szCs w:val="24"/>
        </w:rPr>
        <w:t>[Epub ahead of print]</w:t>
      </w:r>
      <w:r w:rsidRPr="00092289">
        <w:rPr>
          <w:rFonts w:ascii="Book Antiqua" w:hAnsi="Book Antiqua"/>
          <w:sz w:val="24"/>
          <w:szCs w:val="24"/>
        </w:rPr>
        <w:t xml:space="preserve"> [PMID: 28815329 DOI: 10.1007/s00535-017-1380-8]</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17 </w:t>
      </w:r>
      <w:r w:rsidRPr="00092289">
        <w:rPr>
          <w:rFonts w:ascii="Book Antiqua" w:hAnsi="Book Antiqua"/>
          <w:b/>
          <w:sz w:val="24"/>
          <w:szCs w:val="24"/>
        </w:rPr>
        <w:t>Poordad F</w:t>
      </w:r>
      <w:r w:rsidRPr="00092289">
        <w:rPr>
          <w:rFonts w:ascii="Book Antiqua" w:hAnsi="Book Antiqua"/>
          <w:sz w:val="24"/>
          <w:szCs w:val="24"/>
        </w:rPr>
        <w:t xml:space="preserve">, McCone J Jr, Bacon BR, Bruno S, Manns MP, Sulkowski MS, Jacobson IM, Reddy KR, Goodman ZD, Boparai N, DiNubile MJ, Sniukiene V, Brass CA, Albrecht JK, Bronowicki JP; SPRINT-2 Investigators. Boceprevir for untreated chronic HCV genotype 1 infection. </w:t>
      </w:r>
      <w:r w:rsidRPr="00092289">
        <w:rPr>
          <w:rFonts w:ascii="Book Antiqua" w:hAnsi="Book Antiqua"/>
          <w:i/>
          <w:sz w:val="24"/>
          <w:szCs w:val="24"/>
        </w:rPr>
        <w:t>N Engl J Med</w:t>
      </w:r>
      <w:r w:rsidRPr="00092289">
        <w:rPr>
          <w:rFonts w:ascii="Book Antiqua" w:hAnsi="Book Antiqua"/>
          <w:sz w:val="24"/>
          <w:szCs w:val="24"/>
        </w:rPr>
        <w:t xml:space="preserve"> 2011; </w:t>
      </w:r>
      <w:r w:rsidRPr="00092289">
        <w:rPr>
          <w:rFonts w:ascii="Book Antiqua" w:hAnsi="Book Antiqua"/>
          <w:b/>
          <w:sz w:val="24"/>
          <w:szCs w:val="24"/>
        </w:rPr>
        <w:t>364</w:t>
      </w:r>
      <w:r w:rsidRPr="00092289">
        <w:rPr>
          <w:rFonts w:ascii="Book Antiqua" w:hAnsi="Book Antiqua"/>
          <w:sz w:val="24"/>
          <w:szCs w:val="24"/>
        </w:rPr>
        <w:t>: 1195-1206 [PMID: 21449783 DOI: 10.1056/NEJMoa1010494]</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18 </w:t>
      </w:r>
      <w:r w:rsidRPr="00092289">
        <w:rPr>
          <w:rFonts w:ascii="Book Antiqua" w:hAnsi="Book Antiqua"/>
          <w:b/>
          <w:sz w:val="24"/>
          <w:szCs w:val="24"/>
        </w:rPr>
        <w:t>Bacon BR</w:t>
      </w:r>
      <w:r w:rsidRPr="00092289">
        <w:rPr>
          <w:rFonts w:ascii="Book Antiqua" w:hAnsi="Book Antiqua"/>
          <w:sz w:val="24"/>
          <w:szCs w:val="24"/>
        </w:rPr>
        <w:t xml:space="preserve">, Gordon SC, Lawitz E, Marcellin P, Vierling JM, Zeuzem S, Poordad F, Goodman ZD, Sings HL, Boparai N, Burroughs M, Brass CA, Albrecht JK, Esteban R; HCV RESPOND-2 Investigators. Boceprevir for previously treated chronic HCV genotype 1 infection. </w:t>
      </w:r>
      <w:r w:rsidRPr="00092289">
        <w:rPr>
          <w:rFonts w:ascii="Book Antiqua" w:hAnsi="Book Antiqua"/>
          <w:i/>
          <w:sz w:val="24"/>
          <w:szCs w:val="24"/>
        </w:rPr>
        <w:t>N Engl J Med</w:t>
      </w:r>
      <w:r w:rsidRPr="00092289">
        <w:rPr>
          <w:rFonts w:ascii="Book Antiqua" w:hAnsi="Book Antiqua"/>
          <w:sz w:val="24"/>
          <w:szCs w:val="24"/>
        </w:rPr>
        <w:t xml:space="preserve"> 2011; </w:t>
      </w:r>
      <w:r w:rsidRPr="00092289">
        <w:rPr>
          <w:rFonts w:ascii="Book Antiqua" w:hAnsi="Book Antiqua"/>
          <w:b/>
          <w:sz w:val="24"/>
          <w:szCs w:val="24"/>
        </w:rPr>
        <w:t>364</w:t>
      </w:r>
      <w:r w:rsidRPr="00092289">
        <w:rPr>
          <w:rFonts w:ascii="Book Antiqua" w:hAnsi="Book Antiqua"/>
          <w:sz w:val="24"/>
          <w:szCs w:val="24"/>
        </w:rPr>
        <w:t>: 1207-1217 [PMID: 21449784 DOI: 10.1056/NEJMoa1009482]</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19 </w:t>
      </w:r>
      <w:r w:rsidRPr="00092289">
        <w:rPr>
          <w:rFonts w:ascii="Book Antiqua" w:hAnsi="Book Antiqua"/>
          <w:b/>
          <w:sz w:val="24"/>
          <w:szCs w:val="24"/>
        </w:rPr>
        <w:t>McHutchison JG</w:t>
      </w:r>
      <w:r w:rsidRPr="00092289">
        <w:rPr>
          <w:rFonts w:ascii="Book Antiqua" w:hAnsi="Book Antiqua"/>
          <w:sz w:val="24"/>
          <w:szCs w:val="24"/>
        </w:rPr>
        <w:t xml:space="preserve">, Manns MP, Muir AJ, Terrault NA, Jacobson IM, Afdhal NH, Heathcote EJ, Zeuzem S, Reesink HW, Garg J, Bsharat M, George S, Kauffman RS, Adda N, Di Bisceglie AM; PROVE3 Study Team. Telaprevir for previously treated chronic HCV infection. </w:t>
      </w:r>
      <w:r w:rsidRPr="00092289">
        <w:rPr>
          <w:rFonts w:ascii="Book Antiqua" w:hAnsi="Book Antiqua"/>
          <w:i/>
          <w:sz w:val="24"/>
          <w:szCs w:val="24"/>
        </w:rPr>
        <w:t>N Engl J Med</w:t>
      </w:r>
      <w:r w:rsidRPr="00092289">
        <w:rPr>
          <w:rFonts w:ascii="Book Antiqua" w:hAnsi="Book Antiqua"/>
          <w:sz w:val="24"/>
          <w:szCs w:val="24"/>
        </w:rPr>
        <w:t xml:space="preserve"> 2010; </w:t>
      </w:r>
      <w:r w:rsidRPr="00092289">
        <w:rPr>
          <w:rFonts w:ascii="Book Antiqua" w:hAnsi="Book Antiqua"/>
          <w:b/>
          <w:sz w:val="24"/>
          <w:szCs w:val="24"/>
        </w:rPr>
        <w:t>362</w:t>
      </w:r>
      <w:r w:rsidRPr="00092289">
        <w:rPr>
          <w:rFonts w:ascii="Book Antiqua" w:hAnsi="Book Antiqua"/>
          <w:sz w:val="24"/>
          <w:szCs w:val="24"/>
        </w:rPr>
        <w:t>: 1292-1303 [PMID: 20375406 DOI: 10.1056/NEJMoa0908014]</w:t>
      </w:r>
    </w:p>
    <w:p w:rsidR="00F35807" w:rsidRPr="00092289" w:rsidRDefault="00F35807" w:rsidP="00F35807">
      <w:pPr>
        <w:rPr>
          <w:rFonts w:ascii="Book Antiqua" w:hAnsi="Book Antiqua"/>
          <w:sz w:val="24"/>
          <w:szCs w:val="24"/>
        </w:rPr>
      </w:pPr>
      <w:r w:rsidRPr="00092289">
        <w:rPr>
          <w:rFonts w:ascii="Book Antiqua" w:hAnsi="Book Antiqua"/>
          <w:sz w:val="24"/>
          <w:szCs w:val="24"/>
        </w:rPr>
        <w:lastRenderedPageBreak/>
        <w:t xml:space="preserve">20 </w:t>
      </w:r>
      <w:r w:rsidRPr="00092289">
        <w:rPr>
          <w:rFonts w:ascii="Book Antiqua" w:hAnsi="Book Antiqua"/>
          <w:b/>
          <w:sz w:val="24"/>
          <w:szCs w:val="24"/>
        </w:rPr>
        <w:t>Jacobson IM</w:t>
      </w:r>
      <w:r w:rsidRPr="00092289">
        <w:rPr>
          <w:rFonts w:ascii="Book Antiqua" w:hAnsi="Book Antiqua"/>
          <w:sz w:val="24"/>
          <w:szCs w:val="24"/>
        </w:rPr>
        <w:t xml:space="preserve">, McHutchison JG, Dusheiko G, Di Bisceglie AM, Reddy KR, Bzowej NH, Marcellin P, Muir AJ, Ferenci P, Flisiak R, George J, Rizzetto M, Shouval D, Sola R, Terg RA, Yoshida EM, Adda N, Bengtsson L, Sankoh AJ, Kieffer TL, George S, Kauffman RS, Zeuzem S; ADVANCE Study Team. Telaprevir for previously untreated chronic hepatitis C virus infection. </w:t>
      </w:r>
      <w:r w:rsidRPr="00092289">
        <w:rPr>
          <w:rFonts w:ascii="Book Antiqua" w:hAnsi="Book Antiqua"/>
          <w:i/>
          <w:sz w:val="24"/>
          <w:szCs w:val="24"/>
        </w:rPr>
        <w:t>N Engl J Med</w:t>
      </w:r>
      <w:r w:rsidRPr="00092289">
        <w:rPr>
          <w:rFonts w:ascii="Book Antiqua" w:hAnsi="Book Antiqua"/>
          <w:sz w:val="24"/>
          <w:szCs w:val="24"/>
        </w:rPr>
        <w:t xml:space="preserve"> 2011; </w:t>
      </w:r>
      <w:r w:rsidRPr="00092289">
        <w:rPr>
          <w:rFonts w:ascii="Book Antiqua" w:hAnsi="Book Antiqua"/>
          <w:b/>
          <w:sz w:val="24"/>
          <w:szCs w:val="24"/>
        </w:rPr>
        <w:t>364</w:t>
      </w:r>
      <w:r w:rsidRPr="00092289">
        <w:rPr>
          <w:rFonts w:ascii="Book Antiqua" w:hAnsi="Book Antiqua"/>
          <w:sz w:val="24"/>
          <w:szCs w:val="24"/>
        </w:rPr>
        <w:t>: 2405-2416 [PMID: 21696307 DOI: 10.1056/NEJMoa1012912]</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21 </w:t>
      </w:r>
      <w:r w:rsidRPr="00092289">
        <w:rPr>
          <w:rFonts w:ascii="Book Antiqua" w:hAnsi="Book Antiqua"/>
          <w:b/>
          <w:sz w:val="24"/>
          <w:szCs w:val="24"/>
        </w:rPr>
        <w:t>Zeuzem S</w:t>
      </w:r>
      <w:r w:rsidRPr="00092289">
        <w:rPr>
          <w:rFonts w:ascii="Book Antiqua" w:hAnsi="Book Antiqua"/>
          <w:sz w:val="24"/>
          <w:szCs w:val="24"/>
        </w:rPr>
        <w:t xml:space="preserve">, Andreone P, Pol S, Lawitz E, Diago M, Roberts S, Focaccia R, Younossi Z, Foster GR, Horban A, Ferenci P, Nevens F, Müllhaupt B, Pockros P, Terg R, Shouval D, van Hoek B, Weiland O, Van Heeswijk R, De Meyer S, Luo D, Boogaerts G, Polo R, Picchio G, Beumont M; REALIZE Study Team. Telaprevir for retreatment of HCV infection. </w:t>
      </w:r>
      <w:r w:rsidRPr="00092289">
        <w:rPr>
          <w:rFonts w:ascii="Book Antiqua" w:hAnsi="Book Antiqua"/>
          <w:i/>
          <w:sz w:val="24"/>
          <w:szCs w:val="24"/>
        </w:rPr>
        <w:t>N Engl J Med</w:t>
      </w:r>
      <w:r w:rsidRPr="00092289">
        <w:rPr>
          <w:rFonts w:ascii="Book Antiqua" w:hAnsi="Book Antiqua"/>
          <w:sz w:val="24"/>
          <w:szCs w:val="24"/>
        </w:rPr>
        <w:t xml:space="preserve"> 2011; </w:t>
      </w:r>
      <w:r w:rsidRPr="00092289">
        <w:rPr>
          <w:rFonts w:ascii="Book Antiqua" w:hAnsi="Book Antiqua"/>
          <w:b/>
          <w:sz w:val="24"/>
          <w:szCs w:val="24"/>
        </w:rPr>
        <w:t>364</w:t>
      </w:r>
      <w:r w:rsidRPr="00092289">
        <w:rPr>
          <w:rFonts w:ascii="Book Antiqua" w:hAnsi="Book Antiqua"/>
          <w:sz w:val="24"/>
          <w:szCs w:val="24"/>
        </w:rPr>
        <w:t>: 2417-2428 [PMID: 21696308 DOI: 10.1056/NEJMoa1013086]</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22 </w:t>
      </w:r>
      <w:r w:rsidRPr="00092289">
        <w:rPr>
          <w:rFonts w:ascii="Book Antiqua" w:hAnsi="Book Antiqua"/>
          <w:b/>
          <w:sz w:val="24"/>
          <w:szCs w:val="24"/>
        </w:rPr>
        <w:t>Kanda T</w:t>
      </w:r>
      <w:r w:rsidRPr="00092289">
        <w:rPr>
          <w:rFonts w:ascii="Book Antiqua" w:hAnsi="Book Antiqua"/>
          <w:sz w:val="24"/>
          <w:szCs w:val="24"/>
        </w:rPr>
        <w:t xml:space="preserve">, Yokosuka O, Omata M. Faldaprevir for the treatment of hepatitis C. </w:t>
      </w:r>
      <w:r w:rsidRPr="00092289">
        <w:rPr>
          <w:rFonts w:ascii="Book Antiqua" w:hAnsi="Book Antiqua"/>
          <w:i/>
          <w:sz w:val="24"/>
          <w:szCs w:val="24"/>
        </w:rPr>
        <w:t>Int J Mol Sci</w:t>
      </w:r>
      <w:r w:rsidRPr="00092289">
        <w:rPr>
          <w:rFonts w:ascii="Book Antiqua" w:hAnsi="Book Antiqua"/>
          <w:sz w:val="24"/>
          <w:szCs w:val="24"/>
        </w:rPr>
        <w:t xml:space="preserve"> 2015; </w:t>
      </w:r>
      <w:r w:rsidRPr="00092289">
        <w:rPr>
          <w:rFonts w:ascii="Book Antiqua" w:hAnsi="Book Antiqua"/>
          <w:b/>
          <w:sz w:val="24"/>
          <w:szCs w:val="24"/>
        </w:rPr>
        <w:t>16</w:t>
      </w:r>
      <w:r w:rsidRPr="00092289">
        <w:rPr>
          <w:rFonts w:ascii="Book Antiqua" w:hAnsi="Book Antiqua"/>
          <w:sz w:val="24"/>
          <w:szCs w:val="24"/>
        </w:rPr>
        <w:t>: 4985-4996 [PMID: 25749475 DOI: 10.3390/ijms16034985]</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23 </w:t>
      </w:r>
      <w:r w:rsidRPr="00092289">
        <w:rPr>
          <w:rFonts w:ascii="Book Antiqua" w:hAnsi="Book Antiqua"/>
          <w:b/>
          <w:sz w:val="24"/>
          <w:szCs w:val="24"/>
        </w:rPr>
        <w:t>Manns M</w:t>
      </w:r>
      <w:r w:rsidRPr="00092289">
        <w:rPr>
          <w:rFonts w:ascii="Book Antiqua" w:hAnsi="Book Antiqua"/>
          <w:sz w:val="24"/>
          <w:szCs w:val="24"/>
        </w:rPr>
        <w:t xml:space="preserve">, Marcellin P, Poordad F, de Araujo ES, Buti M, Horsmans Y, Janczewska E, Villamil F, Scott J, Peeters M, Lenz O, Ouwerkerk-Mahadevan S, De La Rosa G, Kalmeijer R, Sinha R, Beumont-Mauviel M. Simeprevir with pegylated interferon alfa 2a or 2b plus ribavirin in treatment-naive patients with chronic hepatitis C virus genotype 1 infection (QUEST-2): a randomised, double-blind, placebo-controlled phase 3 trial. </w:t>
      </w:r>
      <w:r w:rsidRPr="00092289">
        <w:rPr>
          <w:rFonts w:ascii="Book Antiqua" w:hAnsi="Book Antiqua"/>
          <w:i/>
          <w:sz w:val="24"/>
          <w:szCs w:val="24"/>
        </w:rPr>
        <w:t>Lancet</w:t>
      </w:r>
      <w:r w:rsidRPr="00092289">
        <w:rPr>
          <w:rFonts w:ascii="Book Antiqua" w:hAnsi="Book Antiqua"/>
          <w:sz w:val="24"/>
          <w:szCs w:val="24"/>
        </w:rPr>
        <w:t xml:space="preserve"> 2014; </w:t>
      </w:r>
      <w:r w:rsidRPr="00092289">
        <w:rPr>
          <w:rFonts w:ascii="Book Antiqua" w:hAnsi="Book Antiqua"/>
          <w:b/>
          <w:sz w:val="24"/>
          <w:szCs w:val="24"/>
        </w:rPr>
        <w:t>384</w:t>
      </w:r>
      <w:r w:rsidRPr="00092289">
        <w:rPr>
          <w:rFonts w:ascii="Book Antiqua" w:hAnsi="Book Antiqua"/>
          <w:sz w:val="24"/>
          <w:szCs w:val="24"/>
        </w:rPr>
        <w:t>: 414-426 [PMID: 24907224 DOI: 10.1016/S0140-6736(14)60538-9]</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24 </w:t>
      </w:r>
      <w:r w:rsidRPr="00092289">
        <w:rPr>
          <w:rFonts w:ascii="Book Antiqua" w:hAnsi="Book Antiqua"/>
          <w:b/>
          <w:sz w:val="24"/>
          <w:szCs w:val="24"/>
        </w:rPr>
        <w:t>Jacobson IM</w:t>
      </w:r>
      <w:r w:rsidRPr="00092289">
        <w:rPr>
          <w:rFonts w:ascii="Book Antiqua" w:hAnsi="Book Antiqua"/>
          <w:sz w:val="24"/>
          <w:szCs w:val="24"/>
        </w:rPr>
        <w:t xml:space="preserve">, Dore GJ, Foster GR, Fried MW, Radu M, Rafalsky VV, Moroz L, Craxi A, Peeters M, Lenz O, Ouwerkerk-Mahadevan S, De La Rosa G, Kalmeijer R, Scott J, Sinha R, Beumont-Mauviel M. Simeprevir with pegylated interferon alfa 2a plus ribavirin in treatment-naive patients with chronic hepatitis C virus genotype 1 infection (QUEST-1): a phase 3, randomised, double-blind, placebo-controlled trial. </w:t>
      </w:r>
      <w:r w:rsidRPr="00092289">
        <w:rPr>
          <w:rFonts w:ascii="Book Antiqua" w:hAnsi="Book Antiqua"/>
          <w:i/>
          <w:sz w:val="24"/>
          <w:szCs w:val="24"/>
        </w:rPr>
        <w:t>Lancet</w:t>
      </w:r>
      <w:r w:rsidRPr="00092289">
        <w:rPr>
          <w:rFonts w:ascii="Book Antiqua" w:hAnsi="Book Antiqua"/>
          <w:sz w:val="24"/>
          <w:szCs w:val="24"/>
        </w:rPr>
        <w:t xml:space="preserve"> 2014; </w:t>
      </w:r>
      <w:r w:rsidRPr="00092289">
        <w:rPr>
          <w:rFonts w:ascii="Book Antiqua" w:hAnsi="Book Antiqua"/>
          <w:b/>
          <w:sz w:val="24"/>
          <w:szCs w:val="24"/>
        </w:rPr>
        <w:t>384</w:t>
      </w:r>
      <w:r w:rsidRPr="00092289">
        <w:rPr>
          <w:rFonts w:ascii="Book Antiqua" w:hAnsi="Book Antiqua"/>
          <w:sz w:val="24"/>
          <w:szCs w:val="24"/>
        </w:rPr>
        <w:t>: 403-413 [PMID: 24907225 DOI: 10.1016/S0140-6736(14)60494-3]</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25 </w:t>
      </w:r>
      <w:r w:rsidRPr="00092289">
        <w:rPr>
          <w:rFonts w:ascii="Book Antiqua" w:hAnsi="Book Antiqua"/>
          <w:b/>
          <w:sz w:val="24"/>
          <w:szCs w:val="24"/>
        </w:rPr>
        <w:t>Kanda T</w:t>
      </w:r>
      <w:r w:rsidRPr="00092289">
        <w:rPr>
          <w:rFonts w:ascii="Book Antiqua" w:hAnsi="Book Antiqua"/>
          <w:sz w:val="24"/>
          <w:szCs w:val="24"/>
        </w:rPr>
        <w:t xml:space="preserve">, Nakamoto S, Wu S, Yokosuka O. New treatments for genotype 1 chronic hepatitis C - focus on simeprevir. </w:t>
      </w:r>
      <w:r w:rsidRPr="00092289">
        <w:rPr>
          <w:rFonts w:ascii="Book Antiqua" w:hAnsi="Book Antiqua"/>
          <w:i/>
          <w:sz w:val="24"/>
          <w:szCs w:val="24"/>
        </w:rPr>
        <w:t>Ther Clin Risk Manag</w:t>
      </w:r>
      <w:r w:rsidRPr="00092289">
        <w:rPr>
          <w:rFonts w:ascii="Book Antiqua" w:hAnsi="Book Antiqua"/>
          <w:sz w:val="24"/>
          <w:szCs w:val="24"/>
        </w:rPr>
        <w:t xml:space="preserve"> 2014; </w:t>
      </w:r>
      <w:r w:rsidRPr="00092289">
        <w:rPr>
          <w:rFonts w:ascii="Book Antiqua" w:hAnsi="Book Antiqua"/>
          <w:b/>
          <w:sz w:val="24"/>
          <w:szCs w:val="24"/>
        </w:rPr>
        <w:t>10</w:t>
      </w:r>
      <w:r w:rsidRPr="00092289">
        <w:rPr>
          <w:rFonts w:ascii="Book Antiqua" w:hAnsi="Book Antiqua"/>
          <w:sz w:val="24"/>
          <w:szCs w:val="24"/>
        </w:rPr>
        <w:t>: 387-394 [PMID: 24920913 DOI: 10.2147/TCRM.S50170]</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26 </w:t>
      </w:r>
      <w:r w:rsidRPr="00092289">
        <w:rPr>
          <w:rFonts w:ascii="Book Antiqua" w:hAnsi="Book Antiqua"/>
          <w:b/>
          <w:sz w:val="24"/>
          <w:szCs w:val="24"/>
        </w:rPr>
        <w:t>Wu S</w:t>
      </w:r>
      <w:r w:rsidRPr="00092289">
        <w:rPr>
          <w:rFonts w:ascii="Book Antiqua" w:hAnsi="Book Antiqua"/>
          <w:sz w:val="24"/>
          <w:szCs w:val="24"/>
        </w:rPr>
        <w:t xml:space="preserve">, Kanda T, Nakamoto S, Jiang X, Miyamura T, Nakatani SM, Ono SK, Takahashi-Nakaguchi A, Gonoi T, Yokosuka O. Prevalence of hepatitis C virus subgenotypes 1a and 1b in Japanese patients: ultra-deep sequencing analysis of HCV NS5B genotype-specific region. </w:t>
      </w:r>
      <w:r w:rsidRPr="00092289">
        <w:rPr>
          <w:rFonts w:ascii="Book Antiqua" w:hAnsi="Book Antiqua"/>
          <w:i/>
          <w:sz w:val="24"/>
          <w:szCs w:val="24"/>
        </w:rPr>
        <w:t>PLoS One</w:t>
      </w:r>
      <w:r w:rsidRPr="00092289">
        <w:rPr>
          <w:rFonts w:ascii="Book Antiqua" w:hAnsi="Book Antiqua"/>
          <w:sz w:val="24"/>
          <w:szCs w:val="24"/>
        </w:rPr>
        <w:t xml:space="preserve"> 2013; </w:t>
      </w:r>
      <w:r w:rsidRPr="00092289">
        <w:rPr>
          <w:rFonts w:ascii="Book Antiqua" w:hAnsi="Book Antiqua"/>
          <w:b/>
          <w:sz w:val="24"/>
          <w:szCs w:val="24"/>
        </w:rPr>
        <w:t>8</w:t>
      </w:r>
      <w:r w:rsidRPr="00092289">
        <w:rPr>
          <w:rFonts w:ascii="Book Antiqua" w:hAnsi="Book Antiqua"/>
          <w:sz w:val="24"/>
          <w:szCs w:val="24"/>
        </w:rPr>
        <w:t>: e73615 [PMID: 24069214 DOI: 10.1371/journal.pone.0073615]</w:t>
      </w:r>
    </w:p>
    <w:p w:rsidR="00F35807" w:rsidRPr="00092289" w:rsidRDefault="00F35807" w:rsidP="00F35807">
      <w:pPr>
        <w:rPr>
          <w:rFonts w:ascii="Book Antiqua" w:hAnsi="Book Antiqua"/>
          <w:sz w:val="24"/>
          <w:szCs w:val="24"/>
        </w:rPr>
      </w:pPr>
      <w:r w:rsidRPr="00092289">
        <w:rPr>
          <w:rFonts w:ascii="Book Antiqua" w:hAnsi="Book Antiqua"/>
          <w:sz w:val="24"/>
          <w:szCs w:val="24"/>
        </w:rPr>
        <w:lastRenderedPageBreak/>
        <w:t xml:space="preserve">27 </w:t>
      </w:r>
      <w:r w:rsidRPr="00092289">
        <w:rPr>
          <w:rFonts w:ascii="Book Antiqua" w:hAnsi="Book Antiqua"/>
          <w:b/>
          <w:sz w:val="24"/>
          <w:szCs w:val="24"/>
        </w:rPr>
        <w:t>Wu S</w:t>
      </w:r>
      <w:r w:rsidRPr="00092289">
        <w:rPr>
          <w:rFonts w:ascii="Book Antiqua" w:hAnsi="Book Antiqua"/>
          <w:sz w:val="24"/>
          <w:szCs w:val="24"/>
        </w:rPr>
        <w:t xml:space="preserve">, Kanda T, Nakamoto S, Imazeki F, Yokosuka O. Hepatitis C virus protease inhibitor-resistance mutations: our experience and review. </w:t>
      </w:r>
      <w:r w:rsidRPr="00092289">
        <w:rPr>
          <w:rFonts w:ascii="Book Antiqua" w:hAnsi="Book Antiqua"/>
          <w:i/>
          <w:sz w:val="24"/>
          <w:szCs w:val="24"/>
        </w:rPr>
        <w:t>World J Gastroenterol</w:t>
      </w:r>
      <w:r w:rsidRPr="00092289">
        <w:rPr>
          <w:rFonts w:ascii="Book Antiqua" w:hAnsi="Book Antiqua"/>
          <w:sz w:val="24"/>
          <w:szCs w:val="24"/>
        </w:rPr>
        <w:t xml:space="preserve"> 2013; </w:t>
      </w:r>
      <w:r w:rsidRPr="00092289">
        <w:rPr>
          <w:rFonts w:ascii="Book Antiqua" w:hAnsi="Book Antiqua"/>
          <w:b/>
          <w:sz w:val="24"/>
          <w:szCs w:val="24"/>
        </w:rPr>
        <w:t>19</w:t>
      </w:r>
      <w:r w:rsidRPr="00092289">
        <w:rPr>
          <w:rFonts w:ascii="Book Antiqua" w:hAnsi="Book Antiqua"/>
          <w:sz w:val="24"/>
          <w:szCs w:val="24"/>
        </w:rPr>
        <w:t>: 8940-8948 [PMID: 24379619 DOI: 10.3748/wjg.v19.i47.8940]</w:t>
      </w:r>
    </w:p>
    <w:p w:rsidR="00F35807" w:rsidRPr="00092289" w:rsidRDefault="00F35807" w:rsidP="00F35807">
      <w:pPr>
        <w:rPr>
          <w:rFonts w:ascii="Book Antiqua" w:hAnsi="Book Antiqua"/>
          <w:sz w:val="24"/>
          <w:szCs w:val="24"/>
        </w:rPr>
      </w:pPr>
      <w:r w:rsidRPr="00092289">
        <w:rPr>
          <w:rFonts w:ascii="Book Antiqua" w:hAnsi="Book Antiqua"/>
          <w:sz w:val="24"/>
          <w:szCs w:val="24"/>
        </w:rPr>
        <w:t>28 AASLD HCV Guidance: Recommendations for Testing, Managing, and Treating Hepatitis C. Available from: URL: http://www.hcvguidelines.org accessed on 2017/10/02</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29 </w:t>
      </w:r>
      <w:r w:rsidRPr="00092289">
        <w:rPr>
          <w:rFonts w:ascii="Book Antiqua" w:hAnsi="Book Antiqua"/>
          <w:b/>
          <w:sz w:val="24"/>
          <w:szCs w:val="24"/>
        </w:rPr>
        <w:t>Afdhal N</w:t>
      </w:r>
      <w:r w:rsidRPr="00092289">
        <w:rPr>
          <w:rFonts w:ascii="Book Antiqua" w:hAnsi="Book Antiqua"/>
          <w:sz w:val="24"/>
          <w:szCs w:val="24"/>
        </w:rPr>
        <w:t xml:space="preserve">, Reddy KR, Nelson DR, Lawitz E, Gordon SC, Schiff E, Nahass R, Ghalib R, Gitlin N, Herring R, Lalezari J, Younes ZH, Pockros PJ, Di Bisceglie AM, Arora S, Subramanian GM, Zhu Y, Dvory-Sobol H, Yang JC, Pang PS, Symonds WT, McHutchison JG, Muir AJ, Sulkowski M, Kwo P; ION-2 Investigators. Ledipasvir and sofosbuvir for previously treated HCV genotype 1 infection. </w:t>
      </w:r>
      <w:r w:rsidRPr="00092289">
        <w:rPr>
          <w:rFonts w:ascii="Book Antiqua" w:hAnsi="Book Antiqua"/>
          <w:i/>
          <w:sz w:val="24"/>
          <w:szCs w:val="24"/>
        </w:rPr>
        <w:t>N Engl J Med</w:t>
      </w:r>
      <w:r w:rsidRPr="00092289">
        <w:rPr>
          <w:rFonts w:ascii="Book Antiqua" w:hAnsi="Book Antiqua"/>
          <w:sz w:val="24"/>
          <w:szCs w:val="24"/>
        </w:rPr>
        <w:t xml:space="preserve"> 2014; </w:t>
      </w:r>
      <w:r w:rsidRPr="00092289">
        <w:rPr>
          <w:rFonts w:ascii="Book Antiqua" w:hAnsi="Book Antiqua"/>
          <w:b/>
          <w:sz w:val="24"/>
          <w:szCs w:val="24"/>
        </w:rPr>
        <w:t>370</w:t>
      </w:r>
      <w:r w:rsidRPr="00092289">
        <w:rPr>
          <w:rFonts w:ascii="Book Antiqua" w:hAnsi="Book Antiqua"/>
          <w:sz w:val="24"/>
          <w:szCs w:val="24"/>
        </w:rPr>
        <w:t>: 1483-1493 [PMID: 24725238 DOI: 10.1056/NEJMoa1316366]</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30 </w:t>
      </w:r>
      <w:r w:rsidRPr="00092289">
        <w:rPr>
          <w:rFonts w:ascii="Book Antiqua" w:hAnsi="Book Antiqua"/>
          <w:b/>
          <w:sz w:val="24"/>
          <w:szCs w:val="24"/>
        </w:rPr>
        <w:t>Feld JJ</w:t>
      </w:r>
      <w:r w:rsidRPr="00092289">
        <w:rPr>
          <w:rFonts w:ascii="Book Antiqua" w:hAnsi="Book Antiqua"/>
          <w:sz w:val="24"/>
          <w:szCs w:val="24"/>
        </w:rPr>
        <w:t xml:space="preserve">, Jacobson IM, Hézode C, Asselah T, Ruane PJ, Gruener N, Abergel A, Mangia A, Lai CL, Chan HL, Mazzotta F, Moreno C, Yoshida E, Shafran SD, Towner WJ, Tran TT, McNally J, Osinusi A, Svarovskaia E, Zhu Y, Brainard DM, McHutchison JG, Agarwal K, Zeuzem S; ASTRAL-1 Investigators. Sofosbuvir and Velpatasvir for HCV Genotype 1, 2, 4, 5, and 6 Infection. </w:t>
      </w:r>
      <w:r w:rsidRPr="00092289">
        <w:rPr>
          <w:rFonts w:ascii="Book Antiqua" w:hAnsi="Book Antiqua"/>
          <w:i/>
          <w:sz w:val="24"/>
          <w:szCs w:val="24"/>
        </w:rPr>
        <w:t>N Engl J Med</w:t>
      </w:r>
      <w:r w:rsidRPr="00092289">
        <w:rPr>
          <w:rFonts w:ascii="Book Antiqua" w:hAnsi="Book Antiqua"/>
          <w:sz w:val="24"/>
          <w:szCs w:val="24"/>
        </w:rPr>
        <w:t xml:space="preserve"> 2015; </w:t>
      </w:r>
      <w:r w:rsidRPr="00092289">
        <w:rPr>
          <w:rFonts w:ascii="Book Antiqua" w:hAnsi="Book Antiqua"/>
          <w:b/>
          <w:sz w:val="24"/>
          <w:szCs w:val="24"/>
        </w:rPr>
        <w:t>373</w:t>
      </w:r>
      <w:r w:rsidRPr="00092289">
        <w:rPr>
          <w:rFonts w:ascii="Book Antiqua" w:hAnsi="Book Antiqua"/>
          <w:sz w:val="24"/>
          <w:szCs w:val="24"/>
        </w:rPr>
        <w:t>: 2599-2607 [PMID: 26571066 DOI: 10.1056/NEJMoa1512610]</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31 </w:t>
      </w:r>
      <w:r w:rsidRPr="00092289">
        <w:rPr>
          <w:rFonts w:ascii="Book Antiqua" w:hAnsi="Book Antiqua"/>
          <w:b/>
          <w:sz w:val="24"/>
          <w:szCs w:val="24"/>
        </w:rPr>
        <w:t>Poordad F</w:t>
      </w:r>
      <w:r w:rsidRPr="00092289">
        <w:rPr>
          <w:rFonts w:ascii="Book Antiqua" w:hAnsi="Book Antiqua"/>
          <w:sz w:val="24"/>
          <w:szCs w:val="24"/>
        </w:rPr>
        <w:t xml:space="preserve">, Felizarta F, Asatryan A, Sulkowski MS, Reindollar RW, Landis CS, Gordon SC, Flamm SL, Fried MW, Bernstein DE, Lin CW, Liu R, Lovell SS, Ng TI, Kort J, Mensa FJ. Glecaprevir and pibrentasvir for 12 weeks for hepatitis C virus genotype 1 infection and prior direct-acting antiviral treatment. </w:t>
      </w:r>
      <w:r w:rsidRPr="00092289">
        <w:rPr>
          <w:rFonts w:ascii="Book Antiqua" w:hAnsi="Book Antiqua"/>
          <w:i/>
          <w:sz w:val="24"/>
          <w:szCs w:val="24"/>
        </w:rPr>
        <w:t>Hepatology</w:t>
      </w:r>
      <w:r w:rsidRPr="00092289">
        <w:rPr>
          <w:rFonts w:ascii="Book Antiqua" w:hAnsi="Book Antiqua"/>
          <w:sz w:val="24"/>
          <w:szCs w:val="24"/>
        </w:rPr>
        <w:t xml:space="preserve"> 2017; </w:t>
      </w:r>
      <w:r w:rsidRPr="00092289">
        <w:rPr>
          <w:rFonts w:ascii="Book Antiqua" w:hAnsi="Book Antiqua"/>
          <w:b/>
          <w:sz w:val="24"/>
          <w:szCs w:val="24"/>
        </w:rPr>
        <w:t>66</w:t>
      </w:r>
      <w:r w:rsidRPr="00092289">
        <w:rPr>
          <w:rFonts w:ascii="Book Antiqua" w:hAnsi="Book Antiqua"/>
          <w:sz w:val="24"/>
          <w:szCs w:val="24"/>
        </w:rPr>
        <w:t>: 389-397 [PMID: 28128852 DOI: 10.1002/hep.29081]</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32 </w:t>
      </w:r>
      <w:r w:rsidRPr="00092289">
        <w:rPr>
          <w:rFonts w:ascii="Book Antiqua" w:hAnsi="Book Antiqua"/>
          <w:b/>
          <w:sz w:val="24"/>
          <w:szCs w:val="24"/>
        </w:rPr>
        <w:t>Ogawa E</w:t>
      </w:r>
      <w:r w:rsidRPr="00092289">
        <w:rPr>
          <w:rFonts w:ascii="Book Antiqua" w:hAnsi="Book Antiqua"/>
          <w:sz w:val="24"/>
          <w:szCs w:val="24"/>
        </w:rPr>
        <w:t xml:space="preserve">, Furusyo N, Yamashita N, Kawano A, Takahashi K, Dohmen K, Nakamuta M, Satoh T, Nomura H, Azuma K, Koyanagi T, Kotoh K, Shimoda S, Kajiwara E, Hayashi J; Kyushu University Liver Disease Study(KULDS) Group. Effectiveness and safety of daclatasvir plus asunaprevir for patients with hepatitis C virus genotype 1b aged 75 years and over with or without cirrhosis. </w:t>
      </w:r>
      <w:r w:rsidRPr="00092289">
        <w:rPr>
          <w:rFonts w:ascii="Book Antiqua" w:hAnsi="Book Antiqua"/>
          <w:i/>
          <w:sz w:val="24"/>
          <w:szCs w:val="24"/>
        </w:rPr>
        <w:t>Hepatol Res</w:t>
      </w:r>
      <w:r w:rsidRPr="00092289">
        <w:rPr>
          <w:rFonts w:ascii="Book Antiqua" w:hAnsi="Book Antiqua"/>
          <w:sz w:val="24"/>
          <w:szCs w:val="24"/>
        </w:rPr>
        <w:t xml:space="preserve"> 2017; </w:t>
      </w:r>
      <w:r w:rsidRPr="00092289">
        <w:rPr>
          <w:rFonts w:ascii="Book Antiqua" w:hAnsi="Book Antiqua"/>
          <w:b/>
          <w:sz w:val="24"/>
          <w:szCs w:val="24"/>
        </w:rPr>
        <w:t>47</w:t>
      </w:r>
      <w:r w:rsidRPr="00092289">
        <w:rPr>
          <w:rFonts w:ascii="Book Antiqua" w:hAnsi="Book Antiqua"/>
          <w:sz w:val="24"/>
          <w:szCs w:val="24"/>
        </w:rPr>
        <w:t>: E120-E131 [PMID: 27142311 DOI: 10.1111/hepr.12738]</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33 </w:t>
      </w:r>
      <w:r w:rsidRPr="00092289">
        <w:rPr>
          <w:rFonts w:ascii="Book Antiqua" w:hAnsi="Book Antiqua"/>
          <w:b/>
          <w:sz w:val="24"/>
          <w:szCs w:val="24"/>
        </w:rPr>
        <w:t>Bourlière M</w:t>
      </w:r>
      <w:r w:rsidRPr="00092289">
        <w:rPr>
          <w:rFonts w:ascii="Book Antiqua" w:hAnsi="Book Antiqua"/>
          <w:sz w:val="24"/>
          <w:szCs w:val="24"/>
        </w:rPr>
        <w:t xml:space="preserve">, Bronowicki JP, de Ledinghen V, Hézode C, Zoulim F, Mathurin P, Tran A, Larrey DG, Ratziu V, Alric L, Hyland RH, Jiang D, Doehle B, Pang PS, Symonds WT, Subramanian GM, McHutchison JG, Marcellin P, Habersetzer F, Guyader D, Grangé JD, Loustaud-Ratti V, Serfaty L, Metivier S, Leroy V, Abergel A, Pol S. Ledipasvir-sofosbuvir with or without ribavirin to treat </w:t>
      </w:r>
      <w:r w:rsidRPr="00092289">
        <w:rPr>
          <w:rFonts w:ascii="Book Antiqua" w:hAnsi="Book Antiqua"/>
          <w:sz w:val="24"/>
          <w:szCs w:val="24"/>
        </w:rPr>
        <w:lastRenderedPageBreak/>
        <w:t xml:space="preserve">patients with HCV genotype 1 infection and cirrhosis non-responsive to previous protease-inhibitor therapy: a randomised, double-blind, phase 2 trial (SIRIUS). </w:t>
      </w:r>
      <w:r w:rsidRPr="00092289">
        <w:rPr>
          <w:rFonts w:ascii="Book Antiqua" w:hAnsi="Book Antiqua"/>
          <w:i/>
          <w:sz w:val="24"/>
          <w:szCs w:val="24"/>
        </w:rPr>
        <w:t>Lancet Infect Dis</w:t>
      </w:r>
      <w:r w:rsidRPr="00092289">
        <w:rPr>
          <w:rFonts w:ascii="Book Antiqua" w:hAnsi="Book Antiqua"/>
          <w:sz w:val="24"/>
          <w:szCs w:val="24"/>
        </w:rPr>
        <w:t xml:space="preserve"> 2015; </w:t>
      </w:r>
      <w:r w:rsidRPr="00092289">
        <w:rPr>
          <w:rFonts w:ascii="Book Antiqua" w:hAnsi="Book Antiqua"/>
          <w:b/>
          <w:sz w:val="24"/>
          <w:szCs w:val="24"/>
        </w:rPr>
        <w:t>15</w:t>
      </w:r>
      <w:r w:rsidRPr="00092289">
        <w:rPr>
          <w:rFonts w:ascii="Book Antiqua" w:hAnsi="Book Antiqua"/>
          <w:sz w:val="24"/>
          <w:szCs w:val="24"/>
        </w:rPr>
        <w:t>: 397-404 [PMID: 25773757 DOI: 10.1016/S1473-3099(15)70050-2]</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34 </w:t>
      </w:r>
      <w:r w:rsidRPr="00092289">
        <w:rPr>
          <w:rFonts w:ascii="Book Antiqua" w:hAnsi="Book Antiqua"/>
          <w:b/>
          <w:sz w:val="24"/>
          <w:szCs w:val="24"/>
        </w:rPr>
        <w:t>Nakamoto S</w:t>
      </w:r>
      <w:r w:rsidRPr="00092289">
        <w:rPr>
          <w:rFonts w:ascii="Book Antiqua" w:hAnsi="Book Antiqua"/>
          <w:sz w:val="24"/>
          <w:szCs w:val="24"/>
        </w:rPr>
        <w:t xml:space="preserve">, Kanda T, Wu S, Shirasawa H, Yokosuka O. Hepatitis C virus NS5A inhibitors and drug resistance mutations. </w:t>
      </w:r>
      <w:r w:rsidRPr="00092289">
        <w:rPr>
          <w:rFonts w:ascii="Book Antiqua" w:hAnsi="Book Antiqua"/>
          <w:i/>
          <w:sz w:val="24"/>
          <w:szCs w:val="24"/>
        </w:rPr>
        <w:t>World J Gastroenterol</w:t>
      </w:r>
      <w:r w:rsidRPr="00092289">
        <w:rPr>
          <w:rFonts w:ascii="Book Antiqua" w:hAnsi="Book Antiqua"/>
          <w:sz w:val="24"/>
          <w:szCs w:val="24"/>
        </w:rPr>
        <w:t xml:space="preserve"> 2014; </w:t>
      </w:r>
      <w:r w:rsidRPr="00092289">
        <w:rPr>
          <w:rFonts w:ascii="Book Antiqua" w:hAnsi="Book Antiqua"/>
          <w:b/>
          <w:sz w:val="24"/>
          <w:szCs w:val="24"/>
        </w:rPr>
        <w:t>20</w:t>
      </w:r>
      <w:r w:rsidRPr="00092289">
        <w:rPr>
          <w:rFonts w:ascii="Book Antiqua" w:hAnsi="Book Antiqua"/>
          <w:sz w:val="24"/>
          <w:szCs w:val="24"/>
        </w:rPr>
        <w:t>: 2902-2912 [PMID: 24659881 DOI: 10.3748/wjg.v20.i11.2902]</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35 </w:t>
      </w:r>
      <w:r w:rsidRPr="00092289">
        <w:rPr>
          <w:rFonts w:ascii="Book Antiqua" w:hAnsi="Book Antiqua"/>
          <w:b/>
          <w:sz w:val="24"/>
          <w:szCs w:val="24"/>
        </w:rPr>
        <w:t>Kumada H</w:t>
      </w:r>
      <w:r w:rsidRPr="00092289">
        <w:rPr>
          <w:rFonts w:ascii="Book Antiqua" w:hAnsi="Book Antiqua"/>
          <w:sz w:val="24"/>
          <w:szCs w:val="24"/>
        </w:rPr>
        <w:t xml:space="preserve">, Suzuki Y, Ikeda K, Toyota J, Karino Y, Chayama K, Kawakami Y, Ido A, Yamamoto K, Takaguchi K, Izumi N, Koike K, Takehara T, Kawada N, Sata M, Miyagoshi H, Eley T, McPhee F, Damokosh A, Ishikawa H, Hughes E. Daclatasvir plus asunaprevir for chronic HCV genotype 1b infection. </w:t>
      </w:r>
      <w:r w:rsidRPr="00092289">
        <w:rPr>
          <w:rFonts w:ascii="Book Antiqua" w:hAnsi="Book Antiqua"/>
          <w:i/>
          <w:sz w:val="24"/>
          <w:szCs w:val="24"/>
        </w:rPr>
        <w:t>Hepatology</w:t>
      </w:r>
      <w:r w:rsidRPr="00092289">
        <w:rPr>
          <w:rFonts w:ascii="Book Antiqua" w:hAnsi="Book Antiqua"/>
          <w:sz w:val="24"/>
          <w:szCs w:val="24"/>
        </w:rPr>
        <w:t xml:space="preserve"> 2014; </w:t>
      </w:r>
      <w:r w:rsidRPr="00092289">
        <w:rPr>
          <w:rFonts w:ascii="Book Antiqua" w:hAnsi="Book Antiqua"/>
          <w:b/>
          <w:sz w:val="24"/>
          <w:szCs w:val="24"/>
        </w:rPr>
        <w:t>59</w:t>
      </w:r>
      <w:r w:rsidRPr="00092289">
        <w:rPr>
          <w:rFonts w:ascii="Book Antiqua" w:hAnsi="Book Antiqua"/>
          <w:sz w:val="24"/>
          <w:szCs w:val="24"/>
        </w:rPr>
        <w:t>: 2083-2091 [PMID: 24604476 DOI: 10.1002/hep.27113]</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36 </w:t>
      </w:r>
      <w:r w:rsidRPr="00092289">
        <w:rPr>
          <w:rFonts w:ascii="Book Antiqua" w:hAnsi="Book Antiqua"/>
          <w:b/>
          <w:sz w:val="24"/>
          <w:szCs w:val="24"/>
        </w:rPr>
        <w:t>Kanda T</w:t>
      </w:r>
      <w:r w:rsidRPr="00092289">
        <w:rPr>
          <w:rFonts w:ascii="Book Antiqua" w:hAnsi="Book Antiqua"/>
          <w:sz w:val="24"/>
          <w:szCs w:val="24"/>
        </w:rPr>
        <w:t xml:space="preserve">, Yasui S, Nakamura M, Suzuki E, Arai M, Haga Y, Sasaki R, Wu S, Nakamoto S, Imazeki F, Yokosuka O. Daclatasvir plus Asunaprevir Treatment for Real-World HCV Genotype 1-Infected Patients in Japan. </w:t>
      </w:r>
      <w:r w:rsidRPr="00092289">
        <w:rPr>
          <w:rFonts w:ascii="Book Antiqua" w:hAnsi="Book Antiqua"/>
          <w:i/>
          <w:sz w:val="24"/>
          <w:szCs w:val="24"/>
        </w:rPr>
        <w:t>Int J Med Sci</w:t>
      </w:r>
      <w:r w:rsidRPr="00092289">
        <w:rPr>
          <w:rFonts w:ascii="Book Antiqua" w:hAnsi="Book Antiqua"/>
          <w:sz w:val="24"/>
          <w:szCs w:val="24"/>
        </w:rPr>
        <w:t xml:space="preserve"> 2016; </w:t>
      </w:r>
      <w:r w:rsidRPr="00092289">
        <w:rPr>
          <w:rFonts w:ascii="Book Antiqua" w:hAnsi="Book Antiqua"/>
          <w:b/>
          <w:sz w:val="24"/>
          <w:szCs w:val="24"/>
        </w:rPr>
        <w:t>13</w:t>
      </w:r>
      <w:r w:rsidRPr="00092289">
        <w:rPr>
          <w:rFonts w:ascii="Book Antiqua" w:hAnsi="Book Antiqua"/>
          <w:sz w:val="24"/>
          <w:szCs w:val="24"/>
        </w:rPr>
        <w:t>: 418-423 [PMID: 27279790 DOI: 10.7150/ijms.15519]</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37 </w:t>
      </w:r>
      <w:r w:rsidRPr="00092289">
        <w:rPr>
          <w:rFonts w:ascii="Book Antiqua" w:hAnsi="Book Antiqua"/>
          <w:b/>
          <w:sz w:val="24"/>
          <w:szCs w:val="24"/>
        </w:rPr>
        <w:t>Hirotsu Y</w:t>
      </w:r>
      <w:r w:rsidRPr="00092289">
        <w:rPr>
          <w:rFonts w:ascii="Book Antiqua" w:hAnsi="Book Antiqua"/>
          <w:sz w:val="24"/>
          <w:szCs w:val="24"/>
        </w:rPr>
        <w:t xml:space="preserve">, Kanda T, Matsumura H, Moriyama M, Yokosuka O, Omata M. HCV NS5A resistance-associated variants in a group of real-world Japanese patients chronically infected with HCV genotype 1b. </w:t>
      </w:r>
      <w:r w:rsidRPr="00092289">
        <w:rPr>
          <w:rFonts w:ascii="Book Antiqua" w:hAnsi="Book Antiqua"/>
          <w:i/>
          <w:sz w:val="24"/>
          <w:szCs w:val="24"/>
        </w:rPr>
        <w:t>Hepatol Int</w:t>
      </w:r>
      <w:r w:rsidRPr="00092289">
        <w:rPr>
          <w:rFonts w:ascii="Book Antiqua" w:hAnsi="Book Antiqua"/>
          <w:sz w:val="24"/>
          <w:szCs w:val="24"/>
        </w:rPr>
        <w:t xml:space="preserve"> 2015; </w:t>
      </w:r>
      <w:r w:rsidRPr="00092289">
        <w:rPr>
          <w:rFonts w:ascii="Book Antiqua" w:hAnsi="Book Antiqua"/>
          <w:b/>
          <w:sz w:val="24"/>
          <w:szCs w:val="24"/>
        </w:rPr>
        <w:t>9</w:t>
      </w:r>
      <w:r w:rsidRPr="00092289">
        <w:rPr>
          <w:rFonts w:ascii="Book Antiqua" w:hAnsi="Book Antiqua"/>
          <w:sz w:val="24"/>
          <w:szCs w:val="24"/>
        </w:rPr>
        <w:t>: 424-430 [PMID: 25791176 DOI: 10.1007/s12072-015-9624-2]</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38 </w:t>
      </w:r>
      <w:bookmarkStart w:id="23" w:name="OLE_LINK196"/>
      <w:bookmarkStart w:id="24" w:name="OLE_LINK197"/>
      <w:r w:rsidRPr="00092289">
        <w:rPr>
          <w:rFonts w:ascii="Book Antiqua" w:hAnsi="Book Antiqua"/>
          <w:b/>
          <w:sz w:val="24"/>
          <w:szCs w:val="24"/>
        </w:rPr>
        <w:t>Kurosaki M,</w:t>
      </w:r>
      <w:r w:rsidRPr="00092289">
        <w:rPr>
          <w:rFonts w:ascii="Book Antiqua" w:hAnsi="Book Antiqua"/>
          <w:sz w:val="24"/>
          <w:szCs w:val="24"/>
        </w:rPr>
        <w:t xml:space="preserve"> Itakura J, Higuchi M, Yasui Y, Tamaki N, Tsuchiya K, Izumi N. </w:t>
      </w:r>
      <w:bookmarkStart w:id="25" w:name="OLE_LINK198"/>
      <w:bookmarkStart w:id="26" w:name="OLE_LINK199"/>
      <w:r w:rsidRPr="00092289">
        <w:rPr>
          <w:rFonts w:ascii="Book Antiqua" w:hAnsi="Book Antiqua"/>
          <w:sz w:val="24"/>
          <w:szCs w:val="24"/>
        </w:rPr>
        <w:t xml:space="preserve">Real world experience of re-treatment by ledipasvir/sofosbuvir for patients who failed previous daclatasvir plus asunaprevir therapy: interim analysis from large scale nation-wide study. </w:t>
      </w:r>
      <w:bookmarkStart w:id="27" w:name="OLE_LINK200"/>
      <w:bookmarkStart w:id="28" w:name="OLE_LINK201"/>
      <w:r w:rsidRPr="00092289">
        <w:rPr>
          <w:rFonts w:ascii="Book Antiqua" w:hAnsi="Book Antiqua"/>
          <w:i/>
          <w:sz w:val="24"/>
          <w:szCs w:val="24"/>
        </w:rPr>
        <w:t>Hepatology</w:t>
      </w:r>
      <w:r w:rsidRPr="00092289">
        <w:rPr>
          <w:rFonts w:ascii="Book Antiqua" w:hAnsi="Book Antiqua"/>
          <w:sz w:val="24"/>
          <w:szCs w:val="24"/>
        </w:rPr>
        <w:t xml:space="preserve"> 2017</w:t>
      </w:r>
      <w:bookmarkEnd w:id="23"/>
      <w:bookmarkEnd w:id="24"/>
      <w:bookmarkEnd w:id="25"/>
      <w:bookmarkEnd w:id="26"/>
      <w:r w:rsidRPr="00092289">
        <w:rPr>
          <w:rFonts w:ascii="Book Antiqua" w:hAnsi="Book Antiqua"/>
          <w:sz w:val="24"/>
          <w:szCs w:val="24"/>
        </w:rPr>
        <w:t xml:space="preserve">; </w:t>
      </w:r>
      <w:r w:rsidRPr="00092289">
        <w:rPr>
          <w:rFonts w:ascii="Book Antiqua" w:hAnsi="Book Antiqua"/>
          <w:b/>
          <w:sz w:val="24"/>
          <w:szCs w:val="24"/>
        </w:rPr>
        <w:t>66</w:t>
      </w:r>
      <w:r w:rsidRPr="00092289">
        <w:rPr>
          <w:rFonts w:ascii="Book Antiqua" w:hAnsi="Book Antiqua"/>
          <w:sz w:val="24"/>
          <w:szCs w:val="24"/>
        </w:rPr>
        <w:t xml:space="preserve"> Suppl 1: 579A</w:t>
      </w:r>
      <w:bookmarkEnd w:id="27"/>
      <w:bookmarkEnd w:id="28"/>
      <w:r w:rsidRPr="00092289">
        <w:rPr>
          <w:rFonts w:ascii="Book Antiqua" w:hAnsi="Book Antiqua"/>
          <w:sz w:val="24"/>
          <w:szCs w:val="24"/>
        </w:rPr>
        <w:t xml:space="preserve"> [DOI: </w:t>
      </w:r>
      <w:bookmarkStart w:id="29" w:name="OLE_LINK202"/>
      <w:bookmarkStart w:id="30" w:name="OLE_LINK203"/>
      <w:r w:rsidRPr="00092289">
        <w:rPr>
          <w:rFonts w:ascii="Book Antiqua" w:hAnsi="Book Antiqua"/>
          <w:sz w:val="24"/>
          <w:szCs w:val="24"/>
        </w:rPr>
        <w:t>10.1002/hep.29501</w:t>
      </w:r>
      <w:bookmarkEnd w:id="29"/>
      <w:bookmarkEnd w:id="30"/>
      <w:r w:rsidRPr="00092289">
        <w:rPr>
          <w:rFonts w:ascii="Book Antiqua" w:hAnsi="Book Antiqua"/>
          <w:sz w:val="24"/>
          <w:szCs w:val="24"/>
        </w:rPr>
        <w:t>]</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39 </w:t>
      </w:r>
      <w:r w:rsidRPr="00092289">
        <w:rPr>
          <w:rFonts w:ascii="Book Antiqua" w:hAnsi="Book Antiqua"/>
          <w:b/>
          <w:sz w:val="24"/>
          <w:szCs w:val="24"/>
        </w:rPr>
        <w:t>Bourlière M</w:t>
      </w:r>
      <w:r w:rsidRPr="00092289">
        <w:rPr>
          <w:rFonts w:ascii="Book Antiqua" w:hAnsi="Book Antiqua"/>
          <w:sz w:val="24"/>
          <w:szCs w:val="24"/>
        </w:rPr>
        <w:t xml:space="preserve">, Gordon SC, Flamm SL, Cooper CL, Ramji A, Tong M, Ravendhran N, Vierling JM, Tran TT, Pianko S, Bansal MB, de Lédinghen V, Hyland RH, Stamm LM, Dvory-Sobol H, Svarovskaia E, Zhang J, Huang KC, Subramanian GM, Brainard DM, McHutchison JG, Verna EC, Buggisch P, Landis CS, Younes ZH, Curry MP, Strasser SI, Schiff ER, Reddy KR, Manns MP, Kowdley KV, Zeuzem S; POLARIS-1 and POLARIS-4 Investigators. Sofosbuvir, Velpatasvir, and Voxilaprevir for Previously Treated HCV Infection. </w:t>
      </w:r>
      <w:r w:rsidRPr="00092289">
        <w:rPr>
          <w:rFonts w:ascii="Book Antiqua" w:hAnsi="Book Antiqua"/>
          <w:i/>
          <w:sz w:val="24"/>
          <w:szCs w:val="24"/>
        </w:rPr>
        <w:t>N Engl J Med</w:t>
      </w:r>
      <w:r w:rsidRPr="00092289">
        <w:rPr>
          <w:rFonts w:ascii="Book Antiqua" w:hAnsi="Book Antiqua"/>
          <w:sz w:val="24"/>
          <w:szCs w:val="24"/>
        </w:rPr>
        <w:t xml:space="preserve"> 2017; </w:t>
      </w:r>
      <w:r w:rsidRPr="00092289">
        <w:rPr>
          <w:rFonts w:ascii="Book Antiqua" w:hAnsi="Book Antiqua"/>
          <w:b/>
          <w:sz w:val="24"/>
          <w:szCs w:val="24"/>
        </w:rPr>
        <w:t>376</w:t>
      </w:r>
      <w:r w:rsidRPr="00092289">
        <w:rPr>
          <w:rFonts w:ascii="Book Antiqua" w:hAnsi="Book Antiqua"/>
          <w:sz w:val="24"/>
          <w:szCs w:val="24"/>
        </w:rPr>
        <w:t>: 2134-2146 [PMID: 28564569 DOI: 10.1056/NEJMoa1613512]</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40 </w:t>
      </w:r>
      <w:r w:rsidRPr="00092289">
        <w:rPr>
          <w:rFonts w:ascii="Book Antiqua" w:hAnsi="Book Antiqua"/>
          <w:b/>
          <w:sz w:val="24"/>
          <w:szCs w:val="24"/>
        </w:rPr>
        <w:t>Wyles D</w:t>
      </w:r>
      <w:r w:rsidRPr="00092289">
        <w:rPr>
          <w:rFonts w:ascii="Book Antiqua" w:hAnsi="Book Antiqua"/>
          <w:sz w:val="24"/>
          <w:szCs w:val="24"/>
        </w:rPr>
        <w:t xml:space="preserve">, Dvory-Sobol H, Svarovskaia ES, Doehle BP, Martin R, Afdhal NH, Kowdley KV, Lawitz E, Brainard DM, Miller MD, Mo H, Gane EJ. Post-treatment resistance analysis of hepatitis C virus from phase II and III </w:t>
      </w:r>
      <w:r w:rsidRPr="00092289">
        <w:rPr>
          <w:rFonts w:ascii="Book Antiqua" w:hAnsi="Book Antiqua"/>
          <w:sz w:val="24"/>
          <w:szCs w:val="24"/>
        </w:rPr>
        <w:lastRenderedPageBreak/>
        <w:t xml:space="preserve">clinical trials of ledipasvir/sofosbuvir. </w:t>
      </w:r>
      <w:r w:rsidRPr="00092289">
        <w:rPr>
          <w:rFonts w:ascii="Book Antiqua" w:hAnsi="Book Antiqua"/>
          <w:i/>
          <w:sz w:val="24"/>
          <w:szCs w:val="24"/>
        </w:rPr>
        <w:t>J Hepatol</w:t>
      </w:r>
      <w:r w:rsidRPr="00092289">
        <w:rPr>
          <w:rFonts w:ascii="Book Antiqua" w:hAnsi="Book Antiqua"/>
          <w:sz w:val="24"/>
          <w:szCs w:val="24"/>
        </w:rPr>
        <w:t xml:space="preserve"> 2017; </w:t>
      </w:r>
      <w:r w:rsidRPr="00092289">
        <w:rPr>
          <w:rFonts w:ascii="Book Antiqua" w:hAnsi="Book Antiqua"/>
          <w:b/>
          <w:sz w:val="24"/>
          <w:szCs w:val="24"/>
        </w:rPr>
        <w:t>66</w:t>
      </w:r>
      <w:r w:rsidRPr="00092289">
        <w:rPr>
          <w:rFonts w:ascii="Book Antiqua" w:hAnsi="Book Antiqua"/>
          <w:sz w:val="24"/>
          <w:szCs w:val="24"/>
        </w:rPr>
        <w:t>: 703-710 [PMID: 27923693 DOI: 10.1016/j.jhep.2016.11.022]</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41 </w:t>
      </w:r>
      <w:r w:rsidRPr="00092289">
        <w:rPr>
          <w:rFonts w:ascii="Book Antiqua" w:hAnsi="Book Antiqua"/>
          <w:b/>
          <w:sz w:val="24"/>
          <w:szCs w:val="24"/>
        </w:rPr>
        <w:t>Donaldson EF</w:t>
      </w:r>
      <w:r w:rsidRPr="00092289">
        <w:rPr>
          <w:rFonts w:ascii="Book Antiqua" w:hAnsi="Book Antiqua"/>
          <w:sz w:val="24"/>
          <w:szCs w:val="24"/>
        </w:rPr>
        <w:t xml:space="preserve">, Harrington PR, O'Rear JJ, Naeger LK. Clinical evidence and bioinformatics characterization of potential hepatitis C virus resistance pathways for sofosbuvir. </w:t>
      </w:r>
      <w:r w:rsidRPr="00092289">
        <w:rPr>
          <w:rFonts w:ascii="Book Antiqua" w:hAnsi="Book Antiqua"/>
          <w:i/>
          <w:sz w:val="24"/>
          <w:szCs w:val="24"/>
        </w:rPr>
        <w:t>Hepatology</w:t>
      </w:r>
      <w:r w:rsidRPr="00092289">
        <w:rPr>
          <w:rFonts w:ascii="Book Antiqua" w:hAnsi="Book Antiqua"/>
          <w:sz w:val="24"/>
          <w:szCs w:val="24"/>
        </w:rPr>
        <w:t xml:space="preserve"> 2015; </w:t>
      </w:r>
      <w:r w:rsidRPr="00092289">
        <w:rPr>
          <w:rFonts w:ascii="Book Antiqua" w:hAnsi="Book Antiqua"/>
          <w:b/>
          <w:sz w:val="24"/>
          <w:szCs w:val="24"/>
        </w:rPr>
        <w:t>61</w:t>
      </w:r>
      <w:r w:rsidRPr="00092289">
        <w:rPr>
          <w:rFonts w:ascii="Book Antiqua" w:hAnsi="Book Antiqua"/>
          <w:sz w:val="24"/>
          <w:szCs w:val="24"/>
        </w:rPr>
        <w:t>: 56-65 [PMID: 25123381 DOI: 10.1002/hep.27375]</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42 </w:t>
      </w:r>
      <w:r w:rsidRPr="00092289">
        <w:rPr>
          <w:rFonts w:ascii="Book Antiqua" w:hAnsi="Book Antiqua"/>
          <w:b/>
          <w:sz w:val="24"/>
          <w:szCs w:val="24"/>
        </w:rPr>
        <w:t>Sarrazin C</w:t>
      </w:r>
      <w:r w:rsidRPr="00092289">
        <w:rPr>
          <w:rFonts w:ascii="Book Antiqua" w:hAnsi="Book Antiqua"/>
          <w:sz w:val="24"/>
          <w:szCs w:val="24"/>
        </w:rPr>
        <w:t xml:space="preserve">, Dvory-Sobol H, Svarovskaia ES, Doehle BP, Pang PS, Chuang SM, Ma J, Ding X, Afdhal NH, Kowdley KV, Gane EJ, Lawitz E, Brainard DM, McHutchison JG, Miller MD, Mo H. Prevalence of Resistance-Associated Substitutions in HCV NS5A, NS5B, or NS3 and Outcomes of Treatment With Ledipasvir and Sofosbuvir. </w:t>
      </w:r>
      <w:r w:rsidRPr="00092289">
        <w:rPr>
          <w:rFonts w:ascii="Book Antiqua" w:hAnsi="Book Antiqua"/>
          <w:i/>
          <w:sz w:val="24"/>
          <w:szCs w:val="24"/>
        </w:rPr>
        <w:t>Gastroenterology</w:t>
      </w:r>
      <w:r w:rsidRPr="00092289">
        <w:rPr>
          <w:rFonts w:ascii="Book Antiqua" w:hAnsi="Book Antiqua"/>
          <w:sz w:val="24"/>
          <w:szCs w:val="24"/>
        </w:rPr>
        <w:t xml:space="preserve"> 2016; </w:t>
      </w:r>
      <w:r w:rsidRPr="00092289">
        <w:rPr>
          <w:rFonts w:ascii="Book Antiqua" w:hAnsi="Book Antiqua"/>
          <w:b/>
          <w:sz w:val="24"/>
          <w:szCs w:val="24"/>
        </w:rPr>
        <w:t>151</w:t>
      </w:r>
      <w:r w:rsidRPr="00092289">
        <w:rPr>
          <w:rFonts w:ascii="Book Antiqua" w:hAnsi="Book Antiqua"/>
          <w:sz w:val="24"/>
          <w:szCs w:val="24"/>
        </w:rPr>
        <w:t>: 501-512.e1 [PMID: 27296509 DOI: 10.1053/j.gastro.2016.06.002]</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43 </w:t>
      </w:r>
      <w:r w:rsidRPr="00092289">
        <w:rPr>
          <w:rFonts w:ascii="Book Antiqua" w:hAnsi="Book Antiqua"/>
          <w:b/>
          <w:sz w:val="24"/>
          <w:szCs w:val="24"/>
        </w:rPr>
        <w:t>Kowdley KV</w:t>
      </w:r>
      <w:r w:rsidRPr="00092289">
        <w:rPr>
          <w:rFonts w:ascii="Book Antiqua" w:hAnsi="Book Antiqua"/>
          <w:sz w:val="24"/>
          <w:szCs w:val="24"/>
        </w:rPr>
        <w:t xml:space="preserve">, Gordon SC, Reddy KR, Rossaro L, Bernstein DE, Lawitz E, Shiffman ML, Schiff E, Ghalib R, Ryan M, Rustgi V, Chojkier M, Herring R, Di Bisceglie AM, Pockros PJ, Subramanian GM, An D, Svarovskaia E, Hyland RH, Pang PS, Symonds WT, McHutchison JG, Muir AJ, Pound D, Fried MW; ION-3 Investigators. Ledipasvir and sofosbuvir for 8 or 12 weeks for chronic HCV without cirrhosis. </w:t>
      </w:r>
      <w:r w:rsidRPr="00092289">
        <w:rPr>
          <w:rFonts w:ascii="Book Antiqua" w:hAnsi="Book Antiqua"/>
          <w:i/>
          <w:sz w:val="24"/>
          <w:szCs w:val="24"/>
        </w:rPr>
        <w:t>N Engl J Med</w:t>
      </w:r>
      <w:r w:rsidRPr="00092289">
        <w:rPr>
          <w:rFonts w:ascii="Book Antiqua" w:hAnsi="Book Antiqua"/>
          <w:sz w:val="24"/>
          <w:szCs w:val="24"/>
        </w:rPr>
        <w:t xml:space="preserve"> 2014; </w:t>
      </w:r>
      <w:r w:rsidRPr="00092289">
        <w:rPr>
          <w:rFonts w:ascii="Book Antiqua" w:hAnsi="Book Antiqua"/>
          <w:b/>
          <w:sz w:val="24"/>
          <w:szCs w:val="24"/>
        </w:rPr>
        <w:t>370</w:t>
      </w:r>
      <w:r w:rsidRPr="00092289">
        <w:rPr>
          <w:rFonts w:ascii="Book Antiqua" w:hAnsi="Book Antiqua"/>
          <w:sz w:val="24"/>
          <w:szCs w:val="24"/>
        </w:rPr>
        <w:t>: 1879-1888 [PMID: 24720702 DOI: 10.1056/NEJMoa1402355]</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44 </w:t>
      </w:r>
      <w:r w:rsidRPr="00092289">
        <w:rPr>
          <w:rFonts w:ascii="Book Antiqua" w:hAnsi="Book Antiqua"/>
          <w:b/>
          <w:sz w:val="24"/>
          <w:szCs w:val="24"/>
        </w:rPr>
        <w:t>Svarovskaia ES</w:t>
      </w:r>
      <w:r w:rsidRPr="00092289">
        <w:rPr>
          <w:rFonts w:ascii="Book Antiqua" w:hAnsi="Book Antiqua"/>
          <w:sz w:val="24"/>
          <w:szCs w:val="24"/>
        </w:rPr>
        <w:t xml:space="preserve">, Dvory-Sobol H, Parkin N, Hebner C, Gontcharova V, Martin R, Ouyang W, Han B, Xu S, Ku K, Chiu S, Gane E, Jacobson IM, Nelson DR, Lawitz E, Wyles DL, Bekele N, Brainard D, Symonds WT, McHutchison JG, Miller MD, Mo H. Infrequent development of resistance in genotype 1-6 hepatitis C virus-infected subjects treated with sofosbuvir in phase 2 and 3 clinical trials. </w:t>
      </w:r>
      <w:r w:rsidRPr="00092289">
        <w:rPr>
          <w:rFonts w:ascii="Book Antiqua" w:hAnsi="Book Antiqua"/>
          <w:i/>
          <w:sz w:val="24"/>
          <w:szCs w:val="24"/>
        </w:rPr>
        <w:t>Clin Infect Dis</w:t>
      </w:r>
      <w:r w:rsidRPr="00092289">
        <w:rPr>
          <w:rFonts w:ascii="Book Antiqua" w:hAnsi="Book Antiqua"/>
          <w:sz w:val="24"/>
          <w:szCs w:val="24"/>
        </w:rPr>
        <w:t xml:space="preserve"> 2014; </w:t>
      </w:r>
      <w:r w:rsidRPr="00092289">
        <w:rPr>
          <w:rFonts w:ascii="Book Antiqua" w:hAnsi="Book Antiqua"/>
          <w:b/>
          <w:sz w:val="24"/>
          <w:szCs w:val="24"/>
        </w:rPr>
        <w:t>59</w:t>
      </w:r>
      <w:r w:rsidRPr="00092289">
        <w:rPr>
          <w:rFonts w:ascii="Book Antiqua" w:hAnsi="Book Antiqua"/>
          <w:sz w:val="24"/>
          <w:szCs w:val="24"/>
        </w:rPr>
        <w:t>: 1666-1674 [PMID: 25266287 DOI: 10.1093/cid/ciu697]</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45 </w:t>
      </w:r>
      <w:r w:rsidRPr="00092289">
        <w:rPr>
          <w:rFonts w:ascii="Book Antiqua" w:hAnsi="Book Antiqua"/>
          <w:b/>
          <w:sz w:val="24"/>
          <w:szCs w:val="24"/>
        </w:rPr>
        <w:t>Mosley RT</w:t>
      </w:r>
      <w:r w:rsidRPr="00092289">
        <w:rPr>
          <w:rFonts w:ascii="Book Antiqua" w:hAnsi="Book Antiqua"/>
          <w:sz w:val="24"/>
          <w:szCs w:val="24"/>
        </w:rPr>
        <w:t xml:space="preserve">, Edwards TE, Murakami E, Lam AM, Grice RL, Du J, Sofia MJ, Furman PA, Otto MJ. Structure of hepatitis C virus polymerase in complex with primer-template RNA. </w:t>
      </w:r>
      <w:r w:rsidRPr="00092289">
        <w:rPr>
          <w:rFonts w:ascii="Book Antiqua" w:hAnsi="Book Antiqua"/>
          <w:i/>
          <w:sz w:val="24"/>
          <w:szCs w:val="24"/>
        </w:rPr>
        <w:t>J Virol</w:t>
      </w:r>
      <w:r w:rsidRPr="00092289">
        <w:rPr>
          <w:rFonts w:ascii="Book Antiqua" w:hAnsi="Book Antiqua"/>
          <w:sz w:val="24"/>
          <w:szCs w:val="24"/>
        </w:rPr>
        <w:t xml:space="preserve"> 2012; </w:t>
      </w:r>
      <w:r w:rsidRPr="00092289">
        <w:rPr>
          <w:rFonts w:ascii="Book Antiqua" w:hAnsi="Book Antiqua"/>
          <w:b/>
          <w:sz w:val="24"/>
          <w:szCs w:val="24"/>
        </w:rPr>
        <w:t>86</w:t>
      </w:r>
      <w:r w:rsidRPr="00092289">
        <w:rPr>
          <w:rFonts w:ascii="Book Antiqua" w:hAnsi="Book Antiqua"/>
          <w:sz w:val="24"/>
          <w:szCs w:val="24"/>
        </w:rPr>
        <w:t>: 6503-6511 [PMID: 22496223 DOI: 10.1128/JVI.00386-12]</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46 </w:t>
      </w:r>
      <w:r w:rsidRPr="00092289">
        <w:rPr>
          <w:rFonts w:ascii="Book Antiqua" w:hAnsi="Book Antiqua"/>
          <w:b/>
          <w:sz w:val="24"/>
          <w:szCs w:val="24"/>
        </w:rPr>
        <w:t>Lawitz E</w:t>
      </w:r>
      <w:r w:rsidRPr="00092289">
        <w:rPr>
          <w:rFonts w:ascii="Book Antiqua" w:hAnsi="Book Antiqua"/>
          <w:sz w:val="24"/>
          <w:szCs w:val="24"/>
        </w:rPr>
        <w:t xml:space="preserve">, Poordad F, Wells J, Hyland RH, Yang Y, Dvory-Sobol H, Stamm LM, Brainard DM, McHutchison JG, Landaverde C, Gutierrez J. Sofosbuvir-velpatasvir-voxilaprevir with or without ribavirin in direct-acting antiviral-experienced patients with genotype 1 hepatitis C virus. </w:t>
      </w:r>
      <w:r w:rsidRPr="00092289">
        <w:rPr>
          <w:rFonts w:ascii="Book Antiqua" w:hAnsi="Book Antiqua"/>
          <w:i/>
          <w:sz w:val="24"/>
          <w:szCs w:val="24"/>
        </w:rPr>
        <w:t>Hepatology</w:t>
      </w:r>
      <w:r w:rsidRPr="00092289">
        <w:rPr>
          <w:rFonts w:ascii="Book Antiqua" w:hAnsi="Book Antiqua"/>
          <w:sz w:val="24"/>
          <w:szCs w:val="24"/>
        </w:rPr>
        <w:t xml:space="preserve"> 2017; </w:t>
      </w:r>
      <w:r w:rsidRPr="00092289">
        <w:rPr>
          <w:rFonts w:ascii="Book Antiqua" w:hAnsi="Book Antiqua"/>
          <w:b/>
          <w:sz w:val="24"/>
          <w:szCs w:val="24"/>
        </w:rPr>
        <w:t>65</w:t>
      </w:r>
      <w:r w:rsidRPr="00092289">
        <w:rPr>
          <w:rFonts w:ascii="Book Antiqua" w:hAnsi="Book Antiqua"/>
          <w:sz w:val="24"/>
          <w:szCs w:val="24"/>
        </w:rPr>
        <w:t>: 1803-1809 [PMID: 28220512 DOI: 10.1002/hep.29130]</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47 </w:t>
      </w:r>
      <w:r w:rsidRPr="00092289">
        <w:rPr>
          <w:rFonts w:ascii="Book Antiqua" w:hAnsi="Book Antiqua"/>
          <w:b/>
          <w:sz w:val="24"/>
          <w:szCs w:val="24"/>
        </w:rPr>
        <w:t>Sergi C</w:t>
      </w:r>
      <w:r w:rsidRPr="00092289">
        <w:rPr>
          <w:rFonts w:ascii="Book Antiqua" w:hAnsi="Book Antiqua"/>
          <w:sz w:val="24"/>
          <w:szCs w:val="24"/>
        </w:rPr>
        <w:t xml:space="preserve">, Jundt K, Seipp S, Goeser T, Theilmann L, Otto G, Otto HF, Hofmann </w:t>
      </w:r>
      <w:r w:rsidRPr="00092289">
        <w:rPr>
          <w:rFonts w:ascii="Book Antiqua" w:hAnsi="Book Antiqua"/>
          <w:sz w:val="24"/>
          <w:szCs w:val="24"/>
        </w:rPr>
        <w:lastRenderedPageBreak/>
        <w:t xml:space="preserve">WJ. The distribution of HBV, HCV and HGV among livers with fulminant hepatic failure of different aetiology. </w:t>
      </w:r>
      <w:r w:rsidRPr="00092289">
        <w:rPr>
          <w:rFonts w:ascii="Book Antiqua" w:hAnsi="Book Antiqua"/>
          <w:i/>
          <w:sz w:val="24"/>
          <w:szCs w:val="24"/>
        </w:rPr>
        <w:t>J Hepatol</w:t>
      </w:r>
      <w:r w:rsidRPr="00092289">
        <w:rPr>
          <w:rFonts w:ascii="Book Antiqua" w:hAnsi="Book Antiqua"/>
          <w:sz w:val="24"/>
          <w:szCs w:val="24"/>
        </w:rPr>
        <w:t xml:space="preserve"> 1998; </w:t>
      </w:r>
      <w:r w:rsidRPr="00092289">
        <w:rPr>
          <w:rFonts w:ascii="Book Antiqua" w:hAnsi="Book Antiqua"/>
          <w:b/>
          <w:sz w:val="24"/>
          <w:szCs w:val="24"/>
        </w:rPr>
        <w:t>29</w:t>
      </w:r>
      <w:r w:rsidRPr="00092289">
        <w:rPr>
          <w:rFonts w:ascii="Book Antiqua" w:hAnsi="Book Antiqua"/>
          <w:sz w:val="24"/>
          <w:szCs w:val="24"/>
        </w:rPr>
        <w:t>: 861-871 [PMID: 9875631]</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48 </w:t>
      </w:r>
      <w:r w:rsidRPr="00092289">
        <w:rPr>
          <w:rFonts w:ascii="Book Antiqua" w:hAnsi="Book Antiqua"/>
          <w:b/>
          <w:sz w:val="24"/>
          <w:szCs w:val="24"/>
        </w:rPr>
        <w:t>Kanda T</w:t>
      </w:r>
      <w:r w:rsidRPr="00092289">
        <w:rPr>
          <w:rFonts w:ascii="Book Antiqua" w:hAnsi="Book Antiqua"/>
          <w:sz w:val="24"/>
          <w:szCs w:val="24"/>
        </w:rPr>
        <w:t xml:space="preserve">, Yokosuka O, Imazeki F, Saisho H. Acute hepatitis C virus infection, 1986-2001: a rare cause of fulminant hepatitis in Chiba, Japan. </w:t>
      </w:r>
      <w:r w:rsidRPr="00092289">
        <w:rPr>
          <w:rFonts w:ascii="Book Antiqua" w:hAnsi="Book Antiqua"/>
          <w:i/>
          <w:sz w:val="24"/>
          <w:szCs w:val="24"/>
        </w:rPr>
        <w:t>Hepatogastroenterology</w:t>
      </w:r>
      <w:r w:rsidRPr="00092289">
        <w:rPr>
          <w:rFonts w:ascii="Book Antiqua" w:hAnsi="Book Antiqua"/>
          <w:sz w:val="24"/>
          <w:szCs w:val="24"/>
        </w:rPr>
        <w:t xml:space="preserve"> 2004; </w:t>
      </w:r>
      <w:r w:rsidRPr="00092289">
        <w:rPr>
          <w:rFonts w:ascii="Book Antiqua" w:hAnsi="Book Antiqua"/>
          <w:b/>
          <w:sz w:val="24"/>
          <w:szCs w:val="24"/>
        </w:rPr>
        <w:t>51</w:t>
      </w:r>
      <w:r w:rsidRPr="00092289">
        <w:rPr>
          <w:rFonts w:ascii="Book Antiqua" w:hAnsi="Book Antiqua"/>
          <w:sz w:val="24"/>
          <w:szCs w:val="24"/>
        </w:rPr>
        <w:t>: 556-558 [PMID: 15086201]</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49 </w:t>
      </w:r>
      <w:r w:rsidRPr="00092289">
        <w:rPr>
          <w:rFonts w:ascii="Book Antiqua" w:hAnsi="Book Antiqua"/>
          <w:b/>
          <w:sz w:val="24"/>
          <w:szCs w:val="24"/>
        </w:rPr>
        <w:t>Holmes JA</w:t>
      </w:r>
      <w:r w:rsidRPr="00092289">
        <w:rPr>
          <w:rFonts w:ascii="Book Antiqua" w:hAnsi="Book Antiqua"/>
          <w:sz w:val="24"/>
          <w:szCs w:val="24"/>
        </w:rPr>
        <w:t xml:space="preserve">, Yu ML, Chung RT. Hepatitis B reactivation during or after direct acting antiviral therapy - implication for susceptible individuals. </w:t>
      </w:r>
      <w:r w:rsidRPr="00092289">
        <w:rPr>
          <w:rFonts w:ascii="Book Antiqua" w:hAnsi="Book Antiqua"/>
          <w:i/>
          <w:sz w:val="24"/>
          <w:szCs w:val="24"/>
        </w:rPr>
        <w:t>Expert Opin Drug Saf</w:t>
      </w:r>
      <w:r w:rsidRPr="00092289">
        <w:rPr>
          <w:rFonts w:ascii="Book Antiqua" w:hAnsi="Book Antiqua"/>
          <w:sz w:val="24"/>
          <w:szCs w:val="24"/>
        </w:rPr>
        <w:t xml:space="preserve"> 2017; </w:t>
      </w:r>
      <w:r w:rsidRPr="00092289">
        <w:rPr>
          <w:rFonts w:ascii="Book Antiqua" w:hAnsi="Book Antiqua"/>
          <w:b/>
          <w:sz w:val="24"/>
          <w:szCs w:val="24"/>
        </w:rPr>
        <w:t>16</w:t>
      </w:r>
      <w:r w:rsidRPr="00092289">
        <w:rPr>
          <w:rFonts w:ascii="Book Antiqua" w:hAnsi="Book Antiqua"/>
          <w:sz w:val="24"/>
          <w:szCs w:val="24"/>
        </w:rPr>
        <w:t>: 651-672 [PMID: 28471314 DOI: 10.1080/14740338.2017.1325869]</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50 </w:t>
      </w:r>
      <w:r w:rsidRPr="00092289">
        <w:rPr>
          <w:rFonts w:ascii="Book Antiqua" w:hAnsi="Book Antiqua"/>
          <w:b/>
          <w:sz w:val="24"/>
          <w:szCs w:val="24"/>
        </w:rPr>
        <w:t>Wang C</w:t>
      </w:r>
      <w:r w:rsidRPr="00092289">
        <w:rPr>
          <w:rFonts w:ascii="Book Antiqua" w:hAnsi="Book Antiqua"/>
          <w:sz w:val="24"/>
          <w:szCs w:val="24"/>
        </w:rPr>
        <w:t xml:space="preserve">, Ji D, Chen J, Shao Q, Li B, Liu J, Wu V, Wong A, Wang Y, Zhang X, Lu L, Wong C, Tsang S, Zhang Z, Sun J, Hou J, Chen G, Lau G. Hepatitis due to Reactivation of Hepatitis B Virus in Endemic Areas Among Patients With Hepatitis C Treated With Direct-acting Antiviral Agents. </w:t>
      </w:r>
      <w:r w:rsidRPr="00092289">
        <w:rPr>
          <w:rFonts w:ascii="Book Antiqua" w:hAnsi="Book Antiqua"/>
          <w:i/>
          <w:sz w:val="24"/>
          <w:szCs w:val="24"/>
        </w:rPr>
        <w:t>Clin Gastroenterol Hepatol</w:t>
      </w:r>
      <w:r w:rsidRPr="00092289">
        <w:rPr>
          <w:rFonts w:ascii="Book Antiqua" w:hAnsi="Book Antiqua"/>
          <w:sz w:val="24"/>
          <w:szCs w:val="24"/>
        </w:rPr>
        <w:t xml:space="preserve"> 2017; </w:t>
      </w:r>
      <w:r w:rsidRPr="00092289">
        <w:rPr>
          <w:rFonts w:ascii="Book Antiqua" w:hAnsi="Book Antiqua"/>
          <w:b/>
          <w:sz w:val="24"/>
          <w:szCs w:val="24"/>
        </w:rPr>
        <w:t>15</w:t>
      </w:r>
      <w:r w:rsidRPr="00092289">
        <w:rPr>
          <w:rFonts w:ascii="Book Antiqua" w:hAnsi="Book Antiqua"/>
          <w:sz w:val="24"/>
          <w:szCs w:val="24"/>
        </w:rPr>
        <w:t>: 132-136 [PMID: 27392759 DOI: 10.1016/j.cgh.2016.06.023]</w:t>
      </w:r>
    </w:p>
    <w:p w:rsidR="00F35807" w:rsidRPr="00092289" w:rsidRDefault="00F35807" w:rsidP="00F35807">
      <w:pPr>
        <w:rPr>
          <w:rFonts w:ascii="Book Antiqua" w:hAnsi="Book Antiqua"/>
          <w:sz w:val="24"/>
          <w:szCs w:val="24"/>
        </w:rPr>
      </w:pPr>
      <w:r w:rsidRPr="00092289">
        <w:rPr>
          <w:rFonts w:ascii="Book Antiqua" w:hAnsi="Book Antiqua"/>
          <w:sz w:val="24"/>
          <w:szCs w:val="24"/>
        </w:rPr>
        <w:t xml:space="preserve">51 </w:t>
      </w:r>
      <w:r w:rsidRPr="00092289">
        <w:rPr>
          <w:rFonts w:ascii="Book Antiqua" w:hAnsi="Book Antiqua"/>
          <w:b/>
          <w:sz w:val="24"/>
          <w:szCs w:val="24"/>
        </w:rPr>
        <w:t>Chen G</w:t>
      </w:r>
      <w:r w:rsidRPr="00092289">
        <w:rPr>
          <w:rFonts w:ascii="Book Antiqua" w:hAnsi="Book Antiqua"/>
          <w:sz w:val="24"/>
          <w:szCs w:val="24"/>
        </w:rPr>
        <w:t xml:space="preserve">, Wang C, Chen J, Ji D, Wang Y, Wu V, Karlberg J, Lau G. Hepatitis B reactivation in hepatitis B and C coinfected patients treated with antiviral agents: A systematic review and meta-analysis. </w:t>
      </w:r>
      <w:r w:rsidRPr="00092289">
        <w:rPr>
          <w:rFonts w:ascii="Book Antiqua" w:hAnsi="Book Antiqua"/>
          <w:i/>
          <w:sz w:val="24"/>
          <w:szCs w:val="24"/>
        </w:rPr>
        <w:t>Hepatology</w:t>
      </w:r>
      <w:r w:rsidRPr="00092289">
        <w:rPr>
          <w:rFonts w:ascii="Book Antiqua" w:hAnsi="Book Antiqua"/>
          <w:sz w:val="24"/>
          <w:szCs w:val="24"/>
        </w:rPr>
        <w:t xml:space="preserve"> 2017; </w:t>
      </w:r>
      <w:r w:rsidRPr="00092289">
        <w:rPr>
          <w:rFonts w:ascii="Book Antiqua" w:hAnsi="Book Antiqua"/>
          <w:b/>
          <w:sz w:val="24"/>
          <w:szCs w:val="24"/>
        </w:rPr>
        <w:t>66</w:t>
      </w:r>
      <w:r w:rsidRPr="00092289">
        <w:rPr>
          <w:rFonts w:ascii="Book Antiqua" w:hAnsi="Book Antiqua"/>
          <w:sz w:val="24"/>
          <w:szCs w:val="24"/>
        </w:rPr>
        <w:t>: 13-26 [PMID: 28195337 DOI: 10.1002/hep.29109]</w:t>
      </w:r>
    </w:p>
    <w:p w:rsidR="00F35807" w:rsidRPr="00356DDD" w:rsidRDefault="00F35807" w:rsidP="008E5506">
      <w:pPr>
        <w:wordWrap w:val="0"/>
        <w:spacing w:line="360" w:lineRule="auto"/>
        <w:jc w:val="right"/>
        <w:rPr>
          <w:rFonts w:ascii="Book Antiqua" w:hAnsi="Book Antiqua"/>
          <w:b/>
          <w:bCs/>
          <w:sz w:val="24"/>
          <w:szCs w:val="24"/>
        </w:rPr>
      </w:pPr>
      <w:bookmarkStart w:id="31" w:name="OLE_LINK62"/>
      <w:bookmarkStart w:id="32" w:name="OLE_LINK63"/>
      <w:bookmarkStart w:id="33" w:name="OLE_LINK68"/>
      <w:bookmarkStart w:id="34" w:name="OLE_LINK115"/>
      <w:bookmarkStart w:id="35" w:name="OLE_LINK93"/>
      <w:bookmarkStart w:id="36" w:name="OLE_LINK96"/>
      <w:bookmarkStart w:id="37" w:name="OLE_LINK140"/>
      <w:bookmarkStart w:id="38" w:name="OLE_LINK112"/>
      <w:bookmarkStart w:id="39" w:name="OLE_LINK161"/>
      <w:bookmarkStart w:id="40" w:name="OLE_LINK174"/>
      <w:bookmarkStart w:id="41" w:name="OLE_LINK173"/>
      <w:r w:rsidRPr="00356DDD">
        <w:rPr>
          <w:rFonts w:ascii="Book Antiqua" w:hAnsi="Book Antiqua"/>
          <w:b/>
          <w:bCs/>
          <w:sz w:val="24"/>
          <w:szCs w:val="24"/>
        </w:rPr>
        <w:t xml:space="preserve">P-Reviewer: </w:t>
      </w:r>
      <w:r w:rsidR="008E5506" w:rsidRPr="00A45FA0">
        <w:rPr>
          <w:rFonts w:ascii="Book Antiqua" w:hAnsi="Book Antiqua"/>
          <w:bCs/>
          <w:sz w:val="24"/>
          <w:szCs w:val="24"/>
        </w:rPr>
        <w:t>Pan</w:t>
      </w:r>
      <w:r w:rsidR="008E5506" w:rsidRPr="00A45FA0">
        <w:rPr>
          <w:rFonts w:ascii="Book Antiqua" w:eastAsia="SimSun" w:hAnsi="Book Antiqua" w:hint="eastAsia"/>
          <w:bCs/>
          <w:sz w:val="24"/>
          <w:szCs w:val="24"/>
          <w:lang w:eastAsia="zh-CN"/>
        </w:rPr>
        <w:t xml:space="preserve"> Q, </w:t>
      </w:r>
      <w:r w:rsidR="008E5506" w:rsidRPr="00A45FA0">
        <w:rPr>
          <w:rFonts w:ascii="Book Antiqua" w:eastAsia="SimSun" w:hAnsi="Book Antiqua"/>
          <w:bCs/>
          <w:sz w:val="24"/>
          <w:szCs w:val="24"/>
          <w:lang w:eastAsia="zh-CN"/>
        </w:rPr>
        <w:t>Said</w:t>
      </w:r>
      <w:r w:rsidR="008E5506" w:rsidRPr="00A45FA0">
        <w:rPr>
          <w:rFonts w:ascii="Book Antiqua" w:eastAsia="SimSun" w:hAnsi="Book Antiqua" w:hint="eastAsia"/>
          <w:bCs/>
          <w:sz w:val="24"/>
          <w:szCs w:val="24"/>
          <w:lang w:eastAsia="zh-CN"/>
        </w:rPr>
        <w:t xml:space="preserve"> ZAN, </w:t>
      </w:r>
      <w:r w:rsidR="00A45FA0" w:rsidRPr="00A45FA0">
        <w:rPr>
          <w:rFonts w:ascii="Book Antiqua" w:eastAsia="SimSun" w:hAnsi="Book Antiqua"/>
          <w:bCs/>
          <w:sz w:val="24"/>
          <w:szCs w:val="24"/>
          <w:lang w:eastAsia="zh-CN"/>
        </w:rPr>
        <w:t>Sergi</w:t>
      </w:r>
      <w:r w:rsidR="00A45FA0" w:rsidRPr="00A45FA0">
        <w:rPr>
          <w:rFonts w:ascii="Book Antiqua" w:eastAsia="SimSun" w:hAnsi="Book Antiqua" w:hint="eastAsia"/>
          <w:bCs/>
          <w:sz w:val="24"/>
          <w:szCs w:val="24"/>
          <w:lang w:eastAsia="zh-CN"/>
        </w:rPr>
        <w:t xml:space="preserve"> CM, </w:t>
      </w:r>
      <w:r w:rsidR="00A45FA0" w:rsidRPr="00A45FA0">
        <w:rPr>
          <w:rFonts w:ascii="Book Antiqua" w:eastAsia="SimSun" w:hAnsi="Book Antiqua"/>
          <w:bCs/>
          <w:sz w:val="24"/>
          <w:szCs w:val="24"/>
          <w:lang w:eastAsia="zh-CN"/>
        </w:rPr>
        <w:t>Tamori</w:t>
      </w:r>
      <w:r w:rsidR="00A45FA0" w:rsidRPr="00A45FA0">
        <w:rPr>
          <w:rFonts w:ascii="Book Antiqua" w:eastAsia="SimSun" w:hAnsi="Book Antiqua" w:hint="eastAsia"/>
          <w:bCs/>
          <w:sz w:val="24"/>
          <w:szCs w:val="24"/>
          <w:lang w:eastAsia="zh-CN"/>
        </w:rPr>
        <w:t xml:space="preserve"> A,</w:t>
      </w:r>
      <w:r w:rsidRPr="00A45FA0">
        <w:rPr>
          <w:rFonts w:ascii="Book Antiqua" w:hAnsi="Book Antiqua" w:hint="eastAsia"/>
          <w:bCs/>
          <w:sz w:val="24"/>
          <w:szCs w:val="24"/>
        </w:rPr>
        <w:t xml:space="preserve"> </w:t>
      </w:r>
      <w:r w:rsidR="00A45FA0" w:rsidRPr="00A45FA0">
        <w:rPr>
          <w:rFonts w:ascii="Book Antiqua" w:hAnsi="Book Antiqua"/>
          <w:bCs/>
          <w:sz w:val="24"/>
          <w:szCs w:val="24"/>
        </w:rPr>
        <w:t>Yoshioka</w:t>
      </w:r>
      <w:r w:rsidR="00A45FA0" w:rsidRPr="00A45FA0">
        <w:rPr>
          <w:rFonts w:ascii="Book Antiqua" w:eastAsia="SimSun" w:hAnsi="Book Antiqua" w:hint="eastAsia"/>
          <w:bCs/>
          <w:sz w:val="24"/>
          <w:szCs w:val="24"/>
          <w:lang w:eastAsia="zh-CN"/>
        </w:rPr>
        <w:t xml:space="preserve"> K</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F35807" w:rsidRPr="00356DDD" w:rsidRDefault="00F35807" w:rsidP="00F35807">
      <w:pPr>
        <w:spacing w:line="360" w:lineRule="auto"/>
        <w:jc w:val="left"/>
        <w:rPr>
          <w:rFonts w:ascii="Arial" w:hAnsi="Arial" w:cs="Arial"/>
          <w:b/>
          <w:bCs/>
          <w:color w:val="2B2B2B"/>
          <w:sz w:val="24"/>
          <w:szCs w:val="24"/>
          <w:shd w:val="clear" w:color="auto" w:fill="FAFAFA"/>
        </w:rPr>
      </w:pPr>
    </w:p>
    <w:p w:rsidR="00F35807" w:rsidRPr="00356DDD" w:rsidRDefault="00F35807" w:rsidP="00F35807">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F35807" w:rsidRPr="00356DDD" w:rsidRDefault="00F35807" w:rsidP="00F35807">
      <w:pPr>
        <w:shd w:val="clear" w:color="auto" w:fill="FFFFFF"/>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334206" w:rsidRPr="00334206">
        <w:rPr>
          <w:rFonts w:ascii="Book Antiqua" w:hAnsi="Book Antiqua" w:cs="Helvetica"/>
          <w:sz w:val="24"/>
          <w:szCs w:val="24"/>
        </w:rPr>
        <w:t>Japan</w:t>
      </w:r>
    </w:p>
    <w:p w:rsidR="00F35807" w:rsidRPr="00356DDD" w:rsidRDefault="00F35807" w:rsidP="00F35807">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F35807" w:rsidRPr="00356DDD" w:rsidRDefault="00F35807" w:rsidP="00F35807">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008544BB" w:rsidRPr="00356DDD">
        <w:rPr>
          <w:rFonts w:ascii="Book Antiqua" w:hAnsi="Book Antiqua" w:cs="Helvetica"/>
          <w:sz w:val="24"/>
          <w:szCs w:val="24"/>
        </w:rPr>
        <w:t>A</w:t>
      </w:r>
    </w:p>
    <w:p w:rsidR="00F35807" w:rsidRPr="008544BB" w:rsidRDefault="00F35807" w:rsidP="00F35807">
      <w:pPr>
        <w:shd w:val="clear" w:color="auto" w:fill="FFFFFF"/>
        <w:snapToGrid w:val="0"/>
        <w:spacing w:line="360" w:lineRule="auto"/>
        <w:rPr>
          <w:rFonts w:ascii="Book Antiqua" w:eastAsia="SimSun" w:hAnsi="Book Antiqua" w:cs="Helvetica"/>
          <w:sz w:val="24"/>
          <w:szCs w:val="24"/>
          <w:lang w:eastAsia="zh-CN"/>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r w:rsidR="008544BB">
        <w:rPr>
          <w:rFonts w:ascii="Book Antiqua" w:eastAsia="SimSun" w:hAnsi="Book Antiqua" w:cs="Helvetica" w:hint="eastAsia"/>
          <w:sz w:val="24"/>
          <w:szCs w:val="24"/>
          <w:lang w:eastAsia="zh-CN"/>
        </w:rPr>
        <w:t>, B</w:t>
      </w:r>
    </w:p>
    <w:p w:rsidR="00F35807" w:rsidRPr="008544BB" w:rsidRDefault="00F35807" w:rsidP="00F35807">
      <w:pPr>
        <w:shd w:val="clear" w:color="auto" w:fill="FFFFFF"/>
        <w:snapToGrid w:val="0"/>
        <w:spacing w:line="360" w:lineRule="auto"/>
        <w:rPr>
          <w:rFonts w:ascii="Book Antiqua" w:eastAsia="SimSun" w:hAnsi="Book Antiqua" w:cs="Helvetica"/>
          <w:sz w:val="24"/>
          <w:szCs w:val="24"/>
          <w:lang w:eastAsia="zh-CN"/>
        </w:rPr>
      </w:pPr>
      <w:r w:rsidRPr="00356DDD">
        <w:rPr>
          <w:rFonts w:ascii="Book Antiqua" w:hAnsi="Book Antiqua" w:cs="Helvetica"/>
          <w:sz w:val="24"/>
          <w:szCs w:val="24"/>
        </w:rPr>
        <w:t xml:space="preserve">Grade C (Good): </w:t>
      </w:r>
      <w:r w:rsidR="008544BB" w:rsidRPr="00356DDD">
        <w:rPr>
          <w:rFonts w:ascii="Book Antiqua" w:hAnsi="Book Antiqua" w:cs="Helvetica"/>
          <w:sz w:val="24"/>
          <w:szCs w:val="24"/>
        </w:rPr>
        <w:t>C</w:t>
      </w:r>
      <w:r w:rsidR="008544BB">
        <w:rPr>
          <w:rFonts w:ascii="Book Antiqua" w:eastAsia="SimSun" w:hAnsi="Book Antiqua" w:cs="Helvetica" w:hint="eastAsia"/>
          <w:sz w:val="24"/>
          <w:szCs w:val="24"/>
          <w:lang w:eastAsia="zh-CN"/>
        </w:rPr>
        <w:t xml:space="preserve">, </w:t>
      </w:r>
      <w:r w:rsidR="008544BB" w:rsidRPr="00356DDD">
        <w:rPr>
          <w:rFonts w:ascii="Book Antiqua" w:hAnsi="Book Antiqua" w:cs="Helvetica"/>
          <w:sz w:val="24"/>
          <w:szCs w:val="24"/>
        </w:rPr>
        <w:t>C</w:t>
      </w:r>
    </w:p>
    <w:p w:rsidR="00F35807" w:rsidRPr="00356DDD" w:rsidRDefault="00F35807" w:rsidP="00F35807">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F35807" w:rsidRPr="00356DDD" w:rsidRDefault="00F35807" w:rsidP="00F35807">
      <w:pPr>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21"/>
    <w:bookmarkEnd w:id="22"/>
    <w:bookmarkEnd w:id="31"/>
    <w:bookmarkEnd w:id="32"/>
    <w:bookmarkEnd w:id="33"/>
    <w:bookmarkEnd w:id="34"/>
    <w:bookmarkEnd w:id="35"/>
    <w:bookmarkEnd w:id="36"/>
    <w:bookmarkEnd w:id="37"/>
    <w:bookmarkEnd w:id="38"/>
    <w:bookmarkEnd w:id="39"/>
    <w:bookmarkEnd w:id="40"/>
    <w:bookmarkEnd w:id="41"/>
    <w:p w:rsidR="004866CA" w:rsidRPr="00220CF9" w:rsidRDefault="004866CA" w:rsidP="004866CA">
      <w:pPr>
        <w:pStyle w:val="ListParagraph"/>
        <w:widowControl/>
        <w:numPr>
          <w:ilvl w:val="0"/>
          <w:numId w:val="1"/>
        </w:numPr>
        <w:ind w:leftChars="0"/>
        <w:jc w:val="left"/>
        <w:rPr>
          <w:rFonts w:ascii="Book Antiqua" w:hAnsi="Book Antiqua" w:cs="Book Antiqua"/>
          <w:b/>
          <w:bCs/>
          <w:color w:val="000000" w:themeColor="text1"/>
          <w:kern w:val="0"/>
          <w:sz w:val="24"/>
          <w:szCs w:val="24"/>
        </w:rPr>
      </w:pPr>
      <w:r w:rsidRPr="00220CF9">
        <w:rPr>
          <w:rFonts w:ascii="Book Antiqua" w:hAnsi="Book Antiqua"/>
          <w:b/>
          <w:bCs/>
          <w:color w:val="000000" w:themeColor="text1"/>
          <w:sz w:val="24"/>
          <w:szCs w:val="24"/>
        </w:rPr>
        <w:br w:type="page"/>
      </w:r>
    </w:p>
    <w:p w:rsidR="00CC2691" w:rsidRDefault="00CC2691" w:rsidP="00CC2691">
      <w:pPr>
        <w:pStyle w:val="Default"/>
        <w:spacing w:line="276" w:lineRule="auto"/>
        <w:jc w:val="both"/>
        <w:rPr>
          <w:rFonts w:eastAsia="SimSun"/>
          <w:b/>
          <w:color w:val="000000" w:themeColor="text1"/>
          <w:lang w:eastAsia="zh-CN"/>
        </w:rPr>
      </w:pPr>
    </w:p>
    <w:p w:rsidR="00EA785D" w:rsidRDefault="00791376" w:rsidP="00CC2691">
      <w:pPr>
        <w:pStyle w:val="Default"/>
        <w:spacing w:line="276" w:lineRule="auto"/>
        <w:jc w:val="both"/>
        <w:rPr>
          <w:rFonts w:eastAsia="SimSun"/>
          <w:b/>
          <w:color w:val="000000" w:themeColor="text1"/>
          <w:lang w:eastAsia="zh-CN"/>
        </w:rPr>
      </w:pPr>
      <w:r>
        <w:rPr>
          <w:noProof/>
          <w:lang w:eastAsia="zh-CN"/>
        </w:rPr>
        <w:drawing>
          <wp:inline distT="0" distB="0" distL="0" distR="0" wp14:anchorId="2DE16AB4" wp14:editId="3BC75574">
            <wp:extent cx="3750906" cy="3248950"/>
            <wp:effectExtent l="0" t="0" r="2540" b="8890"/>
            <wp:docPr id="1" name="図 1" descr="C:\Users\KANDA\Desktop\WJG-201709-Fig1-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DA\Desktop\WJG-201709-Fig1-300.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0070" cy="3256888"/>
                    </a:xfrm>
                    <a:prstGeom prst="rect">
                      <a:avLst/>
                    </a:prstGeom>
                    <a:noFill/>
                    <a:ln>
                      <a:noFill/>
                    </a:ln>
                  </pic:spPr>
                </pic:pic>
              </a:graphicData>
            </a:graphic>
          </wp:inline>
        </w:drawing>
      </w:r>
    </w:p>
    <w:p w:rsidR="00791376" w:rsidRPr="00EA785D" w:rsidRDefault="00791376" w:rsidP="00CC2691">
      <w:pPr>
        <w:pStyle w:val="Default"/>
        <w:spacing w:line="276" w:lineRule="auto"/>
        <w:jc w:val="both"/>
        <w:rPr>
          <w:rFonts w:eastAsia="SimSun"/>
          <w:b/>
          <w:color w:val="000000" w:themeColor="text1"/>
          <w:lang w:eastAsia="zh-CN"/>
        </w:rPr>
      </w:pPr>
    </w:p>
    <w:p w:rsidR="00007157" w:rsidRPr="00220CF9" w:rsidRDefault="00CC2691" w:rsidP="00CC2691">
      <w:pPr>
        <w:pStyle w:val="Default"/>
        <w:spacing w:line="276" w:lineRule="auto"/>
        <w:jc w:val="both"/>
        <w:rPr>
          <w:color w:val="000000" w:themeColor="text1"/>
        </w:rPr>
      </w:pPr>
      <w:r w:rsidRPr="00220CF9">
        <w:rPr>
          <w:b/>
          <w:color w:val="000000" w:themeColor="text1"/>
        </w:rPr>
        <w:t>Figure 1</w:t>
      </w:r>
      <w:r w:rsidR="00782449" w:rsidRPr="00220CF9">
        <w:rPr>
          <w:rFonts w:eastAsia="SimSun" w:hint="eastAsia"/>
          <w:b/>
          <w:color w:val="000000" w:themeColor="text1"/>
          <w:lang w:eastAsia="zh-CN"/>
        </w:rPr>
        <w:t xml:space="preserve"> </w:t>
      </w:r>
      <w:r w:rsidR="00892F6D" w:rsidRPr="00220CF9">
        <w:rPr>
          <w:b/>
          <w:color w:val="000000" w:themeColor="text1"/>
        </w:rPr>
        <w:t>Eradication of h</w:t>
      </w:r>
      <w:r w:rsidRPr="00220CF9">
        <w:rPr>
          <w:b/>
          <w:color w:val="000000" w:themeColor="text1"/>
        </w:rPr>
        <w:t>epatitis C vir</w:t>
      </w:r>
      <w:r w:rsidR="00892F6D" w:rsidRPr="00220CF9">
        <w:rPr>
          <w:b/>
          <w:color w:val="000000" w:themeColor="text1"/>
        </w:rPr>
        <w:t xml:space="preserve">us by interferon and direct-acting antiviral agents against </w:t>
      </w:r>
      <w:r w:rsidR="00EA785D" w:rsidRPr="00220CF9">
        <w:rPr>
          <w:b/>
          <w:color w:val="000000" w:themeColor="text1"/>
        </w:rPr>
        <w:t>hepatitis C virus</w:t>
      </w:r>
      <w:r w:rsidRPr="00220CF9">
        <w:rPr>
          <w:b/>
          <w:color w:val="000000" w:themeColor="text1"/>
        </w:rPr>
        <w:t>.</w:t>
      </w:r>
      <w:r w:rsidRPr="00220CF9">
        <w:rPr>
          <w:color w:val="000000" w:themeColor="text1"/>
        </w:rPr>
        <w:t xml:space="preserve"> </w:t>
      </w:r>
      <w:r w:rsidR="00802EA5" w:rsidRPr="00220CF9">
        <w:rPr>
          <w:color w:val="000000" w:themeColor="text1"/>
        </w:rPr>
        <w:t>(Left</w:t>
      </w:r>
      <w:r w:rsidR="00892F6D" w:rsidRPr="00220CF9">
        <w:rPr>
          <w:color w:val="000000" w:themeColor="text1"/>
        </w:rPr>
        <w:t>) Interferon</w:t>
      </w:r>
      <w:r w:rsidR="00065F5C" w:rsidRPr="00220CF9">
        <w:rPr>
          <w:color w:val="000000" w:themeColor="text1"/>
        </w:rPr>
        <w:t xml:space="preserve">. Interferon induces interferon-stimulated genes (ISGs) transcription </w:t>
      </w:r>
      <w:r w:rsidR="00936E05" w:rsidRPr="00220CF9">
        <w:rPr>
          <w:color w:val="000000" w:themeColor="text1"/>
        </w:rPr>
        <w:t xml:space="preserve">after binding its receptors </w:t>
      </w:r>
      <w:r w:rsidR="00065F5C" w:rsidRPr="00220CF9">
        <w:rPr>
          <w:color w:val="000000" w:themeColor="text1"/>
        </w:rPr>
        <w:t xml:space="preserve">and antiviral proteins. ISGs eradicate </w:t>
      </w:r>
      <w:r w:rsidR="00791376" w:rsidRPr="00791376">
        <w:rPr>
          <w:color w:val="000000" w:themeColor="text1"/>
        </w:rPr>
        <w:t>hepatitis C virus</w:t>
      </w:r>
      <w:r w:rsidR="00791376" w:rsidRPr="00220CF9">
        <w:rPr>
          <w:color w:val="000000" w:themeColor="text1"/>
        </w:rPr>
        <w:t xml:space="preserve"> </w:t>
      </w:r>
      <w:r w:rsidR="00791376">
        <w:rPr>
          <w:rFonts w:eastAsia="SimSun" w:hint="eastAsia"/>
          <w:color w:val="000000" w:themeColor="text1"/>
          <w:lang w:eastAsia="zh-CN"/>
        </w:rPr>
        <w:t>(</w:t>
      </w:r>
      <w:r w:rsidR="00065F5C" w:rsidRPr="00220CF9">
        <w:rPr>
          <w:color w:val="000000" w:themeColor="text1"/>
        </w:rPr>
        <w:t>HCV</w:t>
      </w:r>
      <w:r w:rsidR="00791376">
        <w:rPr>
          <w:rFonts w:eastAsia="SimSun" w:hint="eastAsia"/>
          <w:color w:val="000000" w:themeColor="text1"/>
          <w:lang w:eastAsia="zh-CN"/>
        </w:rPr>
        <w:t>)</w:t>
      </w:r>
      <w:r w:rsidR="00065F5C" w:rsidRPr="00220CF9">
        <w:rPr>
          <w:color w:val="000000" w:themeColor="text1"/>
        </w:rPr>
        <w:t xml:space="preserve"> with or without </w:t>
      </w:r>
      <w:r w:rsidR="004005EB" w:rsidRPr="00220CF9">
        <w:rPr>
          <w:color w:val="000000" w:themeColor="text1"/>
        </w:rPr>
        <w:t>resistance associated substitutions (</w:t>
      </w:r>
      <w:r w:rsidR="00065F5C" w:rsidRPr="00220CF9">
        <w:rPr>
          <w:color w:val="000000" w:themeColor="text1"/>
        </w:rPr>
        <w:t>RASs</w:t>
      </w:r>
      <w:r w:rsidR="00936E05" w:rsidRPr="00220CF9">
        <w:rPr>
          <w:color w:val="000000" w:themeColor="text1"/>
        </w:rPr>
        <w:t>) although</w:t>
      </w:r>
      <w:r w:rsidR="004005EB" w:rsidRPr="00220CF9">
        <w:rPr>
          <w:color w:val="000000" w:themeColor="text1"/>
        </w:rPr>
        <w:t xml:space="preserve"> interleukin-28B (IL28B) genotypes</w:t>
      </w:r>
      <w:r w:rsidR="00FD41F0" w:rsidRPr="00220CF9">
        <w:rPr>
          <w:color w:val="000000" w:themeColor="text1"/>
        </w:rPr>
        <w:t xml:space="preserve"> have an effect on its treatment results</w:t>
      </w:r>
      <w:r w:rsidR="00802EA5" w:rsidRPr="00220CF9">
        <w:rPr>
          <w:color w:val="000000" w:themeColor="text1"/>
        </w:rPr>
        <w:t>. (Right</w:t>
      </w:r>
      <w:r w:rsidR="004005EB" w:rsidRPr="00220CF9">
        <w:rPr>
          <w:color w:val="000000" w:themeColor="text1"/>
        </w:rPr>
        <w:t>)</w:t>
      </w:r>
      <w:r w:rsidR="00936E05" w:rsidRPr="00220CF9">
        <w:rPr>
          <w:color w:val="000000" w:themeColor="text1"/>
        </w:rPr>
        <w:t xml:space="preserve"> </w:t>
      </w:r>
      <w:r w:rsidR="00791376" w:rsidRPr="00791376">
        <w:rPr>
          <w:color w:val="000000" w:themeColor="text1"/>
        </w:rPr>
        <w:t>direct-acting antiviral agents</w:t>
      </w:r>
      <w:r w:rsidR="00791376" w:rsidRPr="00220CF9">
        <w:rPr>
          <w:color w:val="000000" w:themeColor="text1"/>
        </w:rPr>
        <w:t xml:space="preserve"> </w:t>
      </w:r>
      <w:r w:rsidR="00A0415C">
        <w:rPr>
          <w:rFonts w:eastAsia="SimSun" w:hint="eastAsia"/>
          <w:color w:val="000000" w:themeColor="text1"/>
          <w:lang w:eastAsia="zh-CN"/>
        </w:rPr>
        <w:t>(</w:t>
      </w:r>
      <w:r w:rsidR="00936E05" w:rsidRPr="00220CF9">
        <w:rPr>
          <w:color w:val="000000" w:themeColor="text1"/>
        </w:rPr>
        <w:t>DAAs</w:t>
      </w:r>
      <w:r w:rsidR="00A0415C">
        <w:rPr>
          <w:rFonts w:eastAsia="SimSun" w:hint="eastAsia"/>
          <w:color w:val="000000" w:themeColor="text1"/>
          <w:lang w:eastAsia="zh-CN"/>
        </w:rPr>
        <w:t>)</w:t>
      </w:r>
      <w:r w:rsidR="00936E05" w:rsidRPr="00220CF9">
        <w:rPr>
          <w:color w:val="000000" w:themeColor="text1"/>
        </w:rPr>
        <w:t xml:space="preserve"> easily eradicate HCV without RASs because DAAs work in HCV sequence-specific manner. In some cases, it is difficult for DAAs to eradicate HCV with RASs.</w:t>
      </w:r>
    </w:p>
    <w:p w:rsidR="00EC63D3" w:rsidRPr="00220CF9" w:rsidRDefault="00EC63D3" w:rsidP="00CC2691">
      <w:pPr>
        <w:pStyle w:val="Default"/>
        <w:spacing w:line="276" w:lineRule="auto"/>
        <w:jc w:val="both"/>
        <w:rPr>
          <w:color w:val="000000" w:themeColor="text1"/>
        </w:rPr>
      </w:pPr>
    </w:p>
    <w:p w:rsidR="00EC63D3" w:rsidRPr="00220CF9" w:rsidRDefault="00EC63D3" w:rsidP="00CC2691">
      <w:pPr>
        <w:pStyle w:val="Default"/>
        <w:spacing w:line="276" w:lineRule="auto"/>
        <w:jc w:val="both"/>
        <w:rPr>
          <w:color w:val="000000" w:themeColor="text1"/>
        </w:rPr>
      </w:pPr>
      <w:r w:rsidRPr="00220CF9">
        <w:rPr>
          <w:noProof/>
          <w:color w:val="000000" w:themeColor="text1"/>
          <w:lang w:eastAsia="zh-CN"/>
        </w:rPr>
        <mc:AlternateContent>
          <mc:Choice Requires="wps">
            <w:drawing>
              <wp:anchor distT="0" distB="0" distL="114300" distR="114300" simplePos="0" relativeHeight="251659264" behindDoc="0" locked="0" layoutInCell="1" allowOverlap="1" wp14:anchorId="0EA2EFAD" wp14:editId="1BD16DA2">
                <wp:simplePos x="0" y="0"/>
                <wp:positionH relativeFrom="column">
                  <wp:align>center</wp:align>
                </wp:positionH>
                <wp:positionV relativeFrom="paragraph">
                  <wp:posOffset>0</wp:posOffset>
                </wp:positionV>
                <wp:extent cx="4236098" cy="341596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98" cy="3415965"/>
                        </a:xfrm>
                        <a:prstGeom prst="rect">
                          <a:avLst/>
                        </a:prstGeom>
                        <a:noFill/>
                        <a:ln w="9525">
                          <a:noFill/>
                          <a:miter lim="800000"/>
                          <a:headEnd/>
                          <a:tailEnd/>
                        </a:ln>
                      </wps:spPr>
                      <wps:txbx>
                        <w:txbxContent>
                          <w:p w:rsidR="00272A49" w:rsidRDefault="00272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2EFAD"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33.55pt;height:268.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" filled="f" stroked="f">
                <v:textbox>
                  <w:txbxContent>
                    <w:p w:rsidR="00272A49" w:rsidRDefault="00272A49"/>
                  </w:txbxContent>
                </v:textbox>
              </v:shape>
            </w:pict>
          </mc:Fallback>
        </mc:AlternateContent>
      </w:r>
    </w:p>
    <w:p w:rsidR="00007157" w:rsidRPr="00220CF9" w:rsidRDefault="00007157">
      <w:pPr>
        <w:widowControl/>
        <w:jc w:val="left"/>
        <w:rPr>
          <w:rFonts w:ascii="Book Antiqua" w:hAnsi="Book Antiqua" w:cs="Book Antiqua"/>
          <w:color w:val="000000" w:themeColor="text1"/>
          <w:kern w:val="0"/>
          <w:sz w:val="24"/>
          <w:szCs w:val="24"/>
        </w:rPr>
      </w:pPr>
      <w:r w:rsidRPr="00220CF9">
        <w:rPr>
          <w:rFonts w:ascii="Book Antiqua" w:hAnsi="Book Antiqua"/>
          <w:color w:val="000000" w:themeColor="text1"/>
          <w:sz w:val="24"/>
          <w:szCs w:val="24"/>
        </w:rPr>
        <w:br w:type="page"/>
      </w:r>
    </w:p>
    <w:p w:rsidR="00716DA1" w:rsidRPr="00A0415C" w:rsidRDefault="00716DA1" w:rsidP="00716DA1">
      <w:pPr>
        <w:spacing w:line="480" w:lineRule="auto"/>
        <w:rPr>
          <w:rFonts w:ascii="Book Antiqua" w:eastAsia="SimSun" w:hAnsi="Book Antiqua"/>
          <w:b/>
          <w:color w:val="000000" w:themeColor="text1"/>
          <w:sz w:val="24"/>
          <w:szCs w:val="24"/>
          <w:lang w:eastAsia="zh-CN"/>
        </w:rPr>
      </w:pPr>
      <w:r w:rsidRPr="00220CF9">
        <w:rPr>
          <w:rFonts w:ascii="Book Antiqua" w:hAnsi="Book Antiqua"/>
          <w:b/>
          <w:color w:val="000000" w:themeColor="text1"/>
          <w:sz w:val="24"/>
          <w:szCs w:val="24"/>
        </w:rPr>
        <w:lastRenderedPageBreak/>
        <w:t>Table 1</w:t>
      </w:r>
      <w:r w:rsidR="005A15BC">
        <w:rPr>
          <w:rFonts w:ascii="Book Antiqua" w:eastAsia="SimSun" w:hAnsi="Book Antiqua" w:hint="eastAsia"/>
          <w:b/>
          <w:color w:val="000000" w:themeColor="text1"/>
          <w:sz w:val="24"/>
          <w:szCs w:val="24"/>
          <w:lang w:eastAsia="zh-CN"/>
        </w:rPr>
        <w:t xml:space="preserve"> </w:t>
      </w:r>
      <w:r w:rsidR="00594E50" w:rsidRPr="00220CF9">
        <w:rPr>
          <w:rFonts w:ascii="Book Antiqua" w:hAnsi="Book Antiqua"/>
          <w:b/>
          <w:color w:val="000000" w:themeColor="text1"/>
          <w:sz w:val="24"/>
          <w:szCs w:val="24"/>
        </w:rPr>
        <w:t xml:space="preserve">Representative direct-acting antivirals, their targets </w:t>
      </w:r>
      <w:r w:rsidR="00A0415C">
        <w:rPr>
          <w:rFonts w:ascii="Book Antiqua" w:hAnsi="Book Antiqua"/>
          <w:b/>
          <w:color w:val="000000" w:themeColor="text1"/>
          <w:sz w:val="24"/>
          <w:szCs w:val="24"/>
        </w:rPr>
        <w:t>and hepatitis C virus genotypes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901"/>
        <w:gridCol w:w="2901"/>
      </w:tblGrid>
      <w:tr w:rsidR="00220CF9" w:rsidRPr="00220CF9" w:rsidTr="00594E50">
        <w:tc>
          <w:tcPr>
            <w:tcW w:w="2900" w:type="dxa"/>
            <w:tcBorders>
              <w:top w:val="single" w:sz="4" w:space="0" w:color="auto"/>
              <w:bottom w:val="single" w:sz="4" w:space="0" w:color="auto"/>
            </w:tcBorders>
          </w:tcPr>
          <w:p w:rsidR="00594E50" w:rsidRPr="00220CF9" w:rsidRDefault="00594E50">
            <w:pPr>
              <w:widowControl/>
              <w:jc w:val="left"/>
              <w:rPr>
                <w:rFonts w:ascii="Book Antiqua" w:hAnsi="Book Antiqua"/>
                <w:b/>
                <w:color w:val="000000" w:themeColor="text1"/>
                <w:sz w:val="24"/>
                <w:szCs w:val="24"/>
              </w:rPr>
            </w:pPr>
            <w:r w:rsidRPr="00220CF9">
              <w:rPr>
                <w:rFonts w:ascii="Book Antiqua" w:hAnsi="Book Antiqua"/>
                <w:b/>
                <w:color w:val="000000" w:themeColor="text1"/>
                <w:sz w:val="24"/>
                <w:szCs w:val="24"/>
              </w:rPr>
              <w:t>Target</w:t>
            </w:r>
            <w:r w:rsidR="008D303F" w:rsidRPr="00220CF9">
              <w:rPr>
                <w:rFonts w:ascii="Book Antiqua" w:hAnsi="Book Antiqua"/>
                <w:b/>
                <w:color w:val="000000" w:themeColor="text1"/>
                <w:sz w:val="24"/>
                <w:szCs w:val="24"/>
              </w:rPr>
              <w:t xml:space="preserve"> region</w:t>
            </w:r>
            <w:r w:rsidRPr="00220CF9">
              <w:rPr>
                <w:rFonts w:ascii="Book Antiqua" w:hAnsi="Book Antiqua"/>
                <w:b/>
                <w:color w:val="000000" w:themeColor="text1"/>
                <w:sz w:val="24"/>
                <w:szCs w:val="24"/>
              </w:rPr>
              <w:t>s</w:t>
            </w:r>
          </w:p>
        </w:tc>
        <w:tc>
          <w:tcPr>
            <w:tcW w:w="2901" w:type="dxa"/>
            <w:tcBorders>
              <w:top w:val="single" w:sz="4" w:space="0" w:color="auto"/>
              <w:bottom w:val="single" w:sz="4" w:space="0" w:color="auto"/>
            </w:tcBorders>
          </w:tcPr>
          <w:p w:rsidR="00594E50" w:rsidRPr="00220CF9" w:rsidRDefault="00594E50">
            <w:pPr>
              <w:widowControl/>
              <w:jc w:val="left"/>
              <w:rPr>
                <w:rFonts w:ascii="Book Antiqua" w:hAnsi="Book Antiqua"/>
                <w:b/>
                <w:color w:val="000000" w:themeColor="text1"/>
                <w:sz w:val="24"/>
                <w:szCs w:val="24"/>
              </w:rPr>
            </w:pPr>
            <w:r w:rsidRPr="00220CF9">
              <w:rPr>
                <w:rFonts w:ascii="Book Antiqua" w:hAnsi="Book Antiqua"/>
                <w:b/>
                <w:color w:val="000000" w:themeColor="text1"/>
                <w:sz w:val="24"/>
                <w:szCs w:val="24"/>
              </w:rPr>
              <w:t>DAAs</w:t>
            </w:r>
          </w:p>
        </w:tc>
        <w:tc>
          <w:tcPr>
            <w:tcW w:w="2901" w:type="dxa"/>
            <w:tcBorders>
              <w:top w:val="single" w:sz="4" w:space="0" w:color="auto"/>
              <w:bottom w:val="single" w:sz="4" w:space="0" w:color="auto"/>
            </w:tcBorders>
          </w:tcPr>
          <w:p w:rsidR="00594E50" w:rsidRPr="00220CF9" w:rsidRDefault="00594E50">
            <w:pPr>
              <w:widowControl/>
              <w:jc w:val="left"/>
              <w:rPr>
                <w:rFonts w:ascii="Book Antiqua" w:hAnsi="Book Antiqua"/>
                <w:b/>
                <w:color w:val="000000" w:themeColor="text1"/>
                <w:sz w:val="24"/>
                <w:szCs w:val="24"/>
              </w:rPr>
            </w:pPr>
            <w:r w:rsidRPr="00220CF9">
              <w:rPr>
                <w:rFonts w:ascii="Book Antiqua" w:hAnsi="Book Antiqua"/>
                <w:b/>
                <w:color w:val="000000" w:themeColor="text1"/>
                <w:sz w:val="24"/>
                <w:szCs w:val="24"/>
              </w:rPr>
              <w:t>HCV GTs</w:t>
            </w:r>
          </w:p>
        </w:tc>
      </w:tr>
      <w:tr w:rsidR="00220CF9" w:rsidRPr="00220CF9" w:rsidTr="00594E50">
        <w:tc>
          <w:tcPr>
            <w:tcW w:w="2900" w:type="dxa"/>
            <w:tcBorders>
              <w:top w:val="single" w:sz="4" w:space="0" w:color="auto"/>
            </w:tcBorders>
          </w:tcPr>
          <w:p w:rsidR="00594E50" w:rsidRPr="00220CF9" w:rsidRDefault="00594E50">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NS3/4A</w:t>
            </w:r>
          </w:p>
        </w:tc>
        <w:tc>
          <w:tcPr>
            <w:tcW w:w="2901" w:type="dxa"/>
            <w:tcBorders>
              <w:top w:val="single" w:sz="4" w:space="0" w:color="auto"/>
            </w:tcBorders>
          </w:tcPr>
          <w:p w:rsidR="00594E50" w:rsidRPr="00220CF9" w:rsidRDefault="00594E50">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Glecaprevir</w:t>
            </w:r>
          </w:p>
        </w:tc>
        <w:tc>
          <w:tcPr>
            <w:tcW w:w="2901" w:type="dxa"/>
            <w:tcBorders>
              <w:top w:val="single" w:sz="4" w:space="0" w:color="auto"/>
            </w:tcBorders>
          </w:tcPr>
          <w:p w:rsidR="00594E50" w:rsidRPr="00220CF9" w:rsidRDefault="00594E50">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Pan-GTs</w:t>
            </w:r>
          </w:p>
        </w:tc>
      </w:tr>
      <w:tr w:rsidR="00220CF9" w:rsidRPr="00220CF9" w:rsidTr="00594E50">
        <w:tc>
          <w:tcPr>
            <w:tcW w:w="2900" w:type="dxa"/>
          </w:tcPr>
          <w:p w:rsidR="00594E50" w:rsidRPr="00220CF9" w:rsidRDefault="00594E50">
            <w:pPr>
              <w:widowControl/>
              <w:jc w:val="left"/>
              <w:rPr>
                <w:rFonts w:ascii="Book Antiqua" w:hAnsi="Book Antiqua"/>
                <w:color w:val="000000" w:themeColor="text1"/>
                <w:sz w:val="24"/>
                <w:szCs w:val="24"/>
              </w:rPr>
            </w:pPr>
          </w:p>
        </w:tc>
        <w:tc>
          <w:tcPr>
            <w:tcW w:w="2901" w:type="dxa"/>
          </w:tcPr>
          <w:p w:rsidR="00594E50" w:rsidRPr="00220CF9" w:rsidRDefault="00594E50">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Grazoprevir</w:t>
            </w:r>
          </w:p>
        </w:tc>
        <w:tc>
          <w:tcPr>
            <w:tcW w:w="2901" w:type="dxa"/>
          </w:tcPr>
          <w:p w:rsidR="00594E50" w:rsidRPr="00220CF9" w:rsidRDefault="00594E50">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1, 4</w:t>
            </w:r>
          </w:p>
        </w:tc>
      </w:tr>
      <w:tr w:rsidR="00220CF9" w:rsidRPr="00220CF9" w:rsidTr="00594E50">
        <w:tc>
          <w:tcPr>
            <w:tcW w:w="2900" w:type="dxa"/>
          </w:tcPr>
          <w:p w:rsidR="00594E50" w:rsidRPr="00220CF9" w:rsidRDefault="00594E50">
            <w:pPr>
              <w:widowControl/>
              <w:jc w:val="left"/>
              <w:rPr>
                <w:rFonts w:ascii="Book Antiqua" w:hAnsi="Book Antiqua"/>
                <w:color w:val="000000" w:themeColor="text1"/>
                <w:sz w:val="24"/>
                <w:szCs w:val="24"/>
              </w:rPr>
            </w:pPr>
          </w:p>
        </w:tc>
        <w:tc>
          <w:tcPr>
            <w:tcW w:w="2901" w:type="dxa"/>
          </w:tcPr>
          <w:p w:rsidR="00594E50" w:rsidRPr="00220CF9" w:rsidRDefault="00594E50">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Asunaprevir</w:t>
            </w:r>
          </w:p>
        </w:tc>
        <w:tc>
          <w:tcPr>
            <w:tcW w:w="2901" w:type="dxa"/>
          </w:tcPr>
          <w:p w:rsidR="00594E50"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1b</w:t>
            </w:r>
          </w:p>
        </w:tc>
      </w:tr>
      <w:tr w:rsidR="00220CF9" w:rsidRPr="00220CF9" w:rsidTr="00594E50">
        <w:tc>
          <w:tcPr>
            <w:tcW w:w="2900" w:type="dxa"/>
          </w:tcPr>
          <w:p w:rsidR="00594E50" w:rsidRPr="00220CF9" w:rsidRDefault="00594E50">
            <w:pPr>
              <w:widowControl/>
              <w:jc w:val="left"/>
              <w:rPr>
                <w:rFonts w:ascii="Book Antiqua" w:hAnsi="Book Antiqua"/>
                <w:color w:val="000000" w:themeColor="text1"/>
                <w:sz w:val="24"/>
                <w:szCs w:val="24"/>
              </w:rPr>
            </w:pPr>
          </w:p>
        </w:tc>
        <w:tc>
          <w:tcPr>
            <w:tcW w:w="2901" w:type="dxa"/>
          </w:tcPr>
          <w:p w:rsidR="00594E50"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Paritaprevir</w:t>
            </w:r>
          </w:p>
        </w:tc>
        <w:tc>
          <w:tcPr>
            <w:tcW w:w="2901" w:type="dxa"/>
          </w:tcPr>
          <w:p w:rsidR="00594E50"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1, 2a, 4</w:t>
            </w:r>
          </w:p>
        </w:tc>
      </w:tr>
      <w:tr w:rsidR="00220CF9" w:rsidRPr="00220CF9" w:rsidTr="00594E50">
        <w:tc>
          <w:tcPr>
            <w:tcW w:w="2900" w:type="dxa"/>
          </w:tcPr>
          <w:p w:rsidR="00594E50" w:rsidRPr="00220CF9" w:rsidRDefault="00594E50">
            <w:pPr>
              <w:widowControl/>
              <w:jc w:val="left"/>
              <w:rPr>
                <w:rFonts w:ascii="Book Antiqua" w:hAnsi="Book Antiqua"/>
                <w:color w:val="000000" w:themeColor="text1"/>
                <w:sz w:val="24"/>
                <w:szCs w:val="24"/>
              </w:rPr>
            </w:pPr>
          </w:p>
        </w:tc>
        <w:tc>
          <w:tcPr>
            <w:tcW w:w="2901" w:type="dxa"/>
          </w:tcPr>
          <w:p w:rsidR="00594E50"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Simeprevir</w:t>
            </w:r>
          </w:p>
        </w:tc>
        <w:tc>
          <w:tcPr>
            <w:tcW w:w="2901" w:type="dxa"/>
          </w:tcPr>
          <w:p w:rsidR="00594E50"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1,4</w:t>
            </w:r>
          </w:p>
        </w:tc>
      </w:tr>
      <w:tr w:rsidR="00220CF9" w:rsidRPr="00220CF9" w:rsidTr="00594E50">
        <w:tc>
          <w:tcPr>
            <w:tcW w:w="2900" w:type="dxa"/>
          </w:tcPr>
          <w:p w:rsidR="00594E50" w:rsidRPr="00220CF9" w:rsidRDefault="00594E50">
            <w:pPr>
              <w:widowControl/>
              <w:jc w:val="left"/>
              <w:rPr>
                <w:rFonts w:ascii="Book Antiqua" w:hAnsi="Book Antiqua"/>
                <w:color w:val="000000" w:themeColor="text1"/>
                <w:sz w:val="24"/>
                <w:szCs w:val="24"/>
              </w:rPr>
            </w:pPr>
          </w:p>
        </w:tc>
        <w:tc>
          <w:tcPr>
            <w:tcW w:w="2901" w:type="dxa"/>
          </w:tcPr>
          <w:p w:rsidR="00594E50"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Telaprevir</w:t>
            </w:r>
          </w:p>
        </w:tc>
        <w:tc>
          <w:tcPr>
            <w:tcW w:w="2901" w:type="dxa"/>
          </w:tcPr>
          <w:p w:rsidR="00594E50"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1,2</w:t>
            </w:r>
          </w:p>
        </w:tc>
      </w:tr>
      <w:tr w:rsidR="00220CF9" w:rsidRPr="00220CF9" w:rsidTr="00594E50">
        <w:tc>
          <w:tcPr>
            <w:tcW w:w="2900" w:type="dxa"/>
          </w:tcPr>
          <w:p w:rsidR="00594E50" w:rsidRPr="00220CF9" w:rsidRDefault="00594E50">
            <w:pPr>
              <w:widowControl/>
              <w:jc w:val="left"/>
              <w:rPr>
                <w:rFonts w:ascii="Book Antiqua" w:hAnsi="Book Antiqua"/>
                <w:color w:val="000000" w:themeColor="text1"/>
                <w:sz w:val="24"/>
                <w:szCs w:val="24"/>
              </w:rPr>
            </w:pPr>
          </w:p>
        </w:tc>
        <w:tc>
          <w:tcPr>
            <w:tcW w:w="2901" w:type="dxa"/>
          </w:tcPr>
          <w:p w:rsidR="00594E50"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Boceprevir</w:t>
            </w:r>
          </w:p>
        </w:tc>
        <w:tc>
          <w:tcPr>
            <w:tcW w:w="2901" w:type="dxa"/>
          </w:tcPr>
          <w:p w:rsidR="00594E50"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1</w:t>
            </w:r>
          </w:p>
        </w:tc>
      </w:tr>
      <w:tr w:rsidR="00220CF9" w:rsidRPr="00220CF9" w:rsidTr="00594E50">
        <w:tc>
          <w:tcPr>
            <w:tcW w:w="2900"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NS5A</w:t>
            </w:r>
          </w:p>
        </w:tc>
        <w:tc>
          <w:tcPr>
            <w:tcW w:w="2901"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Pibrentasvir</w:t>
            </w:r>
          </w:p>
        </w:tc>
        <w:tc>
          <w:tcPr>
            <w:tcW w:w="2901"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Pan-GTs</w:t>
            </w:r>
          </w:p>
        </w:tc>
      </w:tr>
      <w:tr w:rsidR="00220CF9" w:rsidRPr="00220CF9" w:rsidTr="00594E50">
        <w:tc>
          <w:tcPr>
            <w:tcW w:w="2900" w:type="dxa"/>
          </w:tcPr>
          <w:p w:rsidR="005414A6" w:rsidRPr="00220CF9" w:rsidRDefault="005414A6">
            <w:pPr>
              <w:widowControl/>
              <w:jc w:val="left"/>
              <w:rPr>
                <w:rFonts w:ascii="Book Antiqua" w:hAnsi="Book Antiqua"/>
                <w:color w:val="000000" w:themeColor="text1"/>
                <w:sz w:val="24"/>
                <w:szCs w:val="24"/>
              </w:rPr>
            </w:pPr>
          </w:p>
        </w:tc>
        <w:tc>
          <w:tcPr>
            <w:tcW w:w="2901"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Velpatasvir</w:t>
            </w:r>
          </w:p>
        </w:tc>
        <w:tc>
          <w:tcPr>
            <w:tcW w:w="2901"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Pan-GTs</w:t>
            </w:r>
          </w:p>
        </w:tc>
      </w:tr>
      <w:tr w:rsidR="00220CF9" w:rsidRPr="00220CF9" w:rsidTr="00594E50">
        <w:tc>
          <w:tcPr>
            <w:tcW w:w="2900" w:type="dxa"/>
          </w:tcPr>
          <w:p w:rsidR="005414A6" w:rsidRPr="00220CF9" w:rsidRDefault="005414A6">
            <w:pPr>
              <w:widowControl/>
              <w:jc w:val="left"/>
              <w:rPr>
                <w:rFonts w:ascii="Book Antiqua" w:hAnsi="Book Antiqua"/>
                <w:color w:val="000000" w:themeColor="text1"/>
                <w:sz w:val="24"/>
                <w:szCs w:val="24"/>
              </w:rPr>
            </w:pPr>
          </w:p>
        </w:tc>
        <w:tc>
          <w:tcPr>
            <w:tcW w:w="2901"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Elbasvir</w:t>
            </w:r>
          </w:p>
        </w:tc>
        <w:tc>
          <w:tcPr>
            <w:tcW w:w="2901"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Pan-GTs</w:t>
            </w:r>
          </w:p>
        </w:tc>
      </w:tr>
      <w:tr w:rsidR="00220CF9" w:rsidRPr="00220CF9" w:rsidTr="00594E50">
        <w:tc>
          <w:tcPr>
            <w:tcW w:w="2900" w:type="dxa"/>
          </w:tcPr>
          <w:p w:rsidR="005414A6" w:rsidRPr="00220CF9" w:rsidRDefault="005414A6">
            <w:pPr>
              <w:widowControl/>
              <w:jc w:val="left"/>
              <w:rPr>
                <w:rFonts w:ascii="Book Antiqua" w:hAnsi="Book Antiqua"/>
                <w:color w:val="000000" w:themeColor="text1"/>
                <w:sz w:val="24"/>
                <w:szCs w:val="24"/>
              </w:rPr>
            </w:pPr>
          </w:p>
        </w:tc>
        <w:tc>
          <w:tcPr>
            <w:tcW w:w="2901"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Daclatasvir</w:t>
            </w:r>
          </w:p>
        </w:tc>
        <w:tc>
          <w:tcPr>
            <w:tcW w:w="2901"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Pan-GTs</w:t>
            </w:r>
          </w:p>
        </w:tc>
      </w:tr>
      <w:tr w:rsidR="00220CF9" w:rsidRPr="00220CF9" w:rsidTr="00594E50">
        <w:tc>
          <w:tcPr>
            <w:tcW w:w="2900" w:type="dxa"/>
          </w:tcPr>
          <w:p w:rsidR="005414A6" w:rsidRPr="00220CF9" w:rsidRDefault="005414A6">
            <w:pPr>
              <w:widowControl/>
              <w:jc w:val="left"/>
              <w:rPr>
                <w:rFonts w:ascii="Book Antiqua" w:hAnsi="Book Antiqua"/>
                <w:color w:val="000000" w:themeColor="text1"/>
                <w:sz w:val="24"/>
                <w:szCs w:val="24"/>
              </w:rPr>
            </w:pPr>
          </w:p>
        </w:tc>
        <w:tc>
          <w:tcPr>
            <w:tcW w:w="2901"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Ledipasvir</w:t>
            </w:r>
          </w:p>
        </w:tc>
        <w:tc>
          <w:tcPr>
            <w:tcW w:w="2901"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1,4,5</w:t>
            </w:r>
          </w:p>
        </w:tc>
      </w:tr>
      <w:tr w:rsidR="00220CF9" w:rsidRPr="00220CF9" w:rsidTr="00594E50">
        <w:tc>
          <w:tcPr>
            <w:tcW w:w="2900" w:type="dxa"/>
          </w:tcPr>
          <w:p w:rsidR="005414A6" w:rsidRPr="00220CF9" w:rsidRDefault="005414A6">
            <w:pPr>
              <w:widowControl/>
              <w:jc w:val="left"/>
              <w:rPr>
                <w:rFonts w:ascii="Book Antiqua" w:hAnsi="Book Antiqua"/>
                <w:color w:val="000000" w:themeColor="text1"/>
                <w:sz w:val="24"/>
                <w:szCs w:val="24"/>
              </w:rPr>
            </w:pPr>
          </w:p>
        </w:tc>
        <w:tc>
          <w:tcPr>
            <w:tcW w:w="2901"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Ombitasvir</w:t>
            </w:r>
          </w:p>
        </w:tc>
        <w:tc>
          <w:tcPr>
            <w:tcW w:w="2901"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1,4</w:t>
            </w:r>
          </w:p>
        </w:tc>
      </w:tr>
      <w:tr w:rsidR="00220CF9" w:rsidRPr="00220CF9" w:rsidTr="005414A6">
        <w:tc>
          <w:tcPr>
            <w:tcW w:w="2900"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NS5B</w:t>
            </w:r>
          </w:p>
        </w:tc>
        <w:tc>
          <w:tcPr>
            <w:tcW w:w="2901" w:type="dxa"/>
          </w:tcPr>
          <w:p w:rsidR="00D75140"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Sofosbuvir</w:t>
            </w:r>
          </w:p>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[nucleos(t)ide inhibitor]</w:t>
            </w:r>
          </w:p>
        </w:tc>
        <w:tc>
          <w:tcPr>
            <w:tcW w:w="2901" w:type="dxa"/>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Pan-GTs</w:t>
            </w:r>
          </w:p>
        </w:tc>
      </w:tr>
      <w:tr w:rsidR="00220CF9" w:rsidRPr="00220CF9" w:rsidTr="005414A6">
        <w:tc>
          <w:tcPr>
            <w:tcW w:w="2900" w:type="dxa"/>
            <w:tcBorders>
              <w:bottom w:val="single" w:sz="4" w:space="0" w:color="auto"/>
            </w:tcBorders>
          </w:tcPr>
          <w:p w:rsidR="005414A6" w:rsidRPr="00220CF9" w:rsidRDefault="005414A6">
            <w:pPr>
              <w:widowControl/>
              <w:jc w:val="left"/>
              <w:rPr>
                <w:rFonts w:ascii="Book Antiqua" w:hAnsi="Book Antiqua"/>
                <w:color w:val="000000" w:themeColor="text1"/>
                <w:sz w:val="24"/>
                <w:szCs w:val="24"/>
              </w:rPr>
            </w:pPr>
          </w:p>
        </w:tc>
        <w:tc>
          <w:tcPr>
            <w:tcW w:w="2901" w:type="dxa"/>
            <w:tcBorders>
              <w:bottom w:val="single" w:sz="4" w:space="0" w:color="auto"/>
            </w:tcBorders>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Dasabuvir</w:t>
            </w:r>
            <w:r w:rsidR="00D75140" w:rsidRPr="00220CF9">
              <w:rPr>
                <w:rFonts w:ascii="Book Antiqua" w:hAnsi="Book Antiqua"/>
                <w:color w:val="000000" w:themeColor="text1"/>
                <w:sz w:val="24"/>
                <w:szCs w:val="24"/>
              </w:rPr>
              <w:t xml:space="preserve"> [non-nucleos(t)ide inhibitor]</w:t>
            </w:r>
          </w:p>
        </w:tc>
        <w:tc>
          <w:tcPr>
            <w:tcW w:w="2901" w:type="dxa"/>
            <w:tcBorders>
              <w:bottom w:val="single" w:sz="4" w:space="0" w:color="auto"/>
            </w:tcBorders>
          </w:tcPr>
          <w:p w:rsidR="005414A6" w:rsidRPr="00220CF9" w:rsidRDefault="005414A6">
            <w:pPr>
              <w:widowControl/>
              <w:jc w:val="left"/>
              <w:rPr>
                <w:rFonts w:ascii="Book Antiqua" w:hAnsi="Book Antiqua"/>
                <w:color w:val="000000" w:themeColor="text1"/>
                <w:sz w:val="24"/>
                <w:szCs w:val="24"/>
              </w:rPr>
            </w:pPr>
            <w:r w:rsidRPr="00220CF9">
              <w:rPr>
                <w:rFonts w:ascii="Book Antiqua" w:hAnsi="Book Antiqua"/>
                <w:color w:val="000000" w:themeColor="text1"/>
                <w:sz w:val="24"/>
                <w:szCs w:val="24"/>
              </w:rPr>
              <w:t>1</w:t>
            </w:r>
          </w:p>
        </w:tc>
      </w:tr>
    </w:tbl>
    <w:p w:rsidR="00A0415C" w:rsidRPr="00A0415C" w:rsidRDefault="00A0415C">
      <w:pPr>
        <w:widowControl/>
        <w:jc w:val="left"/>
        <w:rPr>
          <w:rFonts w:ascii="Book Antiqua" w:eastAsia="SimSun" w:hAnsi="Book Antiqua"/>
          <w:color w:val="000000" w:themeColor="text1"/>
          <w:sz w:val="24"/>
          <w:szCs w:val="24"/>
          <w:lang w:eastAsia="zh-CN"/>
        </w:rPr>
      </w:pPr>
      <w:r w:rsidRPr="00A0415C">
        <w:rPr>
          <w:rFonts w:ascii="Book Antiqua" w:hAnsi="Book Antiqua"/>
          <w:color w:val="000000" w:themeColor="text1"/>
          <w:sz w:val="24"/>
          <w:szCs w:val="24"/>
        </w:rPr>
        <w:t>DAAs</w:t>
      </w:r>
      <w:r w:rsidRPr="00A0415C">
        <w:rPr>
          <w:rFonts w:ascii="Book Antiqua" w:eastAsia="SimSun" w:hAnsi="Book Antiqua" w:hint="eastAsia"/>
          <w:color w:val="000000" w:themeColor="text1"/>
          <w:sz w:val="24"/>
          <w:szCs w:val="24"/>
          <w:lang w:eastAsia="zh-CN"/>
        </w:rPr>
        <w:t xml:space="preserve">: </w:t>
      </w:r>
      <w:r w:rsidRPr="00A0415C">
        <w:rPr>
          <w:rFonts w:ascii="Book Antiqua" w:hAnsi="Book Antiqua"/>
          <w:caps/>
          <w:color w:val="000000" w:themeColor="text1"/>
          <w:sz w:val="24"/>
          <w:szCs w:val="24"/>
        </w:rPr>
        <w:t>d</w:t>
      </w:r>
      <w:r w:rsidRPr="00A0415C">
        <w:rPr>
          <w:rFonts w:ascii="Book Antiqua" w:hAnsi="Book Antiqua"/>
          <w:color w:val="000000" w:themeColor="text1"/>
          <w:sz w:val="24"/>
          <w:szCs w:val="24"/>
        </w:rPr>
        <w:t>irect-acting antivirals</w:t>
      </w:r>
      <w:r w:rsidRPr="00A0415C">
        <w:rPr>
          <w:rFonts w:ascii="Book Antiqua" w:eastAsia="SimSun" w:hAnsi="Book Antiqua" w:hint="eastAsia"/>
          <w:color w:val="000000" w:themeColor="text1"/>
          <w:sz w:val="24"/>
          <w:szCs w:val="24"/>
          <w:lang w:eastAsia="zh-CN"/>
        </w:rPr>
        <w:t xml:space="preserve">; </w:t>
      </w:r>
      <w:r w:rsidRPr="00A0415C">
        <w:rPr>
          <w:rFonts w:ascii="Book Antiqua" w:hAnsi="Book Antiqua"/>
          <w:color w:val="000000" w:themeColor="text1"/>
          <w:sz w:val="24"/>
          <w:szCs w:val="24"/>
        </w:rPr>
        <w:t>HCV GTs</w:t>
      </w:r>
      <w:r w:rsidRPr="00A0415C">
        <w:rPr>
          <w:rFonts w:ascii="Book Antiqua" w:eastAsia="SimSun" w:hAnsi="Book Antiqua" w:hint="eastAsia"/>
          <w:color w:val="000000" w:themeColor="text1"/>
          <w:sz w:val="24"/>
          <w:szCs w:val="24"/>
          <w:lang w:eastAsia="zh-CN"/>
        </w:rPr>
        <w:t xml:space="preserve">: </w:t>
      </w:r>
      <w:r w:rsidRPr="00A0415C">
        <w:rPr>
          <w:rFonts w:ascii="Book Antiqua" w:hAnsi="Book Antiqua"/>
          <w:caps/>
          <w:color w:val="000000" w:themeColor="text1"/>
          <w:sz w:val="24"/>
          <w:szCs w:val="24"/>
        </w:rPr>
        <w:t>h</w:t>
      </w:r>
      <w:r w:rsidRPr="00A0415C">
        <w:rPr>
          <w:rFonts w:ascii="Book Antiqua" w:hAnsi="Book Antiqua"/>
          <w:color w:val="000000" w:themeColor="text1"/>
          <w:sz w:val="24"/>
          <w:szCs w:val="24"/>
        </w:rPr>
        <w:t>epatitis C virus genotypes</w:t>
      </w:r>
      <w:r w:rsidRPr="00A0415C">
        <w:rPr>
          <w:rFonts w:ascii="Book Antiqua" w:eastAsia="SimSun" w:hAnsi="Book Antiqua" w:hint="eastAsia"/>
          <w:color w:val="000000" w:themeColor="text1"/>
          <w:sz w:val="24"/>
          <w:szCs w:val="24"/>
          <w:lang w:eastAsia="zh-CN"/>
        </w:rPr>
        <w:t>.</w:t>
      </w:r>
    </w:p>
    <w:p w:rsidR="00716DA1" w:rsidRPr="00220CF9" w:rsidRDefault="00716DA1">
      <w:pPr>
        <w:widowControl/>
        <w:jc w:val="left"/>
        <w:rPr>
          <w:rFonts w:ascii="Book Antiqua" w:hAnsi="Book Antiqua"/>
          <w:b/>
          <w:color w:val="000000" w:themeColor="text1"/>
          <w:sz w:val="24"/>
          <w:szCs w:val="24"/>
        </w:rPr>
      </w:pPr>
      <w:r w:rsidRPr="00220CF9">
        <w:rPr>
          <w:rFonts w:ascii="Book Antiqua" w:hAnsi="Book Antiqua"/>
          <w:b/>
          <w:color w:val="000000" w:themeColor="text1"/>
          <w:sz w:val="24"/>
          <w:szCs w:val="24"/>
        </w:rPr>
        <w:br w:type="page"/>
      </w:r>
    </w:p>
    <w:p w:rsidR="00007157" w:rsidRPr="005A15BC" w:rsidRDefault="00716DA1" w:rsidP="00007157">
      <w:pPr>
        <w:spacing w:line="480" w:lineRule="auto"/>
        <w:rPr>
          <w:rFonts w:ascii="Book Antiqua" w:eastAsia="SimSun" w:hAnsi="Book Antiqua"/>
          <w:b/>
          <w:color w:val="000000" w:themeColor="text1"/>
          <w:sz w:val="24"/>
          <w:szCs w:val="24"/>
          <w:lang w:eastAsia="zh-CN"/>
        </w:rPr>
      </w:pPr>
      <w:r w:rsidRPr="00220CF9">
        <w:rPr>
          <w:rFonts w:ascii="Book Antiqua" w:hAnsi="Book Antiqua"/>
          <w:b/>
          <w:color w:val="000000" w:themeColor="text1"/>
          <w:sz w:val="24"/>
          <w:szCs w:val="24"/>
        </w:rPr>
        <w:lastRenderedPageBreak/>
        <w:t>Table 2</w:t>
      </w:r>
      <w:r w:rsidR="005A15BC">
        <w:rPr>
          <w:rFonts w:ascii="Book Antiqua" w:eastAsia="SimSun" w:hAnsi="Book Antiqua" w:hint="eastAsia"/>
          <w:b/>
          <w:color w:val="000000" w:themeColor="text1"/>
          <w:sz w:val="24"/>
          <w:szCs w:val="24"/>
          <w:lang w:eastAsia="zh-CN"/>
        </w:rPr>
        <w:t xml:space="preserve"> </w:t>
      </w:r>
      <w:r w:rsidR="00007157" w:rsidRPr="00220CF9">
        <w:rPr>
          <w:rFonts w:ascii="Book Antiqua" w:hAnsi="Book Antiqua"/>
          <w:b/>
          <w:color w:val="000000" w:themeColor="text1"/>
          <w:sz w:val="24"/>
          <w:szCs w:val="24"/>
        </w:rPr>
        <w:t xml:space="preserve">Resistance-associated substitutions or treatment-emergent substitutions of </w:t>
      </w:r>
      <w:r w:rsidR="005A15BC">
        <w:rPr>
          <w:rFonts w:ascii="Book Antiqua" w:hAnsi="Book Antiqua"/>
          <w:b/>
          <w:color w:val="000000" w:themeColor="text1"/>
          <w:sz w:val="24"/>
          <w:szCs w:val="24"/>
        </w:rPr>
        <w:t>hepatitis C virus</w:t>
      </w:r>
      <w:r w:rsidR="005A15BC" w:rsidRPr="00220CF9">
        <w:rPr>
          <w:rFonts w:ascii="Book Antiqua" w:hAnsi="Book Antiqua"/>
          <w:b/>
          <w:color w:val="000000" w:themeColor="text1"/>
          <w:sz w:val="24"/>
          <w:szCs w:val="24"/>
        </w:rPr>
        <w:t xml:space="preserve"> </w:t>
      </w:r>
      <w:r w:rsidR="00007157" w:rsidRPr="00220CF9">
        <w:rPr>
          <w:rFonts w:ascii="Book Antiqua" w:hAnsi="Book Antiqua"/>
          <w:b/>
          <w:color w:val="000000" w:themeColor="text1"/>
          <w:sz w:val="24"/>
          <w:szCs w:val="24"/>
        </w:rPr>
        <w:t>NS5B nucleos(t)ide inhibitors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417"/>
        <w:gridCol w:w="1560"/>
        <w:gridCol w:w="1559"/>
        <w:gridCol w:w="1416"/>
      </w:tblGrid>
      <w:tr w:rsidR="00220CF9" w:rsidRPr="00220CF9" w:rsidTr="00C93163">
        <w:trPr>
          <w:trHeight w:val="730"/>
        </w:trPr>
        <w:tc>
          <w:tcPr>
            <w:tcW w:w="2660" w:type="dxa"/>
            <w:tcBorders>
              <w:top w:val="single" w:sz="4" w:space="0" w:color="auto"/>
            </w:tcBorders>
          </w:tcPr>
          <w:p w:rsidR="00C93163" w:rsidRPr="00220CF9" w:rsidRDefault="00C93163" w:rsidP="00FF0CA9">
            <w:pPr>
              <w:rPr>
                <w:rFonts w:ascii="Book Antiqua" w:hAnsi="Book Antiqua"/>
                <w:b/>
                <w:color w:val="000000" w:themeColor="text1"/>
                <w:sz w:val="24"/>
                <w:szCs w:val="24"/>
                <w:vertAlign w:val="superscript"/>
              </w:rPr>
            </w:pPr>
            <w:r w:rsidRPr="00220CF9">
              <w:rPr>
                <w:rFonts w:ascii="Book Antiqua" w:hAnsi="Book Antiqua"/>
                <w:b/>
                <w:color w:val="000000" w:themeColor="text1"/>
                <w:sz w:val="24"/>
                <w:szCs w:val="24"/>
              </w:rPr>
              <w:t>Domains of HCV NS5B polymerase</w:t>
            </w:r>
            <w:r w:rsidRPr="00220CF9">
              <w:rPr>
                <w:rFonts w:ascii="Book Antiqua" w:hAnsi="Book Antiqua"/>
                <w:b/>
                <w:color w:val="000000" w:themeColor="text1"/>
                <w:sz w:val="24"/>
                <w:szCs w:val="24"/>
                <w:vertAlign w:val="superscript"/>
              </w:rPr>
              <w:t>[45]</w:t>
            </w:r>
          </w:p>
        </w:tc>
        <w:tc>
          <w:tcPr>
            <w:tcW w:w="4536" w:type="dxa"/>
            <w:gridSpan w:val="3"/>
            <w:tcBorders>
              <w:top w:val="single" w:sz="4" w:space="0" w:color="auto"/>
            </w:tcBorders>
          </w:tcPr>
          <w:p w:rsidR="00C93163" w:rsidRPr="00220CF9" w:rsidRDefault="00C93163" w:rsidP="00FF0CA9">
            <w:pPr>
              <w:rPr>
                <w:rFonts w:ascii="Book Antiqua" w:hAnsi="Book Antiqua"/>
                <w:b/>
                <w:color w:val="000000" w:themeColor="text1"/>
                <w:sz w:val="24"/>
                <w:szCs w:val="24"/>
              </w:rPr>
            </w:pPr>
            <w:r w:rsidRPr="00220CF9">
              <w:rPr>
                <w:rFonts w:ascii="Book Antiqua" w:hAnsi="Book Antiqua"/>
                <w:b/>
                <w:color w:val="000000" w:themeColor="text1"/>
                <w:sz w:val="24"/>
                <w:szCs w:val="24"/>
              </w:rPr>
              <w:t>HCV genotypes (GTs)</w:t>
            </w:r>
          </w:p>
        </w:tc>
        <w:tc>
          <w:tcPr>
            <w:tcW w:w="1276" w:type="dxa"/>
            <w:tcBorders>
              <w:top w:val="single" w:sz="4" w:space="0" w:color="auto"/>
            </w:tcBorders>
          </w:tcPr>
          <w:p w:rsidR="00C93163" w:rsidRPr="00220CF9" w:rsidRDefault="00C93163" w:rsidP="00FF0CA9">
            <w:pPr>
              <w:rPr>
                <w:rFonts w:ascii="Book Antiqua" w:hAnsi="Book Antiqua"/>
                <w:b/>
                <w:color w:val="000000" w:themeColor="text1"/>
                <w:sz w:val="24"/>
                <w:szCs w:val="24"/>
              </w:rPr>
            </w:pPr>
            <w:r w:rsidRPr="00220CF9">
              <w:rPr>
                <w:rFonts w:ascii="Book Antiqua" w:hAnsi="Book Antiqua"/>
                <w:b/>
                <w:color w:val="000000" w:themeColor="text1"/>
                <w:sz w:val="24"/>
                <w:szCs w:val="24"/>
              </w:rPr>
              <w:t>References</w:t>
            </w:r>
          </w:p>
        </w:tc>
      </w:tr>
      <w:tr w:rsidR="00220CF9" w:rsidRPr="00220CF9" w:rsidTr="00C93163">
        <w:tc>
          <w:tcPr>
            <w:tcW w:w="2660" w:type="dxa"/>
            <w:tcBorders>
              <w:bottom w:val="single" w:sz="4" w:space="0" w:color="auto"/>
            </w:tcBorders>
          </w:tcPr>
          <w:p w:rsidR="00C93163" w:rsidRPr="00220CF9" w:rsidRDefault="00C93163" w:rsidP="00FF0CA9">
            <w:pPr>
              <w:rPr>
                <w:rFonts w:ascii="Book Antiqua" w:hAnsi="Book Antiqua"/>
                <w:b/>
                <w:color w:val="000000" w:themeColor="text1"/>
                <w:sz w:val="24"/>
                <w:szCs w:val="24"/>
              </w:rPr>
            </w:pPr>
          </w:p>
        </w:tc>
        <w:tc>
          <w:tcPr>
            <w:tcW w:w="1417" w:type="dxa"/>
            <w:tcBorders>
              <w:bottom w:val="single" w:sz="4" w:space="0" w:color="auto"/>
            </w:tcBorders>
          </w:tcPr>
          <w:p w:rsidR="00C93163" w:rsidRPr="00220CF9" w:rsidRDefault="00C93163" w:rsidP="00FF0CA9">
            <w:pPr>
              <w:rPr>
                <w:rFonts w:ascii="Book Antiqua" w:hAnsi="Book Antiqua"/>
                <w:b/>
                <w:color w:val="000000" w:themeColor="text1"/>
                <w:sz w:val="24"/>
                <w:szCs w:val="24"/>
              </w:rPr>
            </w:pPr>
            <w:r w:rsidRPr="00220CF9">
              <w:rPr>
                <w:rFonts w:ascii="Book Antiqua" w:hAnsi="Book Antiqua"/>
                <w:b/>
                <w:color w:val="000000" w:themeColor="text1"/>
                <w:sz w:val="24"/>
                <w:szCs w:val="24"/>
              </w:rPr>
              <w:t>GT1</w:t>
            </w:r>
          </w:p>
        </w:tc>
        <w:tc>
          <w:tcPr>
            <w:tcW w:w="1560" w:type="dxa"/>
            <w:tcBorders>
              <w:bottom w:val="single" w:sz="4" w:space="0" w:color="auto"/>
            </w:tcBorders>
          </w:tcPr>
          <w:p w:rsidR="00C93163" w:rsidRPr="00220CF9" w:rsidRDefault="00C93163" w:rsidP="00FF0CA9">
            <w:pPr>
              <w:rPr>
                <w:rFonts w:ascii="Book Antiqua" w:hAnsi="Book Antiqua"/>
                <w:b/>
                <w:color w:val="000000" w:themeColor="text1"/>
                <w:sz w:val="24"/>
                <w:szCs w:val="24"/>
              </w:rPr>
            </w:pPr>
            <w:r w:rsidRPr="00220CF9">
              <w:rPr>
                <w:rFonts w:ascii="Book Antiqua" w:hAnsi="Book Antiqua"/>
                <w:b/>
                <w:color w:val="000000" w:themeColor="text1"/>
                <w:sz w:val="24"/>
                <w:szCs w:val="24"/>
              </w:rPr>
              <w:t>GT1a</w:t>
            </w:r>
          </w:p>
        </w:tc>
        <w:tc>
          <w:tcPr>
            <w:tcW w:w="1559" w:type="dxa"/>
            <w:tcBorders>
              <w:bottom w:val="single" w:sz="4" w:space="0" w:color="auto"/>
            </w:tcBorders>
          </w:tcPr>
          <w:p w:rsidR="00C93163" w:rsidRPr="00220CF9" w:rsidRDefault="00C93163" w:rsidP="00FF0CA9">
            <w:pPr>
              <w:rPr>
                <w:rFonts w:ascii="Book Antiqua" w:hAnsi="Book Antiqua"/>
                <w:b/>
                <w:color w:val="000000" w:themeColor="text1"/>
                <w:sz w:val="24"/>
                <w:szCs w:val="24"/>
              </w:rPr>
            </w:pPr>
            <w:r w:rsidRPr="00220CF9">
              <w:rPr>
                <w:rFonts w:ascii="Book Antiqua" w:hAnsi="Book Antiqua"/>
                <w:b/>
                <w:color w:val="000000" w:themeColor="text1"/>
                <w:sz w:val="24"/>
                <w:szCs w:val="24"/>
              </w:rPr>
              <w:t>GT1b</w:t>
            </w:r>
          </w:p>
        </w:tc>
        <w:tc>
          <w:tcPr>
            <w:tcW w:w="1276" w:type="dxa"/>
            <w:tcBorders>
              <w:bottom w:val="single" w:sz="4" w:space="0" w:color="auto"/>
            </w:tcBorders>
          </w:tcPr>
          <w:p w:rsidR="00C93163" w:rsidRPr="00220CF9" w:rsidRDefault="00C93163" w:rsidP="00FF0CA9">
            <w:pPr>
              <w:rPr>
                <w:rFonts w:ascii="Book Antiqua" w:hAnsi="Book Antiqua"/>
                <w:b/>
                <w:color w:val="000000" w:themeColor="text1"/>
                <w:sz w:val="24"/>
                <w:szCs w:val="24"/>
              </w:rPr>
            </w:pPr>
          </w:p>
        </w:tc>
      </w:tr>
      <w:tr w:rsidR="00220CF9" w:rsidRPr="00220CF9" w:rsidTr="00C93163">
        <w:tc>
          <w:tcPr>
            <w:tcW w:w="2660" w:type="dxa"/>
            <w:vMerge w:val="restart"/>
            <w:tcBorders>
              <w:top w:val="single" w:sz="4" w:space="0" w:color="auto"/>
            </w:tcBorders>
            <w:shd w:val="clear" w:color="auto" w:fill="auto"/>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Fingers domain</w:t>
            </w:r>
          </w:p>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(AA1-188, 226-287)</w:t>
            </w:r>
          </w:p>
        </w:tc>
        <w:tc>
          <w:tcPr>
            <w:tcW w:w="1417" w:type="dxa"/>
            <w:tcBorders>
              <w:top w:val="single" w:sz="4" w:space="0" w:color="auto"/>
            </w:tcBorders>
          </w:tcPr>
          <w:p w:rsidR="00007157" w:rsidRPr="00220CF9" w:rsidRDefault="00007157" w:rsidP="00FF0CA9">
            <w:pPr>
              <w:rPr>
                <w:rFonts w:ascii="Book Antiqua" w:hAnsi="Book Antiqua"/>
                <w:color w:val="000000" w:themeColor="text1"/>
                <w:sz w:val="24"/>
                <w:szCs w:val="24"/>
              </w:rPr>
            </w:pPr>
          </w:p>
        </w:tc>
        <w:tc>
          <w:tcPr>
            <w:tcW w:w="1560" w:type="dxa"/>
            <w:tcBorders>
              <w:top w:val="single" w:sz="4" w:space="0" w:color="auto"/>
            </w:tcBorders>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C14R</w:t>
            </w:r>
          </w:p>
        </w:tc>
        <w:tc>
          <w:tcPr>
            <w:tcW w:w="1559" w:type="dxa"/>
            <w:tcBorders>
              <w:top w:val="single" w:sz="4" w:space="0" w:color="auto"/>
            </w:tcBorders>
          </w:tcPr>
          <w:p w:rsidR="00007157" w:rsidRPr="00220CF9" w:rsidRDefault="00007157" w:rsidP="00FF0CA9">
            <w:pPr>
              <w:rPr>
                <w:rFonts w:ascii="Book Antiqua" w:hAnsi="Book Antiqua"/>
                <w:color w:val="000000" w:themeColor="text1"/>
                <w:sz w:val="24"/>
                <w:szCs w:val="24"/>
              </w:rPr>
            </w:pPr>
          </w:p>
        </w:tc>
        <w:tc>
          <w:tcPr>
            <w:tcW w:w="1276" w:type="dxa"/>
            <w:tcBorders>
              <w:top w:val="single" w:sz="4" w:space="0" w:color="auto"/>
            </w:tcBorders>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40</w:t>
            </w:r>
          </w:p>
        </w:tc>
      </w:tr>
      <w:tr w:rsidR="00220CF9" w:rsidRPr="00220CF9" w:rsidTr="00C93163">
        <w:tc>
          <w:tcPr>
            <w:tcW w:w="2660" w:type="dxa"/>
            <w:vMerge/>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Pr>
          <w:p w:rsidR="00007157" w:rsidRPr="00220CF9" w:rsidRDefault="00007157" w:rsidP="00FF0CA9">
            <w:pPr>
              <w:rPr>
                <w:rFonts w:ascii="Book Antiqua" w:hAnsi="Book Antiqua"/>
                <w:color w:val="000000" w:themeColor="text1"/>
                <w:sz w:val="24"/>
                <w:szCs w:val="24"/>
              </w:rPr>
            </w:pPr>
          </w:p>
        </w:tc>
        <w:tc>
          <w:tcPr>
            <w:tcW w:w="156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D61G</w:t>
            </w:r>
          </w:p>
        </w:tc>
        <w:tc>
          <w:tcPr>
            <w:tcW w:w="1559" w:type="dxa"/>
          </w:tcPr>
          <w:p w:rsidR="00007157" w:rsidRPr="00220CF9" w:rsidRDefault="00007157" w:rsidP="00FF0CA9">
            <w:pPr>
              <w:rPr>
                <w:rFonts w:ascii="Book Antiqua" w:hAnsi="Book Antiqua"/>
                <w:color w:val="000000" w:themeColor="text1"/>
                <w:sz w:val="24"/>
                <w:szCs w:val="24"/>
              </w:rPr>
            </w:pP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40</w:t>
            </w:r>
          </w:p>
        </w:tc>
      </w:tr>
      <w:tr w:rsidR="00220CF9" w:rsidRPr="00220CF9" w:rsidTr="00C93163">
        <w:tc>
          <w:tcPr>
            <w:tcW w:w="2660" w:type="dxa"/>
            <w:vMerge/>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Pr>
          <w:p w:rsidR="00007157" w:rsidRPr="00220CF9" w:rsidRDefault="00007157" w:rsidP="00FF0CA9">
            <w:pPr>
              <w:rPr>
                <w:rFonts w:ascii="Book Antiqua" w:hAnsi="Book Antiqua"/>
                <w:color w:val="000000" w:themeColor="text1"/>
                <w:sz w:val="24"/>
                <w:szCs w:val="24"/>
              </w:rPr>
            </w:pPr>
          </w:p>
        </w:tc>
        <w:tc>
          <w:tcPr>
            <w:tcW w:w="1560" w:type="dxa"/>
          </w:tcPr>
          <w:p w:rsidR="00007157" w:rsidRPr="00220CF9" w:rsidRDefault="00007157" w:rsidP="00FF0CA9">
            <w:pPr>
              <w:rPr>
                <w:rFonts w:ascii="Book Antiqua" w:hAnsi="Book Antiqua"/>
                <w:color w:val="000000" w:themeColor="text1"/>
                <w:sz w:val="24"/>
                <w:szCs w:val="24"/>
              </w:rPr>
            </w:pPr>
          </w:p>
        </w:tc>
        <w:tc>
          <w:tcPr>
            <w:tcW w:w="1559"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T77T/A</w:t>
            </w: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41</w:t>
            </w:r>
          </w:p>
        </w:tc>
      </w:tr>
      <w:tr w:rsidR="00220CF9" w:rsidRPr="00220CF9" w:rsidTr="00C93163">
        <w:tc>
          <w:tcPr>
            <w:tcW w:w="2660" w:type="dxa"/>
            <w:vMerge/>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S96T</w:t>
            </w:r>
          </w:p>
        </w:tc>
        <w:tc>
          <w:tcPr>
            <w:tcW w:w="1560" w:type="dxa"/>
          </w:tcPr>
          <w:p w:rsidR="00007157" w:rsidRPr="00220CF9" w:rsidRDefault="00007157" w:rsidP="00FF0CA9">
            <w:pPr>
              <w:rPr>
                <w:rFonts w:ascii="Book Antiqua" w:hAnsi="Book Antiqua"/>
                <w:color w:val="000000" w:themeColor="text1"/>
                <w:sz w:val="24"/>
                <w:szCs w:val="24"/>
              </w:rPr>
            </w:pPr>
          </w:p>
        </w:tc>
        <w:tc>
          <w:tcPr>
            <w:tcW w:w="1559" w:type="dxa"/>
          </w:tcPr>
          <w:p w:rsidR="00007157" w:rsidRPr="00220CF9" w:rsidRDefault="00007157" w:rsidP="00FF0CA9">
            <w:pPr>
              <w:rPr>
                <w:rFonts w:ascii="Book Antiqua" w:hAnsi="Book Antiqua"/>
                <w:color w:val="000000" w:themeColor="text1"/>
                <w:sz w:val="24"/>
                <w:szCs w:val="24"/>
              </w:rPr>
            </w:pP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42</w:t>
            </w:r>
          </w:p>
        </w:tc>
      </w:tr>
      <w:tr w:rsidR="00220CF9" w:rsidRPr="00220CF9" w:rsidTr="00C93163">
        <w:tc>
          <w:tcPr>
            <w:tcW w:w="2660" w:type="dxa"/>
            <w:vMerge/>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N142T</w:t>
            </w:r>
          </w:p>
        </w:tc>
        <w:tc>
          <w:tcPr>
            <w:tcW w:w="1560" w:type="dxa"/>
          </w:tcPr>
          <w:p w:rsidR="00007157" w:rsidRPr="00220CF9" w:rsidRDefault="00007157" w:rsidP="00FF0CA9">
            <w:pPr>
              <w:rPr>
                <w:rFonts w:ascii="Book Antiqua" w:hAnsi="Book Antiqua"/>
                <w:color w:val="000000" w:themeColor="text1"/>
                <w:sz w:val="24"/>
                <w:szCs w:val="24"/>
              </w:rPr>
            </w:pPr>
          </w:p>
        </w:tc>
        <w:tc>
          <w:tcPr>
            <w:tcW w:w="1559"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N142S</w:t>
            </w: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40,42</w:t>
            </w:r>
          </w:p>
        </w:tc>
      </w:tr>
      <w:tr w:rsidR="00220CF9" w:rsidRPr="00220CF9" w:rsidTr="00C93163">
        <w:tc>
          <w:tcPr>
            <w:tcW w:w="2660" w:type="dxa"/>
            <w:vMerge/>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L159F</w:t>
            </w:r>
          </w:p>
        </w:tc>
        <w:tc>
          <w:tcPr>
            <w:tcW w:w="1560" w:type="dxa"/>
          </w:tcPr>
          <w:p w:rsidR="00007157" w:rsidRPr="00220CF9" w:rsidRDefault="00007157" w:rsidP="00FF0CA9">
            <w:pPr>
              <w:rPr>
                <w:rFonts w:ascii="Book Antiqua" w:hAnsi="Book Antiqua"/>
                <w:color w:val="000000" w:themeColor="text1"/>
                <w:sz w:val="24"/>
                <w:szCs w:val="24"/>
              </w:rPr>
            </w:pPr>
          </w:p>
        </w:tc>
        <w:tc>
          <w:tcPr>
            <w:tcW w:w="1559" w:type="dxa"/>
          </w:tcPr>
          <w:p w:rsidR="00007157" w:rsidRPr="00220CF9" w:rsidRDefault="00007157" w:rsidP="00FF0CA9">
            <w:pPr>
              <w:rPr>
                <w:rFonts w:ascii="Book Antiqua" w:hAnsi="Book Antiqua"/>
                <w:color w:val="000000" w:themeColor="text1"/>
                <w:sz w:val="24"/>
                <w:szCs w:val="24"/>
              </w:rPr>
            </w:pP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40-44</w:t>
            </w:r>
          </w:p>
        </w:tc>
      </w:tr>
      <w:tr w:rsidR="00220CF9" w:rsidRPr="00220CF9" w:rsidTr="00C93163">
        <w:tc>
          <w:tcPr>
            <w:tcW w:w="2660" w:type="dxa"/>
            <w:vMerge/>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Pr>
          <w:p w:rsidR="00007157" w:rsidRPr="00220CF9" w:rsidRDefault="00007157" w:rsidP="00FF0CA9">
            <w:pPr>
              <w:rPr>
                <w:rFonts w:ascii="Book Antiqua" w:hAnsi="Book Antiqua"/>
                <w:color w:val="000000" w:themeColor="text1"/>
                <w:sz w:val="24"/>
                <w:szCs w:val="24"/>
              </w:rPr>
            </w:pPr>
          </w:p>
        </w:tc>
        <w:tc>
          <w:tcPr>
            <w:tcW w:w="156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E237G</w:t>
            </w:r>
          </w:p>
        </w:tc>
        <w:tc>
          <w:tcPr>
            <w:tcW w:w="1559" w:type="dxa"/>
          </w:tcPr>
          <w:p w:rsidR="00007157" w:rsidRPr="00220CF9" w:rsidRDefault="00007157" w:rsidP="00FF0CA9">
            <w:pPr>
              <w:rPr>
                <w:rFonts w:ascii="Book Antiqua" w:hAnsi="Book Antiqua"/>
                <w:color w:val="000000" w:themeColor="text1"/>
                <w:sz w:val="24"/>
                <w:szCs w:val="24"/>
              </w:rPr>
            </w:pP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40</w:t>
            </w:r>
          </w:p>
        </w:tc>
      </w:tr>
      <w:tr w:rsidR="00220CF9" w:rsidRPr="00220CF9" w:rsidTr="00C93163">
        <w:tc>
          <w:tcPr>
            <w:tcW w:w="2660" w:type="dxa"/>
            <w:vMerge/>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S282T</w:t>
            </w:r>
          </w:p>
        </w:tc>
        <w:tc>
          <w:tcPr>
            <w:tcW w:w="156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S282R</w:t>
            </w:r>
          </w:p>
        </w:tc>
        <w:tc>
          <w:tcPr>
            <w:tcW w:w="1559" w:type="dxa"/>
          </w:tcPr>
          <w:p w:rsidR="00007157" w:rsidRPr="00220CF9" w:rsidRDefault="00007157" w:rsidP="00FF0CA9">
            <w:pPr>
              <w:rPr>
                <w:rFonts w:ascii="Book Antiqua" w:hAnsi="Book Antiqua"/>
                <w:color w:val="000000" w:themeColor="text1"/>
                <w:sz w:val="24"/>
                <w:szCs w:val="24"/>
              </w:rPr>
            </w:pP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40,41,42</w:t>
            </w:r>
          </w:p>
        </w:tc>
      </w:tr>
      <w:tr w:rsidR="00220CF9" w:rsidRPr="00220CF9" w:rsidTr="00C93163">
        <w:tc>
          <w:tcPr>
            <w:tcW w:w="2660" w:type="dxa"/>
            <w:vMerge w:val="restart"/>
            <w:shd w:val="clear" w:color="auto" w:fill="auto"/>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Palm domain</w:t>
            </w:r>
          </w:p>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(AA188-226, 287-371)</w:t>
            </w:r>
          </w:p>
        </w:tc>
        <w:tc>
          <w:tcPr>
            <w:tcW w:w="1417"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M289I/L</w:t>
            </w:r>
          </w:p>
        </w:tc>
        <w:tc>
          <w:tcPr>
            <w:tcW w:w="1560" w:type="dxa"/>
          </w:tcPr>
          <w:p w:rsidR="00007157" w:rsidRPr="00220CF9" w:rsidRDefault="00007157" w:rsidP="00FF0CA9">
            <w:pPr>
              <w:rPr>
                <w:rFonts w:ascii="Book Antiqua" w:hAnsi="Book Antiqua"/>
                <w:color w:val="000000" w:themeColor="text1"/>
                <w:sz w:val="24"/>
                <w:szCs w:val="24"/>
              </w:rPr>
            </w:pPr>
          </w:p>
        </w:tc>
        <w:tc>
          <w:tcPr>
            <w:tcW w:w="1559" w:type="dxa"/>
          </w:tcPr>
          <w:p w:rsidR="00007157" w:rsidRPr="00220CF9" w:rsidRDefault="00007157" w:rsidP="00FF0CA9">
            <w:pPr>
              <w:rPr>
                <w:rFonts w:ascii="Book Antiqua" w:hAnsi="Book Antiqua"/>
                <w:color w:val="000000" w:themeColor="text1"/>
                <w:sz w:val="24"/>
                <w:szCs w:val="24"/>
              </w:rPr>
            </w:pP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42,44</w:t>
            </w:r>
          </w:p>
        </w:tc>
      </w:tr>
      <w:tr w:rsidR="00220CF9" w:rsidRPr="00220CF9" w:rsidTr="00C93163">
        <w:tc>
          <w:tcPr>
            <w:tcW w:w="2660" w:type="dxa"/>
            <w:vMerge/>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Pr>
          <w:p w:rsidR="00007157" w:rsidRPr="00220CF9" w:rsidRDefault="00007157" w:rsidP="00FF0CA9">
            <w:pPr>
              <w:rPr>
                <w:rFonts w:ascii="Book Antiqua" w:hAnsi="Book Antiqua"/>
                <w:color w:val="000000" w:themeColor="text1"/>
                <w:sz w:val="24"/>
                <w:szCs w:val="24"/>
              </w:rPr>
            </w:pPr>
          </w:p>
        </w:tc>
        <w:tc>
          <w:tcPr>
            <w:tcW w:w="156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L314P</w:t>
            </w:r>
          </w:p>
        </w:tc>
        <w:tc>
          <w:tcPr>
            <w:tcW w:w="1559" w:type="dxa"/>
          </w:tcPr>
          <w:p w:rsidR="00007157" w:rsidRPr="00220CF9" w:rsidRDefault="00007157" w:rsidP="00FF0CA9">
            <w:pPr>
              <w:rPr>
                <w:rFonts w:ascii="Book Antiqua" w:hAnsi="Book Antiqua"/>
                <w:color w:val="000000" w:themeColor="text1"/>
                <w:sz w:val="24"/>
                <w:szCs w:val="24"/>
              </w:rPr>
            </w:pP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40</w:t>
            </w:r>
          </w:p>
        </w:tc>
      </w:tr>
      <w:tr w:rsidR="00220CF9" w:rsidRPr="00220CF9" w:rsidTr="00C93163">
        <w:tc>
          <w:tcPr>
            <w:tcW w:w="2660" w:type="dxa"/>
            <w:vMerge/>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Pr>
          <w:p w:rsidR="00007157" w:rsidRPr="00220CF9" w:rsidRDefault="00007157" w:rsidP="00FF0CA9">
            <w:pPr>
              <w:rPr>
                <w:rFonts w:ascii="Book Antiqua" w:hAnsi="Book Antiqua"/>
                <w:color w:val="000000" w:themeColor="text1"/>
                <w:sz w:val="24"/>
                <w:szCs w:val="24"/>
              </w:rPr>
            </w:pPr>
          </w:p>
        </w:tc>
        <w:tc>
          <w:tcPr>
            <w:tcW w:w="1560" w:type="dxa"/>
          </w:tcPr>
          <w:p w:rsidR="00007157" w:rsidRPr="00220CF9" w:rsidRDefault="00007157" w:rsidP="00FF0CA9">
            <w:pPr>
              <w:rPr>
                <w:rFonts w:ascii="Book Antiqua" w:hAnsi="Book Antiqua"/>
                <w:color w:val="000000" w:themeColor="text1"/>
                <w:sz w:val="24"/>
                <w:szCs w:val="24"/>
              </w:rPr>
            </w:pPr>
          </w:p>
        </w:tc>
        <w:tc>
          <w:tcPr>
            <w:tcW w:w="1559"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C316R</w:t>
            </w: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41</w:t>
            </w:r>
          </w:p>
        </w:tc>
      </w:tr>
      <w:tr w:rsidR="00220CF9" w:rsidRPr="00220CF9" w:rsidTr="00C93163">
        <w:tc>
          <w:tcPr>
            <w:tcW w:w="2660" w:type="dxa"/>
            <w:vMerge/>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L320F</w:t>
            </w:r>
          </w:p>
        </w:tc>
        <w:tc>
          <w:tcPr>
            <w:tcW w:w="156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L320I/V</w:t>
            </w:r>
          </w:p>
        </w:tc>
        <w:tc>
          <w:tcPr>
            <w:tcW w:w="1559" w:type="dxa"/>
          </w:tcPr>
          <w:p w:rsidR="00007157" w:rsidRPr="00220CF9" w:rsidRDefault="00007157" w:rsidP="00FF0CA9">
            <w:pPr>
              <w:rPr>
                <w:rFonts w:ascii="Book Antiqua" w:hAnsi="Book Antiqua"/>
                <w:color w:val="000000" w:themeColor="text1"/>
                <w:sz w:val="24"/>
                <w:szCs w:val="24"/>
              </w:rPr>
            </w:pP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40,41,42</w:t>
            </w:r>
          </w:p>
        </w:tc>
      </w:tr>
      <w:tr w:rsidR="00220CF9" w:rsidRPr="00220CF9" w:rsidTr="00C93163">
        <w:tc>
          <w:tcPr>
            <w:tcW w:w="2660" w:type="dxa"/>
            <w:vMerge/>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V321A</w:t>
            </w:r>
          </w:p>
        </w:tc>
        <w:tc>
          <w:tcPr>
            <w:tcW w:w="156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V321I</w:t>
            </w:r>
          </w:p>
        </w:tc>
        <w:tc>
          <w:tcPr>
            <w:tcW w:w="1559" w:type="dxa"/>
          </w:tcPr>
          <w:p w:rsidR="00007157" w:rsidRPr="00220CF9" w:rsidRDefault="00007157" w:rsidP="00FF0CA9">
            <w:pPr>
              <w:rPr>
                <w:rFonts w:ascii="Book Antiqua" w:hAnsi="Book Antiqua"/>
                <w:color w:val="000000" w:themeColor="text1"/>
                <w:sz w:val="24"/>
                <w:szCs w:val="24"/>
              </w:rPr>
            </w:pP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40,42,43</w:t>
            </w:r>
          </w:p>
        </w:tc>
      </w:tr>
      <w:tr w:rsidR="00220CF9" w:rsidRPr="00220CF9" w:rsidTr="00C93163">
        <w:tc>
          <w:tcPr>
            <w:tcW w:w="2660" w:type="dxa"/>
            <w:vMerge/>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Pr>
          <w:p w:rsidR="00007157" w:rsidRPr="00220CF9" w:rsidRDefault="00007157" w:rsidP="00FF0CA9">
            <w:pPr>
              <w:rPr>
                <w:rFonts w:ascii="Book Antiqua" w:hAnsi="Book Antiqua"/>
                <w:color w:val="000000" w:themeColor="text1"/>
                <w:sz w:val="24"/>
                <w:szCs w:val="24"/>
              </w:rPr>
            </w:pPr>
          </w:p>
        </w:tc>
        <w:tc>
          <w:tcPr>
            <w:tcW w:w="156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T344I</w:t>
            </w:r>
          </w:p>
        </w:tc>
        <w:tc>
          <w:tcPr>
            <w:tcW w:w="1559" w:type="dxa"/>
          </w:tcPr>
          <w:p w:rsidR="00007157" w:rsidRPr="00220CF9" w:rsidRDefault="00007157" w:rsidP="00FF0CA9">
            <w:pPr>
              <w:rPr>
                <w:rFonts w:ascii="Book Antiqua" w:hAnsi="Book Antiqua"/>
                <w:color w:val="000000" w:themeColor="text1"/>
                <w:sz w:val="24"/>
                <w:szCs w:val="24"/>
              </w:rPr>
            </w:pP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40</w:t>
            </w:r>
          </w:p>
        </w:tc>
      </w:tr>
      <w:tr w:rsidR="00220CF9" w:rsidRPr="00220CF9" w:rsidTr="00C93163">
        <w:tc>
          <w:tcPr>
            <w:tcW w:w="2660" w:type="dxa"/>
            <w:vMerge w:val="restart"/>
            <w:shd w:val="clear" w:color="auto" w:fill="auto"/>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Thumb domain (AA371-530)</w:t>
            </w:r>
          </w:p>
        </w:tc>
        <w:tc>
          <w:tcPr>
            <w:tcW w:w="1417" w:type="dxa"/>
          </w:tcPr>
          <w:p w:rsidR="00007157" w:rsidRPr="00220CF9" w:rsidRDefault="00007157" w:rsidP="00FF0CA9">
            <w:pPr>
              <w:rPr>
                <w:rFonts w:ascii="Book Antiqua" w:hAnsi="Book Antiqua"/>
                <w:color w:val="000000" w:themeColor="text1"/>
                <w:sz w:val="24"/>
                <w:szCs w:val="24"/>
              </w:rPr>
            </w:pPr>
          </w:p>
        </w:tc>
        <w:tc>
          <w:tcPr>
            <w:tcW w:w="156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F415Y</w:t>
            </w:r>
          </w:p>
        </w:tc>
        <w:tc>
          <w:tcPr>
            <w:tcW w:w="1559" w:type="dxa"/>
          </w:tcPr>
          <w:p w:rsidR="00007157" w:rsidRPr="00220CF9" w:rsidRDefault="00007157" w:rsidP="00FF0CA9">
            <w:pPr>
              <w:rPr>
                <w:rFonts w:ascii="Book Antiqua" w:hAnsi="Book Antiqua"/>
                <w:color w:val="000000" w:themeColor="text1"/>
                <w:sz w:val="24"/>
                <w:szCs w:val="24"/>
              </w:rPr>
            </w:pP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43</w:t>
            </w:r>
          </w:p>
        </w:tc>
      </w:tr>
      <w:tr w:rsidR="00220CF9" w:rsidRPr="00220CF9" w:rsidTr="00C93163">
        <w:tc>
          <w:tcPr>
            <w:tcW w:w="2660" w:type="dxa"/>
            <w:vMerge/>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Pr>
          <w:p w:rsidR="00007157" w:rsidRPr="00220CF9" w:rsidRDefault="00007157" w:rsidP="00FF0CA9">
            <w:pPr>
              <w:rPr>
                <w:rFonts w:ascii="Book Antiqua" w:hAnsi="Book Antiqua"/>
                <w:color w:val="000000" w:themeColor="text1"/>
                <w:sz w:val="24"/>
                <w:szCs w:val="24"/>
              </w:rPr>
            </w:pPr>
          </w:p>
        </w:tc>
        <w:tc>
          <w:tcPr>
            <w:tcW w:w="1560" w:type="dxa"/>
          </w:tcPr>
          <w:p w:rsidR="00007157" w:rsidRPr="00220CF9" w:rsidRDefault="00007157" w:rsidP="00FF0CA9">
            <w:pPr>
              <w:rPr>
                <w:rFonts w:ascii="Book Antiqua" w:hAnsi="Book Antiqua"/>
                <w:color w:val="000000" w:themeColor="text1"/>
                <w:sz w:val="24"/>
                <w:szCs w:val="24"/>
              </w:rPr>
            </w:pPr>
          </w:p>
        </w:tc>
        <w:tc>
          <w:tcPr>
            <w:tcW w:w="1559"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E440G,E/G</w:t>
            </w:r>
          </w:p>
        </w:tc>
        <w:tc>
          <w:tcPr>
            <w:tcW w:w="127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42</w:t>
            </w:r>
          </w:p>
        </w:tc>
      </w:tr>
      <w:tr w:rsidR="00220CF9" w:rsidRPr="00220CF9" w:rsidTr="00C93163">
        <w:tc>
          <w:tcPr>
            <w:tcW w:w="2660" w:type="dxa"/>
            <w:vMerge/>
            <w:tcBorders>
              <w:bottom w:val="single" w:sz="4" w:space="0" w:color="auto"/>
            </w:tcBorders>
            <w:shd w:val="clear" w:color="auto" w:fill="auto"/>
          </w:tcPr>
          <w:p w:rsidR="00007157" w:rsidRPr="00220CF9" w:rsidRDefault="00007157" w:rsidP="00FF0CA9">
            <w:pPr>
              <w:rPr>
                <w:rFonts w:ascii="Book Antiqua" w:hAnsi="Book Antiqua"/>
                <w:color w:val="000000" w:themeColor="text1"/>
                <w:sz w:val="24"/>
                <w:szCs w:val="24"/>
              </w:rPr>
            </w:pPr>
          </w:p>
        </w:tc>
        <w:tc>
          <w:tcPr>
            <w:tcW w:w="1417" w:type="dxa"/>
            <w:tcBorders>
              <w:bottom w:val="single" w:sz="4" w:space="0" w:color="auto"/>
            </w:tcBorders>
          </w:tcPr>
          <w:p w:rsidR="00007157" w:rsidRPr="00220CF9" w:rsidRDefault="00007157" w:rsidP="00FF0CA9">
            <w:pPr>
              <w:rPr>
                <w:rFonts w:ascii="Book Antiqua" w:hAnsi="Book Antiqua"/>
                <w:color w:val="000000" w:themeColor="text1"/>
                <w:sz w:val="24"/>
                <w:szCs w:val="24"/>
              </w:rPr>
            </w:pPr>
          </w:p>
        </w:tc>
        <w:tc>
          <w:tcPr>
            <w:tcW w:w="1560" w:type="dxa"/>
            <w:tcBorders>
              <w:bottom w:val="single" w:sz="4" w:space="0" w:color="auto"/>
            </w:tcBorders>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S470G</w:t>
            </w:r>
          </w:p>
        </w:tc>
        <w:tc>
          <w:tcPr>
            <w:tcW w:w="1559" w:type="dxa"/>
            <w:tcBorders>
              <w:bottom w:val="single" w:sz="4" w:space="0" w:color="auto"/>
            </w:tcBorders>
          </w:tcPr>
          <w:p w:rsidR="00007157" w:rsidRPr="00220CF9" w:rsidRDefault="00007157" w:rsidP="00FF0CA9">
            <w:pPr>
              <w:rPr>
                <w:rFonts w:ascii="Book Antiqua" w:hAnsi="Book Antiqua"/>
                <w:color w:val="000000" w:themeColor="text1"/>
                <w:sz w:val="24"/>
                <w:szCs w:val="24"/>
              </w:rPr>
            </w:pPr>
          </w:p>
        </w:tc>
        <w:tc>
          <w:tcPr>
            <w:tcW w:w="1276" w:type="dxa"/>
            <w:tcBorders>
              <w:bottom w:val="single" w:sz="4" w:space="0" w:color="auto"/>
            </w:tcBorders>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40</w:t>
            </w:r>
          </w:p>
        </w:tc>
      </w:tr>
    </w:tbl>
    <w:p w:rsidR="00007157" w:rsidRPr="00057FFC" w:rsidRDefault="00007157" w:rsidP="00007157">
      <w:pPr>
        <w:widowControl/>
        <w:jc w:val="left"/>
        <w:rPr>
          <w:rFonts w:ascii="Book Antiqua" w:eastAsia="SimSun" w:hAnsi="Book Antiqua"/>
          <w:bCs/>
          <w:color w:val="000000" w:themeColor="text1"/>
          <w:sz w:val="24"/>
          <w:szCs w:val="24"/>
          <w:lang w:eastAsia="zh-CN"/>
        </w:rPr>
      </w:pPr>
      <w:r w:rsidRPr="00220CF9">
        <w:rPr>
          <w:rFonts w:ascii="Book Antiqua" w:hAnsi="Book Antiqua" w:cs="Times New Roman"/>
          <w:bCs/>
          <w:color w:val="000000" w:themeColor="text1"/>
          <w:sz w:val="24"/>
          <w:szCs w:val="24"/>
        </w:rPr>
        <w:t>β</w:t>
      </w:r>
      <w:r w:rsidRPr="00220CF9">
        <w:rPr>
          <w:rFonts w:ascii="Book Antiqua" w:hAnsi="Book Antiqua"/>
          <w:bCs/>
          <w:color w:val="000000" w:themeColor="text1"/>
          <w:sz w:val="24"/>
          <w:szCs w:val="24"/>
        </w:rPr>
        <w:t>-hairpin, AA443-453; C-term linker, AA530-565</w:t>
      </w:r>
      <w:r w:rsidRPr="00220CF9">
        <w:rPr>
          <w:rFonts w:ascii="Book Antiqua" w:hAnsi="Book Antiqua"/>
          <w:bCs/>
          <w:color w:val="000000" w:themeColor="text1"/>
          <w:sz w:val="24"/>
          <w:szCs w:val="24"/>
          <w:vertAlign w:val="superscript"/>
        </w:rPr>
        <w:t>[44]</w:t>
      </w:r>
      <w:r w:rsidRPr="00220CF9">
        <w:rPr>
          <w:rFonts w:ascii="Book Antiqua" w:hAnsi="Book Antiqua"/>
          <w:bCs/>
          <w:color w:val="000000" w:themeColor="text1"/>
          <w:sz w:val="24"/>
          <w:szCs w:val="24"/>
        </w:rPr>
        <w:t>.</w:t>
      </w:r>
      <w:r w:rsidR="00057FFC">
        <w:rPr>
          <w:rFonts w:ascii="Book Antiqua" w:eastAsia="SimSun" w:hAnsi="Book Antiqua" w:hint="eastAsia"/>
          <w:bCs/>
          <w:color w:val="000000" w:themeColor="text1"/>
          <w:sz w:val="24"/>
          <w:szCs w:val="24"/>
          <w:lang w:eastAsia="zh-CN"/>
        </w:rPr>
        <w:t xml:space="preserve"> </w:t>
      </w:r>
      <w:r w:rsidR="00057FFC" w:rsidRPr="00A0415C">
        <w:rPr>
          <w:rFonts w:ascii="Book Antiqua" w:hAnsi="Book Antiqua"/>
          <w:color w:val="000000" w:themeColor="text1"/>
          <w:sz w:val="24"/>
          <w:szCs w:val="24"/>
        </w:rPr>
        <w:t>HCV</w:t>
      </w:r>
      <w:r w:rsidR="00057FFC" w:rsidRPr="00A0415C">
        <w:rPr>
          <w:rFonts w:ascii="Book Antiqua" w:eastAsia="SimSun" w:hAnsi="Book Antiqua" w:hint="eastAsia"/>
          <w:color w:val="000000" w:themeColor="text1"/>
          <w:sz w:val="24"/>
          <w:szCs w:val="24"/>
          <w:lang w:eastAsia="zh-CN"/>
        </w:rPr>
        <w:t xml:space="preserve">: </w:t>
      </w:r>
      <w:r w:rsidR="00057FFC" w:rsidRPr="00A0415C">
        <w:rPr>
          <w:rFonts w:ascii="Book Antiqua" w:hAnsi="Book Antiqua"/>
          <w:caps/>
          <w:color w:val="000000" w:themeColor="text1"/>
          <w:sz w:val="24"/>
          <w:szCs w:val="24"/>
        </w:rPr>
        <w:t>h</w:t>
      </w:r>
      <w:r w:rsidR="00057FFC">
        <w:rPr>
          <w:rFonts w:ascii="Book Antiqua" w:hAnsi="Book Antiqua"/>
          <w:color w:val="000000" w:themeColor="text1"/>
          <w:sz w:val="24"/>
          <w:szCs w:val="24"/>
        </w:rPr>
        <w:t>epatitis C virus</w:t>
      </w:r>
      <w:r w:rsidR="00057FFC">
        <w:rPr>
          <w:rFonts w:ascii="Book Antiqua" w:eastAsia="SimSun" w:hAnsi="Book Antiqua" w:hint="eastAsia"/>
          <w:color w:val="000000" w:themeColor="text1"/>
          <w:sz w:val="24"/>
          <w:szCs w:val="24"/>
          <w:lang w:eastAsia="zh-CN"/>
        </w:rPr>
        <w:t>.</w:t>
      </w:r>
    </w:p>
    <w:p w:rsidR="00007157" w:rsidRPr="00220CF9" w:rsidRDefault="00007157">
      <w:pPr>
        <w:widowControl/>
        <w:jc w:val="left"/>
        <w:rPr>
          <w:rFonts w:ascii="Book Antiqua" w:hAnsi="Book Antiqua" w:cs="Book Antiqua"/>
          <w:b/>
          <w:color w:val="000000" w:themeColor="text1"/>
          <w:kern w:val="0"/>
          <w:sz w:val="24"/>
          <w:szCs w:val="24"/>
        </w:rPr>
      </w:pPr>
      <w:r w:rsidRPr="00220CF9">
        <w:rPr>
          <w:rFonts w:ascii="Book Antiqua" w:hAnsi="Book Antiqua"/>
          <w:b/>
          <w:color w:val="000000" w:themeColor="text1"/>
          <w:sz w:val="24"/>
          <w:szCs w:val="24"/>
        </w:rPr>
        <w:br w:type="page"/>
      </w:r>
    </w:p>
    <w:p w:rsidR="00842A30" w:rsidRPr="00057FFC" w:rsidRDefault="00716DA1" w:rsidP="00842A30">
      <w:pPr>
        <w:spacing w:line="480" w:lineRule="auto"/>
        <w:rPr>
          <w:rFonts w:ascii="Book Antiqua" w:eastAsia="SimSun" w:hAnsi="Book Antiqua"/>
          <w:b/>
          <w:color w:val="000000" w:themeColor="text1"/>
          <w:sz w:val="24"/>
          <w:szCs w:val="24"/>
          <w:lang w:eastAsia="zh-CN"/>
        </w:rPr>
      </w:pPr>
      <w:r w:rsidRPr="00220CF9">
        <w:rPr>
          <w:rFonts w:ascii="Book Antiqua" w:hAnsi="Book Antiqua"/>
          <w:b/>
          <w:color w:val="000000" w:themeColor="text1"/>
          <w:sz w:val="24"/>
          <w:szCs w:val="24"/>
        </w:rPr>
        <w:lastRenderedPageBreak/>
        <w:t>Table 3</w:t>
      </w:r>
      <w:r w:rsidR="00057FFC">
        <w:rPr>
          <w:rFonts w:ascii="Book Antiqua" w:eastAsia="SimSun" w:hAnsi="Book Antiqua" w:hint="eastAsia"/>
          <w:b/>
          <w:color w:val="000000" w:themeColor="text1"/>
          <w:sz w:val="24"/>
          <w:szCs w:val="24"/>
          <w:lang w:eastAsia="zh-CN"/>
        </w:rPr>
        <w:t xml:space="preserve"> </w:t>
      </w:r>
      <w:r w:rsidR="00842A30" w:rsidRPr="00220CF9">
        <w:rPr>
          <w:rFonts w:ascii="Book Antiqua" w:hAnsi="Book Antiqua"/>
          <w:b/>
          <w:color w:val="000000" w:themeColor="text1"/>
          <w:sz w:val="24"/>
          <w:szCs w:val="24"/>
        </w:rPr>
        <w:t>Retreatment regimens for patients with hepatitis C virus infection for whom the initial combination of dire</w:t>
      </w:r>
      <w:r w:rsidR="00057FFC">
        <w:rPr>
          <w:rFonts w:ascii="Book Antiqua" w:hAnsi="Book Antiqua"/>
          <w:b/>
          <w:color w:val="000000" w:themeColor="text1"/>
          <w:sz w:val="24"/>
          <w:szCs w:val="24"/>
        </w:rPr>
        <w:t>ct-acting antivirals has failed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2346"/>
        <w:gridCol w:w="4084"/>
      </w:tblGrid>
      <w:tr w:rsidR="00220CF9" w:rsidRPr="00833F1B" w:rsidTr="0018542D">
        <w:tc>
          <w:tcPr>
            <w:tcW w:w="2290" w:type="dxa"/>
            <w:tcBorders>
              <w:top w:val="single" w:sz="4" w:space="0" w:color="auto"/>
              <w:bottom w:val="single" w:sz="4" w:space="0" w:color="auto"/>
            </w:tcBorders>
          </w:tcPr>
          <w:p w:rsidR="00007157" w:rsidRPr="00833F1B" w:rsidRDefault="00007157" w:rsidP="00FF0CA9">
            <w:pPr>
              <w:rPr>
                <w:rFonts w:ascii="Book Antiqua" w:hAnsi="Book Antiqua"/>
                <w:b/>
                <w:color w:val="000000" w:themeColor="text1"/>
                <w:sz w:val="24"/>
                <w:szCs w:val="24"/>
              </w:rPr>
            </w:pPr>
            <w:r w:rsidRPr="00833F1B">
              <w:rPr>
                <w:rFonts w:ascii="Book Antiqua" w:hAnsi="Book Antiqua"/>
                <w:b/>
                <w:color w:val="000000" w:themeColor="text1"/>
                <w:sz w:val="24"/>
                <w:szCs w:val="24"/>
              </w:rPr>
              <w:t>Patients</w:t>
            </w:r>
          </w:p>
        </w:tc>
        <w:tc>
          <w:tcPr>
            <w:tcW w:w="2346" w:type="dxa"/>
            <w:tcBorders>
              <w:top w:val="single" w:sz="4" w:space="0" w:color="auto"/>
              <w:bottom w:val="single" w:sz="4" w:space="0" w:color="auto"/>
            </w:tcBorders>
          </w:tcPr>
          <w:p w:rsidR="00007157" w:rsidRPr="00833F1B" w:rsidRDefault="00007157" w:rsidP="00FF0CA9">
            <w:pPr>
              <w:rPr>
                <w:rFonts w:ascii="Book Antiqua" w:hAnsi="Book Antiqua"/>
                <w:b/>
                <w:color w:val="000000" w:themeColor="text1"/>
                <w:sz w:val="24"/>
                <w:szCs w:val="24"/>
                <w:vertAlign w:val="superscript"/>
              </w:rPr>
            </w:pPr>
            <w:r w:rsidRPr="00833F1B">
              <w:rPr>
                <w:rFonts w:ascii="Book Antiqua" w:hAnsi="Book Antiqua"/>
                <w:b/>
                <w:color w:val="000000" w:themeColor="text1"/>
                <w:sz w:val="24"/>
                <w:szCs w:val="24"/>
              </w:rPr>
              <w:t>APASL (2016)</w:t>
            </w:r>
            <w:r w:rsidRPr="00833F1B">
              <w:rPr>
                <w:rFonts w:ascii="Book Antiqua" w:hAnsi="Book Antiqua"/>
                <w:b/>
                <w:color w:val="000000" w:themeColor="text1"/>
                <w:sz w:val="24"/>
                <w:szCs w:val="24"/>
                <w:vertAlign w:val="superscript"/>
              </w:rPr>
              <w:t>[1]</w:t>
            </w:r>
          </w:p>
        </w:tc>
        <w:tc>
          <w:tcPr>
            <w:tcW w:w="4084" w:type="dxa"/>
            <w:tcBorders>
              <w:top w:val="single" w:sz="4" w:space="0" w:color="auto"/>
              <w:bottom w:val="single" w:sz="4" w:space="0" w:color="auto"/>
            </w:tcBorders>
          </w:tcPr>
          <w:p w:rsidR="00007157" w:rsidRPr="00833F1B" w:rsidRDefault="00007157" w:rsidP="00FF0CA9">
            <w:pPr>
              <w:rPr>
                <w:rFonts w:ascii="Book Antiqua" w:hAnsi="Book Antiqua"/>
                <w:b/>
                <w:color w:val="000000" w:themeColor="text1"/>
                <w:sz w:val="24"/>
                <w:szCs w:val="24"/>
                <w:vertAlign w:val="superscript"/>
              </w:rPr>
            </w:pPr>
            <w:r w:rsidRPr="00833F1B">
              <w:rPr>
                <w:rFonts w:ascii="Book Antiqua" w:hAnsi="Book Antiqua"/>
                <w:b/>
                <w:color w:val="000000" w:themeColor="text1"/>
                <w:sz w:val="24"/>
                <w:szCs w:val="24"/>
              </w:rPr>
              <w:t>AASLD (2017)</w:t>
            </w:r>
            <w:r w:rsidRPr="00833F1B">
              <w:rPr>
                <w:rFonts w:ascii="Book Antiqua" w:hAnsi="Book Antiqua"/>
                <w:b/>
                <w:color w:val="000000" w:themeColor="text1"/>
                <w:sz w:val="24"/>
                <w:szCs w:val="24"/>
                <w:vertAlign w:val="superscript"/>
              </w:rPr>
              <w:t>[28]</w:t>
            </w:r>
          </w:p>
        </w:tc>
      </w:tr>
      <w:tr w:rsidR="00220CF9" w:rsidRPr="00220CF9" w:rsidTr="0018542D">
        <w:tc>
          <w:tcPr>
            <w:tcW w:w="2290" w:type="dxa"/>
            <w:tcBorders>
              <w:top w:val="single" w:sz="4" w:space="0" w:color="auto"/>
            </w:tcBorders>
          </w:tcPr>
          <w:p w:rsidR="00A51272" w:rsidRPr="00220CF9" w:rsidRDefault="00A51272" w:rsidP="00FF0CA9">
            <w:pPr>
              <w:rPr>
                <w:rFonts w:ascii="Book Antiqua" w:hAnsi="Book Antiqua"/>
                <w:color w:val="000000" w:themeColor="text1"/>
                <w:sz w:val="24"/>
                <w:szCs w:val="24"/>
              </w:rPr>
            </w:pPr>
            <w:r w:rsidRPr="00220CF9">
              <w:rPr>
                <w:rFonts w:ascii="Book Antiqua" w:hAnsi="Book Antiqua"/>
                <w:color w:val="000000" w:themeColor="text1"/>
                <w:sz w:val="24"/>
                <w:szCs w:val="24"/>
              </w:rPr>
              <w:t>GT1</w:t>
            </w:r>
          </w:p>
        </w:tc>
        <w:tc>
          <w:tcPr>
            <w:tcW w:w="2346" w:type="dxa"/>
            <w:tcBorders>
              <w:top w:val="single" w:sz="4" w:space="0" w:color="auto"/>
            </w:tcBorders>
          </w:tcPr>
          <w:p w:rsidR="00A51272" w:rsidRPr="00220CF9" w:rsidRDefault="00A51272" w:rsidP="00FF0CA9">
            <w:pPr>
              <w:rPr>
                <w:rFonts w:ascii="Book Antiqua" w:hAnsi="Book Antiqua"/>
                <w:color w:val="000000" w:themeColor="text1"/>
                <w:sz w:val="24"/>
                <w:szCs w:val="24"/>
              </w:rPr>
            </w:pPr>
          </w:p>
        </w:tc>
        <w:tc>
          <w:tcPr>
            <w:tcW w:w="4084" w:type="dxa"/>
            <w:tcBorders>
              <w:top w:val="single" w:sz="4" w:space="0" w:color="auto"/>
            </w:tcBorders>
          </w:tcPr>
          <w:p w:rsidR="00A51272" w:rsidRPr="00220CF9" w:rsidRDefault="00A51272" w:rsidP="00A51272">
            <w:pPr>
              <w:rPr>
                <w:rFonts w:ascii="Book Antiqua" w:hAnsi="Book Antiqua"/>
                <w:color w:val="000000" w:themeColor="text1"/>
                <w:sz w:val="24"/>
                <w:szCs w:val="24"/>
              </w:rPr>
            </w:pPr>
          </w:p>
        </w:tc>
      </w:tr>
      <w:tr w:rsidR="00220CF9" w:rsidRPr="00220CF9" w:rsidTr="0018542D">
        <w:tc>
          <w:tcPr>
            <w:tcW w:w="229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Peginterferon and ribavirin plus HCV NS3/4A inhibitors-failure non-cirrhotic patients</w:t>
            </w:r>
          </w:p>
        </w:tc>
        <w:tc>
          <w:tcPr>
            <w:tcW w:w="2346" w:type="dxa"/>
          </w:tcPr>
          <w:p w:rsidR="00007157" w:rsidRPr="00FC50CD" w:rsidRDefault="00FC50CD" w:rsidP="00FF0CA9">
            <w:pPr>
              <w:rPr>
                <w:rFonts w:ascii="Book Antiqua" w:eastAsia="SimSun" w:hAnsi="Book Antiqua"/>
                <w:color w:val="000000" w:themeColor="text1"/>
                <w:sz w:val="24"/>
                <w:szCs w:val="24"/>
                <w:lang w:eastAsia="zh-CN"/>
              </w:rPr>
            </w:pPr>
            <w:r>
              <w:rPr>
                <w:rFonts w:ascii="Book Antiqua" w:hAnsi="Book Antiqua"/>
                <w:color w:val="000000" w:themeColor="text1"/>
                <w:sz w:val="24"/>
                <w:szCs w:val="24"/>
              </w:rPr>
              <w:t>Sofosbuvir/ledipasvir 12 wk</w:t>
            </w:r>
          </w:p>
        </w:tc>
        <w:tc>
          <w:tcPr>
            <w:tcW w:w="4084" w:type="dxa"/>
          </w:tcPr>
          <w:p w:rsidR="00007157" w:rsidRPr="00833F1B" w:rsidRDefault="00FC50CD" w:rsidP="00833F1B">
            <w:pPr>
              <w:rPr>
                <w:rFonts w:ascii="Book Antiqua" w:hAnsi="Book Antiqua"/>
                <w:color w:val="000000" w:themeColor="text1"/>
                <w:sz w:val="24"/>
                <w:szCs w:val="24"/>
              </w:rPr>
            </w:pPr>
            <w:r w:rsidRPr="00833F1B">
              <w:rPr>
                <w:rFonts w:ascii="Book Antiqua" w:hAnsi="Book Antiqua"/>
                <w:color w:val="000000" w:themeColor="text1"/>
                <w:sz w:val="24"/>
                <w:szCs w:val="24"/>
              </w:rPr>
              <w:t>Sofosbuvir/ledipasvir 12 wk</w:t>
            </w:r>
          </w:p>
          <w:p w:rsidR="00007157" w:rsidRPr="00833F1B" w:rsidRDefault="00FC50CD" w:rsidP="00833F1B">
            <w:pPr>
              <w:rPr>
                <w:rFonts w:ascii="Book Antiqua" w:hAnsi="Book Antiqua"/>
                <w:color w:val="000000" w:themeColor="text1"/>
                <w:sz w:val="24"/>
                <w:szCs w:val="24"/>
              </w:rPr>
            </w:pPr>
            <w:r w:rsidRPr="00833F1B">
              <w:rPr>
                <w:rFonts w:ascii="Book Antiqua" w:hAnsi="Book Antiqua"/>
                <w:color w:val="000000" w:themeColor="text1"/>
                <w:sz w:val="24"/>
                <w:szCs w:val="24"/>
              </w:rPr>
              <w:t>Sofosbuvir/velpatasvir 12 wk</w:t>
            </w:r>
          </w:p>
          <w:p w:rsidR="00007157" w:rsidRPr="00833F1B" w:rsidRDefault="005414A6" w:rsidP="00833F1B">
            <w:pPr>
              <w:rPr>
                <w:rFonts w:ascii="Book Antiqua" w:hAnsi="Book Antiqua"/>
                <w:color w:val="000000" w:themeColor="text1"/>
                <w:sz w:val="24"/>
                <w:szCs w:val="24"/>
              </w:rPr>
            </w:pPr>
            <w:r w:rsidRPr="00833F1B">
              <w:rPr>
                <w:rFonts w:ascii="Book Antiqua" w:hAnsi="Book Antiqua"/>
                <w:color w:val="000000" w:themeColor="text1"/>
                <w:sz w:val="24"/>
                <w:szCs w:val="24"/>
              </w:rPr>
              <w:t>Glecaprevir/pibr</w:t>
            </w:r>
            <w:r w:rsidR="00FC50CD" w:rsidRPr="00833F1B">
              <w:rPr>
                <w:rFonts w:ascii="Book Antiqua" w:hAnsi="Book Antiqua"/>
                <w:color w:val="000000" w:themeColor="text1"/>
                <w:sz w:val="24"/>
                <w:szCs w:val="24"/>
              </w:rPr>
              <w:t>entasvir 12 wk</w:t>
            </w:r>
          </w:p>
        </w:tc>
      </w:tr>
      <w:tr w:rsidR="00220CF9" w:rsidRPr="00220CF9" w:rsidTr="0018542D">
        <w:tc>
          <w:tcPr>
            <w:tcW w:w="229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Peginterferon and ribavirin plus HCV NS3/4A inhibitors-failure compensated cirrhotic patients</w:t>
            </w:r>
          </w:p>
        </w:tc>
        <w:tc>
          <w:tcPr>
            <w:tcW w:w="2346" w:type="dxa"/>
          </w:tcPr>
          <w:p w:rsidR="00007157" w:rsidRPr="00FC50CD" w:rsidRDefault="00FC50CD" w:rsidP="00FF0CA9">
            <w:pPr>
              <w:rPr>
                <w:rFonts w:ascii="Book Antiqua" w:eastAsia="SimSun" w:hAnsi="Book Antiqua"/>
                <w:color w:val="000000" w:themeColor="text1"/>
                <w:sz w:val="24"/>
                <w:szCs w:val="24"/>
                <w:lang w:eastAsia="zh-CN"/>
              </w:rPr>
            </w:pPr>
            <w:r>
              <w:rPr>
                <w:rFonts w:ascii="Book Antiqua" w:hAnsi="Book Antiqua"/>
                <w:color w:val="000000" w:themeColor="text1"/>
                <w:sz w:val="24"/>
                <w:szCs w:val="24"/>
              </w:rPr>
              <w:t>Sofosbuvir/ledipasvir 12 wk</w:t>
            </w:r>
          </w:p>
        </w:tc>
        <w:tc>
          <w:tcPr>
            <w:tcW w:w="4084" w:type="dxa"/>
          </w:tcPr>
          <w:p w:rsidR="00007157" w:rsidRPr="00833F1B" w:rsidRDefault="00FC50CD" w:rsidP="00833F1B">
            <w:pPr>
              <w:rPr>
                <w:rFonts w:ascii="Book Antiqua" w:hAnsi="Book Antiqua"/>
                <w:color w:val="000000" w:themeColor="text1"/>
                <w:sz w:val="24"/>
                <w:szCs w:val="24"/>
              </w:rPr>
            </w:pPr>
            <w:r w:rsidRPr="00833F1B">
              <w:rPr>
                <w:rFonts w:ascii="Book Antiqua" w:hAnsi="Book Antiqua"/>
                <w:color w:val="000000" w:themeColor="text1"/>
                <w:sz w:val="24"/>
                <w:szCs w:val="24"/>
              </w:rPr>
              <w:t>Sofosbuvir/velpatasvir 12 wk</w:t>
            </w:r>
          </w:p>
          <w:p w:rsidR="00007157" w:rsidRPr="00833F1B" w:rsidRDefault="005414A6" w:rsidP="00833F1B">
            <w:pPr>
              <w:rPr>
                <w:rFonts w:ascii="Book Antiqua" w:hAnsi="Book Antiqua"/>
                <w:color w:val="000000" w:themeColor="text1"/>
                <w:sz w:val="24"/>
                <w:szCs w:val="24"/>
              </w:rPr>
            </w:pPr>
            <w:r w:rsidRPr="00833F1B">
              <w:rPr>
                <w:rFonts w:ascii="Book Antiqua" w:hAnsi="Book Antiqua"/>
                <w:color w:val="000000" w:themeColor="text1"/>
                <w:sz w:val="24"/>
                <w:szCs w:val="24"/>
              </w:rPr>
              <w:t>Glecaprevir/pibr</w:t>
            </w:r>
            <w:r w:rsidR="00FC50CD" w:rsidRPr="00833F1B">
              <w:rPr>
                <w:rFonts w:ascii="Book Antiqua" w:hAnsi="Book Antiqua"/>
                <w:color w:val="000000" w:themeColor="text1"/>
                <w:sz w:val="24"/>
                <w:szCs w:val="24"/>
              </w:rPr>
              <w:t>entasvir 12 wk</w:t>
            </w:r>
          </w:p>
          <w:p w:rsidR="00A51272" w:rsidRPr="00833F1B" w:rsidRDefault="00A51272" w:rsidP="00833F1B">
            <w:pPr>
              <w:rPr>
                <w:rFonts w:ascii="Book Antiqua" w:hAnsi="Book Antiqua"/>
                <w:color w:val="000000" w:themeColor="text1"/>
                <w:sz w:val="24"/>
                <w:szCs w:val="24"/>
              </w:rPr>
            </w:pPr>
            <w:r w:rsidRPr="00833F1B">
              <w:rPr>
                <w:rFonts w:ascii="Book Antiqua" w:hAnsi="Book Antiqua"/>
                <w:color w:val="000000" w:themeColor="text1"/>
                <w:sz w:val="24"/>
                <w:szCs w:val="24"/>
              </w:rPr>
              <w:t>(For GT1b)</w:t>
            </w:r>
            <w:r w:rsidR="00FC50CD" w:rsidRPr="00833F1B">
              <w:rPr>
                <w:rFonts w:ascii="Book Antiqua" w:hAnsi="Book Antiqua"/>
                <w:color w:val="000000" w:themeColor="text1"/>
                <w:sz w:val="24"/>
                <w:szCs w:val="24"/>
              </w:rPr>
              <w:t xml:space="preserve"> Elbasvir/grazoprevir 12 wk</w:t>
            </w:r>
          </w:p>
        </w:tc>
      </w:tr>
      <w:tr w:rsidR="00220CF9" w:rsidRPr="00220CF9" w:rsidTr="0018542D">
        <w:tc>
          <w:tcPr>
            <w:tcW w:w="229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HCV NS5A inhibitors-failure non-cirrhotic patients</w:t>
            </w:r>
          </w:p>
        </w:tc>
        <w:tc>
          <w:tcPr>
            <w:tcW w:w="234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Wait</w:t>
            </w:r>
          </w:p>
        </w:tc>
        <w:tc>
          <w:tcPr>
            <w:tcW w:w="4084" w:type="dxa"/>
          </w:tcPr>
          <w:p w:rsidR="00007157" w:rsidRPr="00FC50CD" w:rsidRDefault="00007157" w:rsidP="00FF0CA9">
            <w:pPr>
              <w:pStyle w:val="ListParagraph"/>
              <w:ind w:leftChars="0" w:left="360"/>
              <w:rPr>
                <w:rFonts w:ascii="Book Antiqua" w:eastAsia="SimSun" w:hAnsi="Book Antiqua"/>
                <w:color w:val="000000" w:themeColor="text1"/>
                <w:sz w:val="24"/>
                <w:szCs w:val="24"/>
                <w:lang w:eastAsia="zh-CN"/>
              </w:rPr>
            </w:pPr>
            <w:r w:rsidRPr="00220CF9">
              <w:rPr>
                <w:rFonts w:ascii="Book Antiqua" w:hAnsi="Book Antiqua"/>
                <w:color w:val="000000" w:themeColor="text1"/>
                <w:sz w:val="24"/>
                <w:szCs w:val="24"/>
              </w:rPr>
              <w:t>Sofosbuvir/velpatasvir/voxilaprevir</w:t>
            </w:r>
            <w:r w:rsidR="00FC50CD">
              <w:rPr>
                <w:rFonts w:ascii="Book Antiqua" w:hAnsi="Book Antiqua"/>
                <w:color w:val="000000" w:themeColor="text1"/>
                <w:sz w:val="24"/>
                <w:szCs w:val="24"/>
              </w:rPr>
              <w:t xml:space="preserve"> 12 wk</w:t>
            </w:r>
          </w:p>
        </w:tc>
      </w:tr>
      <w:tr w:rsidR="00220CF9" w:rsidRPr="00220CF9" w:rsidTr="0018542D">
        <w:tc>
          <w:tcPr>
            <w:tcW w:w="229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HCV NS5A inhibitors-failure compensated cirrhotic patients</w:t>
            </w:r>
          </w:p>
        </w:tc>
        <w:tc>
          <w:tcPr>
            <w:tcW w:w="234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RAS check</w:t>
            </w:r>
          </w:p>
        </w:tc>
        <w:tc>
          <w:tcPr>
            <w:tcW w:w="4084" w:type="dxa"/>
          </w:tcPr>
          <w:p w:rsidR="00007157" w:rsidRPr="00FC50CD" w:rsidRDefault="00007157" w:rsidP="00FF0CA9">
            <w:pPr>
              <w:pStyle w:val="ListParagraph"/>
              <w:ind w:leftChars="0" w:left="360"/>
              <w:rPr>
                <w:rFonts w:ascii="Book Antiqua" w:eastAsia="SimSun" w:hAnsi="Book Antiqua"/>
                <w:color w:val="000000" w:themeColor="text1"/>
                <w:sz w:val="24"/>
                <w:szCs w:val="24"/>
                <w:lang w:eastAsia="zh-CN"/>
              </w:rPr>
            </w:pPr>
            <w:r w:rsidRPr="00220CF9">
              <w:rPr>
                <w:rFonts w:ascii="Book Antiqua" w:hAnsi="Book Antiqua"/>
                <w:color w:val="000000" w:themeColor="text1"/>
                <w:sz w:val="24"/>
                <w:szCs w:val="24"/>
              </w:rPr>
              <w:t>Sofosbuvir/velpatasvir/voxilaprevir</w:t>
            </w:r>
            <w:r w:rsidR="00FC50CD">
              <w:rPr>
                <w:rFonts w:ascii="Book Antiqua" w:hAnsi="Book Antiqua"/>
                <w:color w:val="000000" w:themeColor="text1"/>
                <w:sz w:val="24"/>
                <w:szCs w:val="24"/>
              </w:rPr>
              <w:t xml:space="preserve"> 12 wk</w:t>
            </w:r>
          </w:p>
        </w:tc>
      </w:tr>
      <w:tr w:rsidR="00220CF9" w:rsidRPr="00220CF9" w:rsidTr="0018542D">
        <w:tc>
          <w:tcPr>
            <w:tcW w:w="229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Non-NS5A inhibitor/ sofosbuvir-failure non-cirrhotic patients</w:t>
            </w:r>
          </w:p>
        </w:tc>
        <w:tc>
          <w:tcPr>
            <w:tcW w:w="234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N/A</w:t>
            </w:r>
          </w:p>
        </w:tc>
        <w:tc>
          <w:tcPr>
            <w:tcW w:w="4084" w:type="dxa"/>
          </w:tcPr>
          <w:p w:rsidR="00A51272" w:rsidRPr="00833F1B" w:rsidRDefault="005414A6" w:rsidP="00833F1B">
            <w:pPr>
              <w:rPr>
                <w:rFonts w:ascii="Book Antiqua" w:hAnsi="Book Antiqua"/>
                <w:color w:val="000000" w:themeColor="text1"/>
                <w:sz w:val="24"/>
                <w:szCs w:val="24"/>
              </w:rPr>
            </w:pPr>
            <w:r w:rsidRPr="00833F1B">
              <w:rPr>
                <w:rFonts w:ascii="Book Antiqua" w:hAnsi="Book Antiqua"/>
                <w:color w:val="000000" w:themeColor="text1"/>
                <w:sz w:val="24"/>
                <w:szCs w:val="24"/>
              </w:rPr>
              <w:t>Glecaprevir/pibr</w:t>
            </w:r>
            <w:r w:rsidR="00FC50CD" w:rsidRPr="00833F1B">
              <w:rPr>
                <w:rFonts w:ascii="Book Antiqua" w:hAnsi="Book Antiqua"/>
                <w:color w:val="000000" w:themeColor="text1"/>
                <w:sz w:val="24"/>
                <w:szCs w:val="24"/>
              </w:rPr>
              <w:t>entasvir 12 wk</w:t>
            </w:r>
          </w:p>
          <w:p w:rsidR="00A51272" w:rsidRPr="00833F1B" w:rsidRDefault="00A51272" w:rsidP="00833F1B">
            <w:pPr>
              <w:rPr>
                <w:rFonts w:ascii="Book Antiqua" w:hAnsi="Book Antiqua"/>
                <w:color w:val="000000" w:themeColor="text1"/>
                <w:sz w:val="24"/>
                <w:szCs w:val="24"/>
              </w:rPr>
            </w:pPr>
            <w:r w:rsidRPr="00833F1B">
              <w:rPr>
                <w:rFonts w:ascii="Book Antiqua" w:hAnsi="Book Antiqua"/>
                <w:color w:val="000000" w:themeColor="text1"/>
                <w:sz w:val="24"/>
                <w:szCs w:val="24"/>
              </w:rPr>
              <w:t xml:space="preserve">(For GT1a) </w:t>
            </w:r>
          </w:p>
          <w:p w:rsidR="00A51272" w:rsidRPr="00833F1B" w:rsidRDefault="00A51272" w:rsidP="00833F1B">
            <w:pPr>
              <w:rPr>
                <w:rFonts w:ascii="Book Antiqua" w:eastAsia="SimSun" w:hAnsi="Book Antiqua"/>
                <w:color w:val="000000" w:themeColor="text1"/>
                <w:sz w:val="24"/>
                <w:szCs w:val="24"/>
                <w:lang w:eastAsia="zh-CN"/>
              </w:rPr>
            </w:pPr>
            <w:r w:rsidRPr="00833F1B">
              <w:rPr>
                <w:rFonts w:ascii="Book Antiqua" w:hAnsi="Book Antiqua"/>
                <w:color w:val="000000" w:themeColor="text1"/>
                <w:sz w:val="24"/>
                <w:szCs w:val="24"/>
              </w:rPr>
              <w:t>Sofosbuvir</w:t>
            </w:r>
            <w:r w:rsidR="00FC50CD" w:rsidRPr="00833F1B">
              <w:rPr>
                <w:rFonts w:ascii="Book Antiqua" w:hAnsi="Book Antiqua"/>
                <w:color w:val="000000" w:themeColor="text1"/>
                <w:sz w:val="24"/>
                <w:szCs w:val="24"/>
              </w:rPr>
              <w:t>/velpatasvir/voxilaprevir 12 wk</w:t>
            </w:r>
          </w:p>
          <w:p w:rsidR="00007157" w:rsidRPr="00833F1B" w:rsidRDefault="00A51272" w:rsidP="00833F1B">
            <w:pPr>
              <w:rPr>
                <w:rFonts w:ascii="Book Antiqua" w:hAnsi="Book Antiqua"/>
                <w:color w:val="000000" w:themeColor="text1"/>
                <w:sz w:val="24"/>
                <w:szCs w:val="24"/>
              </w:rPr>
            </w:pPr>
            <w:r w:rsidRPr="00833F1B">
              <w:rPr>
                <w:rFonts w:ascii="Book Antiqua" w:hAnsi="Book Antiqua"/>
                <w:color w:val="000000" w:themeColor="text1"/>
                <w:sz w:val="24"/>
                <w:szCs w:val="24"/>
              </w:rPr>
              <w:t>(For GT1b)</w:t>
            </w:r>
            <w:r w:rsidR="00FC50CD" w:rsidRPr="00833F1B">
              <w:rPr>
                <w:rFonts w:ascii="Book Antiqua" w:hAnsi="Book Antiqua"/>
                <w:color w:val="000000" w:themeColor="text1"/>
                <w:sz w:val="24"/>
                <w:szCs w:val="24"/>
              </w:rPr>
              <w:t xml:space="preserve"> Sofosbuvir/velpatasvir 12 wk</w:t>
            </w:r>
          </w:p>
        </w:tc>
      </w:tr>
      <w:tr w:rsidR="00220CF9" w:rsidRPr="00220CF9" w:rsidTr="0018542D">
        <w:tc>
          <w:tcPr>
            <w:tcW w:w="2290"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t xml:space="preserve">Non-NS5A inhibitor/ sofosbuvir-failure compensated </w:t>
            </w:r>
            <w:r w:rsidRPr="00220CF9">
              <w:rPr>
                <w:rFonts w:ascii="Book Antiqua" w:hAnsi="Book Antiqua"/>
                <w:color w:val="000000" w:themeColor="text1"/>
                <w:sz w:val="24"/>
                <w:szCs w:val="24"/>
              </w:rPr>
              <w:lastRenderedPageBreak/>
              <w:t>cirrhotic patients</w:t>
            </w:r>
          </w:p>
        </w:tc>
        <w:tc>
          <w:tcPr>
            <w:tcW w:w="2346" w:type="dxa"/>
          </w:tcPr>
          <w:p w:rsidR="00007157" w:rsidRPr="00220CF9" w:rsidRDefault="00007157" w:rsidP="00FF0CA9">
            <w:pPr>
              <w:rPr>
                <w:rFonts w:ascii="Book Antiqua" w:hAnsi="Book Antiqua"/>
                <w:color w:val="000000" w:themeColor="text1"/>
                <w:sz w:val="24"/>
                <w:szCs w:val="24"/>
              </w:rPr>
            </w:pPr>
            <w:r w:rsidRPr="00220CF9">
              <w:rPr>
                <w:rFonts w:ascii="Book Antiqua" w:hAnsi="Book Antiqua"/>
                <w:color w:val="000000" w:themeColor="text1"/>
                <w:sz w:val="24"/>
                <w:szCs w:val="24"/>
              </w:rPr>
              <w:lastRenderedPageBreak/>
              <w:t>N/A</w:t>
            </w:r>
          </w:p>
        </w:tc>
        <w:tc>
          <w:tcPr>
            <w:tcW w:w="4084" w:type="dxa"/>
          </w:tcPr>
          <w:p w:rsidR="00007157" w:rsidRPr="00833F1B" w:rsidRDefault="005414A6" w:rsidP="00833F1B">
            <w:pPr>
              <w:rPr>
                <w:rFonts w:ascii="Book Antiqua" w:hAnsi="Book Antiqua"/>
                <w:color w:val="000000" w:themeColor="text1"/>
                <w:sz w:val="24"/>
                <w:szCs w:val="24"/>
              </w:rPr>
            </w:pPr>
            <w:r w:rsidRPr="00833F1B">
              <w:rPr>
                <w:rFonts w:ascii="Book Antiqua" w:hAnsi="Book Antiqua"/>
                <w:color w:val="000000" w:themeColor="text1"/>
                <w:sz w:val="24"/>
                <w:szCs w:val="24"/>
              </w:rPr>
              <w:t>Glecaprevir/pibr</w:t>
            </w:r>
            <w:r w:rsidR="00FC50CD" w:rsidRPr="00833F1B">
              <w:rPr>
                <w:rFonts w:ascii="Book Antiqua" w:hAnsi="Book Antiqua"/>
                <w:color w:val="000000" w:themeColor="text1"/>
                <w:sz w:val="24"/>
                <w:szCs w:val="24"/>
              </w:rPr>
              <w:t>entasvir 12 wk</w:t>
            </w:r>
          </w:p>
          <w:p w:rsidR="00A51272" w:rsidRPr="00833F1B" w:rsidRDefault="00A51272" w:rsidP="00833F1B">
            <w:pPr>
              <w:rPr>
                <w:rFonts w:ascii="Book Antiqua" w:hAnsi="Book Antiqua"/>
                <w:color w:val="000000" w:themeColor="text1"/>
                <w:sz w:val="24"/>
                <w:szCs w:val="24"/>
              </w:rPr>
            </w:pPr>
            <w:r w:rsidRPr="00833F1B">
              <w:rPr>
                <w:rFonts w:ascii="Book Antiqua" w:hAnsi="Book Antiqua"/>
                <w:color w:val="000000" w:themeColor="text1"/>
                <w:sz w:val="24"/>
                <w:szCs w:val="24"/>
              </w:rPr>
              <w:t xml:space="preserve">(For GT1a) </w:t>
            </w:r>
          </w:p>
          <w:p w:rsidR="00A51272" w:rsidRPr="0018542D" w:rsidRDefault="00A51272" w:rsidP="0018542D">
            <w:pPr>
              <w:rPr>
                <w:rFonts w:ascii="Book Antiqua" w:eastAsia="SimSun" w:hAnsi="Book Antiqua"/>
                <w:color w:val="000000" w:themeColor="text1"/>
                <w:sz w:val="24"/>
                <w:szCs w:val="24"/>
                <w:lang w:eastAsia="zh-CN"/>
              </w:rPr>
            </w:pPr>
            <w:r w:rsidRPr="0018542D">
              <w:rPr>
                <w:rFonts w:ascii="Book Antiqua" w:hAnsi="Book Antiqua"/>
                <w:color w:val="000000" w:themeColor="text1"/>
                <w:sz w:val="24"/>
                <w:szCs w:val="24"/>
              </w:rPr>
              <w:t>Sofosbuvir</w:t>
            </w:r>
            <w:r w:rsidR="00FC50CD" w:rsidRPr="0018542D">
              <w:rPr>
                <w:rFonts w:ascii="Book Antiqua" w:hAnsi="Book Antiqua"/>
                <w:color w:val="000000" w:themeColor="text1"/>
                <w:sz w:val="24"/>
                <w:szCs w:val="24"/>
              </w:rPr>
              <w:t>/velpatasvir/voxilaprevir 12 wk</w:t>
            </w:r>
          </w:p>
          <w:p w:rsidR="00007157" w:rsidRPr="0018542D" w:rsidRDefault="00A51272" w:rsidP="0018542D">
            <w:pPr>
              <w:rPr>
                <w:rFonts w:ascii="Book Antiqua" w:hAnsi="Book Antiqua"/>
                <w:color w:val="000000" w:themeColor="text1"/>
                <w:sz w:val="24"/>
                <w:szCs w:val="24"/>
              </w:rPr>
            </w:pPr>
            <w:r w:rsidRPr="0018542D">
              <w:rPr>
                <w:rFonts w:ascii="Book Antiqua" w:hAnsi="Book Antiqua"/>
                <w:color w:val="000000" w:themeColor="text1"/>
                <w:sz w:val="24"/>
                <w:szCs w:val="24"/>
              </w:rPr>
              <w:lastRenderedPageBreak/>
              <w:t xml:space="preserve">(For GT1b) </w:t>
            </w:r>
            <w:r w:rsidR="00FC50CD" w:rsidRPr="0018542D">
              <w:rPr>
                <w:rFonts w:ascii="Book Antiqua" w:hAnsi="Book Antiqua"/>
                <w:color w:val="000000" w:themeColor="text1"/>
                <w:sz w:val="24"/>
                <w:szCs w:val="24"/>
              </w:rPr>
              <w:t>Sofosbuvir/velpatasvir 12 wk</w:t>
            </w:r>
          </w:p>
        </w:tc>
      </w:tr>
      <w:tr w:rsidR="00220CF9" w:rsidRPr="00220CF9" w:rsidTr="0018542D">
        <w:tc>
          <w:tcPr>
            <w:tcW w:w="2290" w:type="dxa"/>
          </w:tcPr>
          <w:p w:rsidR="00B62D12" w:rsidRPr="00220CF9" w:rsidRDefault="00B62D12" w:rsidP="00FF0CA9">
            <w:pPr>
              <w:rPr>
                <w:rFonts w:ascii="Book Antiqua" w:hAnsi="Book Antiqua"/>
                <w:color w:val="000000" w:themeColor="text1"/>
                <w:sz w:val="24"/>
                <w:szCs w:val="24"/>
              </w:rPr>
            </w:pPr>
            <w:r w:rsidRPr="00220CF9">
              <w:rPr>
                <w:rFonts w:ascii="Book Antiqua" w:hAnsi="Book Antiqua"/>
                <w:color w:val="000000" w:themeColor="text1"/>
                <w:sz w:val="24"/>
                <w:szCs w:val="24"/>
              </w:rPr>
              <w:lastRenderedPageBreak/>
              <w:t>GT2</w:t>
            </w:r>
          </w:p>
        </w:tc>
        <w:tc>
          <w:tcPr>
            <w:tcW w:w="2346" w:type="dxa"/>
          </w:tcPr>
          <w:p w:rsidR="00B62D12" w:rsidRPr="00220CF9" w:rsidRDefault="00B62D12" w:rsidP="00FF0CA9">
            <w:pPr>
              <w:rPr>
                <w:rFonts w:ascii="Book Antiqua" w:hAnsi="Book Antiqua"/>
                <w:color w:val="000000" w:themeColor="text1"/>
                <w:sz w:val="24"/>
                <w:szCs w:val="24"/>
              </w:rPr>
            </w:pPr>
          </w:p>
        </w:tc>
        <w:tc>
          <w:tcPr>
            <w:tcW w:w="4084" w:type="dxa"/>
          </w:tcPr>
          <w:p w:rsidR="00B62D12" w:rsidRPr="00220CF9" w:rsidRDefault="00B62D12" w:rsidP="00B62D12">
            <w:pPr>
              <w:rPr>
                <w:rFonts w:ascii="Book Antiqua" w:hAnsi="Book Antiqua"/>
                <w:color w:val="000000" w:themeColor="text1"/>
                <w:sz w:val="24"/>
                <w:szCs w:val="24"/>
              </w:rPr>
            </w:pPr>
          </w:p>
        </w:tc>
      </w:tr>
      <w:tr w:rsidR="00220CF9" w:rsidRPr="00220CF9" w:rsidTr="0018542D">
        <w:tc>
          <w:tcPr>
            <w:tcW w:w="2290" w:type="dxa"/>
          </w:tcPr>
          <w:p w:rsidR="00B62D12" w:rsidRPr="00220CF9" w:rsidRDefault="00B62D12" w:rsidP="00FF0CA9">
            <w:pPr>
              <w:rPr>
                <w:rFonts w:ascii="Book Antiqua" w:hAnsi="Book Antiqua"/>
                <w:color w:val="000000" w:themeColor="text1"/>
                <w:sz w:val="24"/>
                <w:szCs w:val="24"/>
              </w:rPr>
            </w:pPr>
            <w:r w:rsidRPr="00220CF9">
              <w:rPr>
                <w:rFonts w:ascii="Book Antiqua" w:hAnsi="Book Antiqua"/>
                <w:color w:val="000000" w:themeColor="text1"/>
                <w:sz w:val="24"/>
                <w:szCs w:val="24"/>
              </w:rPr>
              <w:t>Sofosbuvir/ribavirin-</w:t>
            </w:r>
          </w:p>
          <w:p w:rsidR="00B62D12" w:rsidRPr="00220CF9" w:rsidRDefault="00B62D12" w:rsidP="00FF0CA9">
            <w:pPr>
              <w:rPr>
                <w:rFonts w:ascii="Book Antiqua" w:hAnsi="Book Antiqua"/>
                <w:color w:val="000000" w:themeColor="text1"/>
                <w:sz w:val="24"/>
                <w:szCs w:val="24"/>
              </w:rPr>
            </w:pPr>
            <w:r w:rsidRPr="00220CF9">
              <w:rPr>
                <w:rFonts w:ascii="Book Antiqua" w:hAnsi="Book Antiqua"/>
                <w:color w:val="000000" w:themeColor="text1"/>
                <w:sz w:val="24"/>
                <w:szCs w:val="24"/>
              </w:rPr>
              <w:t>failure patients</w:t>
            </w:r>
          </w:p>
        </w:tc>
        <w:tc>
          <w:tcPr>
            <w:tcW w:w="2346" w:type="dxa"/>
          </w:tcPr>
          <w:p w:rsidR="00B62D12" w:rsidRPr="00220CF9" w:rsidRDefault="00B62D12" w:rsidP="00FF0CA9">
            <w:pPr>
              <w:rPr>
                <w:rFonts w:ascii="Book Antiqua" w:hAnsi="Book Antiqua"/>
                <w:color w:val="000000" w:themeColor="text1"/>
                <w:sz w:val="24"/>
                <w:szCs w:val="24"/>
              </w:rPr>
            </w:pPr>
            <w:r w:rsidRPr="00220CF9">
              <w:rPr>
                <w:rFonts w:ascii="Book Antiqua" w:hAnsi="Book Antiqua"/>
                <w:color w:val="000000" w:themeColor="text1"/>
                <w:sz w:val="24"/>
                <w:szCs w:val="24"/>
              </w:rPr>
              <w:t>N/A</w:t>
            </w:r>
          </w:p>
        </w:tc>
        <w:tc>
          <w:tcPr>
            <w:tcW w:w="4084" w:type="dxa"/>
          </w:tcPr>
          <w:p w:rsidR="00B62D12" w:rsidRPr="0018542D" w:rsidRDefault="00FC50CD" w:rsidP="0018542D">
            <w:pPr>
              <w:rPr>
                <w:rFonts w:ascii="Book Antiqua" w:hAnsi="Book Antiqua"/>
                <w:color w:val="000000" w:themeColor="text1"/>
                <w:sz w:val="24"/>
                <w:szCs w:val="24"/>
              </w:rPr>
            </w:pPr>
            <w:r w:rsidRPr="0018542D">
              <w:rPr>
                <w:rFonts w:ascii="Book Antiqua" w:hAnsi="Book Antiqua"/>
                <w:color w:val="000000" w:themeColor="text1"/>
                <w:sz w:val="24"/>
                <w:szCs w:val="24"/>
              </w:rPr>
              <w:t>Sofosbuvir/velpatasvir 12 wk</w:t>
            </w:r>
          </w:p>
          <w:p w:rsidR="00B62D12" w:rsidRPr="0018542D" w:rsidRDefault="005414A6" w:rsidP="0018542D">
            <w:pPr>
              <w:rPr>
                <w:rFonts w:ascii="Book Antiqua" w:hAnsi="Book Antiqua"/>
                <w:color w:val="000000" w:themeColor="text1"/>
                <w:sz w:val="24"/>
                <w:szCs w:val="24"/>
              </w:rPr>
            </w:pPr>
            <w:r w:rsidRPr="0018542D">
              <w:rPr>
                <w:rFonts w:ascii="Book Antiqua" w:hAnsi="Book Antiqua"/>
                <w:color w:val="000000" w:themeColor="text1"/>
                <w:sz w:val="24"/>
                <w:szCs w:val="24"/>
              </w:rPr>
              <w:t>Glecaprevir/pibr</w:t>
            </w:r>
            <w:r w:rsidR="00FC50CD" w:rsidRPr="0018542D">
              <w:rPr>
                <w:rFonts w:ascii="Book Antiqua" w:hAnsi="Book Antiqua"/>
                <w:color w:val="000000" w:themeColor="text1"/>
                <w:sz w:val="24"/>
                <w:szCs w:val="24"/>
              </w:rPr>
              <w:t>entasvir 12 wk</w:t>
            </w:r>
          </w:p>
        </w:tc>
      </w:tr>
      <w:tr w:rsidR="00220CF9" w:rsidRPr="00220CF9" w:rsidTr="0018542D">
        <w:tc>
          <w:tcPr>
            <w:tcW w:w="2290" w:type="dxa"/>
          </w:tcPr>
          <w:p w:rsidR="00B62D12" w:rsidRPr="00220CF9" w:rsidRDefault="00B62D12" w:rsidP="00FF0CA9">
            <w:pPr>
              <w:rPr>
                <w:rFonts w:ascii="Book Antiqua" w:hAnsi="Book Antiqua"/>
                <w:color w:val="000000" w:themeColor="text1"/>
                <w:sz w:val="24"/>
                <w:szCs w:val="24"/>
              </w:rPr>
            </w:pPr>
            <w:r w:rsidRPr="00220CF9">
              <w:rPr>
                <w:rFonts w:ascii="Book Antiqua" w:hAnsi="Book Antiqua"/>
                <w:color w:val="000000" w:themeColor="text1"/>
                <w:sz w:val="24"/>
                <w:szCs w:val="24"/>
              </w:rPr>
              <w:t>GT3</w:t>
            </w:r>
          </w:p>
        </w:tc>
        <w:tc>
          <w:tcPr>
            <w:tcW w:w="2346" w:type="dxa"/>
          </w:tcPr>
          <w:p w:rsidR="00B62D12" w:rsidRPr="00220CF9" w:rsidRDefault="00B62D12" w:rsidP="00FF0CA9">
            <w:pPr>
              <w:rPr>
                <w:rFonts w:ascii="Book Antiqua" w:hAnsi="Book Antiqua"/>
                <w:color w:val="000000" w:themeColor="text1"/>
                <w:sz w:val="24"/>
                <w:szCs w:val="24"/>
              </w:rPr>
            </w:pPr>
          </w:p>
        </w:tc>
        <w:tc>
          <w:tcPr>
            <w:tcW w:w="4084" w:type="dxa"/>
          </w:tcPr>
          <w:p w:rsidR="00B62D12" w:rsidRPr="00220CF9" w:rsidRDefault="00B62D12" w:rsidP="00B62D12">
            <w:pPr>
              <w:pStyle w:val="ListParagraph"/>
              <w:ind w:leftChars="0" w:left="360"/>
              <w:rPr>
                <w:rFonts w:ascii="Book Antiqua" w:hAnsi="Book Antiqua"/>
                <w:color w:val="000000" w:themeColor="text1"/>
                <w:sz w:val="24"/>
                <w:szCs w:val="24"/>
              </w:rPr>
            </w:pPr>
          </w:p>
        </w:tc>
      </w:tr>
      <w:tr w:rsidR="00220CF9" w:rsidRPr="00220CF9" w:rsidTr="0018542D">
        <w:tc>
          <w:tcPr>
            <w:tcW w:w="2290" w:type="dxa"/>
          </w:tcPr>
          <w:p w:rsidR="008376D0" w:rsidRPr="00220CF9" w:rsidRDefault="008376D0" w:rsidP="008376D0">
            <w:pPr>
              <w:rPr>
                <w:rFonts w:ascii="Book Antiqua" w:hAnsi="Book Antiqua"/>
                <w:color w:val="000000" w:themeColor="text1"/>
                <w:sz w:val="24"/>
                <w:szCs w:val="24"/>
              </w:rPr>
            </w:pPr>
            <w:r w:rsidRPr="00220CF9">
              <w:rPr>
                <w:rFonts w:ascii="Book Antiqua" w:hAnsi="Book Antiqua"/>
                <w:color w:val="000000" w:themeColor="text1"/>
                <w:sz w:val="24"/>
                <w:szCs w:val="24"/>
              </w:rPr>
              <w:t>DAA (including NS5A inhibitors) -</w:t>
            </w:r>
          </w:p>
          <w:p w:rsidR="00B62D12" w:rsidRPr="00220CF9" w:rsidRDefault="008376D0" w:rsidP="008376D0">
            <w:pPr>
              <w:rPr>
                <w:rFonts w:ascii="Book Antiqua" w:hAnsi="Book Antiqua"/>
                <w:color w:val="000000" w:themeColor="text1"/>
                <w:sz w:val="24"/>
                <w:szCs w:val="24"/>
              </w:rPr>
            </w:pPr>
            <w:r w:rsidRPr="00220CF9">
              <w:rPr>
                <w:rFonts w:ascii="Book Antiqua" w:hAnsi="Book Antiqua"/>
                <w:color w:val="000000" w:themeColor="text1"/>
                <w:sz w:val="24"/>
                <w:szCs w:val="24"/>
              </w:rPr>
              <w:t>failure patients</w:t>
            </w:r>
          </w:p>
        </w:tc>
        <w:tc>
          <w:tcPr>
            <w:tcW w:w="2346" w:type="dxa"/>
          </w:tcPr>
          <w:p w:rsidR="00B62D12" w:rsidRPr="00220CF9" w:rsidRDefault="008376D0" w:rsidP="00FF0CA9">
            <w:pPr>
              <w:rPr>
                <w:rFonts w:ascii="Book Antiqua" w:hAnsi="Book Antiqua"/>
                <w:color w:val="000000" w:themeColor="text1"/>
                <w:sz w:val="24"/>
                <w:szCs w:val="24"/>
              </w:rPr>
            </w:pPr>
            <w:r w:rsidRPr="00220CF9">
              <w:rPr>
                <w:rFonts w:ascii="Book Antiqua" w:hAnsi="Book Antiqua"/>
                <w:color w:val="000000" w:themeColor="text1"/>
                <w:sz w:val="24"/>
                <w:szCs w:val="24"/>
              </w:rPr>
              <w:t>N/A</w:t>
            </w:r>
          </w:p>
        </w:tc>
        <w:tc>
          <w:tcPr>
            <w:tcW w:w="4084" w:type="dxa"/>
          </w:tcPr>
          <w:p w:rsidR="00B62D12" w:rsidRPr="0018542D" w:rsidRDefault="00A42E0C" w:rsidP="0018542D">
            <w:pPr>
              <w:rPr>
                <w:rFonts w:ascii="Book Antiqua" w:hAnsi="Book Antiqua"/>
                <w:color w:val="000000" w:themeColor="text1"/>
                <w:sz w:val="24"/>
                <w:szCs w:val="24"/>
              </w:rPr>
            </w:pPr>
            <w:r w:rsidRPr="0018542D">
              <w:rPr>
                <w:rFonts w:ascii="Book Antiqua" w:hAnsi="Book Antiqua"/>
                <w:color w:val="000000" w:themeColor="text1"/>
                <w:sz w:val="24"/>
                <w:szCs w:val="24"/>
              </w:rPr>
              <w:t>Sofosbuvir</w:t>
            </w:r>
            <w:r w:rsidR="00FC50CD" w:rsidRPr="0018542D">
              <w:rPr>
                <w:rFonts w:ascii="Book Antiqua" w:hAnsi="Book Antiqua"/>
                <w:color w:val="000000" w:themeColor="text1"/>
                <w:sz w:val="24"/>
                <w:szCs w:val="24"/>
              </w:rPr>
              <w:t>/velpatasvir/voxilaprevir 12 wk</w:t>
            </w:r>
          </w:p>
          <w:p w:rsidR="00A42E0C" w:rsidRPr="0018542D" w:rsidRDefault="00A42E0C" w:rsidP="0018542D">
            <w:pPr>
              <w:rPr>
                <w:rFonts w:ascii="Book Antiqua" w:hAnsi="Book Antiqua"/>
                <w:color w:val="000000" w:themeColor="text1"/>
                <w:sz w:val="24"/>
                <w:szCs w:val="24"/>
              </w:rPr>
            </w:pPr>
            <w:r w:rsidRPr="0018542D">
              <w:rPr>
                <w:rFonts w:ascii="Book Antiqua" w:hAnsi="Book Antiqua"/>
                <w:color w:val="000000" w:themeColor="text1"/>
                <w:sz w:val="24"/>
                <w:szCs w:val="24"/>
              </w:rPr>
              <w:t>(For NS5A inhibitor-failure) weight-based ribavirin is recommended</w:t>
            </w:r>
          </w:p>
        </w:tc>
      </w:tr>
      <w:tr w:rsidR="00220CF9" w:rsidRPr="00220CF9" w:rsidTr="0018542D">
        <w:tc>
          <w:tcPr>
            <w:tcW w:w="2290" w:type="dxa"/>
          </w:tcPr>
          <w:p w:rsidR="00B62D12" w:rsidRPr="00220CF9" w:rsidRDefault="0040263C" w:rsidP="00FF0CA9">
            <w:pPr>
              <w:rPr>
                <w:rFonts w:ascii="Book Antiqua" w:hAnsi="Book Antiqua"/>
                <w:color w:val="000000" w:themeColor="text1"/>
                <w:sz w:val="24"/>
                <w:szCs w:val="24"/>
              </w:rPr>
            </w:pPr>
            <w:r w:rsidRPr="00220CF9">
              <w:rPr>
                <w:rFonts w:ascii="Book Antiqua" w:hAnsi="Book Antiqua"/>
                <w:color w:val="000000" w:themeColor="text1"/>
                <w:sz w:val="24"/>
                <w:szCs w:val="24"/>
              </w:rPr>
              <w:t>GT4</w:t>
            </w:r>
          </w:p>
        </w:tc>
        <w:tc>
          <w:tcPr>
            <w:tcW w:w="2346" w:type="dxa"/>
          </w:tcPr>
          <w:p w:rsidR="00B62D12" w:rsidRPr="00220CF9" w:rsidRDefault="00B62D12" w:rsidP="00FF0CA9">
            <w:pPr>
              <w:rPr>
                <w:rFonts w:ascii="Book Antiqua" w:hAnsi="Book Antiqua"/>
                <w:color w:val="000000" w:themeColor="text1"/>
                <w:sz w:val="24"/>
                <w:szCs w:val="24"/>
              </w:rPr>
            </w:pPr>
          </w:p>
        </w:tc>
        <w:tc>
          <w:tcPr>
            <w:tcW w:w="4084" w:type="dxa"/>
          </w:tcPr>
          <w:p w:rsidR="00B62D12" w:rsidRPr="00220CF9" w:rsidRDefault="00B62D12" w:rsidP="00B62D12">
            <w:pPr>
              <w:pStyle w:val="ListParagraph"/>
              <w:ind w:leftChars="0" w:left="360"/>
              <w:rPr>
                <w:rFonts w:ascii="Book Antiqua" w:hAnsi="Book Antiqua"/>
                <w:color w:val="000000" w:themeColor="text1"/>
                <w:sz w:val="24"/>
                <w:szCs w:val="24"/>
              </w:rPr>
            </w:pPr>
          </w:p>
        </w:tc>
      </w:tr>
      <w:tr w:rsidR="00220CF9" w:rsidRPr="00220CF9" w:rsidTr="0018542D">
        <w:tc>
          <w:tcPr>
            <w:tcW w:w="2290" w:type="dxa"/>
          </w:tcPr>
          <w:p w:rsidR="006E1F41" w:rsidRPr="00220CF9" w:rsidRDefault="006E1F41" w:rsidP="006E1F41">
            <w:pPr>
              <w:rPr>
                <w:rFonts w:ascii="Book Antiqua" w:hAnsi="Book Antiqua"/>
                <w:color w:val="000000" w:themeColor="text1"/>
                <w:sz w:val="24"/>
                <w:szCs w:val="24"/>
              </w:rPr>
            </w:pPr>
            <w:r w:rsidRPr="00220CF9">
              <w:rPr>
                <w:rFonts w:ascii="Book Antiqua" w:hAnsi="Book Antiqua"/>
                <w:color w:val="000000" w:themeColor="text1"/>
                <w:sz w:val="24"/>
                <w:szCs w:val="24"/>
              </w:rPr>
              <w:t>DAA (including NS5A inhibitors) -</w:t>
            </w:r>
          </w:p>
          <w:p w:rsidR="00B62D12" w:rsidRPr="00220CF9" w:rsidRDefault="006E1F41" w:rsidP="006E1F41">
            <w:pPr>
              <w:rPr>
                <w:rFonts w:ascii="Book Antiqua" w:hAnsi="Book Antiqua"/>
                <w:color w:val="000000" w:themeColor="text1"/>
                <w:sz w:val="24"/>
                <w:szCs w:val="24"/>
              </w:rPr>
            </w:pPr>
            <w:r w:rsidRPr="00220CF9">
              <w:rPr>
                <w:rFonts w:ascii="Book Antiqua" w:hAnsi="Book Antiqua"/>
                <w:color w:val="000000" w:themeColor="text1"/>
                <w:sz w:val="24"/>
                <w:szCs w:val="24"/>
              </w:rPr>
              <w:t>failure patients</w:t>
            </w:r>
          </w:p>
        </w:tc>
        <w:tc>
          <w:tcPr>
            <w:tcW w:w="2346" w:type="dxa"/>
          </w:tcPr>
          <w:p w:rsidR="00B62D12" w:rsidRPr="00220CF9" w:rsidRDefault="006E1F41" w:rsidP="00FF0CA9">
            <w:pPr>
              <w:rPr>
                <w:rFonts w:ascii="Book Antiqua" w:hAnsi="Book Antiqua"/>
                <w:color w:val="000000" w:themeColor="text1"/>
                <w:sz w:val="24"/>
                <w:szCs w:val="24"/>
              </w:rPr>
            </w:pPr>
            <w:r w:rsidRPr="00220CF9">
              <w:rPr>
                <w:rFonts w:ascii="Book Antiqua" w:hAnsi="Book Antiqua"/>
                <w:color w:val="000000" w:themeColor="text1"/>
                <w:sz w:val="24"/>
                <w:szCs w:val="24"/>
              </w:rPr>
              <w:t>N/A</w:t>
            </w:r>
          </w:p>
        </w:tc>
        <w:tc>
          <w:tcPr>
            <w:tcW w:w="4084" w:type="dxa"/>
          </w:tcPr>
          <w:p w:rsidR="00B62D12" w:rsidRPr="0018542D" w:rsidRDefault="006E1F41" w:rsidP="0018542D">
            <w:pPr>
              <w:rPr>
                <w:rFonts w:ascii="Book Antiqua" w:hAnsi="Book Antiqua"/>
                <w:color w:val="000000" w:themeColor="text1"/>
                <w:sz w:val="24"/>
                <w:szCs w:val="24"/>
              </w:rPr>
            </w:pPr>
            <w:r w:rsidRPr="0018542D">
              <w:rPr>
                <w:rFonts w:ascii="Book Antiqua" w:hAnsi="Book Antiqua"/>
                <w:color w:val="000000" w:themeColor="text1"/>
                <w:sz w:val="24"/>
                <w:szCs w:val="24"/>
              </w:rPr>
              <w:t>Sofosbuvir</w:t>
            </w:r>
            <w:r w:rsidR="00FC50CD" w:rsidRPr="0018542D">
              <w:rPr>
                <w:rFonts w:ascii="Book Antiqua" w:hAnsi="Book Antiqua"/>
                <w:color w:val="000000" w:themeColor="text1"/>
                <w:sz w:val="24"/>
                <w:szCs w:val="24"/>
              </w:rPr>
              <w:t>/velpatasvir/voxilaprevir 12 wk</w:t>
            </w:r>
          </w:p>
        </w:tc>
      </w:tr>
      <w:tr w:rsidR="00220CF9" w:rsidRPr="00220CF9" w:rsidTr="0018542D">
        <w:tc>
          <w:tcPr>
            <w:tcW w:w="2290" w:type="dxa"/>
          </w:tcPr>
          <w:p w:rsidR="006E1F41" w:rsidRPr="00220CF9" w:rsidRDefault="006E1F41" w:rsidP="006E1F41">
            <w:pPr>
              <w:rPr>
                <w:rFonts w:ascii="Book Antiqua" w:hAnsi="Book Antiqua"/>
                <w:color w:val="000000" w:themeColor="text1"/>
                <w:sz w:val="24"/>
                <w:szCs w:val="24"/>
              </w:rPr>
            </w:pPr>
            <w:r w:rsidRPr="00220CF9">
              <w:rPr>
                <w:rFonts w:ascii="Book Antiqua" w:hAnsi="Book Antiqua"/>
                <w:color w:val="000000" w:themeColor="text1"/>
                <w:sz w:val="24"/>
                <w:szCs w:val="24"/>
              </w:rPr>
              <w:t>GT5/</w:t>
            </w:r>
            <w:r w:rsidR="002E2751" w:rsidRPr="00220CF9">
              <w:rPr>
                <w:rFonts w:ascii="Book Antiqua" w:hAnsi="Book Antiqua"/>
                <w:color w:val="000000" w:themeColor="text1"/>
                <w:sz w:val="24"/>
                <w:szCs w:val="24"/>
              </w:rPr>
              <w:t>GT</w:t>
            </w:r>
            <w:r w:rsidRPr="00220CF9">
              <w:rPr>
                <w:rFonts w:ascii="Book Antiqua" w:hAnsi="Book Antiqua"/>
                <w:color w:val="000000" w:themeColor="text1"/>
                <w:sz w:val="24"/>
                <w:szCs w:val="24"/>
              </w:rPr>
              <w:t>6</w:t>
            </w:r>
          </w:p>
        </w:tc>
        <w:tc>
          <w:tcPr>
            <w:tcW w:w="2346" w:type="dxa"/>
          </w:tcPr>
          <w:p w:rsidR="006E1F41" w:rsidRPr="00220CF9" w:rsidRDefault="006E1F41" w:rsidP="00FF0CA9">
            <w:pPr>
              <w:rPr>
                <w:rFonts w:ascii="Book Antiqua" w:hAnsi="Book Antiqua"/>
                <w:color w:val="000000" w:themeColor="text1"/>
                <w:sz w:val="24"/>
                <w:szCs w:val="24"/>
              </w:rPr>
            </w:pPr>
          </w:p>
        </w:tc>
        <w:tc>
          <w:tcPr>
            <w:tcW w:w="4084" w:type="dxa"/>
          </w:tcPr>
          <w:p w:rsidR="006E1F41" w:rsidRPr="00220CF9" w:rsidRDefault="006E1F41" w:rsidP="006E1F41">
            <w:pPr>
              <w:rPr>
                <w:rFonts w:ascii="Book Antiqua" w:hAnsi="Book Antiqua"/>
                <w:color w:val="000000" w:themeColor="text1"/>
                <w:sz w:val="24"/>
                <w:szCs w:val="24"/>
              </w:rPr>
            </w:pPr>
          </w:p>
        </w:tc>
      </w:tr>
      <w:tr w:rsidR="00220CF9" w:rsidRPr="00220CF9" w:rsidTr="0018542D">
        <w:tc>
          <w:tcPr>
            <w:tcW w:w="2290" w:type="dxa"/>
          </w:tcPr>
          <w:p w:rsidR="006E1F41" w:rsidRPr="00220CF9" w:rsidRDefault="006E1F41" w:rsidP="00FF0CA9">
            <w:pPr>
              <w:rPr>
                <w:rFonts w:ascii="Book Antiqua" w:hAnsi="Book Antiqua"/>
                <w:color w:val="000000" w:themeColor="text1"/>
                <w:sz w:val="24"/>
                <w:szCs w:val="24"/>
              </w:rPr>
            </w:pPr>
            <w:r w:rsidRPr="00220CF9">
              <w:rPr>
                <w:rFonts w:ascii="Book Antiqua" w:hAnsi="Book Antiqua"/>
                <w:color w:val="000000" w:themeColor="text1"/>
                <w:sz w:val="24"/>
                <w:szCs w:val="24"/>
              </w:rPr>
              <w:t>DAA (including NS5A inhibitors) -</w:t>
            </w:r>
          </w:p>
          <w:p w:rsidR="006E1F41" w:rsidRPr="00220CF9" w:rsidRDefault="006E1F41" w:rsidP="00FF0CA9">
            <w:pPr>
              <w:rPr>
                <w:rFonts w:ascii="Book Antiqua" w:hAnsi="Book Antiqua"/>
                <w:color w:val="000000" w:themeColor="text1"/>
                <w:sz w:val="24"/>
                <w:szCs w:val="24"/>
              </w:rPr>
            </w:pPr>
            <w:r w:rsidRPr="00220CF9">
              <w:rPr>
                <w:rFonts w:ascii="Book Antiqua" w:hAnsi="Book Antiqua"/>
                <w:color w:val="000000" w:themeColor="text1"/>
                <w:sz w:val="24"/>
                <w:szCs w:val="24"/>
              </w:rPr>
              <w:t>failure patients</w:t>
            </w:r>
          </w:p>
        </w:tc>
        <w:tc>
          <w:tcPr>
            <w:tcW w:w="2346" w:type="dxa"/>
          </w:tcPr>
          <w:p w:rsidR="006E1F41" w:rsidRPr="00220CF9" w:rsidRDefault="006E1F41" w:rsidP="00FF0CA9">
            <w:pPr>
              <w:rPr>
                <w:rFonts w:ascii="Book Antiqua" w:hAnsi="Book Antiqua"/>
                <w:color w:val="000000" w:themeColor="text1"/>
                <w:sz w:val="24"/>
                <w:szCs w:val="24"/>
              </w:rPr>
            </w:pPr>
            <w:r w:rsidRPr="00220CF9">
              <w:rPr>
                <w:rFonts w:ascii="Book Antiqua" w:hAnsi="Book Antiqua"/>
                <w:color w:val="000000" w:themeColor="text1"/>
                <w:sz w:val="24"/>
                <w:szCs w:val="24"/>
              </w:rPr>
              <w:t>N/A</w:t>
            </w:r>
          </w:p>
        </w:tc>
        <w:tc>
          <w:tcPr>
            <w:tcW w:w="4084" w:type="dxa"/>
          </w:tcPr>
          <w:p w:rsidR="006E1F41" w:rsidRPr="0018542D" w:rsidRDefault="006E1F41" w:rsidP="0018542D">
            <w:pPr>
              <w:rPr>
                <w:rFonts w:ascii="Book Antiqua" w:hAnsi="Book Antiqua"/>
                <w:color w:val="000000" w:themeColor="text1"/>
                <w:sz w:val="24"/>
                <w:szCs w:val="24"/>
              </w:rPr>
            </w:pPr>
            <w:r w:rsidRPr="0018542D">
              <w:rPr>
                <w:rFonts w:ascii="Book Antiqua" w:hAnsi="Book Antiqua"/>
                <w:color w:val="000000" w:themeColor="text1"/>
                <w:sz w:val="24"/>
                <w:szCs w:val="24"/>
              </w:rPr>
              <w:t>Sofosbuvir</w:t>
            </w:r>
            <w:r w:rsidR="00FC50CD" w:rsidRPr="0018542D">
              <w:rPr>
                <w:rFonts w:ascii="Book Antiqua" w:hAnsi="Book Antiqua"/>
                <w:color w:val="000000" w:themeColor="text1"/>
                <w:sz w:val="24"/>
                <w:szCs w:val="24"/>
              </w:rPr>
              <w:t>/velpatasvir/voxilaprevir 12 wk</w:t>
            </w:r>
          </w:p>
        </w:tc>
      </w:tr>
    </w:tbl>
    <w:p w:rsidR="00007157" w:rsidRPr="0018542D" w:rsidRDefault="0018542D" w:rsidP="00007157">
      <w:pPr>
        <w:spacing w:line="480" w:lineRule="auto"/>
        <w:rPr>
          <w:rFonts w:ascii="Book Antiqua" w:eastAsia="SimSun" w:hAnsi="Book Antiqua"/>
          <w:color w:val="000000" w:themeColor="text1"/>
          <w:sz w:val="24"/>
          <w:szCs w:val="24"/>
          <w:lang w:eastAsia="zh-CN"/>
        </w:rPr>
      </w:pPr>
      <w:r w:rsidRPr="00A0415C">
        <w:rPr>
          <w:rFonts w:ascii="Book Antiqua" w:hAnsi="Book Antiqua"/>
          <w:color w:val="000000" w:themeColor="text1"/>
          <w:sz w:val="24"/>
          <w:szCs w:val="24"/>
        </w:rPr>
        <w:t>DAAs</w:t>
      </w:r>
      <w:r w:rsidRPr="00A0415C">
        <w:rPr>
          <w:rFonts w:ascii="Book Antiqua" w:eastAsia="SimSun" w:hAnsi="Book Antiqua" w:hint="eastAsia"/>
          <w:color w:val="000000" w:themeColor="text1"/>
          <w:sz w:val="24"/>
          <w:szCs w:val="24"/>
          <w:lang w:eastAsia="zh-CN"/>
        </w:rPr>
        <w:t xml:space="preserve">: </w:t>
      </w:r>
      <w:r w:rsidRPr="00A0415C">
        <w:rPr>
          <w:rFonts w:ascii="Book Antiqua" w:hAnsi="Book Antiqua"/>
          <w:caps/>
          <w:color w:val="000000" w:themeColor="text1"/>
          <w:sz w:val="24"/>
          <w:szCs w:val="24"/>
        </w:rPr>
        <w:t>d</w:t>
      </w:r>
      <w:r w:rsidRPr="00A0415C">
        <w:rPr>
          <w:rFonts w:ascii="Book Antiqua" w:hAnsi="Book Antiqua"/>
          <w:color w:val="000000" w:themeColor="text1"/>
          <w:sz w:val="24"/>
          <w:szCs w:val="24"/>
        </w:rPr>
        <w:t>irect-acting antivirals</w:t>
      </w:r>
      <w:r w:rsidRPr="00A0415C">
        <w:rPr>
          <w:rFonts w:ascii="Book Antiqua" w:eastAsia="SimSun" w:hAnsi="Book Antiqua" w:hint="eastAsia"/>
          <w:color w:val="000000" w:themeColor="text1"/>
          <w:sz w:val="24"/>
          <w:szCs w:val="24"/>
          <w:lang w:eastAsia="zh-CN"/>
        </w:rPr>
        <w:t xml:space="preserve">; </w:t>
      </w:r>
      <w:r w:rsidRPr="00A0415C">
        <w:rPr>
          <w:rFonts w:ascii="Book Antiqua" w:hAnsi="Book Antiqua"/>
          <w:color w:val="000000" w:themeColor="text1"/>
          <w:sz w:val="24"/>
          <w:szCs w:val="24"/>
        </w:rPr>
        <w:t>HCV GTs</w:t>
      </w:r>
      <w:r w:rsidRPr="00A0415C">
        <w:rPr>
          <w:rFonts w:ascii="Book Antiqua" w:eastAsia="SimSun" w:hAnsi="Book Antiqua" w:hint="eastAsia"/>
          <w:color w:val="000000" w:themeColor="text1"/>
          <w:sz w:val="24"/>
          <w:szCs w:val="24"/>
          <w:lang w:eastAsia="zh-CN"/>
        </w:rPr>
        <w:t xml:space="preserve">: </w:t>
      </w:r>
      <w:r w:rsidRPr="00A0415C">
        <w:rPr>
          <w:rFonts w:ascii="Book Antiqua" w:hAnsi="Book Antiqua"/>
          <w:caps/>
          <w:color w:val="000000" w:themeColor="text1"/>
          <w:sz w:val="24"/>
          <w:szCs w:val="24"/>
        </w:rPr>
        <w:t>h</w:t>
      </w:r>
      <w:r w:rsidRPr="00A0415C">
        <w:rPr>
          <w:rFonts w:ascii="Book Antiqua" w:hAnsi="Book Antiqua"/>
          <w:color w:val="000000" w:themeColor="text1"/>
          <w:sz w:val="24"/>
          <w:szCs w:val="24"/>
        </w:rPr>
        <w:t>epatitis C virus genotypes</w:t>
      </w:r>
      <w:r w:rsidR="00B62D12" w:rsidRPr="00220CF9">
        <w:rPr>
          <w:rFonts w:ascii="Book Antiqua" w:hAnsi="Book Antiqua"/>
          <w:color w:val="000000" w:themeColor="text1"/>
          <w:sz w:val="24"/>
          <w:szCs w:val="24"/>
        </w:rPr>
        <w:t xml:space="preserve">; </w:t>
      </w:r>
      <w:r w:rsidR="00007157" w:rsidRPr="00220CF9">
        <w:rPr>
          <w:rFonts w:ascii="Book Antiqua" w:hAnsi="Book Antiqua"/>
          <w:color w:val="000000" w:themeColor="text1"/>
          <w:sz w:val="24"/>
          <w:szCs w:val="24"/>
        </w:rPr>
        <w:t>RAS</w:t>
      </w:r>
      <w:r>
        <w:rPr>
          <w:rFonts w:ascii="Book Antiqua" w:eastAsia="SimSun" w:hAnsi="Book Antiqua" w:hint="eastAsia"/>
          <w:color w:val="000000" w:themeColor="text1"/>
          <w:sz w:val="24"/>
          <w:szCs w:val="24"/>
          <w:lang w:eastAsia="zh-CN"/>
        </w:rPr>
        <w:t>:</w:t>
      </w:r>
      <w:r w:rsidR="00007157" w:rsidRPr="00220CF9">
        <w:rPr>
          <w:rFonts w:ascii="Book Antiqua" w:hAnsi="Book Antiqua"/>
          <w:color w:val="000000" w:themeColor="text1"/>
          <w:sz w:val="24"/>
          <w:szCs w:val="24"/>
        </w:rPr>
        <w:t xml:space="preserve"> </w:t>
      </w:r>
      <w:r w:rsidRPr="00220CF9">
        <w:rPr>
          <w:rFonts w:ascii="Book Antiqua" w:hAnsi="Book Antiqua"/>
          <w:color w:val="000000" w:themeColor="text1"/>
          <w:sz w:val="24"/>
          <w:szCs w:val="24"/>
        </w:rPr>
        <w:t>Resistance</w:t>
      </w:r>
      <w:r w:rsidR="00007157" w:rsidRPr="00220CF9">
        <w:rPr>
          <w:rFonts w:ascii="Book Antiqua" w:hAnsi="Book Antiqua"/>
          <w:color w:val="000000" w:themeColor="text1"/>
          <w:sz w:val="24"/>
          <w:szCs w:val="24"/>
        </w:rPr>
        <w:t>-associated variants; N/A</w:t>
      </w:r>
      <w:r>
        <w:rPr>
          <w:rFonts w:ascii="Book Antiqua" w:eastAsia="SimSun" w:hAnsi="Book Antiqua" w:hint="eastAsia"/>
          <w:color w:val="000000" w:themeColor="text1"/>
          <w:sz w:val="24"/>
          <w:szCs w:val="24"/>
          <w:lang w:eastAsia="zh-CN"/>
        </w:rPr>
        <w:t>:</w:t>
      </w:r>
      <w:r w:rsidR="00007157" w:rsidRPr="00220CF9">
        <w:rPr>
          <w:rFonts w:ascii="Book Antiqua" w:hAnsi="Book Antiqua"/>
          <w:color w:val="000000" w:themeColor="text1"/>
          <w:sz w:val="24"/>
          <w:szCs w:val="24"/>
        </w:rPr>
        <w:t xml:space="preserve"> </w:t>
      </w:r>
      <w:r w:rsidRPr="00220CF9">
        <w:rPr>
          <w:rFonts w:ascii="Book Antiqua" w:hAnsi="Book Antiqua"/>
          <w:color w:val="000000" w:themeColor="text1"/>
          <w:sz w:val="24"/>
          <w:szCs w:val="24"/>
        </w:rPr>
        <w:t xml:space="preserve">Not </w:t>
      </w:r>
      <w:r w:rsidR="00007157" w:rsidRPr="00220CF9">
        <w:rPr>
          <w:rFonts w:ascii="Book Antiqua" w:hAnsi="Book Antiqua"/>
          <w:color w:val="000000" w:themeColor="text1"/>
          <w:sz w:val="24"/>
          <w:szCs w:val="24"/>
        </w:rPr>
        <w:t>available</w:t>
      </w:r>
      <w:r>
        <w:rPr>
          <w:rFonts w:ascii="Book Antiqua" w:eastAsia="SimSun" w:hAnsi="Book Antiqua" w:hint="eastAsia"/>
          <w:color w:val="000000" w:themeColor="text1"/>
          <w:sz w:val="24"/>
          <w:szCs w:val="24"/>
          <w:lang w:eastAsia="zh-CN"/>
        </w:rPr>
        <w:t>.</w:t>
      </w:r>
    </w:p>
    <w:p w:rsidR="00936E05" w:rsidRPr="00220CF9" w:rsidRDefault="00936E05" w:rsidP="00007157">
      <w:pPr>
        <w:widowControl/>
        <w:jc w:val="left"/>
        <w:rPr>
          <w:rFonts w:ascii="Book Antiqua" w:hAnsi="Book Antiqua" w:cs="Book Antiqua"/>
          <w:bCs/>
          <w:color w:val="000000" w:themeColor="text1"/>
          <w:kern w:val="0"/>
          <w:sz w:val="24"/>
          <w:szCs w:val="24"/>
        </w:rPr>
      </w:pPr>
    </w:p>
    <w:sectPr w:rsidR="00936E05" w:rsidRPr="00220CF9">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EC7" w:rsidRDefault="007A5EC7" w:rsidP="007207DA">
      <w:r>
        <w:separator/>
      </w:r>
    </w:p>
  </w:endnote>
  <w:endnote w:type="continuationSeparator" w:id="0">
    <w:p w:rsidR="007A5EC7" w:rsidRDefault="007A5EC7" w:rsidP="0072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hakuyoxingshu7000"/>
    <w:charset w:val="00"/>
    <w:family w:val="roman"/>
    <w:pitch w:val="default"/>
    <w:sig w:usb0="00000000" w:usb1="0000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EC7" w:rsidRDefault="007A5EC7" w:rsidP="007207DA">
      <w:r>
        <w:separator/>
      </w:r>
    </w:p>
  </w:footnote>
  <w:footnote w:type="continuationSeparator" w:id="0">
    <w:p w:rsidR="007A5EC7" w:rsidRDefault="007A5EC7" w:rsidP="00720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162607"/>
      <w:docPartObj>
        <w:docPartGallery w:val="Page Numbers (Top of Page)"/>
        <w:docPartUnique/>
      </w:docPartObj>
    </w:sdtPr>
    <w:sdtEndPr>
      <w:rPr>
        <w:rFonts w:ascii="Times New Roman" w:hAnsi="Times New Roman" w:cs="Times New Roman"/>
      </w:rPr>
    </w:sdtEndPr>
    <w:sdtContent>
      <w:p w:rsidR="00272A49" w:rsidRPr="00032899" w:rsidRDefault="00272A49">
        <w:pPr>
          <w:pStyle w:val="Header"/>
          <w:jc w:val="right"/>
          <w:rPr>
            <w:rFonts w:ascii="Times New Roman" w:hAnsi="Times New Roman" w:cs="Times New Roman"/>
          </w:rPr>
        </w:pPr>
        <w:r w:rsidRPr="00032899">
          <w:rPr>
            <w:rFonts w:ascii="Times New Roman" w:hAnsi="Times New Roman" w:cs="Times New Roman"/>
          </w:rPr>
          <w:fldChar w:fldCharType="begin"/>
        </w:r>
        <w:r w:rsidRPr="00032899">
          <w:rPr>
            <w:rFonts w:ascii="Times New Roman" w:hAnsi="Times New Roman" w:cs="Times New Roman"/>
          </w:rPr>
          <w:instrText>PAGE   \* MERGEFORMAT</w:instrText>
        </w:r>
        <w:r w:rsidRPr="00032899">
          <w:rPr>
            <w:rFonts w:ascii="Times New Roman" w:hAnsi="Times New Roman" w:cs="Times New Roman"/>
          </w:rPr>
          <w:fldChar w:fldCharType="separate"/>
        </w:r>
        <w:r w:rsidR="004F5ECA" w:rsidRPr="004F5ECA">
          <w:rPr>
            <w:rFonts w:ascii="Times New Roman" w:hAnsi="Times New Roman" w:cs="Times New Roman"/>
            <w:noProof/>
            <w:lang w:val="ja-JP"/>
          </w:rPr>
          <w:t>29</w:t>
        </w:r>
        <w:r w:rsidRPr="00032899">
          <w:rPr>
            <w:rFonts w:ascii="Times New Roman" w:hAnsi="Times New Roman" w:cs="Times New Roman"/>
          </w:rPr>
          <w:fldChar w:fldCharType="end"/>
        </w:r>
      </w:p>
    </w:sdtContent>
  </w:sdt>
  <w:p w:rsidR="00272A49" w:rsidRDefault="00272A49" w:rsidP="00032899">
    <w:pPr>
      <w:pStyle w:val="Header"/>
      <w:rPr>
        <w:rFonts w:ascii="Times New Roman" w:eastAsia="Meiryo" w:hAnsi="Times New Roman" w:cs="Times New Roman"/>
        <w:color w:val="222222"/>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514"/>
    <w:multiLevelType w:val="hybridMultilevel"/>
    <w:tmpl w:val="104A31A8"/>
    <w:lvl w:ilvl="0" w:tplc="EF80AD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863E6"/>
    <w:multiLevelType w:val="hybridMultilevel"/>
    <w:tmpl w:val="2F30A448"/>
    <w:lvl w:ilvl="0" w:tplc="A002F3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4E7A8E"/>
    <w:multiLevelType w:val="hybridMultilevel"/>
    <w:tmpl w:val="D5662F60"/>
    <w:lvl w:ilvl="0" w:tplc="9FA2B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8631CF"/>
    <w:multiLevelType w:val="hybridMultilevel"/>
    <w:tmpl w:val="B9A6BA86"/>
    <w:lvl w:ilvl="0" w:tplc="37FC4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885569"/>
    <w:multiLevelType w:val="hybridMultilevel"/>
    <w:tmpl w:val="B75A7530"/>
    <w:lvl w:ilvl="0" w:tplc="58C869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B71393"/>
    <w:multiLevelType w:val="hybridMultilevel"/>
    <w:tmpl w:val="50E02BC6"/>
    <w:lvl w:ilvl="0" w:tplc="3A5079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787E2C"/>
    <w:multiLevelType w:val="hybridMultilevel"/>
    <w:tmpl w:val="6D42FEDC"/>
    <w:lvl w:ilvl="0" w:tplc="B9E88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9C558A"/>
    <w:multiLevelType w:val="hybridMultilevel"/>
    <w:tmpl w:val="19BE04F8"/>
    <w:lvl w:ilvl="0" w:tplc="C512FA0A">
      <w:start w:val="1"/>
      <w:numFmt w:val="decimal"/>
      <w:lvlText w:val="%1"/>
      <w:lvlJc w:val="left"/>
      <w:pPr>
        <w:ind w:left="840" w:hanging="840"/>
      </w:pPr>
      <w:rPr>
        <w:rFonts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4F"/>
    <w:rsid w:val="000000EB"/>
    <w:rsid w:val="00000149"/>
    <w:rsid w:val="00006B4E"/>
    <w:rsid w:val="00007157"/>
    <w:rsid w:val="000111D9"/>
    <w:rsid w:val="00014D98"/>
    <w:rsid w:val="0002235C"/>
    <w:rsid w:val="0003112E"/>
    <w:rsid w:val="00031F33"/>
    <w:rsid w:val="00032899"/>
    <w:rsid w:val="000328E3"/>
    <w:rsid w:val="00036185"/>
    <w:rsid w:val="00036643"/>
    <w:rsid w:val="00037AF2"/>
    <w:rsid w:val="0004035D"/>
    <w:rsid w:val="000423E6"/>
    <w:rsid w:val="00046734"/>
    <w:rsid w:val="00051921"/>
    <w:rsid w:val="00056A6C"/>
    <w:rsid w:val="00057FFC"/>
    <w:rsid w:val="00065F5C"/>
    <w:rsid w:val="00095652"/>
    <w:rsid w:val="000A39CF"/>
    <w:rsid w:val="000A5D04"/>
    <w:rsid w:val="000A7740"/>
    <w:rsid w:val="000B5080"/>
    <w:rsid w:val="000C55AA"/>
    <w:rsid w:val="000E060C"/>
    <w:rsid w:val="000F2E32"/>
    <w:rsid w:val="000F39B9"/>
    <w:rsid w:val="000F7CB5"/>
    <w:rsid w:val="00100B72"/>
    <w:rsid w:val="00106E41"/>
    <w:rsid w:val="00112D87"/>
    <w:rsid w:val="0012410A"/>
    <w:rsid w:val="001253EF"/>
    <w:rsid w:val="0012540B"/>
    <w:rsid w:val="00125ED5"/>
    <w:rsid w:val="00164918"/>
    <w:rsid w:val="00170305"/>
    <w:rsid w:val="001707DA"/>
    <w:rsid w:val="00174BB4"/>
    <w:rsid w:val="0017767F"/>
    <w:rsid w:val="0018542D"/>
    <w:rsid w:val="00192D53"/>
    <w:rsid w:val="00193662"/>
    <w:rsid w:val="001A4A6B"/>
    <w:rsid w:val="001A525D"/>
    <w:rsid w:val="001C67A9"/>
    <w:rsid w:val="001D34ED"/>
    <w:rsid w:val="001D3C1B"/>
    <w:rsid w:val="001D4F99"/>
    <w:rsid w:val="001E012E"/>
    <w:rsid w:val="001F0130"/>
    <w:rsid w:val="001F70CC"/>
    <w:rsid w:val="00213D1A"/>
    <w:rsid w:val="002166F0"/>
    <w:rsid w:val="00220CF9"/>
    <w:rsid w:val="002246CE"/>
    <w:rsid w:val="002254D3"/>
    <w:rsid w:val="00226057"/>
    <w:rsid w:val="0024723D"/>
    <w:rsid w:val="002513D1"/>
    <w:rsid w:val="00257E4E"/>
    <w:rsid w:val="00260E44"/>
    <w:rsid w:val="0026694A"/>
    <w:rsid w:val="00270345"/>
    <w:rsid w:val="00272A49"/>
    <w:rsid w:val="00273A33"/>
    <w:rsid w:val="00273AC9"/>
    <w:rsid w:val="00275AB1"/>
    <w:rsid w:val="00282E10"/>
    <w:rsid w:val="002927FD"/>
    <w:rsid w:val="002A0030"/>
    <w:rsid w:val="002A0AF1"/>
    <w:rsid w:val="002A35E2"/>
    <w:rsid w:val="002A3749"/>
    <w:rsid w:val="002A43F4"/>
    <w:rsid w:val="002A7DC5"/>
    <w:rsid w:val="002B4DAE"/>
    <w:rsid w:val="002C438F"/>
    <w:rsid w:val="002D2A57"/>
    <w:rsid w:val="002D390D"/>
    <w:rsid w:val="002D437C"/>
    <w:rsid w:val="002D7481"/>
    <w:rsid w:val="002E2751"/>
    <w:rsid w:val="002E6C5A"/>
    <w:rsid w:val="002F2DA8"/>
    <w:rsid w:val="002F4B21"/>
    <w:rsid w:val="002F6951"/>
    <w:rsid w:val="002F719B"/>
    <w:rsid w:val="00316EB3"/>
    <w:rsid w:val="00326D1C"/>
    <w:rsid w:val="003277C0"/>
    <w:rsid w:val="00333EE9"/>
    <w:rsid w:val="003340F1"/>
    <w:rsid w:val="00334206"/>
    <w:rsid w:val="0035638F"/>
    <w:rsid w:val="00357D90"/>
    <w:rsid w:val="00357DEF"/>
    <w:rsid w:val="00374844"/>
    <w:rsid w:val="00385C2B"/>
    <w:rsid w:val="0039197A"/>
    <w:rsid w:val="003924D7"/>
    <w:rsid w:val="003C2E41"/>
    <w:rsid w:val="003C547C"/>
    <w:rsid w:val="003D2500"/>
    <w:rsid w:val="003D3D9F"/>
    <w:rsid w:val="003F42F6"/>
    <w:rsid w:val="003F64A9"/>
    <w:rsid w:val="004005EB"/>
    <w:rsid w:val="0040263C"/>
    <w:rsid w:val="0040422C"/>
    <w:rsid w:val="00411831"/>
    <w:rsid w:val="004156E2"/>
    <w:rsid w:val="00416731"/>
    <w:rsid w:val="00422B72"/>
    <w:rsid w:val="004356BD"/>
    <w:rsid w:val="00435755"/>
    <w:rsid w:val="004501F4"/>
    <w:rsid w:val="0045193D"/>
    <w:rsid w:val="0045231C"/>
    <w:rsid w:val="004545C5"/>
    <w:rsid w:val="0045606B"/>
    <w:rsid w:val="0046583F"/>
    <w:rsid w:val="0047060F"/>
    <w:rsid w:val="004851F6"/>
    <w:rsid w:val="004866CA"/>
    <w:rsid w:val="00494413"/>
    <w:rsid w:val="004B2FDD"/>
    <w:rsid w:val="004B65C2"/>
    <w:rsid w:val="004C4B01"/>
    <w:rsid w:val="004C6A35"/>
    <w:rsid w:val="004E58F8"/>
    <w:rsid w:val="004E71DA"/>
    <w:rsid w:val="004F0659"/>
    <w:rsid w:val="004F5ECA"/>
    <w:rsid w:val="00500117"/>
    <w:rsid w:val="00511F3B"/>
    <w:rsid w:val="00540731"/>
    <w:rsid w:val="005414A6"/>
    <w:rsid w:val="0055503E"/>
    <w:rsid w:val="00557418"/>
    <w:rsid w:val="00557BD7"/>
    <w:rsid w:val="00561A64"/>
    <w:rsid w:val="00566E9F"/>
    <w:rsid w:val="00582D95"/>
    <w:rsid w:val="00584BA2"/>
    <w:rsid w:val="005907B1"/>
    <w:rsid w:val="00594E50"/>
    <w:rsid w:val="005957D8"/>
    <w:rsid w:val="00596670"/>
    <w:rsid w:val="005A15BC"/>
    <w:rsid w:val="005A2E7A"/>
    <w:rsid w:val="005B0079"/>
    <w:rsid w:val="005B71F6"/>
    <w:rsid w:val="005C54D4"/>
    <w:rsid w:val="005D20D7"/>
    <w:rsid w:val="005D463C"/>
    <w:rsid w:val="005D544B"/>
    <w:rsid w:val="005E3C2F"/>
    <w:rsid w:val="005F166B"/>
    <w:rsid w:val="005F2A73"/>
    <w:rsid w:val="005F68E1"/>
    <w:rsid w:val="005F748D"/>
    <w:rsid w:val="00607B96"/>
    <w:rsid w:val="00615F5B"/>
    <w:rsid w:val="00620140"/>
    <w:rsid w:val="00652868"/>
    <w:rsid w:val="0066249C"/>
    <w:rsid w:val="00663C90"/>
    <w:rsid w:val="006763A1"/>
    <w:rsid w:val="00677EF5"/>
    <w:rsid w:val="00680C4F"/>
    <w:rsid w:val="00684636"/>
    <w:rsid w:val="00684B42"/>
    <w:rsid w:val="006B014E"/>
    <w:rsid w:val="006B0F72"/>
    <w:rsid w:val="006B7B69"/>
    <w:rsid w:val="006C419B"/>
    <w:rsid w:val="006C557C"/>
    <w:rsid w:val="006D44DB"/>
    <w:rsid w:val="006D7EB5"/>
    <w:rsid w:val="006E1B2A"/>
    <w:rsid w:val="006E1F41"/>
    <w:rsid w:val="006E5431"/>
    <w:rsid w:val="006E66D3"/>
    <w:rsid w:val="006F744D"/>
    <w:rsid w:val="006F7ECC"/>
    <w:rsid w:val="00706273"/>
    <w:rsid w:val="00716DA1"/>
    <w:rsid w:val="007207DA"/>
    <w:rsid w:val="00731BBA"/>
    <w:rsid w:val="00734649"/>
    <w:rsid w:val="00744F51"/>
    <w:rsid w:val="00757CC9"/>
    <w:rsid w:val="007708C8"/>
    <w:rsid w:val="00771BC6"/>
    <w:rsid w:val="0077517D"/>
    <w:rsid w:val="00782449"/>
    <w:rsid w:val="00791376"/>
    <w:rsid w:val="0079160D"/>
    <w:rsid w:val="007A5EC7"/>
    <w:rsid w:val="007B397E"/>
    <w:rsid w:val="007C07DC"/>
    <w:rsid w:val="007C5E27"/>
    <w:rsid w:val="007D7B77"/>
    <w:rsid w:val="007F127E"/>
    <w:rsid w:val="007F1DAE"/>
    <w:rsid w:val="007F3D8B"/>
    <w:rsid w:val="00802EA5"/>
    <w:rsid w:val="00805B35"/>
    <w:rsid w:val="00814DEB"/>
    <w:rsid w:val="008305ED"/>
    <w:rsid w:val="00830DAA"/>
    <w:rsid w:val="0083384D"/>
    <w:rsid w:val="00833F1B"/>
    <w:rsid w:val="008376D0"/>
    <w:rsid w:val="008416D1"/>
    <w:rsid w:val="00842A30"/>
    <w:rsid w:val="00844FA6"/>
    <w:rsid w:val="00847181"/>
    <w:rsid w:val="008544BB"/>
    <w:rsid w:val="0085682D"/>
    <w:rsid w:val="00880169"/>
    <w:rsid w:val="0088074F"/>
    <w:rsid w:val="00885013"/>
    <w:rsid w:val="00892F6D"/>
    <w:rsid w:val="008964AC"/>
    <w:rsid w:val="00897007"/>
    <w:rsid w:val="008A04C0"/>
    <w:rsid w:val="008A61BB"/>
    <w:rsid w:val="008B2A93"/>
    <w:rsid w:val="008C3906"/>
    <w:rsid w:val="008C6B04"/>
    <w:rsid w:val="008D303F"/>
    <w:rsid w:val="008D7E5B"/>
    <w:rsid w:val="008E4051"/>
    <w:rsid w:val="008E5506"/>
    <w:rsid w:val="008F3274"/>
    <w:rsid w:val="00900861"/>
    <w:rsid w:val="00904C82"/>
    <w:rsid w:val="009065DC"/>
    <w:rsid w:val="009262D6"/>
    <w:rsid w:val="009338A6"/>
    <w:rsid w:val="00933996"/>
    <w:rsid w:val="00936E05"/>
    <w:rsid w:val="00942141"/>
    <w:rsid w:val="009438BA"/>
    <w:rsid w:val="00955584"/>
    <w:rsid w:val="00960FE1"/>
    <w:rsid w:val="009728B0"/>
    <w:rsid w:val="0097536B"/>
    <w:rsid w:val="00980599"/>
    <w:rsid w:val="00982272"/>
    <w:rsid w:val="009832F1"/>
    <w:rsid w:val="00987F72"/>
    <w:rsid w:val="009A0C61"/>
    <w:rsid w:val="009A199B"/>
    <w:rsid w:val="009A6436"/>
    <w:rsid w:val="009B343F"/>
    <w:rsid w:val="009B5073"/>
    <w:rsid w:val="009B513E"/>
    <w:rsid w:val="009C0D38"/>
    <w:rsid w:val="009C38A0"/>
    <w:rsid w:val="009C41D5"/>
    <w:rsid w:val="009D6A67"/>
    <w:rsid w:val="009D79E2"/>
    <w:rsid w:val="00A00FE0"/>
    <w:rsid w:val="00A0415C"/>
    <w:rsid w:val="00A07BCE"/>
    <w:rsid w:val="00A13764"/>
    <w:rsid w:val="00A27827"/>
    <w:rsid w:val="00A356C1"/>
    <w:rsid w:val="00A3665D"/>
    <w:rsid w:val="00A37EDC"/>
    <w:rsid w:val="00A410CC"/>
    <w:rsid w:val="00A42E0C"/>
    <w:rsid w:val="00A45FA0"/>
    <w:rsid w:val="00A51272"/>
    <w:rsid w:val="00A543CB"/>
    <w:rsid w:val="00A6212B"/>
    <w:rsid w:val="00A66965"/>
    <w:rsid w:val="00A74C39"/>
    <w:rsid w:val="00A75568"/>
    <w:rsid w:val="00A81B85"/>
    <w:rsid w:val="00A81FCD"/>
    <w:rsid w:val="00AA2228"/>
    <w:rsid w:val="00AB0642"/>
    <w:rsid w:val="00AC6B8B"/>
    <w:rsid w:val="00AC75A0"/>
    <w:rsid w:val="00AD7B94"/>
    <w:rsid w:val="00AE1D27"/>
    <w:rsid w:val="00AF5CB0"/>
    <w:rsid w:val="00B03A24"/>
    <w:rsid w:val="00B104FF"/>
    <w:rsid w:val="00B27A42"/>
    <w:rsid w:val="00B5009E"/>
    <w:rsid w:val="00B565CE"/>
    <w:rsid w:val="00B57865"/>
    <w:rsid w:val="00B62D12"/>
    <w:rsid w:val="00B631BC"/>
    <w:rsid w:val="00B76683"/>
    <w:rsid w:val="00B8210E"/>
    <w:rsid w:val="00B8480C"/>
    <w:rsid w:val="00B90CE8"/>
    <w:rsid w:val="00B974E5"/>
    <w:rsid w:val="00BA6D63"/>
    <w:rsid w:val="00BB69E7"/>
    <w:rsid w:val="00BC2772"/>
    <w:rsid w:val="00BC450A"/>
    <w:rsid w:val="00BC5F5C"/>
    <w:rsid w:val="00BD24CC"/>
    <w:rsid w:val="00BD5015"/>
    <w:rsid w:val="00BE38B2"/>
    <w:rsid w:val="00BE7FEB"/>
    <w:rsid w:val="00BF4678"/>
    <w:rsid w:val="00C026DE"/>
    <w:rsid w:val="00C06DA9"/>
    <w:rsid w:val="00C1245B"/>
    <w:rsid w:val="00C15954"/>
    <w:rsid w:val="00C17506"/>
    <w:rsid w:val="00C27A0B"/>
    <w:rsid w:val="00C323B0"/>
    <w:rsid w:val="00C54E07"/>
    <w:rsid w:val="00C90E5A"/>
    <w:rsid w:val="00C93163"/>
    <w:rsid w:val="00CA1580"/>
    <w:rsid w:val="00CC07EB"/>
    <w:rsid w:val="00CC2691"/>
    <w:rsid w:val="00CC4A75"/>
    <w:rsid w:val="00CC7ACC"/>
    <w:rsid w:val="00CD2979"/>
    <w:rsid w:val="00CE0069"/>
    <w:rsid w:val="00CF5432"/>
    <w:rsid w:val="00D0117F"/>
    <w:rsid w:val="00D06D04"/>
    <w:rsid w:val="00D15A98"/>
    <w:rsid w:val="00D311DE"/>
    <w:rsid w:val="00D35DDC"/>
    <w:rsid w:val="00D5416D"/>
    <w:rsid w:val="00D54832"/>
    <w:rsid w:val="00D7104B"/>
    <w:rsid w:val="00D75140"/>
    <w:rsid w:val="00D83A98"/>
    <w:rsid w:val="00D90067"/>
    <w:rsid w:val="00D934BF"/>
    <w:rsid w:val="00DB5AE3"/>
    <w:rsid w:val="00DB7634"/>
    <w:rsid w:val="00DC554E"/>
    <w:rsid w:val="00DF1F7D"/>
    <w:rsid w:val="00DF7134"/>
    <w:rsid w:val="00DF7C19"/>
    <w:rsid w:val="00E01B98"/>
    <w:rsid w:val="00E01FCD"/>
    <w:rsid w:val="00E06098"/>
    <w:rsid w:val="00E06625"/>
    <w:rsid w:val="00E078BC"/>
    <w:rsid w:val="00E43382"/>
    <w:rsid w:val="00E441DE"/>
    <w:rsid w:val="00E4508B"/>
    <w:rsid w:val="00E479B1"/>
    <w:rsid w:val="00E641B2"/>
    <w:rsid w:val="00E76102"/>
    <w:rsid w:val="00E83829"/>
    <w:rsid w:val="00E86BA8"/>
    <w:rsid w:val="00EA1367"/>
    <w:rsid w:val="00EA6EB8"/>
    <w:rsid w:val="00EA785D"/>
    <w:rsid w:val="00EB1A62"/>
    <w:rsid w:val="00EB3AE6"/>
    <w:rsid w:val="00EC63D3"/>
    <w:rsid w:val="00ED7526"/>
    <w:rsid w:val="00EE624B"/>
    <w:rsid w:val="00F16D71"/>
    <w:rsid w:val="00F20E4A"/>
    <w:rsid w:val="00F243DF"/>
    <w:rsid w:val="00F339C2"/>
    <w:rsid w:val="00F354F6"/>
    <w:rsid w:val="00F35807"/>
    <w:rsid w:val="00F361C0"/>
    <w:rsid w:val="00F37382"/>
    <w:rsid w:val="00F56C77"/>
    <w:rsid w:val="00F61201"/>
    <w:rsid w:val="00F72829"/>
    <w:rsid w:val="00F75F30"/>
    <w:rsid w:val="00F91461"/>
    <w:rsid w:val="00F95933"/>
    <w:rsid w:val="00F96EB0"/>
    <w:rsid w:val="00FA06BE"/>
    <w:rsid w:val="00FA0F39"/>
    <w:rsid w:val="00FA6B6B"/>
    <w:rsid w:val="00FB07C4"/>
    <w:rsid w:val="00FB6573"/>
    <w:rsid w:val="00FC27BA"/>
    <w:rsid w:val="00FC50CD"/>
    <w:rsid w:val="00FC5F4B"/>
    <w:rsid w:val="00FD41F0"/>
    <w:rsid w:val="00FD5DA1"/>
    <w:rsid w:val="00FE5A25"/>
    <w:rsid w:val="00FE5FC9"/>
    <w:rsid w:val="00FF0CA9"/>
    <w:rsid w:val="00FF0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3E791F-61DD-4907-9AE9-965BBBFA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7DA"/>
    <w:pPr>
      <w:tabs>
        <w:tab w:val="center" w:pos="4252"/>
        <w:tab w:val="right" w:pos="8504"/>
      </w:tabs>
      <w:snapToGrid w:val="0"/>
    </w:pPr>
  </w:style>
  <w:style w:type="character" w:customStyle="1" w:styleId="HeaderChar">
    <w:name w:val="Header Char"/>
    <w:basedOn w:val="DefaultParagraphFont"/>
    <w:link w:val="Header"/>
    <w:uiPriority w:val="99"/>
    <w:rsid w:val="007207DA"/>
  </w:style>
  <w:style w:type="paragraph" w:styleId="Footer">
    <w:name w:val="footer"/>
    <w:basedOn w:val="Normal"/>
    <w:link w:val="FooterChar"/>
    <w:uiPriority w:val="99"/>
    <w:unhideWhenUsed/>
    <w:rsid w:val="007207DA"/>
    <w:pPr>
      <w:tabs>
        <w:tab w:val="center" w:pos="4252"/>
        <w:tab w:val="right" w:pos="8504"/>
      </w:tabs>
      <w:snapToGrid w:val="0"/>
    </w:pPr>
  </w:style>
  <w:style w:type="character" w:customStyle="1" w:styleId="FooterChar">
    <w:name w:val="Footer Char"/>
    <w:basedOn w:val="DefaultParagraphFont"/>
    <w:link w:val="Footer"/>
    <w:uiPriority w:val="99"/>
    <w:rsid w:val="007207DA"/>
  </w:style>
  <w:style w:type="character" w:styleId="Strong">
    <w:name w:val="Strong"/>
    <w:basedOn w:val="DefaultParagraphFont"/>
    <w:uiPriority w:val="22"/>
    <w:qFormat/>
    <w:rsid w:val="007207DA"/>
    <w:rPr>
      <w:b/>
      <w:bCs/>
    </w:rPr>
  </w:style>
  <w:style w:type="character" w:styleId="CommentReference">
    <w:name w:val="annotation reference"/>
    <w:rsid w:val="00F61201"/>
    <w:rPr>
      <w:rFonts w:cs="Times New Roman"/>
      <w:sz w:val="21"/>
      <w:szCs w:val="21"/>
    </w:rPr>
  </w:style>
  <w:style w:type="paragraph" w:styleId="CommentText">
    <w:name w:val="annotation text"/>
    <w:basedOn w:val="Normal"/>
    <w:link w:val="CommentTextChar"/>
    <w:rsid w:val="00F61201"/>
    <w:pPr>
      <w:widowControl/>
      <w:jc w:val="left"/>
    </w:pPr>
    <w:rPr>
      <w:rFonts w:ascii="Times New Roman" w:eastAsia="SimSun" w:hAnsi="Times New Roman" w:cs="Times New Roman"/>
      <w:kern w:val="0"/>
      <w:sz w:val="24"/>
      <w:szCs w:val="24"/>
      <w:lang w:eastAsia="en-US"/>
    </w:rPr>
  </w:style>
  <w:style w:type="character" w:customStyle="1" w:styleId="CommentTextChar">
    <w:name w:val="Comment Text Char"/>
    <w:basedOn w:val="DefaultParagraphFont"/>
    <w:link w:val="CommentText"/>
    <w:rsid w:val="00F61201"/>
    <w:rPr>
      <w:rFonts w:ascii="Times New Roman" w:eastAsia="SimSun" w:hAnsi="Times New Roman" w:cs="Times New Roman"/>
      <w:kern w:val="0"/>
      <w:sz w:val="24"/>
      <w:szCs w:val="24"/>
      <w:lang w:eastAsia="en-US"/>
    </w:rPr>
  </w:style>
  <w:style w:type="paragraph" w:styleId="NormalWeb">
    <w:name w:val="Normal (Web)"/>
    <w:basedOn w:val="Normal"/>
    <w:uiPriority w:val="99"/>
    <w:unhideWhenUsed/>
    <w:rsid w:val="00F61201"/>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paragraph" w:styleId="BalloonText">
    <w:name w:val="Balloon Text"/>
    <w:basedOn w:val="Normal"/>
    <w:link w:val="BalloonTextChar"/>
    <w:uiPriority w:val="99"/>
    <w:semiHidden/>
    <w:unhideWhenUsed/>
    <w:rsid w:val="00F6120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61201"/>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F61201"/>
    <w:rPr>
      <w:color w:val="0000FF" w:themeColor="hyperlink"/>
      <w:u w:val="single"/>
    </w:rPr>
  </w:style>
  <w:style w:type="paragraph" w:customStyle="1" w:styleId="Default">
    <w:name w:val="Default"/>
    <w:rsid w:val="00032899"/>
    <w:pPr>
      <w:widowControl w:val="0"/>
      <w:autoSpaceDE w:val="0"/>
      <w:autoSpaceDN w:val="0"/>
      <w:adjustRightInd w:val="0"/>
    </w:pPr>
    <w:rPr>
      <w:rFonts w:ascii="Book Antiqua" w:hAnsi="Book Antiqua" w:cs="Book Antiqua"/>
      <w:color w:val="000000"/>
      <w:kern w:val="0"/>
      <w:sz w:val="24"/>
      <w:szCs w:val="24"/>
    </w:rPr>
  </w:style>
  <w:style w:type="table" w:styleId="TableGrid">
    <w:name w:val="Table Grid"/>
    <w:basedOn w:val="TableNormal"/>
    <w:uiPriority w:val="59"/>
    <w:rsid w:val="004B2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6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4097">
      <w:bodyDiv w:val="1"/>
      <w:marLeft w:val="0"/>
      <w:marRight w:val="0"/>
      <w:marTop w:val="0"/>
      <w:marBottom w:val="0"/>
      <w:divBdr>
        <w:top w:val="none" w:sz="0" w:space="0" w:color="auto"/>
        <w:left w:val="none" w:sz="0" w:space="0" w:color="auto"/>
        <w:bottom w:val="none" w:sz="0" w:space="0" w:color="auto"/>
        <w:right w:val="none" w:sz="0" w:space="0" w:color="auto"/>
      </w:divBdr>
    </w:div>
    <w:div w:id="611520531">
      <w:bodyDiv w:val="1"/>
      <w:marLeft w:val="0"/>
      <w:marRight w:val="0"/>
      <w:marTop w:val="0"/>
      <w:marBottom w:val="0"/>
      <w:divBdr>
        <w:top w:val="none" w:sz="0" w:space="0" w:color="auto"/>
        <w:left w:val="none" w:sz="0" w:space="0" w:color="auto"/>
        <w:bottom w:val="none" w:sz="0" w:space="0" w:color="auto"/>
        <w:right w:val="none" w:sz="0" w:space="0" w:color="auto"/>
      </w:divBdr>
    </w:div>
    <w:div w:id="1219584312">
      <w:bodyDiv w:val="1"/>
      <w:marLeft w:val="0"/>
      <w:marRight w:val="0"/>
      <w:marTop w:val="0"/>
      <w:marBottom w:val="0"/>
      <w:divBdr>
        <w:top w:val="none" w:sz="0" w:space="0" w:color="auto"/>
        <w:left w:val="none" w:sz="0" w:space="0" w:color="auto"/>
        <w:bottom w:val="none" w:sz="0" w:space="0" w:color="auto"/>
        <w:right w:val="none" w:sz="0" w:space="0" w:color="auto"/>
      </w:divBdr>
    </w:div>
    <w:div w:id="1417627136">
      <w:bodyDiv w:val="1"/>
      <w:marLeft w:val="0"/>
      <w:marRight w:val="0"/>
      <w:marTop w:val="0"/>
      <w:marBottom w:val="0"/>
      <w:divBdr>
        <w:top w:val="none" w:sz="0" w:space="0" w:color="auto"/>
        <w:left w:val="none" w:sz="0" w:space="0" w:color="auto"/>
        <w:bottom w:val="none" w:sz="0" w:space="0" w:color="auto"/>
        <w:right w:val="none" w:sz="0" w:space="0" w:color="auto"/>
      </w:divBdr>
    </w:div>
    <w:div w:id="1507092008">
      <w:bodyDiv w:val="1"/>
      <w:marLeft w:val="0"/>
      <w:marRight w:val="0"/>
      <w:marTop w:val="0"/>
      <w:marBottom w:val="0"/>
      <w:divBdr>
        <w:top w:val="none" w:sz="0" w:space="0" w:color="auto"/>
        <w:left w:val="none" w:sz="0" w:space="0" w:color="auto"/>
        <w:bottom w:val="none" w:sz="0" w:space="0" w:color="auto"/>
        <w:right w:val="none" w:sz="0" w:space="0" w:color="auto"/>
      </w:divBdr>
    </w:div>
    <w:div w:id="1730808838">
      <w:bodyDiv w:val="1"/>
      <w:marLeft w:val="0"/>
      <w:marRight w:val="0"/>
      <w:marTop w:val="0"/>
      <w:marBottom w:val="0"/>
      <w:divBdr>
        <w:top w:val="none" w:sz="0" w:space="0" w:color="auto"/>
        <w:left w:val="none" w:sz="0" w:space="0" w:color="auto"/>
        <w:bottom w:val="none" w:sz="0" w:space="0" w:color="auto"/>
        <w:right w:val="none" w:sz="0" w:space="0" w:color="auto"/>
      </w:divBdr>
    </w:div>
    <w:div w:id="1829204744">
      <w:bodyDiv w:val="1"/>
      <w:marLeft w:val="0"/>
      <w:marRight w:val="0"/>
      <w:marTop w:val="0"/>
      <w:marBottom w:val="0"/>
      <w:divBdr>
        <w:top w:val="none" w:sz="0" w:space="0" w:color="auto"/>
        <w:left w:val="none" w:sz="0" w:space="0" w:color="auto"/>
        <w:bottom w:val="none" w:sz="0" w:space="0" w:color="auto"/>
        <w:right w:val="none" w:sz="0" w:space="0" w:color="auto"/>
      </w:divBdr>
    </w:div>
    <w:div w:id="1952277729">
      <w:bodyDiv w:val="1"/>
      <w:marLeft w:val="0"/>
      <w:marRight w:val="0"/>
      <w:marTop w:val="0"/>
      <w:marBottom w:val="0"/>
      <w:divBdr>
        <w:top w:val="none" w:sz="0" w:space="0" w:color="auto"/>
        <w:left w:val="none" w:sz="0" w:space="0" w:color="auto"/>
        <w:bottom w:val="none" w:sz="0" w:space="0" w:color="auto"/>
        <w:right w:val="none" w:sz="0" w:space="0" w:color="auto"/>
      </w:divBdr>
    </w:div>
    <w:div w:id="1983540092">
      <w:bodyDiv w:val="1"/>
      <w:marLeft w:val="0"/>
      <w:marRight w:val="0"/>
      <w:marTop w:val="0"/>
      <w:marBottom w:val="0"/>
      <w:divBdr>
        <w:top w:val="none" w:sz="0" w:space="0" w:color="auto"/>
        <w:left w:val="none" w:sz="0" w:space="0" w:color="auto"/>
        <w:bottom w:val="none" w:sz="0" w:space="0" w:color="auto"/>
        <w:right w:val="none" w:sz="0" w:space="0" w:color="auto"/>
      </w:divBdr>
    </w:div>
    <w:div w:id="2020109789">
      <w:bodyDiv w:val="1"/>
      <w:marLeft w:val="0"/>
      <w:marRight w:val="0"/>
      <w:marTop w:val="0"/>
      <w:marBottom w:val="0"/>
      <w:divBdr>
        <w:top w:val="none" w:sz="0" w:space="0" w:color="auto"/>
        <w:left w:val="none" w:sz="0" w:space="0" w:color="auto"/>
        <w:bottom w:val="none" w:sz="0" w:space="0" w:color="auto"/>
        <w:right w:val="none" w:sz="0" w:space="0" w:color="auto"/>
      </w:divBdr>
    </w:div>
    <w:div w:id="20551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dat-cib@umin.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FE55-D806-44AC-B741-5D52A90A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5914</Words>
  <Characters>33713</Characters>
  <Application>Microsoft Office Word</Application>
  <DocSecurity>0</DocSecurity>
  <Lines>280</Lines>
  <Paragraphs>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39548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dc:creator>
  <cp:lastModifiedBy>Na Ma</cp:lastModifiedBy>
  <cp:revision>2</cp:revision>
  <dcterms:created xsi:type="dcterms:W3CDTF">2017-11-27T19:13:00Z</dcterms:created>
  <dcterms:modified xsi:type="dcterms:W3CDTF">2017-11-27T19:13:00Z</dcterms:modified>
</cp:coreProperties>
</file>