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E7829" w14:textId="77777777" w:rsidR="00636F70" w:rsidRPr="00FC2DDA" w:rsidRDefault="00636F70" w:rsidP="00AF2AB9">
      <w:pPr>
        <w:autoSpaceDE w:val="0"/>
        <w:autoSpaceDN w:val="0"/>
        <w:adjustRightInd w:val="0"/>
        <w:snapToGrid w:val="0"/>
        <w:spacing w:after="0" w:line="360" w:lineRule="auto"/>
        <w:jc w:val="both"/>
        <w:rPr>
          <w:rFonts w:ascii="Book Antiqua" w:hAnsi="Book Antiqua" w:cs="Book Antiqua"/>
          <w:b/>
          <w:iCs/>
          <w:color w:val="auto"/>
          <w:sz w:val="24"/>
          <w:szCs w:val="24"/>
          <w:lang w:val="en-US" w:eastAsia="zh-CN"/>
        </w:rPr>
      </w:pPr>
      <w:bookmarkStart w:id="0" w:name="_GoBack"/>
      <w:bookmarkEnd w:id="0"/>
      <w:r w:rsidRPr="00FC2DDA">
        <w:rPr>
          <w:rFonts w:ascii="Book Antiqua" w:hAnsi="Book Antiqua" w:cs="Book Antiqua"/>
          <w:b/>
          <w:color w:val="auto"/>
          <w:sz w:val="24"/>
          <w:szCs w:val="24"/>
          <w:lang w:val="en-US"/>
        </w:rPr>
        <w:t>Name of Journal:</w:t>
      </w:r>
      <w:r w:rsidRPr="00FC2DDA">
        <w:rPr>
          <w:rFonts w:ascii="Book Antiqua" w:hAnsi="Book Antiqua" w:cs="Book Antiqua"/>
          <w:b/>
          <w:i/>
          <w:color w:val="auto"/>
          <w:sz w:val="24"/>
          <w:szCs w:val="24"/>
          <w:lang w:val="en-US"/>
        </w:rPr>
        <w:t xml:space="preserve"> </w:t>
      </w:r>
      <w:r w:rsidRPr="00FC2DDA">
        <w:rPr>
          <w:rFonts w:ascii="Book Antiqua" w:hAnsi="Book Antiqua" w:cs="Book Antiqua"/>
          <w:b/>
          <w:i/>
          <w:iCs/>
          <w:color w:val="auto"/>
          <w:sz w:val="24"/>
          <w:szCs w:val="24"/>
          <w:lang w:val="en-US"/>
        </w:rPr>
        <w:t>World Journal of Gastroenterology</w:t>
      </w:r>
    </w:p>
    <w:p w14:paraId="51A3B32E" w14:textId="4669CF01" w:rsidR="005C7755" w:rsidRPr="00FC2DDA" w:rsidRDefault="005C7755" w:rsidP="00AF2AB9">
      <w:pPr>
        <w:autoSpaceDE w:val="0"/>
        <w:autoSpaceDN w:val="0"/>
        <w:adjustRightInd w:val="0"/>
        <w:snapToGrid w:val="0"/>
        <w:spacing w:after="0" w:line="360" w:lineRule="auto"/>
        <w:jc w:val="both"/>
        <w:rPr>
          <w:rFonts w:ascii="Book Antiqua" w:hAnsi="Book Antiqua" w:cs="Book Antiqua"/>
          <w:b/>
          <w:iCs/>
          <w:color w:val="auto"/>
          <w:sz w:val="24"/>
          <w:szCs w:val="24"/>
          <w:lang w:val="en-US" w:eastAsia="zh-CN"/>
        </w:rPr>
      </w:pPr>
      <w:bookmarkStart w:id="1" w:name="OLE_LINK485"/>
      <w:bookmarkStart w:id="2" w:name="OLE_LINK486"/>
      <w:bookmarkStart w:id="3" w:name="OLE_LINK661"/>
      <w:bookmarkStart w:id="4" w:name="OLE_LINK768"/>
      <w:r w:rsidRPr="00FC2DDA">
        <w:rPr>
          <w:rFonts w:ascii="Book Antiqua" w:hAnsi="Book Antiqua" w:cs="Times New Roman"/>
          <w:b/>
          <w:color w:val="auto"/>
          <w:sz w:val="24"/>
          <w:szCs w:val="24"/>
          <w:highlight w:val="white"/>
          <w:lang w:eastAsia="zh-CN"/>
        </w:rPr>
        <w:t>Manuscript NO:</w:t>
      </w:r>
      <w:bookmarkEnd w:id="1"/>
      <w:bookmarkEnd w:id="2"/>
      <w:bookmarkEnd w:id="3"/>
      <w:bookmarkEnd w:id="4"/>
      <w:r w:rsidR="002F4880" w:rsidRPr="00FC2DDA">
        <w:rPr>
          <w:rFonts w:ascii="Book Antiqua" w:hAnsi="Book Antiqua" w:cs="Times New Roman"/>
          <w:b/>
          <w:color w:val="auto"/>
          <w:sz w:val="24"/>
          <w:szCs w:val="24"/>
          <w:highlight w:val="white"/>
          <w:lang w:eastAsia="zh-CN"/>
        </w:rPr>
        <w:t xml:space="preserve"> </w:t>
      </w:r>
      <w:r w:rsidR="002F4880" w:rsidRPr="00FC2DDA">
        <w:rPr>
          <w:rFonts w:ascii="Book Antiqua" w:hAnsi="Book Antiqua" w:cs="Book Antiqua"/>
          <w:b/>
          <w:color w:val="auto"/>
          <w:sz w:val="24"/>
          <w:szCs w:val="24"/>
          <w:lang w:val="en-US"/>
        </w:rPr>
        <w:t>39011</w:t>
      </w:r>
    </w:p>
    <w:p w14:paraId="60847DB5" w14:textId="0AA0C7F3" w:rsidR="00636F70" w:rsidRPr="00FC2DDA" w:rsidRDefault="00636F70" w:rsidP="00AF2AB9">
      <w:pPr>
        <w:autoSpaceDE w:val="0"/>
        <w:snapToGrid w:val="0"/>
        <w:spacing w:after="0" w:line="360" w:lineRule="auto"/>
        <w:jc w:val="both"/>
        <w:rPr>
          <w:rFonts w:ascii="Book Antiqua" w:hAnsi="Book Antiqua" w:cs="Book Antiqua"/>
          <w:b/>
          <w:color w:val="auto"/>
          <w:sz w:val="24"/>
          <w:szCs w:val="24"/>
          <w:lang w:val="en-US" w:eastAsia="zh-CN"/>
        </w:rPr>
      </w:pPr>
      <w:r w:rsidRPr="00FC2DDA">
        <w:rPr>
          <w:rFonts w:ascii="Book Antiqua" w:hAnsi="Book Antiqua" w:cs="Book Antiqua"/>
          <w:b/>
          <w:color w:val="auto"/>
          <w:sz w:val="24"/>
          <w:szCs w:val="24"/>
          <w:lang w:val="en-US"/>
        </w:rPr>
        <w:t>Manuscript Type:</w:t>
      </w:r>
      <w:r w:rsidRPr="00FC2DDA">
        <w:rPr>
          <w:rFonts w:ascii="Book Antiqua" w:hAnsi="Book Antiqua" w:cs="Book Antiqua"/>
          <w:b/>
          <w:caps/>
          <w:color w:val="auto"/>
          <w:sz w:val="24"/>
          <w:szCs w:val="24"/>
          <w:lang w:val="en-US"/>
        </w:rPr>
        <w:t xml:space="preserve"> Review</w:t>
      </w:r>
    </w:p>
    <w:p w14:paraId="0F68F9AB" w14:textId="77777777" w:rsidR="00636F70" w:rsidRPr="00FC2DDA" w:rsidRDefault="00636F70" w:rsidP="00AF2AB9">
      <w:pPr>
        <w:pStyle w:val="Footer"/>
        <w:tabs>
          <w:tab w:val="clear" w:pos="4819"/>
          <w:tab w:val="clear" w:pos="9638"/>
          <w:tab w:val="left" w:pos="1467"/>
        </w:tabs>
        <w:snapToGrid w:val="0"/>
        <w:spacing w:after="0" w:line="360" w:lineRule="auto"/>
        <w:jc w:val="both"/>
        <w:rPr>
          <w:rFonts w:ascii="Book Antiqua" w:hAnsi="Book Antiqua" w:cs="Arial"/>
          <w:b/>
          <w:sz w:val="24"/>
          <w:szCs w:val="24"/>
          <w:lang w:val="en-US"/>
        </w:rPr>
      </w:pPr>
    </w:p>
    <w:p w14:paraId="55D7672A" w14:textId="4BDA743D" w:rsidR="00636F70" w:rsidRPr="00FC2DDA" w:rsidRDefault="00636F70" w:rsidP="00AF2AB9">
      <w:pPr>
        <w:pStyle w:val="Footer"/>
        <w:tabs>
          <w:tab w:val="clear" w:pos="4819"/>
          <w:tab w:val="clear" w:pos="9638"/>
          <w:tab w:val="left" w:pos="1467"/>
        </w:tabs>
        <w:snapToGrid w:val="0"/>
        <w:spacing w:after="0" w:line="360" w:lineRule="auto"/>
        <w:jc w:val="both"/>
        <w:rPr>
          <w:rFonts w:ascii="Book Antiqua" w:hAnsi="Book Antiqua" w:cs="Arial"/>
          <w:b/>
          <w:sz w:val="24"/>
          <w:szCs w:val="24"/>
          <w:lang w:val="en-US"/>
        </w:rPr>
      </w:pPr>
      <w:bookmarkStart w:id="5" w:name="_Hlk509566596"/>
      <w:r w:rsidRPr="00FC2DDA">
        <w:rPr>
          <w:rFonts w:ascii="Book Antiqua" w:hAnsi="Book Antiqua"/>
          <w:b/>
          <w:sz w:val="24"/>
          <w:szCs w:val="24"/>
        </w:rPr>
        <w:t>R</w:t>
      </w:r>
      <w:r w:rsidR="00F23569" w:rsidRPr="00FC2DDA">
        <w:rPr>
          <w:rFonts w:ascii="Book Antiqua" w:hAnsi="Book Antiqua"/>
          <w:b/>
          <w:sz w:val="24"/>
          <w:szCs w:val="24"/>
        </w:rPr>
        <w:t>ecent advances</w:t>
      </w:r>
      <w:r w:rsidR="00AD1905" w:rsidRPr="00FC2DDA">
        <w:rPr>
          <w:rFonts w:ascii="Book Antiqua" w:hAnsi="Book Antiqua"/>
          <w:b/>
          <w:sz w:val="24"/>
          <w:szCs w:val="24"/>
          <w:lang w:eastAsia="zh-CN"/>
        </w:rPr>
        <w:t xml:space="preserve"> </w:t>
      </w:r>
      <w:r w:rsidR="00F23569" w:rsidRPr="00FC2DDA">
        <w:rPr>
          <w:rFonts w:ascii="Book Antiqua" w:hAnsi="Book Antiqua"/>
          <w:b/>
          <w:sz w:val="24"/>
          <w:szCs w:val="24"/>
        </w:rPr>
        <w:t>in non-invasive magnetic resonance imaging assessment of hepatocellular carcinoma</w:t>
      </w:r>
    </w:p>
    <w:bookmarkEnd w:id="5"/>
    <w:p w14:paraId="62C2AAC7" w14:textId="77777777" w:rsidR="00F23569" w:rsidRPr="00FC2DDA" w:rsidRDefault="00F23569" w:rsidP="00AF2AB9">
      <w:pPr>
        <w:snapToGrid w:val="0"/>
        <w:spacing w:after="0" w:line="360" w:lineRule="auto"/>
        <w:jc w:val="both"/>
        <w:rPr>
          <w:rFonts w:ascii="Book Antiqua" w:hAnsi="Book Antiqua"/>
          <w:color w:val="auto"/>
          <w:sz w:val="24"/>
          <w:szCs w:val="24"/>
          <w:lang w:eastAsia="zh-CN"/>
        </w:rPr>
      </w:pPr>
    </w:p>
    <w:p w14:paraId="0E3EA3FC" w14:textId="1BC87110" w:rsidR="005C7755" w:rsidRPr="00FC2DDA" w:rsidRDefault="006E4C11" w:rsidP="00AF2AB9">
      <w:pPr>
        <w:pStyle w:val="Footer"/>
        <w:tabs>
          <w:tab w:val="clear" w:pos="4819"/>
          <w:tab w:val="clear" w:pos="9638"/>
          <w:tab w:val="left" w:pos="1467"/>
        </w:tabs>
        <w:snapToGrid w:val="0"/>
        <w:spacing w:after="0" w:line="360" w:lineRule="auto"/>
        <w:jc w:val="both"/>
        <w:rPr>
          <w:rFonts w:ascii="Book Antiqua" w:hAnsi="Book Antiqua" w:cs="Arial"/>
          <w:sz w:val="24"/>
          <w:szCs w:val="24"/>
          <w:lang w:val="en-US" w:eastAsia="zh-CN"/>
        </w:rPr>
      </w:pPr>
      <w:bookmarkStart w:id="6" w:name="OLE_LINK122"/>
      <w:bookmarkStart w:id="7" w:name="OLE_LINK123"/>
      <w:bookmarkStart w:id="8" w:name="OLE_LINK221"/>
      <w:bookmarkStart w:id="9" w:name="OLE_LINK230"/>
      <w:bookmarkStart w:id="10" w:name="OLE_LINK342"/>
      <w:bookmarkStart w:id="11" w:name="OLE_LINK401"/>
      <w:bookmarkStart w:id="12" w:name="OLE_LINK576"/>
      <w:bookmarkStart w:id="13" w:name="OLE_LINK605"/>
      <w:bookmarkStart w:id="14" w:name="OLE_LINK638"/>
      <w:bookmarkStart w:id="15" w:name="OLE_LINK732"/>
      <w:bookmarkStart w:id="16" w:name="OLE_LINK850"/>
      <w:bookmarkStart w:id="17" w:name="OLE_LINK868"/>
      <w:bookmarkStart w:id="18" w:name="OLE_LINK901"/>
      <w:bookmarkStart w:id="19" w:name="OLE_LINK931"/>
      <w:bookmarkStart w:id="20" w:name="OLE_LINK972"/>
      <w:bookmarkStart w:id="21" w:name="OLE_LINK1002"/>
      <w:bookmarkStart w:id="22" w:name="OLE_LINK1025"/>
      <w:bookmarkStart w:id="23" w:name="OLE_LINK1090"/>
      <w:bookmarkStart w:id="24" w:name="_Hlk512079337"/>
      <w:r w:rsidRPr="00FC2DDA">
        <w:rPr>
          <w:rFonts w:ascii="Book Antiqua" w:hAnsi="Book Antiqua"/>
          <w:sz w:val="24"/>
          <w:szCs w:val="24"/>
        </w:rPr>
        <w:t>Ippolito</w:t>
      </w:r>
      <w:r w:rsidRPr="00FC2DDA">
        <w:rPr>
          <w:rFonts w:ascii="Book Antiqua" w:hAnsi="Book Antiqua" w:cs="Arial"/>
          <w:sz w:val="24"/>
          <w:szCs w:val="24"/>
          <w:lang w:val="en-US"/>
        </w:rPr>
        <w:t xml:space="preserve"> </w:t>
      </w:r>
      <w:r w:rsidRPr="00FC2DDA">
        <w:rPr>
          <w:rFonts w:ascii="Book Antiqua" w:hAnsi="Book Antiqua" w:cs="Arial"/>
          <w:sz w:val="24"/>
          <w:szCs w:val="24"/>
          <w:lang w:val="en-US" w:eastAsia="zh-CN"/>
        </w:rPr>
        <w:t xml:space="preserve">D </w:t>
      </w:r>
      <w:r w:rsidRPr="00FC2DDA">
        <w:rPr>
          <w:rFonts w:ascii="Book Antiqua" w:hAnsi="Book Antiqua" w:cs="Arial"/>
          <w:i/>
          <w:sz w:val="24"/>
          <w:szCs w:val="24"/>
          <w:lang w:val="en-US" w:eastAsia="zh-CN"/>
        </w:rPr>
        <w:t>et al</w:t>
      </w:r>
      <w:r w:rsidRPr="00FC2DDA">
        <w:rPr>
          <w:rFonts w:ascii="Book Antiqua" w:hAnsi="Book Antiqua" w:cs="Arial"/>
          <w:sz w:val="24"/>
          <w:szCs w:val="24"/>
          <w:lang w:val="en-US" w:eastAsia="zh-CN"/>
        </w:rPr>
        <w:t xml:space="preserve">. </w:t>
      </w:r>
      <w:r w:rsidR="002F4880" w:rsidRPr="00FC2DDA">
        <w:rPr>
          <w:rFonts w:ascii="Book Antiqua" w:hAnsi="Book Antiqua" w:cs="Arial"/>
          <w:sz w:val="24"/>
          <w:szCs w:val="24"/>
          <w:lang w:val="en-US"/>
        </w:rPr>
        <w:t xml:space="preserve">Advances in </w:t>
      </w:r>
      <w:r w:rsidRPr="00FC2DDA">
        <w:rPr>
          <w:rFonts w:ascii="Book Antiqua" w:hAnsi="Book Antiqua" w:cs="Arial"/>
          <w:sz w:val="24"/>
          <w:szCs w:val="24"/>
          <w:lang w:val="en-US"/>
        </w:rPr>
        <w:t xml:space="preserve">magnetic resonance liver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7A2F5E5" w14:textId="77777777" w:rsidR="006E4C11" w:rsidRPr="00FC2DDA" w:rsidRDefault="006E4C11" w:rsidP="00AF2AB9">
      <w:pPr>
        <w:pStyle w:val="Footer"/>
        <w:tabs>
          <w:tab w:val="clear" w:pos="4819"/>
          <w:tab w:val="clear" w:pos="9638"/>
          <w:tab w:val="left" w:pos="1467"/>
        </w:tabs>
        <w:snapToGrid w:val="0"/>
        <w:spacing w:after="0" w:line="360" w:lineRule="auto"/>
        <w:jc w:val="both"/>
        <w:rPr>
          <w:rFonts w:ascii="Book Antiqua" w:hAnsi="Book Antiqua" w:cs="Arial"/>
          <w:sz w:val="24"/>
          <w:szCs w:val="24"/>
          <w:lang w:val="en-US" w:eastAsia="zh-CN"/>
        </w:rPr>
      </w:pPr>
    </w:p>
    <w:p w14:paraId="0DEA698D" w14:textId="29A5F626" w:rsidR="00636F70" w:rsidRPr="00FC2DDA" w:rsidRDefault="00636F70" w:rsidP="00AF2AB9">
      <w:pPr>
        <w:snapToGrid w:val="0"/>
        <w:spacing w:after="0" w:line="360" w:lineRule="auto"/>
        <w:jc w:val="both"/>
        <w:rPr>
          <w:rFonts w:ascii="Book Antiqua" w:hAnsi="Book Antiqua"/>
          <w:color w:val="auto"/>
          <w:sz w:val="24"/>
          <w:szCs w:val="24"/>
        </w:rPr>
      </w:pPr>
      <w:r w:rsidRPr="00FC2DDA">
        <w:rPr>
          <w:rFonts w:ascii="Book Antiqua" w:hAnsi="Book Antiqua"/>
          <w:color w:val="auto"/>
          <w:sz w:val="24"/>
          <w:szCs w:val="24"/>
        </w:rPr>
        <w:t>Davide Ippolito</w:t>
      </w:r>
      <w:r w:rsidR="00791DED" w:rsidRPr="00FC2DDA">
        <w:rPr>
          <w:rStyle w:val="FootnoteReference"/>
          <w:rFonts w:ascii="Book Antiqua" w:hAnsi="Book Antiqua"/>
          <w:color w:val="auto"/>
          <w:sz w:val="24"/>
          <w:szCs w:val="24"/>
          <w:vertAlign w:val="baseline"/>
        </w:rPr>
        <w:t>,</w:t>
      </w:r>
      <w:r w:rsidRPr="00FC2DDA">
        <w:rPr>
          <w:rFonts w:ascii="Book Antiqua" w:hAnsi="Book Antiqua"/>
          <w:color w:val="auto"/>
          <w:sz w:val="24"/>
          <w:szCs w:val="24"/>
        </w:rPr>
        <w:t xml:space="preserve"> </w:t>
      </w:r>
      <w:r w:rsidR="00791DED" w:rsidRPr="00FC2DDA">
        <w:rPr>
          <w:rFonts w:ascii="Book Antiqua" w:hAnsi="Book Antiqua"/>
          <w:color w:val="auto"/>
          <w:sz w:val="24"/>
          <w:szCs w:val="24"/>
        </w:rPr>
        <w:t>Riccardo Inchingolo</w:t>
      </w:r>
      <w:r w:rsidR="007F65DB" w:rsidRPr="00FC2DDA">
        <w:rPr>
          <w:rFonts w:ascii="Book Antiqua" w:hAnsi="Book Antiqua"/>
          <w:color w:val="auto"/>
          <w:sz w:val="24"/>
          <w:szCs w:val="24"/>
        </w:rPr>
        <w:t xml:space="preserve">, </w:t>
      </w:r>
      <w:r w:rsidR="00EC0DC0" w:rsidRPr="00FC2DDA">
        <w:rPr>
          <w:rFonts w:ascii="Book Antiqua" w:hAnsi="Book Antiqua"/>
          <w:color w:val="auto"/>
          <w:sz w:val="24"/>
          <w:szCs w:val="24"/>
        </w:rPr>
        <w:t xml:space="preserve">Luigi Grazioli, </w:t>
      </w:r>
      <w:r w:rsidRPr="00FC2DDA">
        <w:rPr>
          <w:rFonts w:ascii="Book Antiqua" w:hAnsi="Book Antiqua"/>
          <w:color w:val="auto"/>
          <w:sz w:val="24"/>
          <w:szCs w:val="24"/>
        </w:rPr>
        <w:t>Silvia Girolama Drago,</w:t>
      </w:r>
      <w:r w:rsidR="00791DED" w:rsidRPr="00FC2DDA">
        <w:rPr>
          <w:rFonts w:ascii="Book Antiqua" w:hAnsi="Book Antiqua"/>
          <w:color w:val="auto"/>
          <w:sz w:val="24"/>
          <w:szCs w:val="24"/>
        </w:rPr>
        <w:t xml:space="preserve"> </w:t>
      </w:r>
      <w:r w:rsidR="00BC5FD7" w:rsidRPr="00FC2DDA">
        <w:rPr>
          <w:rFonts w:ascii="Book Antiqua" w:hAnsi="Book Antiqua"/>
          <w:color w:val="auto"/>
          <w:sz w:val="24"/>
          <w:szCs w:val="24"/>
        </w:rPr>
        <w:t xml:space="preserve">Michele Nardella, </w:t>
      </w:r>
      <w:r w:rsidR="00791DED" w:rsidRPr="00FC2DDA">
        <w:rPr>
          <w:rFonts w:ascii="Book Antiqua" w:hAnsi="Book Antiqua"/>
          <w:color w:val="auto"/>
          <w:sz w:val="24"/>
          <w:szCs w:val="24"/>
        </w:rPr>
        <w:t>Marco Gatti, Riccardo Faletti</w:t>
      </w:r>
    </w:p>
    <w:p w14:paraId="3C10B702" w14:textId="77777777" w:rsidR="00A67619" w:rsidRPr="00FC2DDA" w:rsidRDefault="00A67619" w:rsidP="00AF2AB9">
      <w:pPr>
        <w:snapToGrid w:val="0"/>
        <w:spacing w:after="0" w:line="360" w:lineRule="auto"/>
        <w:jc w:val="both"/>
        <w:rPr>
          <w:rFonts w:ascii="Book Antiqua" w:hAnsi="Book Antiqua"/>
          <w:color w:val="auto"/>
          <w:sz w:val="24"/>
          <w:szCs w:val="24"/>
          <w:lang w:eastAsia="zh-CN"/>
        </w:rPr>
      </w:pPr>
    </w:p>
    <w:p w14:paraId="6B1AB9F7" w14:textId="2EE1CAAD" w:rsidR="006E4C11" w:rsidRPr="00FC2DDA" w:rsidRDefault="006E4C11" w:rsidP="00AF2AB9">
      <w:pPr>
        <w:snapToGrid w:val="0"/>
        <w:spacing w:after="0" w:line="360" w:lineRule="auto"/>
        <w:jc w:val="both"/>
        <w:rPr>
          <w:rFonts w:ascii="Book Antiqua" w:hAnsi="Book Antiqua"/>
          <w:color w:val="auto"/>
          <w:sz w:val="24"/>
          <w:szCs w:val="24"/>
          <w:lang w:eastAsia="zh-CN"/>
        </w:rPr>
      </w:pPr>
      <w:bookmarkStart w:id="25" w:name="_Hlk509048831"/>
      <w:r w:rsidRPr="00FC2DDA">
        <w:rPr>
          <w:rFonts w:ascii="Book Antiqua" w:hAnsi="Book Antiqua"/>
          <w:b/>
          <w:color w:val="auto"/>
          <w:sz w:val="24"/>
          <w:szCs w:val="24"/>
        </w:rPr>
        <w:t>Davide Ippolito, Silvia Girolama Drago,</w:t>
      </w:r>
      <w:r w:rsidR="00C838DD" w:rsidRPr="00FC2DDA">
        <w:rPr>
          <w:rFonts w:ascii="Book Antiqua" w:hAnsi="Book Antiqua"/>
          <w:color w:val="auto"/>
          <w:sz w:val="24"/>
          <w:szCs w:val="24"/>
        </w:rPr>
        <w:t xml:space="preserve"> S</w:t>
      </w:r>
      <w:r w:rsidR="00636F70" w:rsidRPr="00FC2DDA">
        <w:rPr>
          <w:rFonts w:ascii="Book Antiqua" w:hAnsi="Book Antiqua"/>
          <w:color w:val="auto"/>
          <w:sz w:val="24"/>
          <w:szCs w:val="24"/>
        </w:rPr>
        <w:t>chool of Medicine,</w:t>
      </w:r>
      <w:r w:rsidR="001501C6" w:rsidRPr="00FC2DDA">
        <w:rPr>
          <w:rStyle w:val="FootnoteReference"/>
          <w:rFonts w:ascii="Book Antiqua" w:hAnsi="Book Antiqua"/>
          <w:color w:val="auto"/>
          <w:sz w:val="24"/>
          <w:szCs w:val="24"/>
          <w:lang w:eastAsia="zh-CN"/>
        </w:rPr>
        <w:t xml:space="preserve"> </w:t>
      </w:r>
      <w:r w:rsidR="00636F70" w:rsidRPr="00FC2DDA">
        <w:rPr>
          <w:rFonts w:ascii="Book Antiqua" w:hAnsi="Book Antiqua"/>
          <w:color w:val="auto"/>
          <w:sz w:val="24"/>
          <w:szCs w:val="24"/>
        </w:rPr>
        <w:t>University of Milano-Bicocca, Milan</w:t>
      </w:r>
      <w:r w:rsidR="001501C6" w:rsidRPr="00FC2DDA">
        <w:rPr>
          <w:rFonts w:ascii="Book Antiqua" w:hAnsi="Book Antiqua"/>
          <w:color w:val="auto"/>
          <w:sz w:val="24"/>
          <w:szCs w:val="24"/>
          <w:lang w:eastAsia="zh-CN"/>
        </w:rPr>
        <w:t xml:space="preserve"> 20126</w:t>
      </w:r>
      <w:r w:rsidRPr="00FC2DDA">
        <w:rPr>
          <w:rFonts w:ascii="Book Antiqua" w:hAnsi="Book Antiqua"/>
          <w:color w:val="auto"/>
          <w:sz w:val="24"/>
          <w:szCs w:val="24"/>
          <w:lang w:eastAsia="zh-CN"/>
        </w:rPr>
        <w:t>,</w:t>
      </w:r>
      <w:r w:rsidR="00C838DD" w:rsidRPr="00FC2DDA">
        <w:rPr>
          <w:rFonts w:ascii="Book Antiqua" w:hAnsi="Book Antiqua"/>
          <w:color w:val="auto"/>
          <w:sz w:val="24"/>
          <w:szCs w:val="24"/>
        </w:rPr>
        <w:t xml:space="preserve"> </w:t>
      </w:r>
      <w:r w:rsidR="00636F70" w:rsidRPr="00FC2DDA">
        <w:rPr>
          <w:rFonts w:ascii="Book Antiqua" w:hAnsi="Book Antiqua"/>
          <w:color w:val="auto"/>
          <w:sz w:val="24"/>
          <w:szCs w:val="24"/>
        </w:rPr>
        <w:t>Italy</w:t>
      </w:r>
    </w:p>
    <w:p w14:paraId="40B1ADC4" w14:textId="77777777" w:rsidR="006E4C11" w:rsidRPr="00FC2DDA" w:rsidRDefault="006E4C11" w:rsidP="00AF2AB9">
      <w:pPr>
        <w:snapToGrid w:val="0"/>
        <w:spacing w:after="0" w:line="360" w:lineRule="auto"/>
        <w:jc w:val="both"/>
        <w:rPr>
          <w:rFonts w:ascii="Book Antiqua" w:hAnsi="Book Antiqua"/>
          <w:color w:val="auto"/>
          <w:sz w:val="24"/>
          <w:szCs w:val="24"/>
          <w:lang w:eastAsia="zh-CN"/>
        </w:rPr>
      </w:pPr>
    </w:p>
    <w:p w14:paraId="3AE0F283" w14:textId="35126D4F" w:rsidR="00636F70" w:rsidRPr="00FC2DDA" w:rsidRDefault="006E4C11" w:rsidP="00AF2AB9">
      <w:pPr>
        <w:snapToGrid w:val="0"/>
        <w:spacing w:after="0" w:line="360" w:lineRule="auto"/>
        <w:jc w:val="both"/>
        <w:rPr>
          <w:rFonts w:ascii="Book Antiqua" w:hAnsi="Book Antiqua"/>
          <w:color w:val="auto"/>
          <w:sz w:val="24"/>
          <w:szCs w:val="24"/>
        </w:rPr>
      </w:pPr>
      <w:r w:rsidRPr="00FC2DDA">
        <w:rPr>
          <w:rFonts w:ascii="Book Antiqua" w:hAnsi="Book Antiqua"/>
          <w:b/>
          <w:color w:val="auto"/>
          <w:sz w:val="24"/>
          <w:szCs w:val="24"/>
        </w:rPr>
        <w:t>Davide Ippolito, Silvia Girolama Drago,</w:t>
      </w:r>
      <w:r w:rsidRPr="00FC2DDA">
        <w:rPr>
          <w:rFonts w:ascii="Book Antiqua" w:hAnsi="Book Antiqua"/>
          <w:b/>
          <w:color w:val="auto"/>
          <w:sz w:val="24"/>
          <w:szCs w:val="24"/>
          <w:lang w:eastAsia="zh-CN"/>
        </w:rPr>
        <w:t xml:space="preserve"> </w:t>
      </w:r>
      <w:r w:rsidR="00636F70" w:rsidRPr="00FC2DDA">
        <w:rPr>
          <w:rFonts w:ascii="Book Antiqua" w:hAnsi="Book Antiqua"/>
          <w:color w:val="auto"/>
          <w:sz w:val="24"/>
          <w:szCs w:val="24"/>
        </w:rPr>
        <w:t>Department of Diagnostic Radiology, H. S. Gerardo Monza</w:t>
      </w:r>
      <w:r w:rsidRPr="00FC2DDA">
        <w:rPr>
          <w:rFonts w:ascii="Book Antiqua" w:hAnsi="Book Antiqua"/>
          <w:color w:val="auto"/>
          <w:sz w:val="24"/>
          <w:szCs w:val="24"/>
          <w:lang w:eastAsia="zh-CN"/>
        </w:rPr>
        <w:t xml:space="preserve">, </w:t>
      </w:r>
      <w:r w:rsidR="00636F70" w:rsidRPr="00FC2DDA">
        <w:rPr>
          <w:rFonts w:ascii="Book Antiqua" w:hAnsi="Book Antiqua"/>
          <w:color w:val="auto"/>
          <w:sz w:val="24"/>
          <w:szCs w:val="24"/>
        </w:rPr>
        <w:t>Monza (MB)</w:t>
      </w:r>
      <w:r w:rsidRPr="00FC2DDA">
        <w:rPr>
          <w:rFonts w:ascii="Book Antiqua" w:hAnsi="Book Antiqua"/>
          <w:color w:val="auto"/>
          <w:sz w:val="24"/>
          <w:szCs w:val="24"/>
        </w:rPr>
        <w:t xml:space="preserve"> 20900</w:t>
      </w:r>
      <w:r w:rsidR="00636F70" w:rsidRPr="00FC2DDA">
        <w:rPr>
          <w:rFonts w:ascii="Book Antiqua" w:hAnsi="Book Antiqua"/>
          <w:color w:val="auto"/>
          <w:sz w:val="24"/>
          <w:szCs w:val="24"/>
        </w:rPr>
        <w:t>, Italy</w:t>
      </w:r>
      <w:bookmarkEnd w:id="25"/>
    </w:p>
    <w:p w14:paraId="611E7E77" w14:textId="77777777" w:rsidR="00F23569" w:rsidRPr="00FC2DDA" w:rsidRDefault="00F23569" w:rsidP="00AF2AB9">
      <w:pPr>
        <w:snapToGrid w:val="0"/>
        <w:spacing w:after="0" w:line="360" w:lineRule="auto"/>
        <w:jc w:val="both"/>
        <w:rPr>
          <w:rFonts w:ascii="Book Antiqua" w:hAnsi="Book Antiqua" w:cs="Arial"/>
          <w:b/>
          <w:color w:val="auto"/>
          <w:sz w:val="24"/>
          <w:szCs w:val="24"/>
          <w:lang w:eastAsia="zh-CN"/>
        </w:rPr>
      </w:pPr>
    </w:p>
    <w:p w14:paraId="63890E89" w14:textId="078E8211" w:rsidR="00FF1381" w:rsidRPr="00FC2DDA" w:rsidRDefault="00FF1381" w:rsidP="00AF2AB9">
      <w:pPr>
        <w:snapToGrid w:val="0"/>
        <w:spacing w:after="0" w:line="360" w:lineRule="auto"/>
        <w:jc w:val="both"/>
        <w:rPr>
          <w:rFonts w:ascii="Book Antiqua" w:hAnsi="Book Antiqua" w:cs="Arial"/>
          <w:color w:val="auto"/>
          <w:sz w:val="24"/>
          <w:szCs w:val="24"/>
          <w:lang w:eastAsia="zh-CN"/>
        </w:rPr>
      </w:pPr>
      <w:r w:rsidRPr="00FC2DDA">
        <w:rPr>
          <w:rFonts w:ascii="Book Antiqua" w:hAnsi="Book Antiqua" w:cs="Arial"/>
          <w:b/>
          <w:color w:val="auto"/>
          <w:sz w:val="24"/>
          <w:szCs w:val="24"/>
        </w:rPr>
        <w:t xml:space="preserve">Riccardo Inchingolo, </w:t>
      </w:r>
      <w:r w:rsidR="00BC5FD7" w:rsidRPr="00FC2DDA">
        <w:rPr>
          <w:rFonts w:ascii="Book Antiqua" w:hAnsi="Book Antiqua" w:cs="Arial"/>
          <w:b/>
          <w:color w:val="auto"/>
          <w:sz w:val="24"/>
          <w:szCs w:val="24"/>
        </w:rPr>
        <w:t xml:space="preserve">Michele Nardella, </w:t>
      </w:r>
      <w:r w:rsidRPr="00FC2DDA">
        <w:rPr>
          <w:rFonts w:ascii="Book Antiqua" w:hAnsi="Book Antiqua"/>
          <w:color w:val="auto"/>
          <w:sz w:val="24"/>
          <w:szCs w:val="24"/>
        </w:rPr>
        <w:t>Division of Interventional Radiology, Department of Radiology, Madonna delle Grazie Hospital,</w:t>
      </w:r>
      <w:r w:rsidR="006E4C11" w:rsidRPr="00FC2DDA">
        <w:rPr>
          <w:rFonts w:ascii="Book Antiqua" w:hAnsi="Book Antiqua"/>
          <w:color w:val="auto"/>
          <w:sz w:val="24"/>
          <w:szCs w:val="24"/>
          <w:lang w:eastAsia="zh-CN"/>
        </w:rPr>
        <w:t xml:space="preserve"> </w:t>
      </w:r>
      <w:r w:rsidRPr="00FC2DDA">
        <w:rPr>
          <w:rFonts w:ascii="Book Antiqua" w:hAnsi="Book Antiqua"/>
          <w:color w:val="auto"/>
          <w:sz w:val="24"/>
          <w:szCs w:val="24"/>
        </w:rPr>
        <w:t>Matera</w:t>
      </w:r>
      <w:r w:rsidR="006E4C11" w:rsidRPr="00FC2DDA">
        <w:rPr>
          <w:rFonts w:ascii="Book Antiqua" w:hAnsi="Book Antiqua"/>
          <w:color w:val="auto"/>
          <w:sz w:val="24"/>
          <w:szCs w:val="24"/>
          <w:lang w:eastAsia="zh-CN"/>
        </w:rPr>
        <w:t xml:space="preserve"> </w:t>
      </w:r>
      <w:r w:rsidR="006E4C11" w:rsidRPr="00FC2DDA">
        <w:rPr>
          <w:rFonts w:ascii="Book Antiqua" w:hAnsi="Book Antiqua"/>
          <w:color w:val="auto"/>
          <w:sz w:val="24"/>
          <w:szCs w:val="24"/>
        </w:rPr>
        <w:t>75100, Italy</w:t>
      </w:r>
    </w:p>
    <w:p w14:paraId="69E683D4" w14:textId="77777777" w:rsidR="00F23569" w:rsidRPr="00FC2DDA" w:rsidRDefault="00F23569" w:rsidP="00AF2AB9">
      <w:pPr>
        <w:snapToGrid w:val="0"/>
        <w:spacing w:after="0" w:line="360" w:lineRule="auto"/>
        <w:jc w:val="both"/>
        <w:rPr>
          <w:rFonts w:ascii="Book Antiqua" w:hAnsi="Book Antiqua" w:cs="Arial"/>
          <w:b/>
          <w:color w:val="auto"/>
          <w:sz w:val="24"/>
          <w:szCs w:val="24"/>
          <w:lang w:eastAsia="zh-CN"/>
        </w:rPr>
      </w:pPr>
    </w:p>
    <w:p w14:paraId="1BFF8433" w14:textId="7A25FA75" w:rsidR="00FF1381" w:rsidRPr="00FC2DDA" w:rsidRDefault="00FF1381" w:rsidP="00AF2AB9">
      <w:pPr>
        <w:snapToGrid w:val="0"/>
        <w:spacing w:after="0" w:line="360" w:lineRule="auto"/>
        <w:jc w:val="both"/>
        <w:rPr>
          <w:rFonts w:ascii="Book Antiqua" w:hAnsi="Book Antiqua" w:cs="Arial"/>
          <w:color w:val="auto"/>
          <w:sz w:val="24"/>
          <w:szCs w:val="24"/>
          <w:lang w:eastAsia="zh-CN"/>
        </w:rPr>
      </w:pPr>
      <w:r w:rsidRPr="00FC2DDA">
        <w:rPr>
          <w:rFonts w:ascii="Book Antiqua" w:hAnsi="Book Antiqua" w:cs="Arial"/>
          <w:b/>
          <w:color w:val="auto"/>
          <w:sz w:val="24"/>
          <w:szCs w:val="24"/>
        </w:rPr>
        <w:t>Faletti Riccardo, Gatti Marco,</w:t>
      </w:r>
      <w:r w:rsidRPr="00FC2DDA">
        <w:rPr>
          <w:rFonts w:ascii="Book Antiqua" w:hAnsi="Book Antiqua" w:cs="Arial"/>
          <w:color w:val="auto"/>
          <w:sz w:val="24"/>
          <w:szCs w:val="24"/>
        </w:rPr>
        <w:t xml:space="preserve"> Department of Surgical Sciences, Radiology Unit, University of Turin,</w:t>
      </w:r>
      <w:r w:rsidR="006E4C11" w:rsidRPr="00FC2DDA">
        <w:rPr>
          <w:rFonts w:ascii="Book Antiqua" w:hAnsi="Book Antiqua" w:cs="Arial"/>
          <w:color w:val="auto"/>
          <w:sz w:val="24"/>
          <w:szCs w:val="24"/>
          <w:lang w:eastAsia="zh-CN"/>
        </w:rPr>
        <w:t xml:space="preserve"> </w:t>
      </w:r>
      <w:r w:rsidRPr="00FC2DDA">
        <w:rPr>
          <w:rFonts w:ascii="Book Antiqua" w:hAnsi="Book Antiqua" w:cs="Arial"/>
          <w:color w:val="auto"/>
          <w:sz w:val="24"/>
          <w:szCs w:val="24"/>
        </w:rPr>
        <w:t>Turin</w:t>
      </w:r>
      <w:r w:rsidR="006E4C11" w:rsidRPr="00FC2DDA">
        <w:rPr>
          <w:rFonts w:ascii="Book Antiqua" w:hAnsi="Book Antiqua" w:cs="Arial"/>
          <w:color w:val="auto"/>
          <w:sz w:val="24"/>
          <w:szCs w:val="24"/>
          <w:lang w:eastAsia="zh-CN"/>
        </w:rPr>
        <w:t xml:space="preserve"> </w:t>
      </w:r>
      <w:r w:rsidR="006E4C11" w:rsidRPr="00FC2DDA">
        <w:rPr>
          <w:rFonts w:ascii="Book Antiqua" w:hAnsi="Book Antiqua" w:cs="Arial"/>
          <w:color w:val="auto"/>
          <w:sz w:val="24"/>
          <w:szCs w:val="24"/>
        </w:rPr>
        <w:t>10126, Italy</w:t>
      </w:r>
    </w:p>
    <w:p w14:paraId="4B5C4BBC" w14:textId="77777777" w:rsidR="00F23569" w:rsidRPr="00FC2DDA" w:rsidRDefault="00F23569" w:rsidP="00AF2AB9">
      <w:pPr>
        <w:snapToGrid w:val="0"/>
        <w:spacing w:after="0" w:line="360" w:lineRule="auto"/>
        <w:jc w:val="both"/>
        <w:rPr>
          <w:rFonts w:ascii="Book Antiqua" w:hAnsi="Book Antiqua" w:cs="Arial"/>
          <w:b/>
          <w:color w:val="auto"/>
          <w:sz w:val="24"/>
          <w:szCs w:val="24"/>
          <w:lang w:eastAsia="zh-CN"/>
        </w:rPr>
      </w:pPr>
    </w:p>
    <w:p w14:paraId="347F579E" w14:textId="6B58D02E" w:rsidR="00FF1381" w:rsidRPr="00FC2DDA" w:rsidRDefault="007101D2" w:rsidP="00AF2AB9">
      <w:pPr>
        <w:snapToGrid w:val="0"/>
        <w:spacing w:after="0" w:line="360" w:lineRule="auto"/>
        <w:jc w:val="both"/>
        <w:rPr>
          <w:rFonts w:ascii="Book Antiqua" w:hAnsi="Book Antiqua" w:cs="Arial"/>
          <w:color w:val="auto"/>
          <w:sz w:val="24"/>
          <w:szCs w:val="24"/>
          <w:lang w:eastAsia="zh-CN"/>
        </w:rPr>
      </w:pPr>
      <w:r w:rsidRPr="00FC2DDA">
        <w:rPr>
          <w:rFonts w:ascii="Book Antiqua" w:hAnsi="Book Antiqua" w:cs="Arial"/>
          <w:b/>
          <w:color w:val="auto"/>
          <w:sz w:val="24"/>
          <w:szCs w:val="24"/>
        </w:rPr>
        <w:t xml:space="preserve">Luigi Grazioli, </w:t>
      </w:r>
      <w:r w:rsidRPr="00FC2DDA">
        <w:rPr>
          <w:rFonts w:ascii="Book Antiqua" w:hAnsi="Book Antiqua" w:cs="Arial"/>
          <w:color w:val="auto"/>
          <w:sz w:val="24"/>
          <w:szCs w:val="24"/>
        </w:rPr>
        <w:t>Department of Radiology, University of Brescia "Spedali Civili",</w:t>
      </w:r>
      <w:r w:rsidR="006E4C11" w:rsidRPr="00FC2DDA">
        <w:rPr>
          <w:rFonts w:ascii="Book Antiqua" w:hAnsi="Book Antiqua" w:cs="Arial"/>
          <w:color w:val="auto"/>
          <w:sz w:val="24"/>
          <w:szCs w:val="24"/>
          <w:lang w:eastAsia="zh-CN"/>
        </w:rPr>
        <w:t xml:space="preserve"> </w:t>
      </w:r>
      <w:r w:rsidRPr="00FC2DDA">
        <w:rPr>
          <w:rFonts w:ascii="Book Antiqua" w:hAnsi="Book Antiqua" w:cs="Arial"/>
          <w:color w:val="auto"/>
          <w:sz w:val="24"/>
          <w:szCs w:val="24"/>
        </w:rPr>
        <w:t>Brescia</w:t>
      </w:r>
      <w:r w:rsidR="006E4C11" w:rsidRPr="00FC2DDA">
        <w:rPr>
          <w:rFonts w:ascii="Book Antiqua" w:hAnsi="Book Antiqua" w:cs="Arial"/>
          <w:color w:val="auto"/>
          <w:sz w:val="24"/>
          <w:szCs w:val="24"/>
          <w:lang w:eastAsia="zh-CN"/>
        </w:rPr>
        <w:t xml:space="preserve"> </w:t>
      </w:r>
      <w:r w:rsidR="006E4C11" w:rsidRPr="00FC2DDA">
        <w:rPr>
          <w:rFonts w:ascii="Book Antiqua" w:hAnsi="Book Antiqua" w:cs="Arial"/>
          <w:color w:val="auto"/>
          <w:sz w:val="24"/>
          <w:szCs w:val="24"/>
        </w:rPr>
        <w:t>25123, Italy</w:t>
      </w:r>
    </w:p>
    <w:p w14:paraId="03D1B106" w14:textId="041F6CCE" w:rsidR="004569A6" w:rsidRPr="00FC2DDA" w:rsidRDefault="004569A6" w:rsidP="00AF2AB9">
      <w:pPr>
        <w:snapToGrid w:val="0"/>
        <w:spacing w:after="0" w:line="360" w:lineRule="auto"/>
        <w:jc w:val="both"/>
        <w:rPr>
          <w:rFonts w:ascii="Book Antiqua" w:hAnsi="Book Antiqua"/>
          <w:color w:val="auto"/>
          <w:sz w:val="24"/>
          <w:szCs w:val="24"/>
        </w:rPr>
      </w:pPr>
    </w:p>
    <w:p w14:paraId="684AD0B8" w14:textId="32D3BB0D" w:rsidR="00A67619" w:rsidRPr="00FC2DDA" w:rsidRDefault="00A67619" w:rsidP="00AF2AB9">
      <w:pPr>
        <w:snapToGrid w:val="0"/>
        <w:spacing w:after="0" w:line="360" w:lineRule="auto"/>
        <w:jc w:val="both"/>
        <w:rPr>
          <w:rFonts w:ascii="Book Antiqua" w:hAnsi="Book Antiqua" w:cs="Arial"/>
          <w:color w:val="auto"/>
          <w:sz w:val="24"/>
          <w:szCs w:val="24"/>
          <w:lang w:eastAsia="zh-CN"/>
        </w:rPr>
      </w:pPr>
      <w:r w:rsidRPr="00FC2DDA">
        <w:rPr>
          <w:rFonts w:ascii="Book Antiqua" w:hAnsi="Book Antiqua" w:cs="Arial"/>
          <w:b/>
          <w:color w:val="auto"/>
          <w:sz w:val="24"/>
          <w:szCs w:val="24"/>
        </w:rPr>
        <w:t>ORCID number:</w:t>
      </w:r>
      <w:r w:rsidRPr="00FC2DDA">
        <w:rPr>
          <w:rFonts w:ascii="Book Antiqua" w:hAnsi="Book Antiqua" w:cs="Arial"/>
          <w:color w:val="auto"/>
          <w:sz w:val="24"/>
          <w:szCs w:val="24"/>
        </w:rPr>
        <w:t xml:space="preserve"> Davide Ippolito (0000-0002-2696-7047)</w:t>
      </w:r>
      <w:r w:rsidR="0054308C" w:rsidRPr="00FC2DDA">
        <w:rPr>
          <w:rFonts w:ascii="Book Antiqua" w:hAnsi="Book Antiqua" w:cs="Arial"/>
          <w:color w:val="auto"/>
          <w:sz w:val="24"/>
          <w:szCs w:val="24"/>
          <w:lang w:eastAsia="zh-CN"/>
        </w:rPr>
        <w:t>;</w:t>
      </w:r>
      <w:r w:rsidRPr="00FC2DDA">
        <w:rPr>
          <w:rFonts w:ascii="Book Antiqua" w:hAnsi="Book Antiqua" w:cs="Arial"/>
          <w:color w:val="auto"/>
          <w:sz w:val="24"/>
          <w:szCs w:val="24"/>
        </w:rPr>
        <w:t xml:space="preserve"> Riccardo Inchingolo (0000-0002-0253-5936)</w:t>
      </w:r>
      <w:r w:rsidR="0054308C" w:rsidRPr="00FC2DDA">
        <w:rPr>
          <w:rFonts w:ascii="Book Antiqua" w:hAnsi="Book Antiqua" w:cs="Arial"/>
          <w:color w:val="auto"/>
          <w:sz w:val="24"/>
          <w:szCs w:val="24"/>
          <w:lang w:eastAsia="zh-CN"/>
        </w:rPr>
        <w:t>;</w:t>
      </w:r>
      <w:r w:rsidRPr="00FC2DDA">
        <w:rPr>
          <w:rFonts w:ascii="Book Antiqua" w:hAnsi="Book Antiqua" w:cs="Arial"/>
          <w:color w:val="auto"/>
          <w:sz w:val="24"/>
          <w:szCs w:val="24"/>
        </w:rPr>
        <w:t xml:space="preserve"> Faletti Riccardo (0000-0002-8865-8637)</w:t>
      </w:r>
      <w:r w:rsidR="0054308C" w:rsidRPr="00FC2DDA">
        <w:rPr>
          <w:rFonts w:ascii="Book Antiqua" w:hAnsi="Book Antiqua" w:cs="Arial"/>
          <w:color w:val="auto"/>
          <w:sz w:val="24"/>
          <w:szCs w:val="24"/>
          <w:lang w:eastAsia="zh-CN"/>
        </w:rPr>
        <w:t>;</w:t>
      </w:r>
      <w:r w:rsidRPr="00FC2DDA">
        <w:rPr>
          <w:rFonts w:ascii="Book Antiqua" w:hAnsi="Book Antiqua" w:cs="Arial"/>
          <w:color w:val="auto"/>
          <w:sz w:val="24"/>
          <w:szCs w:val="24"/>
        </w:rPr>
        <w:t xml:space="preserve"> </w:t>
      </w:r>
      <w:r w:rsidR="00346277" w:rsidRPr="00FC2DDA">
        <w:rPr>
          <w:rFonts w:ascii="Book Antiqua" w:hAnsi="Book Antiqua" w:cs="Arial"/>
          <w:color w:val="auto"/>
          <w:sz w:val="24"/>
          <w:szCs w:val="24"/>
        </w:rPr>
        <w:t>Luigi Grazioli (</w:t>
      </w:r>
      <w:r w:rsidR="00346277" w:rsidRPr="00FC2DDA">
        <w:rPr>
          <w:rStyle w:val="orcid-id-https"/>
          <w:rFonts w:ascii="Book Antiqua" w:hAnsi="Book Antiqua"/>
          <w:color w:val="auto"/>
          <w:sz w:val="24"/>
          <w:szCs w:val="24"/>
        </w:rPr>
        <w:t>0000-0002-2345-1571</w:t>
      </w:r>
      <w:r w:rsidR="00346277" w:rsidRPr="00FC2DDA">
        <w:rPr>
          <w:rFonts w:ascii="Book Antiqua" w:hAnsi="Book Antiqua" w:cs="Arial"/>
          <w:color w:val="auto"/>
          <w:sz w:val="24"/>
          <w:szCs w:val="24"/>
        </w:rPr>
        <w:t>)</w:t>
      </w:r>
      <w:r w:rsidR="0054308C" w:rsidRPr="00FC2DDA">
        <w:rPr>
          <w:rFonts w:ascii="Book Antiqua" w:hAnsi="Book Antiqua" w:cs="Arial"/>
          <w:color w:val="auto"/>
          <w:sz w:val="24"/>
          <w:szCs w:val="24"/>
          <w:lang w:eastAsia="zh-CN"/>
        </w:rPr>
        <w:t>;</w:t>
      </w:r>
      <w:r w:rsidR="00346277" w:rsidRPr="00FC2DDA">
        <w:rPr>
          <w:rFonts w:ascii="Book Antiqua" w:hAnsi="Book Antiqua" w:cs="Arial"/>
          <w:color w:val="auto"/>
          <w:sz w:val="24"/>
          <w:szCs w:val="24"/>
        </w:rPr>
        <w:t xml:space="preserve"> </w:t>
      </w:r>
      <w:r w:rsidRPr="00FC2DDA">
        <w:rPr>
          <w:rFonts w:ascii="Book Antiqua" w:hAnsi="Book Antiqua" w:cs="Arial"/>
          <w:color w:val="auto"/>
          <w:sz w:val="24"/>
          <w:szCs w:val="24"/>
        </w:rPr>
        <w:t>Gatti Marco (0000-0001-8168-5280)</w:t>
      </w:r>
      <w:r w:rsidR="0054308C" w:rsidRPr="00FC2DDA">
        <w:rPr>
          <w:rFonts w:ascii="Book Antiqua" w:hAnsi="Book Antiqua" w:cs="Arial"/>
          <w:color w:val="auto"/>
          <w:sz w:val="24"/>
          <w:szCs w:val="24"/>
          <w:lang w:eastAsia="zh-CN"/>
        </w:rPr>
        <w:t>;</w:t>
      </w:r>
      <w:r w:rsidRPr="00FC2DDA">
        <w:rPr>
          <w:rFonts w:ascii="Book Antiqua" w:hAnsi="Book Antiqua" w:cs="Arial"/>
          <w:color w:val="auto"/>
          <w:sz w:val="24"/>
          <w:szCs w:val="24"/>
        </w:rPr>
        <w:t xml:space="preserve"> Silvia Girolama Drago (</w:t>
      </w:r>
      <w:hyperlink r:id="rId5" w:history="1">
        <w:r w:rsidRPr="00FC2DDA">
          <w:rPr>
            <w:rStyle w:val="Hyperlink"/>
            <w:rFonts w:ascii="Book Antiqua" w:hAnsi="Book Antiqua" w:cs="Arial"/>
            <w:color w:val="auto"/>
            <w:sz w:val="24"/>
            <w:szCs w:val="24"/>
            <w:u w:val="none"/>
          </w:rPr>
          <w:t>0000-0003-3569-2118</w:t>
        </w:r>
      </w:hyperlink>
      <w:r w:rsidRPr="00FC2DDA">
        <w:rPr>
          <w:rFonts w:ascii="Book Antiqua" w:hAnsi="Book Antiqua" w:cs="Arial"/>
          <w:color w:val="auto"/>
          <w:sz w:val="24"/>
          <w:szCs w:val="24"/>
        </w:rPr>
        <w:t>)</w:t>
      </w:r>
      <w:r w:rsidR="0054308C" w:rsidRPr="00FC2DDA">
        <w:rPr>
          <w:rFonts w:ascii="Book Antiqua" w:hAnsi="Book Antiqua" w:cs="Arial"/>
          <w:color w:val="auto"/>
          <w:sz w:val="24"/>
          <w:szCs w:val="24"/>
          <w:lang w:eastAsia="zh-CN"/>
        </w:rPr>
        <w:t>;</w:t>
      </w:r>
      <w:r w:rsidR="00BC5FD7" w:rsidRPr="00FC2DDA">
        <w:rPr>
          <w:rFonts w:ascii="Book Antiqua" w:hAnsi="Book Antiqua" w:cs="Arial"/>
          <w:color w:val="auto"/>
          <w:sz w:val="24"/>
          <w:szCs w:val="24"/>
        </w:rPr>
        <w:t xml:space="preserve"> Michele Nardella (0000-0002-1573-511X)</w:t>
      </w:r>
      <w:r w:rsidR="0054308C" w:rsidRPr="00FC2DDA">
        <w:rPr>
          <w:rFonts w:ascii="Book Antiqua" w:hAnsi="Book Antiqua" w:cs="Arial"/>
          <w:color w:val="auto"/>
          <w:sz w:val="24"/>
          <w:szCs w:val="24"/>
          <w:lang w:eastAsia="zh-CN"/>
        </w:rPr>
        <w:t>.</w:t>
      </w:r>
    </w:p>
    <w:p w14:paraId="449DCCBD" w14:textId="77777777" w:rsidR="00C838DD" w:rsidRPr="00FC2DDA" w:rsidRDefault="00C838DD" w:rsidP="00AF2AB9">
      <w:pPr>
        <w:snapToGrid w:val="0"/>
        <w:spacing w:after="0" w:line="360" w:lineRule="auto"/>
        <w:jc w:val="both"/>
        <w:rPr>
          <w:rFonts w:ascii="Book Antiqua" w:hAnsi="Book Antiqua"/>
          <w:b/>
          <w:color w:val="auto"/>
          <w:sz w:val="24"/>
          <w:szCs w:val="24"/>
        </w:rPr>
      </w:pPr>
    </w:p>
    <w:p w14:paraId="45C8607E" w14:textId="332A9638" w:rsidR="004569A6" w:rsidRPr="00FC2DDA" w:rsidRDefault="004569A6" w:rsidP="00AF2AB9">
      <w:pPr>
        <w:snapToGrid w:val="0"/>
        <w:spacing w:after="0" w:line="360" w:lineRule="auto"/>
        <w:jc w:val="both"/>
        <w:rPr>
          <w:rFonts w:ascii="Book Antiqua" w:hAnsi="Book Antiqua"/>
          <w:color w:val="auto"/>
          <w:sz w:val="24"/>
          <w:szCs w:val="24"/>
        </w:rPr>
      </w:pPr>
      <w:r w:rsidRPr="00FC2DDA">
        <w:rPr>
          <w:rFonts w:ascii="Book Antiqua" w:hAnsi="Book Antiqua"/>
          <w:b/>
          <w:color w:val="auto"/>
          <w:sz w:val="24"/>
          <w:szCs w:val="24"/>
        </w:rPr>
        <w:lastRenderedPageBreak/>
        <w:t>Author contributions:</w:t>
      </w:r>
      <w:r w:rsidRPr="00FC2DDA">
        <w:rPr>
          <w:rFonts w:ascii="Book Antiqua" w:hAnsi="Book Antiqua"/>
          <w:color w:val="auto"/>
          <w:sz w:val="24"/>
          <w:szCs w:val="24"/>
        </w:rPr>
        <w:t xml:space="preserve"> All authors equally contributed to this paper with conception and design of the study, literature review and analysis, drafting and critical revision and editing, and final approval of the final version. </w:t>
      </w:r>
    </w:p>
    <w:p w14:paraId="7BBB9A44" w14:textId="77777777" w:rsidR="00265429" w:rsidRPr="00FC2DDA" w:rsidRDefault="00265429" w:rsidP="00AF2AB9">
      <w:pPr>
        <w:autoSpaceDE w:val="0"/>
        <w:snapToGrid w:val="0"/>
        <w:spacing w:after="0" w:line="360" w:lineRule="auto"/>
        <w:jc w:val="both"/>
        <w:rPr>
          <w:rFonts w:ascii="Book Antiqua" w:hAnsi="Book Antiqua"/>
          <w:b/>
          <w:bCs/>
          <w:color w:val="auto"/>
          <w:sz w:val="24"/>
          <w:szCs w:val="24"/>
          <w:lang w:val="en-US" w:eastAsia="zh-CN"/>
        </w:rPr>
      </w:pPr>
    </w:p>
    <w:p w14:paraId="10BAC5AA" w14:textId="01F6E2B4" w:rsidR="00265429" w:rsidRPr="00FC2DDA" w:rsidRDefault="00636F70" w:rsidP="00AF2AB9">
      <w:pPr>
        <w:snapToGrid w:val="0"/>
        <w:spacing w:after="0" w:line="360" w:lineRule="auto"/>
        <w:jc w:val="both"/>
        <w:rPr>
          <w:rFonts w:ascii="Book Antiqua" w:hAnsi="Book Antiqua"/>
          <w:color w:val="auto"/>
          <w:sz w:val="24"/>
          <w:szCs w:val="24"/>
          <w:shd w:val="clear" w:color="auto" w:fill="FFFFFF"/>
          <w:lang w:val="en-US" w:eastAsia="zh-CN"/>
        </w:rPr>
      </w:pPr>
      <w:r w:rsidRPr="00FC2DDA">
        <w:rPr>
          <w:rFonts w:ascii="Book Antiqua" w:hAnsi="Book Antiqua" w:cs="Book Antiqua"/>
          <w:b/>
          <w:color w:val="auto"/>
          <w:sz w:val="24"/>
          <w:szCs w:val="24"/>
          <w:lang w:val="en-US"/>
        </w:rPr>
        <w:t>Conflict-of-interest statement:</w:t>
      </w:r>
      <w:r w:rsidRPr="00FC2DDA">
        <w:rPr>
          <w:rFonts w:ascii="Book Antiqua" w:hAnsi="Book Antiqua" w:cs="Book Antiqua"/>
          <w:color w:val="auto"/>
          <w:sz w:val="24"/>
          <w:szCs w:val="24"/>
          <w:lang w:val="en-US"/>
        </w:rPr>
        <w:t xml:space="preserve"> </w:t>
      </w:r>
      <w:r w:rsidRPr="00FC2DDA">
        <w:rPr>
          <w:rFonts w:ascii="Book Antiqua" w:hAnsi="Book Antiqua"/>
          <w:color w:val="auto"/>
          <w:sz w:val="24"/>
          <w:szCs w:val="24"/>
          <w:shd w:val="clear" w:color="auto" w:fill="FFFFFF"/>
          <w:lang w:val="en-US"/>
        </w:rPr>
        <w:t>All the authors are aware o</w:t>
      </w:r>
      <w:r w:rsidR="008A5D94" w:rsidRPr="00FC2DDA">
        <w:rPr>
          <w:rFonts w:ascii="Book Antiqua" w:hAnsi="Book Antiqua"/>
          <w:color w:val="auto"/>
          <w:sz w:val="24"/>
          <w:szCs w:val="24"/>
          <w:shd w:val="clear" w:color="auto" w:fill="FFFFFF"/>
          <w:lang w:val="en-US"/>
        </w:rPr>
        <w:t>f the content of the manuscript</w:t>
      </w:r>
      <w:r w:rsidR="008A5D94" w:rsidRPr="00FC2DDA">
        <w:rPr>
          <w:rFonts w:ascii="Book Antiqua" w:hAnsi="Book Antiqua"/>
          <w:color w:val="auto"/>
          <w:sz w:val="24"/>
          <w:szCs w:val="24"/>
          <w:shd w:val="clear" w:color="auto" w:fill="FFFFFF"/>
          <w:lang w:val="en-US" w:eastAsia="zh-CN"/>
        </w:rPr>
        <w:t xml:space="preserve"> </w:t>
      </w:r>
      <w:r w:rsidRPr="00FC2DDA">
        <w:rPr>
          <w:rFonts w:ascii="Book Antiqua" w:hAnsi="Book Antiqua"/>
          <w:color w:val="auto"/>
          <w:sz w:val="24"/>
          <w:szCs w:val="24"/>
          <w:shd w:val="clear" w:color="auto" w:fill="FFFFFF"/>
          <w:lang w:val="en-US"/>
        </w:rPr>
        <w:t>and have no conflict of interest.</w:t>
      </w:r>
    </w:p>
    <w:p w14:paraId="08F40A0B" w14:textId="77777777" w:rsidR="00636F70" w:rsidRPr="00FC2DDA" w:rsidRDefault="00636F70" w:rsidP="00AF2AB9">
      <w:pPr>
        <w:snapToGrid w:val="0"/>
        <w:spacing w:after="0" w:line="360" w:lineRule="auto"/>
        <w:jc w:val="both"/>
        <w:rPr>
          <w:rFonts w:ascii="Book Antiqua" w:hAnsi="Book Antiqua" w:cs="Book Antiqua"/>
          <w:color w:val="auto"/>
          <w:sz w:val="24"/>
          <w:szCs w:val="24"/>
          <w:lang w:val="en-US" w:eastAsia="zh-CN"/>
        </w:rPr>
      </w:pPr>
    </w:p>
    <w:p w14:paraId="01A52DBB" w14:textId="77777777" w:rsidR="000823D9" w:rsidRPr="00FC2DDA" w:rsidRDefault="000823D9" w:rsidP="000823D9">
      <w:pPr>
        <w:pStyle w:val="1"/>
        <w:snapToGrid w:val="0"/>
        <w:spacing w:line="360" w:lineRule="auto"/>
        <w:jc w:val="both"/>
        <w:rPr>
          <w:rFonts w:ascii="Book Antiqua" w:hAnsi="Book Antiqua" w:cs="Times New Roman"/>
          <w:bCs/>
          <w:color w:val="auto"/>
          <w:sz w:val="24"/>
          <w:szCs w:val="24"/>
          <w:highlight w:val="white"/>
          <w:lang w:val="en-US"/>
        </w:rPr>
      </w:pPr>
      <w:bookmarkStart w:id="26" w:name="OLE_LINK734"/>
      <w:bookmarkStart w:id="27" w:name="OLE_LINK441"/>
      <w:bookmarkStart w:id="28" w:name="OLE_LINK442"/>
      <w:bookmarkStart w:id="29" w:name="OLE_LINK1032"/>
      <w:bookmarkStart w:id="30" w:name="OLE_LINK1232"/>
      <w:bookmarkStart w:id="31" w:name="OLE_LINK559"/>
      <w:r w:rsidRPr="00FC2DDA">
        <w:rPr>
          <w:rFonts w:ascii="Book Antiqua" w:hAnsi="Book Antiqua" w:cs="Times New Roman"/>
          <w:b/>
          <w:bCs/>
          <w:color w:val="auto"/>
          <w:sz w:val="24"/>
          <w:szCs w:val="24"/>
          <w:highlight w:val="white"/>
          <w:lang w:val="en-US"/>
        </w:rPr>
        <w:t>Open-Access:</w:t>
      </w:r>
      <w:r w:rsidRPr="00FC2DDA">
        <w:rPr>
          <w:rFonts w:ascii="Book Antiqua" w:hAnsi="Book Antiqua" w:cs="Times New Roman"/>
          <w:bCs/>
          <w:color w:val="auto"/>
          <w:sz w:val="24"/>
          <w:szCs w:val="24"/>
          <w:highlight w:val="white"/>
          <w:lang w:val="en-US"/>
        </w:rPr>
        <w:t xml:space="preserve"> </w:t>
      </w:r>
      <w:bookmarkStart w:id="32" w:name="OLE_LINK479"/>
      <w:bookmarkStart w:id="33" w:name="OLE_LINK496"/>
      <w:bookmarkStart w:id="34" w:name="OLE_LINK506"/>
      <w:bookmarkStart w:id="35" w:name="OLE_LINK507"/>
      <w:r w:rsidRPr="00FC2DDA">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FC2DDA">
        <w:rPr>
          <w:rFonts w:ascii="Book Antiqua" w:hAnsi="Book Antiqua" w:cs="Times New Roman" w:hint="eastAsia"/>
          <w:bCs/>
          <w:color w:val="auto"/>
          <w:sz w:val="24"/>
          <w:szCs w:val="24"/>
          <w:highlight w:val="white"/>
          <w:lang w:val="en-US" w:eastAsia="zh-CN"/>
        </w:rPr>
        <w:t xml:space="preserve"> </w:t>
      </w:r>
      <w:r w:rsidRPr="00FC2DDA">
        <w:rPr>
          <w:rFonts w:ascii="Book Antiqua" w:hAnsi="Book Antiqua" w:cs="Times New Roman"/>
          <w:bCs/>
          <w:color w:val="auto"/>
          <w:sz w:val="24"/>
          <w:szCs w:val="24"/>
          <w:highlight w:val="white"/>
          <w:lang w:val="en-US"/>
        </w:rPr>
        <w:t>in</w:t>
      </w:r>
      <w:r w:rsidRPr="00FC2DDA">
        <w:rPr>
          <w:rFonts w:ascii="Book Antiqua" w:hAnsi="Book Antiqua" w:cs="Times New Roman" w:hint="eastAsia"/>
          <w:bCs/>
          <w:color w:val="auto"/>
          <w:sz w:val="24"/>
          <w:szCs w:val="24"/>
          <w:highlight w:val="white"/>
          <w:lang w:val="en-US" w:eastAsia="zh-CN"/>
        </w:rPr>
        <w:t xml:space="preserve"> </w:t>
      </w:r>
      <w:r w:rsidRPr="00FC2DDA">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FC2DDA">
          <w:rPr>
            <w:rStyle w:val="Hyperlink"/>
            <w:rFonts w:ascii="Book Antiqua" w:hAnsi="Book Antiqua" w:cs="Times New Roman"/>
            <w:bCs/>
            <w:color w:val="auto"/>
            <w:sz w:val="24"/>
            <w:szCs w:val="24"/>
            <w:highlight w:val="white"/>
            <w:lang w:val="en-US"/>
          </w:rPr>
          <w:t>http://creativecommons.org/licenses/by-nc/4.0/</w:t>
        </w:r>
      </w:hyperlink>
      <w:bookmarkEnd w:id="26"/>
      <w:bookmarkEnd w:id="32"/>
      <w:bookmarkEnd w:id="33"/>
      <w:bookmarkEnd w:id="34"/>
      <w:bookmarkEnd w:id="35"/>
    </w:p>
    <w:bookmarkEnd w:id="27"/>
    <w:bookmarkEnd w:id="28"/>
    <w:bookmarkEnd w:id="29"/>
    <w:bookmarkEnd w:id="30"/>
    <w:bookmarkEnd w:id="31"/>
    <w:p w14:paraId="38D814BC" w14:textId="77777777" w:rsidR="000823D9" w:rsidRPr="00FC2DDA" w:rsidRDefault="000823D9" w:rsidP="000823D9">
      <w:pPr>
        <w:pStyle w:val="1"/>
        <w:snapToGrid w:val="0"/>
        <w:spacing w:line="360" w:lineRule="auto"/>
        <w:jc w:val="both"/>
        <w:rPr>
          <w:rFonts w:ascii="Book Antiqua" w:hAnsi="Book Antiqua" w:cs="Times New Roman"/>
          <w:b/>
          <w:bCs/>
          <w:color w:val="auto"/>
          <w:sz w:val="24"/>
          <w:szCs w:val="24"/>
          <w:highlight w:val="white"/>
          <w:lang w:val="en-US" w:eastAsia="zh-CN"/>
        </w:rPr>
      </w:pPr>
    </w:p>
    <w:p w14:paraId="54A033CF" w14:textId="77777777" w:rsidR="000823D9" w:rsidRPr="00FC2DDA" w:rsidRDefault="000823D9" w:rsidP="000823D9">
      <w:pPr>
        <w:pStyle w:val="1"/>
        <w:snapToGrid w:val="0"/>
        <w:spacing w:line="360" w:lineRule="auto"/>
        <w:jc w:val="both"/>
        <w:rPr>
          <w:rFonts w:ascii="Book Antiqua" w:hAnsi="Book Antiqua" w:cs="Times New Roman"/>
          <w:b/>
          <w:bCs/>
          <w:color w:val="auto"/>
          <w:sz w:val="24"/>
          <w:szCs w:val="24"/>
          <w:highlight w:val="white"/>
          <w:lang w:val="en-US" w:eastAsia="zh-CN"/>
        </w:rPr>
      </w:pPr>
      <w:r w:rsidRPr="00FC2DDA">
        <w:rPr>
          <w:rFonts w:ascii="Book Antiqua" w:hAnsi="Book Antiqua" w:cs="Times New Roman"/>
          <w:b/>
          <w:bCs/>
          <w:color w:val="auto"/>
          <w:sz w:val="24"/>
          <w:szCs w:val="24"/>
          <w:highlight w:val="white"/>
          <w:lang w:val="en-US"/>
        </w:rPr>
        <w:t>Manuscript source:</w:t>
      </w:r>
      <w:r w:rsidRPr="00FC2DDA">
        <w:rPr>
          <w:rFonts w:ascii="Book Antiqua" w:hAnsi="Book Antiqua" w:cs="Times New Roman" w:hint="eastAsia"/>
          <w:b/>
          <w:bCs/>
          <w:color w:val="auto"/>
          <w:sz w:val="24"/>
          <w:szCs w:val="24"/>
          <w:highlight w:val="white"/>
          <w:lang w:val="en-US" w:eastAsia="zh-CN"/>
        </w:rPr>
        <w:t xml:space="preserve"> </w:t>
      </w:r>
      <w:r w:rsidRPr="00FC2DDA">
        <w:rPr>
          <w:rFonts w:ascii="Book Antiqua" w:hAnsi="Book Antiqua" w:cs="Times New Roman"/>
          <w:bCs/>
          <w:color w:val="auto"/>
          <w:sz w:val="24"/>
          <w:szCs w:val="24"/>
          <w:highlight w:val="white"/>
          <w:lang w:val="en-US"/>
        </w:rPr>
        <w:t>Invited manuscript</w:t>
      </w:r>
    </w:p>
    <w:p w14:paraId="35F3E942" w14:textId="77777777" w:rsidR="000823D9" w:rsidRPr="00FC2DDA" w:rsidRDefault="000823D9" w:rsidP="00AF2AB9">
      <w:pPr>
        <w:snapToGrid w:val="0"/>
        <w:spacing w:after="0" w:line="360" w:lineRule="auto"/>
        <w:jc w:val="both"/>
        <w:rPr>
          <w:rFonts w:ascii="Book Antiqua" w:hAnsi="Book Antiqua" w:cs="Book Antiqua"/>
          <w:color w:val="auto"/>
          <w:sz w:val="24"/>
          <w:szCs w:val="24"/>
          <w:lang w:val="en-US" w:eastAsia="zh-CN"/>
        </w:rPr>
      </w:pPr>
    </w:p>
    <w:p w14:paraId="7FAFD18E" w14:textId="7E8EAC38" w:rsidR="00636F70" w:rsidRPr="00FC2DDA" w:rsidRDefault="00636F70" w:rsidP="00AF2AB9">
      <w:pPr>
        <w:snapToGrid w:val="0"/>
        <w:spacing w:after="0" w:line="360" w:lineRule="auto"/>
        <w:jc w:val="both"/>
        <w:rPr>
          <w:rFonts w:ascii="Book Antiqua" w:eastAsia="Times New Roman" w:hAnsi="Book Antiqua"/>
          <w:color w:val="auto"/>
          <w:sz w:val="24"/>
          <w:szCs w:val="24"/>
          <w:lang w:val="en-US" w:eastAsia="zh-CN" w:bidi="en-US"/>
        </w:rPr>
      </w:pPr>
      <w:r w:rsidRPr="00FC2DDA">
        <w:rPr>
          <w:rFonts w:ascii="Book Antiqua" w:hAnsi="Book Antiqua" w:cs="Book Antiqua"/>
          <w:b/>
          <w:color w:val="auto"/>
          <w:sz w:val="24"/>
          <w:szCs w:val="24"/>
          <w:lang w:val="en-US"/>
        </w:rPr>
        <w:t>Correspondence to:</w:t>
      </w:r>
      <w:r w:rsidRPr="00FC2DDA">
        <w:rPr>
          <w:rFonts w:ascii="Book Antiqua" w:hAnsi="Book Antiqua" w:cs="Book Antiqua"/>
          <w:color w:val="auto"/>
          <w:sz w:val="24"/>
          <w:szCs w:val="24"/>
          <w:lang w:val="en-US"/>
        </w:rPr>
        <w:t xml:space="preserve"> </w:t>
      </w:r>
      <w:r w:rsidRPr="00FC2DDA">
        <w:rPr>
          <w:rFonts w:ascii="Book Antiqua" w:hAnsi="Book Antiqua"/>
          <w:b/>
          <w:color w:val="auto"/>
          <w:sz w:val="24"/>
          <w:szCs w:val="24"/>
          <w:lang w:val="en-US"/>
        </w:rPr>
        <w:t>Davide Ippolito, MD</w:t>
      </w:r>
      <w:r w:rsidR="00E3579A" w:rsidRPr="00FC2DDA">
        <w:rPr>
          <w:rFonts w:ascii="Book Antiqua" w:hAnsi="Book Antiqua"/>
          <w:b/>
          <w:color w:val="auto"/>
          <w:sz w:val="24"/>
          <w:szCs w:val="24"/>
          <w:lang w:val="en-US" w:eastAsia="zh-CN"/>
        </w:rPr>
        <w:t>,</w:t>
      </w:r>
      <w:r w:rsidR="00D04CB1" w:rsidRPr="00FC2DDA">
        <w:rPr>
          <w:rFonts w:ascii="Book Antiqua" w:hAnsi="Book Antiqua"/>
          <w:b/>
          <w:color w:val="auto"/>
          <w:sz w:val="24"/>
          <w:szCs w:val="24"/>
          <w:lang w:val="en-US" w:eastAsia="zh-CN"/>
        </w:rPr>
        <w:t xml:space="preserve"> Adjunct Professor, Staff Physician,</w:t>
      </w:r>
      <w:r w:rsidR="00D04CB1" w:rsidRPr="00FC2DDA">
        <w:rPr>
          <w:rFonts w:ascii="Book Antiqua" w:hAnsi="Book Antiqua"/>
          <w:color w:val="auto"/>
          <w:sz w:val="24"/>
          <w:szCs w:val="24"/>
          <w:lang w:val="en-US" w:eastAsia="zh-CN"/>
        </w:rPr>
        <w:t xml:space="preserve"> </w:t>
      </w:r>
      <w:r w:rsidRPr="00FC2DDA">
        <w:rPr>
          <w:rFonts w:ascii="Book Antiqua" w:hAnsi="Book Antiqua"/>
          <w:color w:val="auto"/>
          <w:sz w:val="24"/>
          <w:szCs w:val="24"/>
          <w:lang w:val="en-US"/>
        </w:rPr>
        <w:t xml:space="preserve">Department of Diagnostic Radiology, </w:t>
      </w:r>
      <w:r w:rsidRPr="00FC2DDA">
        <w:rPr>
          <w:rFonts w:ascii="Book Antiqua" w:eastAsia="Minion-Regular" w:hAnsi="Book Antiqua"/>
          <w:bCs/>
          <w:color w:val="auto"/>
          <w:sz w:val="24"/>
          <w:szCs w:val="24"/>
          <w:lang w:val="en-US"/>
        </w:rPr>
        <w:t>San Gerardo Hospital</w:t>
      </w:r>
      <w:r w:rsidR="00E3579A" w:rsidRPr="00FC2DDA">
        <w:rPr>
          <w:rFonts w:ascii="Book Antiqua" w:hAnsi="Book Antiqua"/>
          <w:color w:val="auto"/>
          <w:sz w:val="24"/>
          <w:szCs w:val="24"/>
          <w:lang w:val="en-US" w:eastAsia="zh-CN" w:bidi="en-US"/>
        </w:rPr>
        <w:t xml:space="preserve">, </w:t>
      </w:r>
      <w:r w:rsidR="00D04CB1" w:rsidRPr="00FC2DDA">
        <w:rPr>
          <w:rFonts w:ascii="Book Antiqua" w:hAnsi="Book Antiqua"/>
          <w:color w:val="auto"/>
          <w:sz w:val="24"/>
          <w:szCs w:val="24"/>
          <w:lang w:val="en-US"/>
        </w:rPr>
        <w:t xml:space="preserve">University of Milano-Bicocca, </w:t>
      </w:r>
      <w:r w:rsidRPr="00FC2DDA">
        <w:rPr>
          <w:rFonts w:ascii="Book Antiqua" w:hAnsi="Book Antiqua"/>
          <w:color w:val="auto"/>
          <w:sz w:val="24"/>
          <w:szCs w:val="24"/>
        </w:rPr>
        <w:t>Via Pergolesi 33,</w:t>
      </w:r>
      <w:r w:rsidR="00E3579A" w:rsidRPr="00FC2DDA">
        <w:rPr>
          <w:rFonts w:ascii="Book Antiqua" w:hAnsi="Book Antiqua"/>
          <w:color w:val="auto"/>
          <w:sz w:val="24"/>
          <w:szCs w:val="24"/>
          <w:lang w:eastAsia="zh-CN"/>
        </w:rPr>
        <w:t xml:space="preserve"> </w:t>
      </w:r>
      <w:r w:rsidRPr="00FC2DDA">
        <w:rPr>
          <w:rFonts w:ascii="Book Antiqua" w:hAnsi="Book Antiqua"/>
          <w:color w:val="auto"/>
          <w:sz w:val="24"/>
          <w:szCs w:val="24"/>
        </w:rPr>
        <w:t>Monza (MB)</w:t>
      </w:r>
      <w:r w:rsidR="00E3579A" w:rsidRPr="00FC2DDA">
        <w:rPr>
          <w:rFonts w:ascii="Book Antiqua" w:hAnsi="Book Antiqua"/>
          <w:color w:val="auto"/>
          <w:sz w:val="24"/>
          <w:szCs w:val="24"/>
        </w:rPr>
        <w:t xml:space="preserve"> 20900</w:t>
      </w:r>
      <w:r w:rsidRPr="00FC2DDA">
        <w:rPr>
          <w:rFonts w:ascii="Book Antiqua" w:hAnsi="Book Antiqua"/>
          <w:color w:val="auto"/>
          <w:sz w:val="24"/>
          <w:szCs w:val="24"/>
        </w:rPr>
        <w:t>, Italy</w:t>
      </w:r>
      <w:r w:rsidR="00E3579A" w:rsidRPr="00FC2DDA">
        <w:rPr>
          <w:rFonts w:ascii="Book Antiqua" w:hAnsi="Book Antiqua"/>
          <w:color w:val="auto"/>
          <w:sz w:val="24"/>
          <w:szCs w:val="24"/>
          <w:lang w:eastAsia="zh-CN"/>
        </w:rPr>
        <w:t xml:space="preserve">. </w:t>
      </w:r>
      <w:hyperlink r:id="rId7" w:history="1">
        <w:r w:rsidR="00E3579A" w:rsidRPr="00FC2DDA">
          <w:rPr>
            <w:rStyle w:val="Hyperlink"/>
            <w:rFonts w:ascii="Book Antiqua" w:hAnsi="Book Antiqua"/>
            <w:color w:val="auto"/>
            <w:sz w:val="24"/>
            <w:szCs w:val="24"/>
            <w:u w:val="none"/>
          </w:rPr>
          <w:t>davide.atena@tiscalinet.it</w:t>
        </w:r>
      </w:hyperlink>
    </w:p>
    <w:p w14:paraId="170726A1" w14:textId="19488A5B" w:rsidR="00636F70" w:rsidRPr="00FC2DDA" w:rsidRDefault="00E3579A" w:rsidP="00AF2AB9">
      <w:pPr>
        <w:snapToGrid w:val="0"/>
        <w:spacing w:after="0" w:line="360" w:lineRule="auto"/>
        <w:jc w:val="both"/>
        <w:rPr>
          <w:rFonts w:ascii="Book Antiqua" w:hAnsi="Book Antiqua"/>
          <w:color w:val="auto"/>
          <w:sz w:val="24"/>
          <w:szCs w:val="24"/>
        </w:rPr>
      </w:pPr>
      <w:r w:rsidRPr="00FC2DDA">
        <w:rPr>
          <w:rFonts w:ascii="Book Antiqua" w:hAnsi="Book Antiqua"/>
          <w:b/>
          <w:color w:val="auto"/>
          <w:sz w:val="24"/>
          <w:szCs w:val="24"/>
          <w:lang w:eastAsia="zh-CN"/>
        </w:rPr>
        <w:t>Tele</w:t>
      </w:r>
      <w:r w:rsidRPr="00FC2DDA">
        <w:rPr>
          <w:rFonts w:ascii="Book Antiqua" w:hAnsi="Book Antiqua"/>
          <w:b/>
          <w:color w:val="auto"/>
          <w:sz w:val="24"/>
          <w:szCs w:val="24"/>
        </w:rPr>
        <w:t>p</w:t>
      </w:r>
      <w:r w:rsidR="00636F70" w:rsidRPr="00FC2DDA">
        <w:rPr>
          <w:rFonts w:ascii="Book Antiqua" w:hAnsi="Book Antiqua"/>
          <w:b/>
          <w:color w:val="auto"/>
          <w:sz w:val="24"/>
          <w:szCs w:val="24"/>
        </w:rPr>
        <w:t xml:space="preserve">hone: </w:t>
      </w:r>
      <w:r w:rsidR="00636F70" w:rsidRPr="00FC2DDA">
        <w:rPr>
          <w:rFonts w:ascii="Book Antiqua" w:hAnsi="Book Antiqua"/>
          <w:color w:val="auto"/>
          <w:sz w:val="24"/>
          <w:szCs w:val="24"/>
        </w:rPr>
        <w:t>+39</w:t>
      </w:r>
      <w:r w:rsidRPr="00FC2DDA">
        <w:rPr>
          <w:rFonts w:ascii="Book Antiqua" w:hAnsi="Book Antiqua"/>
          <w:color w:val="auto"/>
          <w:sz w:val="24"/>
          <w:szCs w:val="24"/>
          <w:lang w:eastAsia="zh-CN"/>
        </w:rPr>
        <w:t>-</w:t>
      </w:r>
      <w:r w:rsidR="00636F70" w:rsidRPr="00FC2DDA">
        <w:rPr>
          <w:rFonts w:ascii="Book Antiqua" w:hAnsi="Book Antiqua"/>
          <w:color w:val="auto"/>
          <w:sz w:val="24"/>
          <w:szCs w:val="24"/>
        </w:rPr>
        <w:t>02</w:t>
      </w:r>
      <w:r w:rsidRPr="00FC2DDA">
        <w:rPr>
          <w:rFonts w:ascii="Book Antiqua" w:hAnsi="Book Antiqua"/>
          <w:color w:val="auto"/>
          <w:sz w:val="24"/>
          <w:szCs w:val="24"/>
          <w:lang w:eastAsia="zh-CN"/>
        </w:rPr>
        <w:t>-</w:t>
      </w:r>
      <w:r w:rsidR="00636F70" w:rsidRPr="00FC2DDA">
        <w:rPr>
          <w:rFonts w:ascii="Book Antiqua" w:hAnsi="Book Antiqua"/>
          <w:color w:val="auto"/>
          <w:sz w:val="24"/>
          <w:szCs w:val="24"/>
        </w:rPr>
        <w:t>64488265</w:t>
      </w:r>
    </w:p>
    <w:p w14:paraId="5242B101" w14:textId="51FCBB40" w:rsidR="00636F70" w:rsidRPr="00FC2DDA" w:rsidRDefault="00636F70" w:rsidP="00AF2AB9">
      <w:pPr>
        <w:snapToGrid w:val="0"/>
        <w:spacing w:after="0" w:line="360" w:lineRule="auto"/>
        <w:jc w:val="both"/>
        <w:rPr>
          <w:rFonts w:ascii="Book Antiqua" w:hAnsi="Book Antiqua"/>
          <w:color w:val="auto"/>
          <w:sz w:val="24"/>
          <w:szCs w:val="24"/>
          <w:lang w:eastAsia="zh-CN"/>
        </w:rPr>
      </w:pPr>
      <w:r w:rsidRPr="00FC2DDA">
        <w:rPr>
          <w:rFonts w:ascii="Book Antiqua" w:hAnsi="Book Antiqua"/>
          <w:b/>
          <w:color w:val="auto"/>
          <w:sz w:val="24"/>
          <w:szCs w:val="24"/>
        </w:rPr>
        <w:t>Fax:</w:t>
      </w:r>
      <w:r w:rsidRPr="00FC2DDA">
        <w:rPr>
          <w:rFonts w:ascii="Book Antiqua" w:hAnsi="Book Antiqua"/>
          <w:color w:val="auto"/>
          <w:sz w:val="24"/>
          <w:szCs w:val="24"/>
        </w:rPr>
        <w:t xml:space="preserve"> +39</w:t>
      </w:r>
      <w:r w:rsidR="00E3579A" w:rsidRPr="00FC2DDA">
        <w:rPr>
          <w:rFonts w:ascii="Book Antiqua" w:hAnsi="Book Antiqua"/>
          <w:color w:val="auto"/>
          <w:sz w:val="24"/>
          <w:szCs w:val="24"/>
          <w:lang w:eastAsia="zh-CN"/>
        </w:rPr>
        <w:t>-</w:t>
      </w:r>
      <w:r w:rsidRPr="00FC2DDA">
        <w:rPr>
          <w:rFonts w:ascii="Book Antiqua" w:hAnsi="Book Antiqua"/>
          <w:color w:val="auto"/>
          <w:sz w:val="24"/>
          <w:szCs w:val="24"/>
        </w:rPr>
        <w:t>02</w:t>
      </w:r>
      <w:r w:rsidR="00E3579A" w:rsidRPr="00FC2DDA">
        <w:rPr>
          <w:rFonts w:ascii="Book Antiqua" w:hAnsi="Book Antiqua"/>
          <w:color w:val="auto"/>
          <w:sz w:val="24"/>
          <w:szCs w:val="24"/>
          <w:lang w:eastAsia="zh-CN"/>
        </w:rPr>
        <w:t>-</w:t>
      </w:r>
      <w:r w:rsidRPr="00FC2DDA">
        <w:rPr>
          <w:rFonts w:ascii="Book Antiqua" w:hAnsi="Book Antiqua"/>
          <w:color w:val="auto"/>
          <w:sz w:val="24"/>
          <w:szCs w:val="24"/>
        </w:rPr>
        <w:t>64488299</w:t>
      </w:r>
    </w:p>
    <w:p w14:paraId="638D4D46" w14:textId="39E0C261" w:rsidR="00636F70" w:rsidRPr="00FC2DDA" w:rsidRDefault="00636F70" w:rsidP="00AF2AB9">
      <w:pPr>
        <w:snapToGrid w:val="0"/>
        <w:spacing w:after="0" w:line="360" w:lineRule="auto"/>
        <w:jc w:val="both"/>
        <w:rPr>
          <w:rFonts w:ascii="Book Antiqua" w:hAnsi="Book Antiqua"/>
          <w:color w:val="auto"/>
          <w:sz w:val="24"/>
          <w:szCs w:val="24"/>
        </w:rPr>
      </w:pPr>
    </w:p>
    <w:p w14:paraId="01B99602" w14:textId="7510EA9C" w:rsidR="00D04CB1" w:rsidRPr="00FC2DDA" w:rsidRDefault="00D04CB1" w:rsidP="00AF2AB9">
      <w:pPr>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SimSun"/>
          <w:b/>
          <w:color w:val="auto"/>
          <w:sz w:val="24"/>
          <w:szCs w:val="24"/>
          <w:lang w:val="en-US" w:eastAsia="zh-CN"/>
        </w:rPr>
      </w:pPr>
      <w:r w:rsidRPr="00FC2DDA">
        <w:rPr>
          <w:rFonts w:ascii="Book Antiqua" w:eastAsia="SimSun" w:hAnsi="Book Antiqua" w:cs="SimSun"/>
          <w:b/>
          <w:color w:val="auto"/>
          <w:sz w:val="24"/>
          <w:szCs w:val="24"/>
          <w:lang w:val="en-US" w:eastAsia="zh-CN"/>
        </w:rPr>
        <w:t xml:space="preserve">Received: </w:t>
      </w:r>
      <w:r w:rsidR="00A32EB8" w:rsidRPr="00FC2DDA">
        <w:rPr>
          <w:rFonts w:ascii="Book Antiqua" w:eastAsia="SimSun" w:hAnsi="Book Antiqua" w:cs="SimSun"/>
          <w:color w:val="auto"/>
          <w:sz w:val="24"/>
          <w:szCs w:val="24"/>
          <w:lang w:val="en-US" w:eastAsia="zh-CN"/>
        </w:rPr>
        <w:t>March 26, 2018</w:t>
      </w:r>
    </w:p>
    <w:p w14:paraId="47BC7A4E" w14:textId="7ECC2132" w:rsidR="00D04CB1" w:rsidRPr="00FC2DDA" w:rsidRDefault="00D04CB1" w:rsidP="00AF2AB9">
      <w:pPr>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SimSun"/>
          <w:b/>
          <w:color w:val="auto"/>
          <w:sz w:val="24"/>
          <w:szCs w:val="24"/>
          <w:lang w:val="en-US" w:eastAsia="zh-CN"/>
        </w:rPr>
      </w:pPr>
      <w:r w:rsidRPr="00FC2DDA">
        <w:rPr>
          <w:rFonts w:ascii="Book Antiqua" w:eastAsia="SimSun" w:hAnsi="Book Antiqua" w:cs="SimSun"/>
          <w:b/>
          <w:color w:val="auto"/>
          <w:sz w:val="24"/>
          <w:szCs w:val="24"/>
          <w:lang w:val="en-US" w:eastAsia="zh-CN"/>
        </w:rPr>
        <w:t>Peer-review started:</w:t>
      </w:r>
      <w:r w:rsidR="00A32EB8" w:rsidRPr="00FC2DDA">
        <w:rPr>
          <w:rFonts w:ascii="Book Antiqua" w:eastAsia="SimSun" w:hAnsi="Book Antiqua" w:cs="SimSun"/>
          <w:b/>
          <w:color w:val="auto"/>
          <w:sz w:val="24"/>
          <w:szCs w:val="24"/>
          <w:lang w:val="en-US" w:eastAsia="zh-CN"/>
        </w:rPr>
        <w:t xml:space="preserve"> </w:t>
      </w:r>
      <w:r w:rsidR="00A32EB8" w:rsidRPr="00FC2DDA">
        <w:rPr>
          <w:rFonts w:ascii="Book Antiqua" w:eastAsia="SimSun" w:hAnsi="Book Antiqua" w:cs="SimSun"/>
          <w:color w:val="auto"/>
          <w:sz w:val="24"/>
          <w:szCs w:val="24"/>
          <w:lang w:val="en-US" w:eastAsia="zh-CN"/>
        </w:rPr>
        <w:t>March 28, 2018</w:t>
      </w:r>
    </w:p>
    <w:p w14:paraId="24ACE94B" w14:textId="228E4B00" w:rsidR="00D04CB1" w:rsidRPr="00FC2DDA" w:rsidRDefault="00D04CB1" w:rsidP="00AF2AB9">
      <w:pPr>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SimSun"/>
          <w:b/>
          <w:color w:val="auto"/>
          <w:sz w:val="24"/>
          <w:szCs w:val="24"/>
          <w:lang w:val="en-US" w:eastAsia="zh-CN"/>
        </w:rPr>
      </w:pPr>
      <w:r w:rsidRPr="00FC2DDA">
        <w:rPr>
          <w:rFonts w:ascii="Book Antiqua" w:eastAsia="SimSun" w:hAnsi="Book Antiqua" w:cs="SimSun"/>
          <w:b/>
          <w:color w:val="auto"/>
          <w:sz w:val="24"/>
          <w:szCs w:val="24"/>
          <w:lang w:val="en-US" w:eastAsia="zh-CN"/>
        </w:rPr>
        <w:t>First decision:</w:t>
      </w:r>
      <w:r w:rsidR="00A32EB8" w:rsidRPr="00FC2DDA">
        <w:rPr>
          <w:rFonts w:ascii="Book Antiqua" w:eastAsia="SimSun" w:hAnsi="Book Antiqua" w:cs="SimSun"/>
          <w:b/>
          <w:color w:val="auto"/>
          <w:sz w:val="24"/>
          <w:szCs w:val="24"/>
          <w:lang w:val="en-US" w:eastAsia="zh-CN"/>
        </w:rPr>
        <w:t xml:space="preserve"> </w:t>
      </w:r>
      <w:r w:rsidR="00A32EB8" w:rsidRPr="00FC2DDA">
        <w:rPr>
          <w:rFonts w:ascii="Book Antiqua" w:eastAsia="SimSun" w:hAnsi="Book Antiqua" w:cs="SimSun"/>
          <w:color w:val="auto"/>
          <w:sz w:val="24"/>
          <w:szCs w:val="24"/>
          <w:lang w:val="en-US" w:eastAsia="zh-CN"/>
        </w:rPr>
        <w:t>April 19, 2018</w:t>
      </w:r>
    </w:p>
    <w:p w14:paraId="187E9C65" w14:textId="78F9CDAB" w:rsidR="00D04CB1" w:rsidRPr="00FC2DDA" w:rsidRDefault="00D04CB1" w:rsidP="00AF2AB9">
      <w:pPr>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SimSun"/>
          <w:b/>
          <w:color w:val="auto"/>
          <w:sz w:val="24"/>
          <w:szCs w:val="24"/>
          <w:lang w:val="en-US" w:eastAsia="zh-CN"/>
        </w:rPr>
      </w:pPr>
      <w:r w:rsidRPr="00FC2DDA">
        <w:rPr>
          <w:rFonts w:ascii="Book Antiqua" w:eastAsia="SimSun" w:hAnsi="Book Antiqua" w:cs="SimSun"/>
          <w:b/>
          <w:color w:val="auto"/>
          <w:sz w:val="24"/>
          <w:szCs w:val="24"/>
          <w:lang w:val="en-US" w:eastAsia="zh-CN"/>
        </w:rPr>
        <w:t>Revised:</w:t>
      </w:r>
      <w:r w:rsidR="00A32EB8" w:rsidRPr="00FC2DDA">
        <w:rPr>
          <w:rFonts w:ascii="Book Antiqua" w:eastAsia="SimSun" w:hAnsi="Book Antiqua" w:cs="SimSun"/>
          <w:b/>
          <w:color w:val="auto"/>
          <w:sz w:val="24"/>
          <w:szCs w:val="24"/>
          <w:lang w:val="en-US" w:eastAsia="zh-CN"/>
        </w:rPr>
        <w:t xml:space="preserve"> </w:t>
      </w:r>
      <w:r w:rsidR="00A32EB8" w:rsidRPr="00FC2DDA">
        <w:rPr>
          <w:rFonts w:ascii="Book Antiqua" w:eastAsia="SimSun" w:hAnsi="Book Antiqua" w:cs="SimSun"/>
          <w:color w:val="auto"/>
          <w:sz w:val="24"/>
          <w:szCs w:val="24"/>
          <w:lang w:val="en-US" w:eastAsia="zh-CN"/>
        </w:rPr>
        <w:t>April 27, 2018</w:t>
      </w:r>
    </w:p>
    <w:p w14:paraId="4C42805E" w14:textId="6A17A0E2" w:rsidR="00D04CB1" w:rsidRPr="00FC2DDA" w:rsidRDefault="00D04CB1" w:rsidP="00AF2AB9">
      <w:pPr>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SimSun"/>
          <w:b/>
          <w:color w:val="auto"/>
          <w:sz w:val="24"/>
          <w:szCs w:val="24"/>
          <w:lang w:val="en-US" w:eastAsia="zh-CN"/>
        </w:rPr>
      </w:pPr>
      <w:r w:rsidRPr="00FC2DDA">
        <w:rPr>
          <w:rFonts w:ascii="Book Antiqua" w:eastAsia="SimSun" w:hAnsi="Book Antiqua" w:cs="SimSun"/>
          <w:b/>
          <w:color w:val="auto"/>
          <w:sz w:val="24"/>
          <w:szCs w:val="24"/>
          <w:lang w:val="en-US" w:eastAsia="zh-CN"/>
        </w:rPr>
        <w:t>Accepted:</w:t>
      </w:r>
      <w:r w:rsidR="005C440D" w:rsidRPr="005C440D">
        <w:t xml:space="preserve"> </w:t>
      </w:r>
      <w:r w:rsidR="005C440D" w:rsidRPr="005C440D">
        <w:rPr>
          <w:rFonts w:ascii="Book Antiqua" w:eastAsia="SimSun" w:hAnsi="Book Antiqua" w:cs="SimSun"/>
          <w:color w:val="auto"/>
          <w:sz w:val="24"/>
          <w:szCs w:val="24"/>
          <w:lang w:val="en-US" w:eastAsia="zh-CN"/>
        </w:rPr>
        <w:t>May 11, 2018</w:t>
      </w:r>
    </w:p>
    <w:p w14:paraId="2E438066" w14:textId="77777777" w:rsidR="00D04CB1" w:rsidRPr="00FC2DDA" w:rsidRDefault="00D04CB1" w:rsidP="00AF2AB9">
      <w:pPr>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SimSun"/>
          <w:b/>
          <w:color w:val="auto"/>
          <w:sz w:val="24"/>
          <w:szCs w:val="24"/>
          <w:lang w:val="en-US" w:eastAsia="zh-CN"/>
        </w:rPr>
      </w:pPr>
      <w:r w:rsidRPr="00FC2DDA">
        <w:rPr>
          <w:rFonts w:ascii="Book Antiqua" w:eastAsia="SimSun" w:hAnsi="Book Antiqua" w:cs="SimSun"/>
          <w:b/>
          <w:color w:val="auto"/>
          <w:sz w:val="24"/>
          <w:szCs w:val="24"/>
          <w:lang w:val="en-US" w:eastAsia="zh-CN"/>
        </w:rPr>
        <w:t>Article in press:</w:t>
      </w:r>
    </w:p>
    <w:p w14:paraId="6EA19242" w14:textId="77777777" w:rsidR="00D04CB1" w:rsidRPr="00FC2DDA" w:rsidRDefault="00D04CB1" w:rsidP="00AF2AB9">
      <w:pPr>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Arial"/>
          <w:b/>
          <w:color w:val="auto"/>
          <w:sz w:val="24"/>
          <w:szCs w:val="24"/>
          <w:lang w:val="pl-PL" w:eastAsia="zh-CN"/>
        </w:rPr>
      </w:pPr>
      <w:r w:rsidRPr="00FC2DDA">
        <w:rPr>
          <w:rFonts w:ascii="Book Antiqua" w:eastAsia="SimSun" w:hAnsi="Book Antiqua" w:cs="Arial"/>
          <w:b/>
          <w:color w:val="auto"/>
          <w:sz w:val="24"/>
          <w:szCs w:val="24"/>
          <w:lang w:val="pl-PL" w:eastAsia="pl-PL"/>
        </w:rPr>
        <w:t>Published online:</w:t>
      </w:r>
    </w:p>
    <w:p w14:paraId="7E8DDAD3" w14:textId="77777777" w:rsidR="007B791D" w:rsidRPr="00FC2DDA" w:rsidRDefault="007B791D" w:rsidP="00AF2AB9">
      <w:pPr>
        <w:snapToGrid w:val="0"/>
        <w:spacing w:after="0" w:line="360" w:lineRule="auto"/>
        <w:jc w:val="both"/>
        <w:rPr>
          <w:rFonts w:ascii="Book Antiqua" w:hAnsi="Book Antiqua"/>
          <w:color w:val="auto"/>
          <w:sz w:val="24"/>
          <w:szCs w:val="24"/>
          <w:lang w:val="pl-PL"/>
        </w:rPr>
      </w:pPr>
    </w:p>
    <w:p w14:paraId="6FD2AEA4" w14:textId="77777777" w:rsidR="007E7040" w:rsidRPr="00FC2DDA" w:rsidRDefault="007E7040"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br w:type="page"/>
      </w:r>
    </w:p>
    <w:p w14:paraId="0D84BC22" w14:textId="5E5FB00D" w:rsidR="00FF1381" w:rsidRPr="00FC2DDA" w:rsidRDefault="00FF1381" w:rsidP="00AF2AB9">
      <w:pPr>
        <w:snapToGrid w:val="0"/>
        <w:spacing w:after="0" w:line="360" w:lineRule="auto"/>
        <w:jc w:val="both"/>
        <w:rPr>
          <w:rFonts w:ascii="Book Antiqua" w:hAnsi="Book Antiqua" w:cs="Times New Roman"/>
          <w:b/>
          <w:color w:val="auto"/>
          <w:sz w:val="24"/>
          <w:szCs w:val="24"/>
          <w:lang w:eastAsia="zh-CN"/>
        </w:rPr>
      </w:pPr>
      <w:r w:rsidRPr="00FC2DDA">
        <w:rPr>
          <w:rFonts w:ascii="Book Antiqua" w:eastAsia="Times New Roman" w:hAnsi="Book Antiqua" w:cs="Times New Roman"/>
          <w:b/>
          <w:color w:val="auto"/>
          <w:sz w:val="24"/>
          <w:szCs w:val="24"/>
        </w:rPr>
        <w:lastRenderedPageBreak/>
        <w:t>A</w:t>
      </w:r>
      <w:r w:rsidR="001D5833" w:rsidRPr="00FC2DDA">
        <w:rPr>
          <w:rFonts w:ascii="Book Antiqua" w:eastAsia="Times New Roman" w:hAnsi="Book Antiqua" w:cs="Times New Roman"/>
          <w:b/>
          <w:color w:val="auto"/>
          <w:sz w:val="24"/>
          <w:szCs w:val="24"/>
        </w:rPr>
        <w:t>bstract</w:t>
      </w:r>
    </w:p>
    <w:p w14:paraId="52E58A97" w14:textId="6D9819CF" w:rsidR="00FF1381" w:rsidRPr="00FC2DDA" w:rsidRDefault="000D3CC1"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hAnsi="Book Antiqua" w:cs="Arial"/>
          <w:caps/>
          <w:color w:val="auto"/>
          <w:sz w:val="24"/>
          <w:szCs w:val="24"/>
          <w:lang w:val="en-US"/>
        </w:rPr>
        <w:t>m</w:t>
      </w:r>
      <w:r w:rsidRPr="00FC2DDA">
        <w:rPr>
          <w:rFonts w:ascii="Book Antiqua" w:hAnsi="Book Antiqua" w:cs="Arial"/>
          <w:color w:val="auto"/>
          <w:sz w:val="24"/>
          <w:szCs w:val="24"/>
          <w:lang w:val="en-US"/>
        </w:rPr>
        <w:t>agnetic resonance imaging</w:t>
      </w:r>
      <w:r w:rsidR="00B44C63" w:rsidRPr="00FC2DDA">
        <w:rPr>
          <w:rFonts w:ascii="Book Antiqua" w:hAnsi="Book Antiqua" w:cs="Arial"/>
          <w:color w:val="auto"/>
          <w:sz w:val="24"/>
          <w:szCs w:val="24"/>
          <w:lang w:val="en-US" w:eastAsia="zh-CN"/>
        </w:rPr>
        <w:t xml:space="preserve"> </w:t>
      </w:r>
      <w:r w:rsidR="00FF1381" w:rsidRPr="00FC2DDA">
        <w:rPr>
          <w:rFonts w:ascii="Book Antiqua" w:hAnsi="Book Antiqua" w:cs="Arial"/>
          <w:color w:val="auto"/>
          <w:sz w:val="24"/>
          <w:szCs w:val="24"/>
          <w:lang w:val="en-US"/>
        </w:rPr>
        <w:t>of the liver is an important tool in terms of detection and characterization of focal liver lesions and for</w:t>
      </w:r>
      <w:r w:rsidR="00881729" w:rsidRPr="00FC2DDA">
        <w:rPr>
          <w:rFonts w:ascii="Book Antiqua" w:hAnsi="Book Antiqua" w:cs="Arial"/>
          <w:color w:val="auto"/>
          <w:sz w:val="24"/>
          <w:szCs w:val="24"/>
          <w:lang w:val="en-US"/>
        </w:rPr>
        <w:t xml:space="preserve"> </w:t>
      </w:r>
      <w:r w:rsidR="00FF1381" w:rsidRPr="00FC2DDA">
        <w:rPr>
          <w:rFonts w:ascii="Book Antiqua" w:hAnsi="Book Antiqua" w:cs="Arial"/>
          <w:color w:val="auto"/>
          <w:sz w:val="24"/>
          <w:szCs w:val="24"/>
          <w:lang w:val="en-US"/>
        </w:rPr>
        <w:t xml:space="preserve">assessment of diffuse liver disease, having </w:t>
      </w:r>
      <w:r w:rsidR="007101D2" w:rsidRPr="00FC2DDA">
        <w:rPr>
          <w:rFonts w:ascii="Book Antiqua" w:hAnsi="Book Antiqua" w:cs="Arial"/>
          <w:color w:val="auto"/>
          <w:sz w:val="24"/>
          <w:szCs w:val="24"/>
          <w:lang w:val="en-US"/>
        </w:rPr>
        <w:t xml:space="preserve">several </w:t>
      </w:r>
      <w:r w:rsidR="00FF1381" w:rsidRPr="00FC2DDA">
        <w:rPr>
          <w:rFonts w:ascii="Book Antiqua" w:hAnsi="Book Antiqua" w:cs="Arial"/>
          <w:color w:val="auto"/>
          <w:sz w:val="24"/>
          <w:szCs w:val="24"/>
          <w:lang w:val="en-US"/>
        </w:rPr>
        <w:t xml:space="preserve">intrinsic </w:t>
      </w:r>
      <w:r w:rsidR="007101D2" w:rsidRPr="00FC2DDA">
        <w:rPr>
          <w:rFonts w:ascii="Book Antiqua" w:hAnsi="Book Antiqua" w:cs="Arial"/>
          <w:color w:val="auto"/>
          <w:sz w:val="24"/>
          <w:szCs w:val="24"/>
          <w:lang w:val="en-US"/>
        </w:rPr>
        <w:t>characteristics</w:t>
      </w:r>
      <w:r w:rsidR="00FF1381" w:rsidRPr="00FC2DDA">
        <w:rPr>
          <w:rFonts w:ascii="Book Antiqua" w:hAnsi="Book Antiqua" w:cs="Arial"/>
          <w:color w:val="auto"/>
          <w:sz w:val="24"/>
          <w:szCs w:val="24"/>
          <w:lang w:val="en-US"/>
        </w:rPr>
        <w:t xml:space="preserve">, represented by </w:t>
      </w:r>
      <w:r w:rsidR="007101D2" w:rsidRPr="00FC2DDA">
        <w:rPr>
          <w:rFonts w:ascii="Book Antiqua" w:hAnsi="Book Antiqua" w:cs="Arial"/>
          <w:color w:val="auto"/>
          <w:sz w:val="24"/>
          <w:szCs w:val="24"/>
          <w:lang w:val="en-US"/>
        </w:rPr>
        <w:t xml:space="preserve">high </w:t>
      </w:r>
      <w:r w:rsidR="00FF1381" w:rsidRPr="00FC2DDA">
        <w:rPr>
          <w:rFonts w:ascii="Book Antiqua" w:hAnsi="Book Antiqua" w:cs="Arial"/>
          <w:color w:val="auto"/>
          <w:sz w:val="24"/>
          <w:szCs w:val="24"/>
          <w:lang w:val="en-US"/>
        </w:rPr>
        <w:t>soft tissue contrast, avoidance of ionizing radiation or iodinated contrast media, and more recently, by application of several functional imaging technique (</w:t>
      </w:r>
      <w:r w:rsidR="00FF1381" w:rsidRPr="00FC2DDA">
        <w:rPr>
          <w:rFonts w:ascii="Book Antiqua" w:eastAsia="Times New Roman" w:hAnsi="Book Antiqua" w:cs="Times New Roman"/>
          <w:i/>
          <w:color w:val="auto"/>
          <w:sz w:val="24"/>
          <w:szCs w:val="24"/>
        </w:rPr>
        <w:t>i.e.</w:t>
      </w:r>
      <w:r w:rsidRPr="00FC2DDA">
        <w:rPr>
          <w:rFonts w:ascii="Book Antiqua" w:hAnsi="Book Antiqua" w:cs="Times New Roman"/>
          <w:color w:val="auto"/>
          <w:sz w:val="24"/>
          <w:szCs w:val="24"/>
          <w:lang w:eastAsia="zh-CN"/>
        </w:rPr>
        <w:t>,</w:t>
      </w:r>
      <w:r w:rsidR="00FF1381" w:rsidRPr="00FC2DDA">
        <w:rPr>
          <w:rFonts w:ascii="Book Antiqua" w:eastAsia="Times New Roman" w:hAnsi="Book Antiqua" w:cs="Times New Roman"/>
          <w:color w:val="auto"/>
          <w:sz w:val="24"/>
          <w:szCs w:val="24"/>
        </w:rPr>
        <w:t xml:space="preserve"> </w:t>
      </w:r>
      <w:r w:rsidR="00FF1381" w:rsidRPr="00FC2DDA">
        <w:rPr>
          <w:rFonts w:ascii="Book Antiqua" w:hAnsi="Book Antiqua" w:cs="Times New Roman"/>
          <w:color w:val="auto"/>
          <w:sz w:val="24"/>
          <w:szCs w:val="24"/>
        </w:rPr>
        <w:t xml:space="preserve">diffusion-weighted sequences, hepatobiliary contrast agents, perfusion imaging, </w:t>
      </w:r>
      <w:r w:rsidR="00B44C63" w:rsidRPr="00FC2DDA">
        <w:rPr>
          <w:rFonts w:ascii="Book Antiqua" w:hAnsi="Book Antiqua" w:cs="Times New Roman"/>
          <w:color w:val="auto"/>
          <w:sz w:val="24"/>
          <w:szCs w:val="24"/>
        </w:rPr>
        <w:t>magnetic resonance (MR)</w:t>
      </w:r>
      <w:r w:rsidR="00FF1381" w:rsidRPr="00FC2DDA">
        <w:rPr>
          <w:rFonts w:ascii="Book Antiqua" w:hAnsi="Book Antiqua" w:cs="Times New Roman"/>
          <w:color w:val="auto"/>
          <w:sz w:val="24"/>
          <w:szCs w:val="24"/>
        </w:rPr>
        <w:t>-elastography and radiomics analysis</w:t>
      </w:r>
      <w:r w:rsidR="00FF1381" w:rsidRPr="00FC2DDA">
        <w:rPr>
          <w:rFonts w:ascii="Book Antiqua" w:eastAsia="Times New Roman" w:hAnsi="Book Antiqua" w:cs="Times New Roman"/>
          <w:color w:val="auto"/>
          <w:sz w:val="24"/>
          <w:szCs w:val="24"/>
        </w:rPr>
        <w:t>)</w:t>
      </w:r>
      <w:r w:rsidR="00FF1381" w:rsidRPr="00FC2DDA">
        <w:rPr>
          <w:rFonts w:ascii="Book Antiqua" w:hAnsi="Book Antiqua" w:cs="Arial"/>
          <w:color w:val="auto"/>
          <w:sz w:val="24"/>
          <w:szCs w:val="24"/>
          <w:lang w:val="en-US"/>
        </w:rPr>
        <w:t>.</w:t>
      </w:r>
      <w:r w:rsidR="00B44C63" w:rsidRPr="00FC2DDA">
        <w:rPr>
          <w:rFonts w:ascii="Book Antiqua" w:hAnsi="Book Antiqua" w:cs="Arial"/>
          <w:color w:val="auto"/>
          <w:sz w:val="24"/>
          <w:szCs w:val="24"/>
          <w:lang w:val="en-US" w:eastAsia="zh-CN"/>
        </w:rPr>
        <w:t xml:space="preserve"> </w:t>
      </w:r>
      <w:r w:rsidR="00FF1381" w:rsidRPr="00FC2DDA">
        <w:rPr>
          <w:rFonts w:ascii="Book Antiqua" w:hAnsi="Book Antiqua" w:cs="Arial"/>
          <w:color w:val="auto"/>
          <w:sz w:val="24"/>
          <w:szCs w:val="24"/>
          <w:lang w:val="en-US"/>
        </w:rPr>
        <w:t xml:space="preserve">MR functional imaging techniques are extensively used both in routinely practice or in the field of clinical </w:t>
      </w:r>
      <w:r w:rsidR="00CF2825" w:rsidRPr="00FC2DDA">
        <w:rPr>
          <w:rFonts w:ascii="Book Antiqua" w:hAnsi="Book Antiqua" w:cs="Arial"/>
          <w:color w:val="auto"/>
          <w:sz w:val="24"/>
          <w:szCs w:val="24"/>
          <w:lang w:val="en-US"/>
        </w:rPr>
        <w:t xml:space="preserve">and </w:t>
      </w:r>
      <w:r w:rsidR="00FF1381" w:rsidRPr="00FC2DDA">
        <w:rPr>
          <w:rFonts w:ascii="Book Antiqua" w:hAnsi="Book Antiqua" w:cs="Arial"/>
          <w:color w:val="auto"/>
          <w:sz w:val="24"/>
          <w:szCs w:val="24"/>
          <w:lang w:val="en-US"/>
        </w:rPr>
        <w:t xml:space="preserve">pre-clinical research, because through a qualitative rather than quantitative approach they could offer valuable information about tumour tissue and tissue architecture, as cellularity biomarker related to the hepatocellular functions, or as tissue vascularizations profile related to tumour and tissue biology. </w:t>
      </w:r>
      <w:r w:rsidR="0028223A" w:rsidRPr="00FC2DDA">
        <w:rPr>
          <w:rFonts w:ascii="Book Antiqua" w:hAnsi="Book Antiqua" w:cs="Arial"/>
          <w:color w:val="auto"/>
          <w:sz w:val="24"/>
          <w:szCs w:val="24"/>
          <w:lang w:val="en-US"/>
        </w:rPr>
        <w:t>This kind of approach</w:t>
      </w:r>
      <w:r w:rsidR="00FF1381" w:rsidRPr="00FC2DDA">
        <w:rPr>
          <w:rFonts w:ascii="Book Antiqua" w:hAnsi="Book Antiqua" w:cs="Arial"/>
          <w:color w:val="auto"/>
          <w:sz w:val="24"/>
          <w:szCs w:val="24"/>
          <w:lang w:val="en-US"/>
        </w:rPr>
        <w:t xml:space="preserve"> offer</w:t>
      </w:r>
      <w:r w:rsidR="00CF2825" w:rsidRPr="00FC2DDA">
        <w:rPr>
          <w:rFonts w:ascii="Book Antiqua" w:hAnsi="Book Antiqua" w:cs="Arial"/>
          <w:color w:val="auto"/>
          <w:sz w:val="24"/>
          <w:szCs w:val="24"/>
          <w:lang w:val="en-US"/>
        </w:rPr>
        <w:t>s</w:t>
      </w:r>
      <w:r w:rsidR="00FF1381" w:rsidRPr="00FC2DDA">
        <w:rPr>
          <w:rFonts w:ascii="Book Antiqua" w:hAnsi="Book Antiqua" w:cs="Arial"/>
          <w:color w:val="auto"/>
          <w:sz w:val="24"/>
          <w:szCs w:val="24"/>
          <w:lang w:val="en-US"/>
        </w:rPr>
        <w:t xml:space="preserve"> </w:t>
      </w:r>
      <w:r w:rsidR="00FF1381" w:rsidRPr="00FC2DDA">
        <w:rPr>
          <w:rFonts w:ascii="Book Antiqua" w:hAnsi="Book Antiqua" w:cs="Arial"/>
          <w:i/>
          <w:color w:val="auto"/>
          <w:sz w:val="24"/>
          <w:szCs w:val="24"/>
          <w:lang w:val="en-US"/>
        </w:rPr>
        <w:t>in</w:t>
      </w:r>
      <w:r w:rsidR="007101D2" w:rsidRPr="00FC2DDA">
        <w:rPr>
          <w:rFonts w:ascii="Book Antiqua" w:hAnsi="Book Antiqua" w:cs="Arial"/>
          <w:i/>
          <w:color w:val="auto"/>
          <w:sz w:val="24"/>
          <w:szCs w:val="24"/>
          <w:lang w:val="en-US"/>
        </w:rPr>
        <w:t>-</w:t>
      </w:r>
      <w:r w:rsidR="00FF1381" w:rsidRPr="00FC2DDA">
        <w:rPr>
          <w:rFonts w:ascii="Book Antiqua" w:hAnsi="Book Antiqua" w:cs="Arial"/>
          <w:i/>
          <w:color w:val="auto"/>
          <w:sz w:val="24"/>
          <w:szCs w:val="24"/>
          <w:lang w:val="en-US"/>
        </w:rPr>
        <w:t>vivo</w:t>
      </w:r>
      <w:r w:rsidR="00FF1381" w:rsidRPr="00FC2DDA">
        <w:rPr>
          <w:rFonts w:ascii="Book Antiqua" w:hAnsi="Book Antiqua" w:cs="Arial"/>
          <w:color w:val="auto"/>
          <w:sz w:val="24"/>
          <w:szCs w:val="24"/>
          <w:lang w:val="en-US"/>
        </w:rPr>
        <w:t xml:space="preserve"> physiological parameters, </w:t>
      </w:r>
      <w:r w:rsidR="00FF1381" w:rsidRPr="00FC2DDA">
        <w:rPr>
          <w:rFonts w:ascii="Book Antiqua" w:eastAsia="Times New Roman" w:hAnsi="Book Antiqua" w:cs="Times New Roman"/>
          <w:color w:val="auto"/>
          <w:sz w:val="24"/>
          <w:szCs w:val="24"/>
        </w:rPr>
        <w:t>capable in evaluating physiological and pathological modifications of tissues, by the analysis of quantitative data</w:t>
      </w:r>
      <w:r w:rsidR="00FF1381" w:rsidRPr="00FC2DDA">
        <w:rPr>
          <w:rFonts w:ascii="Book Antiqua" w:hAnsi="Book Antiqua" w:cs="Arial"/>
          <w:color w:val="auto"/>
          <w:sz w:val="24"/>
          <w:szCs w:val="24"/>
          <w:lang w:val="en-US"/>
        </w:rPr>
        <w:t xml:space="preserve"> that could be used in tumour detection, characterisation, treatment selection and follow-up</w:t>
      </w:r>
      <w:r w:rsidR="00FF1381" w:rsidRPr="00FC2DDA">
        <w:rPr>
          <w:rFonts w:ascii="Book Antiqua" w:eastAsia="Times New Roman" w:hAnsi="Book Antiqua" w:cs="Times New Roman"/>
          <w:color w:val="auto"/>
          <w:sz w:val="24"/>
          <w:szCs w:val="24"/>
        </w:rPr>
        <w:t>, in addition to those obtained from standard morphological imaging.</w:t>
      </w:r>
      <w:r w:rsidR="005B430F" w:rsidRPr="00FC2DDA">
        <w:rPr>
          <w:rFonts w:ascii="Book Antiqua" w:eastAsia="Times New Roman" w:hAnsi="Book Antiqua" w:cs="Times New Roman"/>
          <w:color w:val="auto"/>
          <w:sz w:val="24"/>
          <w:szCs w:val="24"/>
        </w:rPr>
        <w:t xml:space="preserve"> </w:t>
      </w:r>
      <w:r w:rsidR="00FF1381" w:rsidRPr="00FC2DDA">
        <w:rPr>
          <w:rFonts w:ascii="Book Antiqua" w:hAnsi="Book Antiqua" w:cs="Arial"/>
          <w:color w:val="auto"/>
          <w:sz w:val="24"/>
          <w:szCs w:val="24"/>
          <w:lang w:val="en-US"/>
        </w:rPr>
        <w:t>I</w:t>
      </w:r>
      <w:r w:rsidR="00FF1381" w:rsidRPr="00FC2DDA">
        <w:rPr>
          <w:rFonts w:ascii="Book Antiqua" w:eastAsia="Arial" w:hAnsi="Book Antiqua" w:cs="Arial"/>
          <w:color w:val="auto"/>
          <w:sz w:val="24"/>
          <w:szCs w:val="24"/>
        </w:rPr>
        <w:t xml:space="preserve">n this review we provide </w:t>
      </w:r>
      <w:r w:rsidR="00FF1381" w:rsidRPr="00FC2DDA">
        <w:rPr>
          <w:rFonts w:ascii="Book Antiqua" w:eastAsia="Arial" w:hAnsi="Book Antiqua" w:cs="Arial"/>
          <w:color w:val="auto"/>
          <w:sz w:val="24"/>
          <w:szCs w:val="24"/>
          <w:highlight w:val="white"/>
        </w:rPr>
        <w:t>an overview of recent advanced techniques in MR for diagnosis and staging of hepatocellular carcinoma</w:t>
      </w:r>
      <w:r w:rsidR="00FF1381" w:rsidRPr="00FC2DDA">
        <w:rPr>
          <w:rFonts w:ascii="Book Antiqua" w:eastAsia="Times New Roman" w:hAnsi="Book Antiqua" w:cs="Times New Roman"/>
          <w:color w:val="auto"/>
          <w:sz w:val="24"/>
          <w:szCs w:val="24"/>
        </w:rPr>
        <w:t>, and their role in the assessment of</w:t>
      </w:r>
      <w:r w:rsidR="00FF1381" w:rsidRPr="00FC2DDA">
        <w:rPr>
          <w:rFonts w:ascii="Book Antiqua" w:eastAsia="Times New Roman" w:hAnsi="Book Antiqua" w:cs="Times New Roman"/>
          <w:color w:val="auto"/>
          <w:sz w:val="24"/>
          <w:szCs w:val="24"/>
          <w:lang w:val="en-US"/>
        </w:rPr>
        <w:t xml:space="preserve"> response treatment evaluation.</w:t>
      </w:r>
    </w:p>
    <w:p w14:paraId="4CC9EC40" w14:textId="77777777" w:rsidR="00A67619" w:rsidRPr="00FC2DDA" w:rsidRDefault="00A67619" w:rsidP="00AF2AB9">
      <w:pPr>
        <w:snapToGrid w:val="0"/>
        <w:spacing w:after="0" w:line="360" w:lineRule="auto"/>
        <w:jc w:val="both"/>
        <w:rPr>
          <w:rFonts w:ascii="Book Antiqua" w:eastAsia="Times New Roman" w:hAnsi="Book Antiqua" w:cs="Times New Roman"/>
          <w:b/>
          <w:color w:val="auto"/>
          <w:sz w:val="24"/>
          <w:szCs w:val="24"/>
        </w:rPr>
      </w:pPr>
    </w:p>
    <w:p w14:paraId="4199436C" w14:textId="230F8988" w:rsidR="00FF1381" w:rsidRPr="00FC2DDA" w:rsidRDefault="00BF10A8"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b/>
          <w:color w:val="auto"/>
          <w:sz w:val="24"/>
          <w:szCs w:val="24"/>
        </w:rPr>
        <w:t xml:space="preserve"> </w:t>
      </w:r>
      <w:r w:rsidR="00A67619" w:rsidRPr="00FC2DDA">
        <w:rPr>
          <w:rFonts w:ascii="Book Antiqua" w:eastAsia="Times New Roman" w:hAnsi="Book Antiqua" w:cs="Times New Roman"/>
          <w:b/>
          <w:color w:val="auto"/>
          <w:sz w:val="24"/>
          <w:szCs w:val="24"/>
        </w:rPr>
        <w:t>Key</w:t>
      </w:r>
      <w:r w:rsidR="00377269" w:rsidRPr="00FC2DDA">
        <w:rPr>
          <w:rFonts w:ascii="Book Antiqua" w:hAnsi="Book Antiqua" w:cs="Times New Roman"/>
          <w:b/>
          <w:color w:val="auto"/>
          <w:sz w:val="24"/>
          <w:szCs w:val="24"/>
          <w:lang w:eastAsia="zh-CN"/>
        </w:rPr>
        <w:t xml:space="preserve"> </w:t>
      </w:r>
      <w:r w:rsidR="00A67619" w:rsidRPr="00FC2DDA">
        <w:rPr>
          <w:rFonts w:ascii="Book Antiqua" w:eastAsia="Times New Roman" w:hAnsi="Book Antiqua" w:cs="Times New Roman"/>
          <w:b/>
          <w:color w:val="auto"/>
          <w:sz w:val="24"/>
          <w:szCs w:val="24"/>
        </w:rPr>
        <w:t xml:space="preserve">words: </w:t>
      </w:r>
      <w:r w:rsidR="00A67619" w:rsidRPr="00FC2DDA">
        <w:rPr>
          <w:rFonts w:ascii="Book Antiqua" w:eastAsia="Times New Roman" w:hAnsi="Book Antiqua" w:cs="Times New Roman"/>
          <w:color w:val="auto"/>
          <w:sz w:val="24"/>
          <w:szCs w:val="24"/>
        </w:rPr>
        <w:t>Hepatocellular</w:t>
      </w:r>
      <w:r w:rsidR="00097534" w:rsidRPr="00FC2DDA">
        <w:rPr>
          <w:rFonts w:ascii="Book Antiqua" w:eastAsia="Times New Roman" w:hAnsi="Book Antiqua" w:cs="Times New Roman"/>
          <w:color w:val="auto"/>
          <w:sz w:val="24"/>
          <w:szCs w:val="24"/>
        </w:rPr>
        <w:t xml:space="preserve"> </w:t>
      </w:r>
      <w:r w:rsidR="00A67619" w:rsidRPr="00FC2DDA">
        <w:rPr>
          <w:rFonts w:ascii="Book Antiqua" w:eastAsia="Times New Roman" w:hAnsi="Book Antiqua" w:cs="Times New Roman"/>
          <w:color w:val="auto"/>
          <w:sz w:val="24"/>
          <w:szCs w:val="24"/>
        </w:rPr>
        <w:t>carcinoma; Magnetic Resonance; Liver; Cirrhosis; Transarterial chemoembolization; Contrast media</w:t>
      </w:r>
    </w:p>
    <w:p w14:paraId="0441B0C1" w14:textId="77777777" w:rsidR="00A67619" w:rsidRPr="00FC2DDA" w:rsidRDefault="00A67619" w:rsidP="00AF2AB9">
      <w:pPr>
        <w:snapToGrid w:val="0"/>
        <w:spacing w:after="0" w:line="360" w:lineRule="auto"/>
        <w:jc w:val="both"/>
        <w:rPr>
          <w:rFonts w:ascii="Book Antiqua" w:hAnsi="Book Antiqua" w:cs="Times New Roman"/>
          <w:b/>
          <w:color w:val="auto"/>
          <w:sz w:val="24"/>
          <w:szCs w:val="24"/>
          <w:lang w:eastAsia="zh-CN"/>
        </w:rPr>
      </w:pPr>
    </w:p>
    <w:p w14:paraId="33744829" w14:textId="77777777" w:rsidR="00377269" w:rsidRPr="00FC2DDA" w:rsidRDefault="00377269" w:rsidP="00AF2AB9">
      <w:pPr>
        <w:pBdr>
          <w:top w:val="none" w:sz="0" w:space="0" w:color="auto"/>
          <w:left w:val="none" w:sz="0" w:space="0" w:color="auto"/>
          <w:bottom w:val="none" w:sz="0" w:space="0" w:color="auto"/>
          <w:right w:val="none" w:sz="0" w:space="0" w:color="auto"/>
          <w:between w:val="none" w:sz="0" w:space="0" w:color="auto"/>
        </w:pBdr>
        <w:adjustRightInd w:val="0"/>
        <w:snapToGrid w:val="0"/>
        <w:spacing w:after="0" w:line="360" w:lineRule="auto"/>
        <w:jc w:val="both"/>
        <w:rPr>
          <w:rFonts w:ascii="Book Antiqua" w:eastAsia="SimSun" w:hAnsi="Book Antiqua" w:cs="SimSun"/>
          <w:color w:val="auto"/>
          <w:sz w:val="24"/>
          <w:szCs w:val="24"/>
          <w:lang w:val="en-US" w:eastAsia="zh-CN"/>
        </w:rPr>
      </w:pPr>
      <w:bookmarkStart w:id="36" w:name="OLE_LINK363"/>
      <w:bookmarkStart w:id="37" w:name="OLE_LINK364"/>
      <w:bookmarkStart w:id="38" w:name="OLE_LINK359"/>
      <w:bookmarkStart w:id="39" w:name="OLE_LINK1037"/>
      <w:bookmarkStart w:id="40" w:name="OLE_LINK1195"/>
      <w:bookmarkStart w:id="41" w:name="OLE_LINK1140"/>
      <w:bookmarkStart w:id="42" w:name="OLE_LINK1062"/>
      <w:bookmarkStart w:id="43" w:name="OLE_LINK500"/>
      <w:bookmarkStart w:id="44" w:name="OLE_LINK916"/>
      <w:bookmarkStart w:id="45" w:name="OLE_LINK956"/>
      <w:bookmarkStart w:id="46" w:name="OLE_LINK994"/>
      <w:r w:rsidRPr="00FC2DDA">
        <w:rPr>
          <w:rFonts w:ascii="Book Antiqua" w:eastAsia="SimSun" w:hAnsi="Book Antiqua" w:cs="SimSun"/>
          <w:b/>
          <w:color w:val="auto"/>
          <w:sz w:val="24"/>
          <w:szCs w:val="24"/>
          <w:lang w:val="en-US" w:eastAsia="zh-CN"/>
        </w:rPr>
        <w:t>© The Author(s) 2018.</w:t>
      </w:r>
      <w:r w:rsidRPr="00FC2DDA">
        <w:rPr>
          <w:rFonts w:ascii="Book Antiqua" w:eastAsia="SimSun" w:hAnsi="Book Antiqua" w:cs="SimSun"/>
          <w:color w:val="auto"/>
          <w:sz w:val="24"/>
          <w:szCs w:val="24"/>
          <w:lang w:val="en-US" w:eastAsia="zh-CN"/>
        </w:rPr>
        <w:t xml:space="preserve"> Published by Baishideng Publishing Group Inc. All rights reserved.</w:t>
      </w:r>
    </w:p>
    <w:bookmarkEnd w:id="36"/>
    <w:bookmarkEnd w:id="37"/>
    <w:bookmarkEnd w:id="38"/>
    <w:bookmarkEnd w:id="39"/>
    <w:bookmarkEnd w:id="40"/>
    <w:bookmarkEnd w:id="41"/>
    <w:bookmarkEnd w:id="42"/>
    <w:bookmarkEnd w:id="43"/>
    <w:bookmarkEnd w:id="44"/>
    <w:bookmarkEnd w:id="45"/>
    <w:bookmarkEnd w:id="46"/>
    <w:p w14:paraId="0082BBA0" w14:textId="77777777" w:rsidR="007E7040" w:rsidRPr="00FC2DDA" w:rsidRDefault="007E7040" w:rsidP="00AF2AB9">
      <w:pPr>
        <w:snapToGrid w:val="0"/>
        <w:spacing w:after="0" w:line="360" w:lineRule="auto"/>
        <w:jc w:val="both"/>
        <w:rPr>
          <w:rFonts w:ascii="Book Antiqua" w:hAnsi="Book Antiqua" w:cs="Times New Roman"/>
          <w:b/>
          <w:color w:val="auto"/>
          <w:sz w:val="24"/>
          <w:szCs w:val="24"/>
          <w:lang w:eastAsia="zh-CN"/>
        </w:rPr>
      </w:pPr>
    </w:p>
    <w:p w14:paraId="74F6776D" w14:textId="6FE0A0E5" w:rsidR="00FF1381" w:rsidRPr="00FC2DDA" w:rsidRDefault="00FF1381" w:rsidP="00AF2AB9">
      <w:pPr>
        <w:snapToGrid w:val="0"/>
        <w:spacing w:after="0" w:line="360" w:lineRule="auto"/>
        <w:jc w:val="both"/>
        <w:rPr>
          <w:rFonts w:ascii="Book Antiqua" w:hAnsi="Book Antiqua" w:cs="Times New Roman"/>
          <w:b/>
          <w:color w:val="auto"/>
          <w:sz w:val="24"/>
          <w:szCs w:val="24"/>
          <w:lang w:eastAsia="zh-CN"/>
        </w:rPr>
      </w:pPr>
      <w:r w:rsidRPr="00FC2DDA">
        <w:rPr>
          <w:rFonts w:ascii="Book Antiqua" w:eastAsia="Times New Roman" w:hAnsi="Book Antiqua" w:cs="Times New Roman"/>
          <w:b/>
          <w:color w:val="auto"/>
          <w:sz w:val="24"/>
          <w:szCs w:val="24"/>
        </w:rPr>
        <w:t>C</w:t>
      </w:r>
      <w:r w:rsidR="00F23569" w:rsidRPr="00FC2DDA">
        <w:rPr>
          <w:rFonts w:ascii="Book Antiqua" w:eastAsia="Times New Roman" w:hAnsi="Book Antiqua" w:cs="Times New Roman"/>
          <w:b/>
          <w:color w:val="auto"/>
          <w:sz w:val="24"/>
          <w:szCs w:val="24"/>
        </w:rPr>
        <w:t>ore tip</w:t>
      </w:r>
      <w:r w:rsidR="00F23569" w:rsidRPr="00FC2DDA">
        <w:rPr>
          <w:rFonts w:ascii="Book Antiqua" w:hAnsi="Book Antiqua" w:cs="Times New Roman"/>
          <w:b/>
          <w:color w:val="auto"/>
          <w:sz w:val="24"/>
          <w:szCs w:val="24"/>
          <w:lang w:eastAsia="zh-CN"/>
        </w:rPr>
        <w:t xml:space="preserve">: </w:t>
      </w:r>
      <w:r w:rsidRPr="00FC2DDA">
        <w:rPr>
          <w:rFonts w:ascii="Book Antiqua" w:eastAsia="Times" w:hAnsi="Book Antiqua" w:cs="Times"/>
          <w:color w:val="auto"/>
          <w:sz w:val="24"/>
          <w:szCs w:val="24"/>
        </w:rPr>
        <w:t xml:space="preserve">Magnetic </w:t>
      </w:r>
      <w:r w:rsidR="00B44C63" w:rsidRPr="00FC2DDA">
        <w:rPr>
          <w:rFonts w:ascii="Book Antiqua" w:eastAsia="Times" w:hAnsi="Book Antiqua" w:cs="Times"/>
          <w:color w:val="auto"/>
          <w:sz w:val="24"/>
          <w:szCs w:val="24"/>
        </w:rPr>
        <w:t>r</w:t>
      </w:r>
      <w:r w:rsidRPr="00FC2DDA">
        <w:rPr>
          <w:rFonts w:ascii="Book Antiqua" w:eastAsia="Times" w:hAnsi="Book Antiqua" w:cs="Times"/>
          <w:color w:val="auto"/>
          <w:sz w:val="24"/>
          <w:szCs w:val="24"/>
        </w:rPr>
        <w:t>esonance</w:t>
      </w:r>
      <w:r w:rsidR="0099457A" w:rsidRPr="00FC2DDA">
        <w:rPr>
          <w:rFonts w:ascii="Book Antiqua" w:hAnsi="Book Antiqua" w:cs="Times"/>
          <w:color w:val="auto"/>
          <w:sz w:val="24"/>
          <w:szCs w:val="24"/>
          <w:lang w:eastAsia="zh-CN"/>
        </w:rPr>
        <w:t xml:space="preserve"> </w:t>
      </w:r>
      <w:r w:rsidR="006A6E24" w:rsidRPr="00FC2DDA">
        <w:rPr>
          <w:rFonts w:ascii="Book Antiqua" w:hAnsi="Book Antiqua" w:cs="Times"/>
          <w:color w:val="auto"/>
          <w:sz w:val="24"/>
          <w:szCs w:val="24"/>
          <w:lang w:eastAsia="zh-CN"/>
        </w:rPr>
        <w:t>(</w:t>
      </w:r>
      <w:r w:rsidR="006A6E24" w:rsidRPr="00FC2DDA">
        <w:rPr>
          <w:rFonts w:ascii="Book Antiqua" w:hAnsi="Book Antiqua" w:cs="Times New Roman"/>
          <w:color w:val="auto"/>
          <w:sz w:val="24"/>
          <w:szCs w:val="24"/>
        </w:rPr>
        <w:t>MR</w:t>
      </w:r>
      <w:r w:rsidR="006A6E24" w:rsidRPr="00FC2DDA">
        <w:rPr>
          <w:rFonts w:ascii="Book Antiqua" w:hAnsi="Book Antiqua" w:cs="Times"/>
          <w:color w:val="auto"/>
          <w:sz w:val="24"/>
          <w:szCs w:val="24"/>
          <w:lang w:eastAsia="zh-CN"/>
        </w:rPr>
        <w:t xml:space="preserve">) </w:t>
      </w:r>
      <w:r w:rsidRPr="00FC2DDA">
        <w:rPr>
          <w:rFonts w:ascii="Book Antiqua" w:eastAsia="Times" w:hAnsi="Book Antiqua" w:cs="Times"/>
          <w:color w:val="auto"/>
          <w:sz w:val="24"/>
          <w:szCs w:val="24"/>
        </w:rPr>
        <w:t>of the liver is an important diagnostic option for detection and characterization of focal liver lesions.</w:t>
      </w:r>
      <w:r w:rsidRPr="00FC2DDA">
        <w:rPr>
          <w:rFonts w:ascii="Book Antiqua" w:eastAsia="Times New Roman" w:hAnsi="Book Antiqua" w:cs="Times New Roman"/>
          <w:color w:val="auto"/>
          <w:sz w:val="24"/>
          <w:szCs w:val="24"/>
        </w:rPr>
        <w:t xml:space="preserve"> To date, beside the standard morphological sequences, new functional imaging tools (</w:t>
      </w:r>
      <w:r w:rsidRPr="00FC2DDA">
        <w:rPr>
          <w:rFonts w:ascii="Book Antiqua" w:eastAsia="Times New Roman" w:hAnsi="Book Antiqua" w:cs="Times New Roman"/>
          <w:i/>
          <w:color w:val="auto"/>
          <w:sz w:val="24"/>
          <w:szCs w:val="24"/>
        </w:rPr>
        <w:t>i.e.</w:t>
      </w:r>
      <w:r w:rsidR="00EE527C" w:rsidRPr="00FC2DDA">
        <w:rPr>
          <w:rFonts w:ascii="Book Antiqua" w:hAnsi="Book Antiqua" w:cs="Times New Roman"/>
          <w:color w:val="auto"/>
          <w:sz w:val="24"/>
          <w:szCs w:val="24"/>
          <w:lang w:eastAsia="zh-CN"/>
        </w:rPr>
        <w:t>,</w:t>
      </w:r>
      <w:r w:rsidRPr="00FC2DDA">
        <w:rPr>
          <w:rFonts w:ascii="Book Antiqua" w:eastAsia="Times New Roman" w:hAnsi="Book Antiqua" w:cs="Times New Roman"/>
          <w:color w:val="auto"/>
          <w:sz w:val="24"/>
          <w:szCs w:val="24"/>
        </w:rPr>
        <w:t xml:space="preserve"> </w:t>
      </w:r>
      <w:r w:rsidRPr="00FC2DDA">
        <w:rPr>
          <w:rFonts w:ascii="Book Antiqua" w:hAnsi="Book Antiqua" w:cs="Times New Roman"/>
          <w:color w:val="auto"/>
          <w:sz w:val="24"/>
          <w:szCs w:val="24"/>
        </w:rPr>
        <w:t>diffusion-weighted sequences, hepatobiliary contrast agents, perfusion imaging,</w:t>
      </w:r>
      <w:r w:rsidR="006B593A" w:rsidRPr="00FC2DDA">
        <w:rPr>
          <w:rFonts w:ascii="Book Antiqua" w:hAnsi="Book Antiqua" w:cs="Times New Roman"/>
          <w:color w:val="auto"/>
          <w:sz w:val="24"/>
          <w:szCs w:val="24"/>
          <w:lang w:eastAsia="zh-CN"/>
        </w:rPr>
        <w:t xml:space="preserve"> </w:t>
      </w:r>
      <w:r w:rsidRPr="00FC2DDA">
        <w:rPr>
          <w:rFonts w:ascii="Book Antiqua" w:hAnsi="Book Antiqua" w:cs="Times New Roman"/>
          <w:color w:val="auto"/>
          <w:sz w:val="24"/>
          <w:szCs w:val="24"/>
        </w:rPr>
        <w:t>MR-elastography or radiomics analysis</w:t>
      </w:r>
      <w:r w:rsidRPr="00FC2DDA">
        <w:rPr>
          <w:rFonts w:ascii="Book Antiqua" w:eastAsia="Times New Roman" w:hAnsi="Book Antiqua" w:cs="Times New Roman"/>
          <w:color w:val="auto"/>
          <w:sz w:val="24"/>
          <w:szCs w:val="24"/>
        </w:rPr>
        <w:t>) have been introduced in clinical practice. The aim of functional imaging is to provide an</w:t>
      </w:r>
      <w:r w:rsidRPr="00FC2DDA">
        <w:rPr>
          <w:rFonts w:ascii="Book Antiqua" w:eastAsia="Times New Roman" w:hAnsi="Book Antiqua" w:cs="Times New Roman"/>
          <w:i/>
          <w:color w:val="auto"/>
          <w:sz w:val="24"/>
          <w:szCs w:val="24"/>
        </w:rPr>
        <w:t xml:space="preserve"> in</w:t>
      </w:r>
      <w:r w:rsidR="00881729" w:rsidRPr="00FC2DDA">
        <w:rPr>
          <w:rFonts w:ascii="Book Antiqua" w:eastAsia="Times New Roman" w:hAnsi="Book Antiqua" w:cs="Times New Roman"/>
          <w:i/>
          <w:color w:val="auto"/>
          <w:sz w:val="24"/>
          <w:szCs w:val="24"/>
        </w:rPr>
        <w:t>-</w:t>
      </w:r>
      <w:r w:rsidRPr="00FC2DDA">
        <w:rPr>
          <w:rFonts w:ascii="Book Antiqua" w:eastAsia="Times New Roman" w:hAnsi="Book Antiqua" w:cs="Times New Roman"/>
          <w:i/>
          <w:color w:val="auto"/>
          <w:sz w:val="24"/>
          <w:szCs w:val="24"/>
        </w:rPr>
        <w:t xml:space="preserve">vivo </w:t>
      </w:r>
      <w:r w:rsidRPr="00FC2DDA">
        <w:rPr>
          <w:rFonts w:ascii="Book Antiqua" w:eastAsia="Times New Roman" w:hAnsi="Book Antiqua" w:cs="Times New Roman"/>
          <w:color w:val="auto"/>
          <w:sz w:val="24"/>
          <w:szCs w:val="24"/>
        </w:rPr>
        <w:t xml:space="preserve">quantitative complementary functional data related to the tissue or tumour modifications, offering useful </w:t>
      </w:r>
      <w:r w:rsidRPr="00FC2DDA">
        <w:rPr>
          <w:rFonts w:ascii="Book Antiqua" w:eastAsia="Times" w:hAnsi="Book Antiqua" w:cs="Times"/>
          <w:color w:val="auto"/>
          <w:sz w:val="24"/>
          <w:szCs w:val="24"/>
        </w:rPr>
        <w:t xml:space="preserve">comprehensive informations about the </w:t>
      </w:r>
      <w:r w:rsidRPr="00FC2DDA">
        <w:rPr>
          <w:rFonts w:ascii="Book Antiqua" w:eastAsia="Times" w:hAnsi="Book Antiqua" w:cs="Times"/>
          <w:color w:val="auto"/>
          <w:sz w:val="24"/>
          <w:szCs w:val="24"/>
        </w:rPr>
        <w:lastRenderedPageBreak/>
        <w:t xml:space="preserve">biology, behaviour and prognosis of </w:t>
      </w:r>
      <w:r w:rsidR="00AF2118" w:rsidRPr="00FC2DDA">
        <w:rPr>
          <w:rFonts w:ascii="Book Antiqua" w:eastAsia="Times" w:hAnsi="Book Antiqua" w:cs="Times"/>
          <w:color w:val="auto"/>
          <w:sz w:val="24"/>
          <w:szCs w:val="24"/>
        </w:rPr>
        <w:t>hepatocellular carcinoma</w:t>
      </w:r>
      <w:r w:rsidRPr="00FC2DDA">
        <w:rPr>
          <w:rFonts w:ascii="Book Antiqua" w:eastAsia="Times" w:hAnsi="Book Antiqua" w:cs="Times"/>
          <w:color w:val="auto"/>
          <w:sz w:val="24"/>
          <w:szCs w:val="24"/>
        </w:rPr>
        <w:t xml:space="preserve"> lesions. This functional approach may help the </w:t>
      </w:r>
      <w:r w:rsidRPr="00FC2DDA">
        <w:rPr>
          <w:rFonts w:ascii="Book Antiqua" w:hAnsi="Book Antiqua"/>
          <w:color w:val="auto"/>
          <w:sz w:val="24"/>
          <w:szCs w:val="24"/>
        </w:rPr>
        <w:t>clinicians in the correct management of cirrhotic patients, also after therapeutic treatment.</w:t>
      </w:r>
    </w:p>
    <w:p w14:paraId="2DF642AB" w14:textId="77777777" w:rsidR="005C7755" w:rsidRPr="00FC2DDA" w:rsidRDefault="005C7755" w:rsidP="00AF2AB9">
      <w:pPr>
        <w:snapToGrid w:val="0"/>
        <w:spacing w:after="0" w:line="360" w:lineRule="auto"/>
        <w:jc w:val="both"/>
        <w:rPr>
          <w:rFonts w:ascii="Book Antiqua" w:hAnsi="Book Antiqua" w:cs="Times New Roman"/>
          <w:color w:val="auto"/>
          <w:sz w:val="24"/>
          <w:szCs w:val="24"/>
          <w:lang w:val="pl-PL" w:eastAsia="zh-CN"/>
        </w:rPr>
      </w:pPr>
      <w:bookmarkStart w:id="47" w:name="OLE_LINK286"/>
      <w:bookmarkStart w:id="48" w:name="OLE_LINK287"/>
      <w:bookmarkStart w:id="49" w:name="OLE_LINK310"/>
      <w:bookmarkStart w:id="50" w:name="OLE_LINK579"/>
      <w:bookmarkStart w:id="51" w:name="OLE_LINK712"/>
      <w:bookmarkStart w:id="52" w:name="OLE_LINK232"/>
      <w:bookmarkStart w:id="53" w:name="OLE_LINK233"/>
      <w:bookmarkStart w:id="54" w:name="OLE_LINK271"/>
      <w:bookmarkStart w:id="55" w:name="OLE_LINK311"/>
      <w:bookmarkStart w:id="56" w:name="OLE_LINK452"/>
      <w:bookmarkStart w:id="57" w:name="OLE_LINK753"/>
      <w:bookmarkStart w:id="58" w:name="OLE_LINK775"/>
      <w:bookmarkStart w:id="59" w:name="OLE_LINK892"/>
      <w:bookmarkStart w:id="60" w:name="OLE_LINK907"/>
      <w:bookmarkStart w:id="61" w:name="OLE_LINK924"/>
      <w:bookmarkStart w:id="62" w:name="OLE_LINK1016"/>
    </w:p>
    <w:p w14:paraId="5B6877A1" w14:textId="22CDE718" w:rsidR="005C7755" w:rsidRPr="00FC2DDA" w:rsidRDefault="003110BC" w:rsidP="00AF2AB9">
      <w:pPr>
        <w:snapToGrid w:val="0"/>
        <w:spacing w:after="0" w:line="360" w:lineRule="auto"/>
        <w:jc w:val="both"/>
        <w:rPr>
          <w:rFonts w:ascii="Book Antiqua" w:hAnsi="Book Antiqua"/>
          <w:color w:val="auto"/>
          <w:sz w:val="24"/>
          <w:szCs w:val="24"/>
        </w:rPr>
      </w:pPr>
      <w:bookmarkStart w:id="63" w:name="OLE_LINK47"/>
      <w:bookmarkStart w:id="64" w:name="OLE_LINK48"/>
      <w:bookmarkStart w:id="65" w:name="OLE_LINK1105"/>
      <w:bookmarkStart w:id="66" w:name="OLE_LINK1107"/>
      <w:bookmarkStart w:id="67" w:name="OLE_LINK3"/>
      <w:bookmarkStart w:id="68" w:name="OLE_LINK4"/>
      <w:bookmarkStart w:id="69" w:name="OLE_LINK70"/>
      <w:bookmarkStart w:id="70" w:name="OLE_LINK118"/>
      <w:bookmarkStart w:id="71" w:name="OLE_LINK145"/>
      <w:bookmarkStart w:id="72" w:name="OLE_LINK218"/>
      <w:bookmarkStart w:id="73" w:name="OLE_LINK520"/>
      <w:bookmarkStart w:id="74" w:name="OLE_LINK537"/>
      <w:bookmarkStart w:id="75" w:name="OLE_LINK598"/>
      <w:bookmarkStart w:id="76" w:name="OLE_LINK728"/>
      <w:bookmarkStart w:id="77" w:name="OLE_LINK745"/>
      <w:bookmarkStart w:id="78" w:name="OLE_LINK200"/>
      <w:bookmarkStart w:id="79" w:name="OLE_LINK196"/>
      <w:bookmarkStart w:id="80" w:name="OLE_LINK341"/>
      <w:bookmarkStart w:id="81" w:name="OLE_LINK377"/>
      <w:bookmarkStart w:id="82" w:name="OLE_LINK1038"/>
      <w:bookmarkStart w:id="83" w:name="OLE_LINK1166"/>
      <w:r w:rsidRPr="00FC2DDA">
        <w:rPr>
          <w:rFonts w:ascii="Book Antiqua" w:hAnsi="Book Antiqua"/>
          <w:color w:val="auto"/>
          <w:sz w:val="24"/>
          <w:szCs w:val="24"/>
        </w:rPr>
        <w:t>Ippolito D</w:t>
      </w:r>
      <w:r w:rsidRPr="00FC2DDA">
        <w:rPr>
          <w:rStyle w:val="FootnoteReference"/>
          <w:rFonts w:ascii="Book Antiqua" w:hAnsi="Book Antiqua"/>
          <w:color w:val="auto"/>
          <w:sz w:val="24"/>
          <w:szCs w:val="24"/>
          <w:vertAlign w:val="baseline"/>
        </w:rPr>
        <w:t>,</w:t>
      </w:r>
      <w:r w:rsidRPr="00FC2DDA">
        <w:rPr>
          <w:rFonts w:ascii="Book Antiqua" w:hAnsi="Book Antiqua"/>
          <w:color w:val="auto"/>
          <w:sz w:val="24"/>
          <w:szCs w:val="24"/>
        </w:rPr>
        <w:t xml:space="preserve"> Inchingolo R, Grazioli L, Drago SG, Nardella M, Gatti M, Faletti R</w:t>
      </w:r>
      <w:r w:rsidRPr="00FC2DDA">
        <w:rPr>
          <w:rFonts w:ascii="Book Antiqua" w:hAnsi="Book Antiqua"/>
          <w:color w:val="auto"/>
          <w:sz w:val="24"/>
          <w:szCs w:val="24"/>
          <w:lang w:eastAsia="zh-CN"/>
        </w:rPr>
        <w:t xml:space="preserve">. </w:t>
      </w:r>
      <w:r w:rsidR="002F4880" w:rsidRPr="00FC2DDA">
        <w:rPr>
          <w:rFonts w:ascii="Book Antiqua" w:hAnsi="Book Antiqua"/>
          <w:color w:val="auto"/>
          <w:sz w:val="24"/>
          <w:szCs w:val="24"/>
        </w:rPr>
        <w:t>Recent advances in non-invasive magnetic resonance imaging assessment of hepatocellular carcinoma</w:t>
      </w:r>
      <w:r w:rsidR="006B593A" w:rsidRPr="00FC2DDA">
        <w:rPr>
          <w:rFonts w:ascii="Book Antiqua" w:hAnsi="Book Antiqua"/>
          <w:color w:val="auto"/>
          <w:sz w:val="24"/>
          <w:szCs w:val="24"/>
          <w:lang w:val="it-IT" w:eastAsia="zh-CN"/>
        </w:rPr>
        <w:t xml:space="preserve">. </w:t>
      </w:r>
      <w:r w:rsidR="006B593A" w:rsidRPr="00FC2DDA">
        <w:rPr>
          <w:rFonts w:ascii="Book Antiqua" w:hAnsi="Book Antiqua"/>
          <w:i/>
          <w:color w:val="auto"/>
          <w:sz w:val="24"/>
          <w:szCs w:val="24"/>
        </w:rPr>
        <w:t xml:space="preserve">World J Gastroenterol </w:t>
      </w:r>
      <w:r w:rsidR="006B593A" w:rsidRPr="00FC2DDA">
        <w:rPr>
          <w:rFonts w:ascii="Book Antiqua" w:hAnsi="Book Antiqua"/>
          <w:color w:val="auto"/>
          <w:sz w:val="24"/>
          <w:szCs w:val="24"/>
        </w:rPr>
        <w:t xml:space="preserve">2018; </w:t>
      </w:r>
      <w:r w:rsidR="005C7755" w:rsidRPr="00FC2DDA">
        <w:rPr>
          <w:rFonts w:ascii="Book Antiqua" w:hAnsi="Book Antiqua"/>
          <w:color w:val="auto"/>
          <w:sz w:val="24"/>
          <w:szCs w:val="24"/>
        </w:rPr>
        <w:t>In press</w:t>
      </w:r>
      <w:bookmarkEnd w:id="47"/>
      <w:bookmarkEnd w:id="48"/>
      <w:bookmarkEnd w:id="49"/>
      <w:bookmarkEnd w:id="50"/>
      <w:bookmarkEnd w:id="51"/>
      <w:bookmarkEnd w:id="63"/>
      <w:bookmarkEnd w:id="64"/>
      <w:bookmarkEnd w:id="65"/>
      <w:bookmarkEnd w:id="66"/>
    </w:p>
    <w:bookmarkEnd w:id="52"/>
    <w:bookmarkEnd w:id="53"/>
    <w:bookmarkEnd w:id="54"/>
    <w:bookmarkEnd w:id="55"/>
    <w:bookmarkEnd w:id="56"/>
    <w:bookmarkEnd w:id="57"/>
    <w:bookmarkEnd w:id="58"/>
    <w:bookmarkEnd w:id="59"/>
    <w:bookmarkEnd w:id="60"/>
    <w:bookmarkEnd w:id="61"/>
    <w:bookmarkEnd w:id="6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14:paraId="1777CDE8" w14:textId="77777777" w:rsidR="005C7755" w:rsidRPr="00FC2DDA" w:rsidRDefault="005C7755" w:rsidP="00AF2AB9">
      <w:pPr>
        <w:snapToGrid w:val="0"/>
        <w:spacing w:after="0" w:line="360" w:lineRule="auto"/>
        <w:jc w:val="both"/>
        <w:rPr>
          <w:rFonts w:ascii="Book Antiqua" w:hAnsi="Book Antiqua" w:cs="Times New Roman"/>
          <w:b/>
          <w:color w:val="auto"/>
          <w:sz w:val="24"/>
          <w:szCs w:val="24"/>
          <w:lang w:eastAsia="zh-CN"/>
        </w:rPr>
      </w:pPr>
    </w:p>
    <w:p w14:paraId="48B223E2" w14:textId="37B6D195" w:rsidR="00F23569" w:rsidRPr="00FC2DDA" w:rsidRDefault="00F23569"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br w:type="page"/>
      </w:r>
    </w:p>
    <w:p w14:paraId="3BCF1698" w14:textId="0C130D39" w:rsidR="001B04E3" w:rsidRPr="00FC2DDA" w:rsidRDefault="007F65DB"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lastRenderedPageBreak/>
        <w:t>INTRODUCTION</w:t>
      </w:r>
    </w:p>
    <w:p w14:paraId="12A28CB4" w14:textId="4FE50B73" w:rsidR="001B04E3" w:rsidRPr="00FC2DDA" w:rsidRDefault="00FB4404"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Liver cancer is the fifth most frequently diagnosed malignancy among men and the ninth among women. In the last years</w:t>
      </w:r>
      <w:r w:rsidR="00FA7A0E"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it has risen from the third to the second cause of death from ca</w:t>
      </w:r>
      <w:r w:rsidR="00167C10" w:rsidRPr="00FC2DDA">
        <w:rPr>
          <w:rFonts w:ascii="Book Antiqua" w:eastAsia="Times New Roman" w:hAnsi="Book Antiqua" w:cs="Times New Roman"/>
          <w:color w:val="auto"/>
          <w:sz w:val="24"/>
          <w:szCs w:val="24"/>
        </w:rPr>
        <w:t>ncer, accounting for nearly 746</w:t>
      </w:r>
      <w:r w:rsidRPr="00FC2DDA">
        <w:rPr>
          <w:rFonts w:ascii="Book Antiqua" w:eastAsia="Times New Roman" w:hAnsi="Book Antiqua" w:cs="Times New Roman"/>
          <w:color w:val="auto"/>
          <w:sz w:val="24"/>
          <w:szCs w:val="24"/>
        </w:rPr>
        <w:t>000 deaths in 2012. In some regions like E</w:t>
      </w:r>
      <w:r w:rsidR="00FA7A0E" w:rsidRPr="00FC2DDA">
        <w:rPr>
          <w:rFonts w:ascii="Book Antiqua" w:eastAsia="Times New Roman" w:hAnsi="Book Antiqua" w:cs="Times New Roman"/>
          <w:color w:val="auto"/>
          <w:sz w:val="24"/>
          <w:szCs w:val="24"/>
        </w:rPr>
        <w:t>astern and South-Ea</w:t>
      </w:r>
      <w:r w:rsidRPr="00FC2DDA">
        <w:rPr>
          <w:rFonts w:ascii="Book Antiqua" w:eastAsia="Times New Roman" w:hAnsi="Book Antiqua" w:cs="Times New Roman"/>
          <w:color w:val="auto"/>
          <w:sz w:val="24"/>
          <w:szCs w:val="24"/>
        </w:rPr>
        <w:t>stern Asia, mortality almost equals incidenc</w:t>
      </w:r>
      <w:r w:rsidR="00167C10" w:rsidRPr="00FC2DDA">
        <w:rPr>
          <w:rFonts w:ascii="Book Antiqua" w:eastAsia="Times New Roman" w:hAnsi="Book Antiqua" w:cs="Times New Roman"/>
          <w:color w:val="auto"/>
          <w:sz w:val="24"/>
          <w:szCs w:val="24"/>
        </w:rPr>
        <w:t>e with an overall ratio of 0.95</w:t>
      </w:r>
      <w:r w:rsidRPr="00FC2DDA">
        <w:rPr>
          <w:rFonts w:ascii="Book Antiqua" w:eastAsia="Times New Roman" w:hAnsi="Book Antiqua" w:cs="Times New Roman"/>
          <w:color w:val="auto"/>
          <w:sz w:val="24"/>
          <w:szCs w:val="24"/>
          <w:vertAlign w:val="superscript"/>
        </w:rPr>
        <w:t>[1</w:t>
      </w:r>
      <w:r w:rsidR="00FA7A0E" w:rsidRPr="00FC2DDA">
        <w:rPr>
          <w:rFonts w:ascii="Book Antiqua" w:eastAsia="Times New Roman" w:hAnsi="Book Antiqua" w:cs="Times New Roman"/>
          <w:color w:val="auto"/>
          <w:sz w:val="24"/>
          <w:szCs w:val="24"/>
          <w:vertAlign w:val="superscript"/>
        </w:rPr>
        <w:t>]</w:t>
      </w:r>
      <w:r w:rsidR="00FA7A0E"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The most common histological subtype of liver cancer is hepatocellular carcinoma (HCC), representing more than 90% of cases. The incidence of HCC increases with advanced ag</w:t>
      </w:r>
      <w:r w:rsidR="00FA7A0E" w:rsidRPr="00FC2DDA">
        <w:rPr>
          <w:rFonts w:ascii="Book Antiqua" w:eastAsia="Times New Roman" w:hAnsi="Book Antiqua" w:cs="Times New Roman"/>
          <w:color w:val="auto"/>
          <w:sz w:val="24"/>
          <w:szCs w:val="24"/>
        </w:rPr>
        <w:t xml:space="preserve">e reaching a peak at 70 years, </w:t>
      </w:r>
      <w:r w:rsidRPr="00FC2DDA">
        <w:rPr>
          <w:rFonts w:ascii="Book Antiqua" w:eastAsia="Times New Roman" w:hAnsi="Book Antiqua" w:cs="Times New Roman"/>
          <w:color w:val="auto"/>
          <w:sz w:val="24"/>
          <w:szCs w:val="24"/>
        </w:rPr>
        <w:t>at l</w:t>
      </w:r>
      <w:r w:rsidR="00167C10" w:rsidRPr="00FC2DDA">
        <w:rPr>
          <w:rFonts w:ascii="Book Antiqua" w:eastAsia="Times New Roman" w:hAnsi="Book Antiqua" w:cs="Times New Roman"/>
          <w:color w:val="auto"/>
          <w:sz w:val="24"/>
          <w:szCs w:val="24"/>
        </w:rPr>
        <w:t>east in developed countries</w:t>
      </w:r>
      <w:r w:rsidRPr="00FC2DDA">
        <w:rPr>
          <w:rFonts w:ascii="Book Antiqua" w:eastAsia="Times New Roman" w:hAnsi="Book Antiqua" w:cs="Times New Roman"/>
          <w:color w:val="auto"/>
          <w:sz w:val="24"/>
          <w:szCs w:val="24"/>
          <w:vertAlign w:val="superscript"/>
        </w:rPr>
        <w:t>[2]</w:t>
      </w:r>
      <w:r w:rsidRPr="00FC2DDA">
        <w:rPr>
          <w:rFonts w:ascii="Book Antiqua" w:eastAsia="Times New Roman" w:hAnsi="Book Antiqua" w:cs="Times New Roman"/>
          <w:color w:val="auto"/>
          <w:sz w:val="24"/>
          <w:szCs w:val="24"/>
        </w:rPr>
        <w:t>. In up to 90% of cases</w:t>
      </w:r>
      <w:r w:rsidR="00FA7A0E"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HCC occurs in the setting of liver cirrhosis and overall, one-third of cirrhotic patients will de</w:t>
      </w:r>
      <w:r w:rsidR="00167C10" w:rsidRPr="00FC2DDA">
        <w:rPr>
          <w:rFonts w:ascii="Book Antiqua" w:eastAsia="Times New Roman" w:hAnsi="Book Antiqua" w:cs="Times New Roman"/>
          <w:color w:val="auto"/>
          <w:sz w:val="24"/>
          <w:szCs w:val="24"/>
        </w:rPr>
        <w:t>velop HCC during their lifetime</w:t>
      </w:r>
      <w:r w:rsidRPr="00FC2DDA">
        <w:rPr>
          <w:rFonts w:ascii="Book Antiqua" w:eastAsia="Times New Roman" w:hAnsi="Book Antiqua" w:cs="Times New Roman"/>
          <w:color w:val="auto"/>
          <w:sz w:val="24"/>
          <w:szCs w:val="24"/>
          <w:vertAlign w:val="superscript"/>
        </w:rPr>
        <w:t>[3]</w:t>
      </w:r>
      <w:r w:rsidRPr="00FC2DDA">
        <w:rPr>
          <w:rFonts w:ascii="Book Antiqua" w:eastAsia="Times New Roman" w:hAnsi="Book Antiqua" w:cs="Times New Roman"/>
          <w:color w:val="auto"/>
          <w:sz w:val="24"/>
          <w:szCs w:val="24"/>
        </w:rPr>
        <w:t>.</w:t>
      </w:r>
    </w:p>
    <w:p w14:paraId="00FC93CF" w14:textId="74389E9F" w:rsidR="001B04E3" w:rsidRPr="00FC2DDA" w:rsidRDefault="00FB4404" w:rsidP="006D7B0B">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 xml:space="preserve">The primary risk factor for HCC is still represented by chronic </w:t>
      </w:r>
      <w:r w:rsidR="00061CDF" w:rsidRPr="00FC2DDA">
        <w:rPr>
          <w:rFonts w:ascii="Book Antiqua" w:eastAsia="Times New Roman" w:hAnsi="Book Antiqua" w:cs="Times New Roman"/>
          <w:color w:val="auto"/>
          <w:sz w:val="24"/>
          <w:szCs w:val="24"/>
        </w:rPr>
        <w:t xml:space="preserve">hepatitis B virus </w:t>
      </w:r>
      <w:r w:rsidR="00061CDF" w:rsidRPr="00FC2DDA">
        <w:rPr>
          <w:rFonts w:ascii="Book Antiqua" w:hAnsi="Book Antiqua" w:cs="Times New Roman" w:hint="eastAsia"/>
          <w:color w:val="auto"/>
          <w:sz w:val="24"/>
          <w:szCs w:val="24"/>
          <w:lang w:eastAsia="zh-CN"/>
        </w:rPr>
        <w:t>(</w:t>
      </w:r>
      <w:r w:rsidRPr="00FC2DDA">
        <w:rPr>
          <w:rFonts w:ascii="Book Antiqua" w:eastAsia="Times New Roman" w:hAnsi="Book Antiqua" w:cs="Times New Roman"/>
          <w:color w:val="auto"/>
          <w:sz w:val="24"/>
          <w:szCs w:val="24"/>
        </w:rPr>
        <w:t>HB</w:t>
      </w:r>
      <w:r w:rsidR="00167C10" w:rsidRPr="00FC2DDA">
        <w:rPr>
          <w:rFonts w:ascii="Book Antiqua" w:eastAsia="Times New Roman" w:hAnsi="Book Antiqua" w:cs="Times New Roman"/>
          <w:color w:val="auto"/>
          <w:sz w:val="24"/>
          <w:szCs w:val="24"/>
        </w:rPr>
        <w:t>V</w:t>
      </w:r>
      <w:r w:rsidR="00061CDF" w:rsidRPr="00FC2DDA">
        <w:rPr>
          <w:rFonts w:ascii="Book Antiqua" w:hAnsi="Book Antiqua" w:cs="Times New Roman" w:hint="eastAsia"/>
          <w:color w:val="auto"/>
          <w:sz w:val="24"/>
          <w:szCs w:val="24"/>
          <w:lang w:eastAsia="zh-CN"/>
        </w:rPr>
        <w:t>)</w:t>
      </w:r>
      <w:r w:rsidR="00167C10" w:rsidRPr="00FC2DDA">
        <w:rPr>
          <w:rFonts w:ascii="Book Antiqua" w:eastAsia="Times New Roman" w:hAnsi="Book Antiqua" w:cs="Times New Roman"/>
          <w:color w:val="auto"/>
          <w:sz w:val="24"/>
          <w:szCs w:val="24"/>
        </w:rPr>
        <w:t xml:space="preserve"> or </w:t>
      </w:r>
      <w:r w:rsidR="00061CDF" w:rsidRPr="00FC2DDA">
        <w:rPr>
          <w:rFonts w:ascii="Book Antiqua" w:eastAsia="Times New Roman" w:hAnsi="Book Antiqua" w:cs="Times New Roman"/>
          <w:color w:val="auto"/>
          <w:sz w:val="24"/>
          <w:szCs w:val="24"/>
        </w:rPr>
        <w:t xml:space="preserve">hepatitis </w:t>
      </w:r>
      <w:r w:rsidR="00061CDF" w:rsidRPr="00FC2DDA">
        <w:rPr>
          <w:rFonts w:ascii="Book Antiqua" w:hAnsi="Book Antiqua" w:cs="Times New Roman" w:hint="eastAsia"/>
          <w:color w:val="auto"/>
          <w:sz w:val="24"/>
          <w:szCs w:val="24"/>
          <w:lang w:eastAsia="zh-CN"/>
        </w:rPr>
        <w:t>C</w:t>
      </w:r>
      <w:r w:rsidR="00061CDF" w:rsidRPr="00FC2DDA">
        <w:rPr>
          <w:rFonts w:ascii="Book Antiqua" w:eastAsia="Times New Roman" w:hAnsi="Book Antiqua" w:cs="Times New Roman"/>
          <w:color w:val="auto"/>
          <w:sz w:val="24"/>
          <w:szCs w:val="24"/>
        </w:rPr>
        <w:t xml:space="preserve"> virus </w:t>
      </w:r>
      <w:r w:rsidR="00061CDF" w:rsidRPr="00FC2DDA">
        <w:rPr>
          <w:rFonts w:ascii="Book Antiqua" w:hAnsi="Book Antiqua" w:cs="Times New Roman" w:hint="eastAsia"/>
          <w:color w:val="auto"/>
          <w:sz w:val="24"/>
          <w:szCs w:val="24"/>
          <w:lang w:eastAsia="zh-CN"/>
        </w:rPr>
        <w:t>(</w:t>
      </w:r>
      <w:r w:rsidR="00167C10" w:rsidRPr="00FC2DDA">
        <w:rPr>
          <w:rFonts w:ascii="Book Antiqua" w:eastAsia="Times New Roman" w:hAnsi="Book Antiqua" w:cs="Times New Roman"/>
          <w:color w:val="auto"/>
          <w:sz w:val="24"/>
          <w:szCs w:val="24"/>
        </w:rPr>
        <w:t>HCV</w:t>
      </w:r>
      <w:r w:rsidR="00061CDF" w:rsidRPr="00FC2DDA">
        <w:rPr>
          <w:rFonts w:ascii="Book Antiqua" w:hAnsi="Book Antiqua" w:cs="Times New Roman" w:hint="eastAsia"/>
          <w:color w:val="auto"/>
          <w:sz w:val="24"/>
          <w:szCs w:val="24"/>
          <w:lang w:eastAsia="zh-CN"/>
        </w:rPr>
        <w:t>)</w:t>
      </w:r>
      <w:r w:rsidR="006D7B0B" w:rsidRPr="00FC2DDA">
        <w:rPr>
          <w:rFonts w:ascii="Book Antiqua" w:hAnsi="Book Antiqua" w:cs="Times New Roman" w:hint="eastAsia"/>
          <w:color w:val="auto"/>
          <w:sz w:val="24"/>
          <w:szCs w:val="24"/>
          <w:lang w:eastAsia="zh-CN"/>
        </w:rPr>
        <w:t xml:space="preserve"> </w:t>
      </w:r>
      <w:r w:rsidR="00167C10" w:rsidRPr="00FC2DDA">
        <w:rPr>
          <w:rFonts w:ascii="Book Antiqua" w:eastAsia="Times New Roman" w:hAnsi="Book Antiqua" w:cs="Times New Roman"/>
          <w:color w:val="auto"/>
          <w:sz w:val="24"/>
          <w:szCs w:val="24"/>
        </w:rPr>
        <w:t>infection</w:t>
      </w:r>
      <w:hyperlink r:id="rId8">
        <w:r w:rsidRPr="00FC2DDA">
          <w:rPr>
            <w:rFonts w:ascii="Book Antiqua" w:eastAsia="Times New Roman" w:hAnsi="Book Antiqua" w:cs="Times New Roman"/>
            <w:color w:val="auto"/>
            <w:sz w:val="24"/>
            <w:szCs w:val="24"/>
            <w:vertAlign w:val="superscript"/>
          </w:rPr>
          <w:t>[</w:t>
        </w:r>
      </w:hyperlink>
      <w:hyperlink r:id="rId9">
        <w:r w:rsidRPr="00FC2DDA">
          <w:rPr>
            <w:rFonts w:ascii="Book Antiqua" w:eastAsia="Times New Roman" w:hAnsi="Book Antiqua" w:cs="Times New Roman"/>
            <w:color w:val="auto"/>
            <w:sz w:val="24"/>
            <w:szCs w:val="24"/>
            <w:vertAlign w:val="superscript"/>
          </w:rPr>
          <w:t>4</w:t>
        </w:r>
      </w:hyperlink>
      <w:hyperlink r:id="rId10">
        <w:r w:rsidRPr="00FC2DDA">
          <w:rPr>
            <w:rFonts w:ascii="Book Antiqua" w:eastAsia="Times New Roman" w:hAnsi="Book Antiqua" w:cs="Times New Roman"/>
            <w:color w:val="auto"/>
            <w:sz w:val="24"/>
            <w:szCs w:val="24"/>
            <w:vertAlign w:val="superscript"/>
          </w:rPr>
          <w:t>]</w:t>
        </w:r>
      </w:hyperlink>
      <w:r w:rsidRPr="00FC2DDA">
        <w:rPr>
          <w:rFonts w:ascii="Book Antiqua" w:eastAsia="Times New Roman" w:hAnsi="Book Antiqua" w:cs="Times New Roman"/>
          <w:color w:val="auto"/>
          <w:sz w:val="24"/>
          <w:szCs w:val="24"/>
        </w:rPr>
        <w:t xml:space="preserve">, with a prevalence of virus B infection in Eastern countries and a prevalence of virus C infection in Western countries. Other causes of cirrhosis comprise alcohol abuse, non-alcoholic fatty liver disease (NAFLD) and less frequent disorders such as hemochromatosis. All </w:t>
      </w:r>
      <w:r w:rsidR="00FA7A0E" w:rsidRPr="00FC2DDA">
        <w:rPr>
          <w:rFonts w:ascii="Book Antiqua" w:eastAsia="Times New Roman" w:hAnsi="Book Antiqua" w:cs="Times New Roman"/>
          <w:color w:val="auto"/>
          <w:sz w:val="24"/>
          <w:szCs w:val="24"/>
        </w:rPr>
        <w:t>a</w:t>
      </w:r>
      <w:r w:rsidRPr="00FC2DDA">
        <w:rPr>
          <w:rFonts w:ascii="Book Antiqua" w:eastAsia="Times New Roman" w:hAnsi="Book Antiqua" w:cs="Times New Roman"/>
          <w:color w:val="auto"/>
          <w:sz w:val="24"/>
          <w:szCs w:val="24"/>
        </w:rPr>
        <w:t xml:space="preserve">etiologies could lead to cirrhosis and may be complicated by tumor formation, but the risk is higher in patients with hepatitis infection. In the next years, the diffusion </w:t>
      </w:r>
      <w:r w:rsidR="00167C10" w:rsidRPr="00FC2DDA">
        <w:rPr>
          <w:rFonts w:ascii="Book Antiqua" w:eastAsia="Times New Roman" w:hAnsi="Book Antiqua" w:cs="Times New Roman"/>
          <w:color w:val="auto"/>
          <w:sz w:val="24"/>
          <w:szCs w:val="24"/>
        </w:rPr>
        <w:t>of new antiviral agents for HCV</w:t>
      </w:r>
      <w:hyperlink r:id="rId11">
        <w:r w:rsidRPr="00FC2DDA">
          <w:rPr>
            <w:rFonts w:ascii="Book Antiqua" w:eastAsia="Times New Roman" w:hAnsi="Book Antiqua" w:cs="Times New Roman"/>
            <w:color w:val="auto"/>
            <w:sz w:val="24"/>
            <w:szCs w:val="24"/>
            <w:vertAlign w:val="superscript"/>
          </w:rPr>
          <w:t>[</w:t>
        </w:r>
      </w:hyperlink>
      <w:hyperlink r:id="rId12">
        <w:r w:rsidRPr="00FC2DDA">
          <w:rPr>
            <w:rFonts w:ascii="Book Antiqua" w:eastAsia="Times New Roman" w:hAnsi="Book Antiqua" w:cs="Times New Roman"/>
            <w:color w:val="auto"/>
            <w:sz w:val="24"/>
            <w:szCs w:val="24"/>
            <w:vertAlign w:val="superscript"/>
          </w:rPr>
          <w:t>5</w:t>
        </w:r>
      </w:hyperlink>
      <w:hyperlink r:id="rId13">
        <w:r w:rsidRPr="00FC2DDA">
          <w:rPr>
            <w:rFonts w:ascii="Book Antiqua" w:eastAsia="Times New Roman" w:hAnsi="Book Antiqua" w:cs="Times New Roman"/>
            <w:color w:val="auto"/>
            <w:sz w:val="24"/>
            <w:szCs w:val="24"/>
            <w:vertAlign w:val="superscript"/>
          </w:rPr>
          <w:t>]</w:t>
        </w:r>
      </w:hyperlink>
      <w:r w:rsidRPr="00FC2DDA">
        <w:rPr>
          <w:rFonts w:ascii="Book Antiqua" w:eastAsia="Times New Roman" w:hAnsi="Book Antiqua" w:cs="Times New Roman"/>
          <w:color w:val="auto"/>
          <w:sz w:val="24"/>
          <w:szCs w:val="24"/>
        </w:rPr>
        <w:t xml:space="preserve">, </w:t>
      </w:r>
      <w:r w:rsidR="00167C10" w:rsidRPr="00FC2DDA">
        <w:rPr>
          <w:rFonts w:ascii="Book Antiqua" w:eastAsia="Times New Roman" w:hAnsi="Book Antiqua" w:cs="Times New Roman"/>
          <w:color w:val="auto"/>
          <w:sz w:val="24"/>
          <w:szCs w:val="24"/>
        </w:rPr>
        <w:t>vaccination and therapy for HBV</w:t>
      </w:r>
      <w:hyperlink r:id="rId14">
        <w:r w:rsidRPr="00FC2DDA">
          <w:rPr>
            <w:rFonts w:ascii="Book Antiqua" w:eastAsia="Times New Roman" w:hAnsi="Book Antiqua" w:cs="Times New Roman"/>
            <w:color w:val="auto"/>
            <w:sz w:val="24"/>
            <w:szCs w:val="24"/>
            <w:vertAlign w:val="superscript"/>
          </w:rPr>
          <w:t>[</w:t>
        </w:r>
      </w:hyperlink>
      <w:hyperlink r:id="rId15">
        <w:r w:rsidRPr="00FC2DDA">
          <w:rPr>
            <w:rFonts w:ascii="Book Antiqua" w:eastAsia="Times New Roman" w:hAnsi="Book Antiqua" w:cs="Times New Roman"/>
            <w:color w:val="auto"/>
            <w:sz w:val="24"/>
            <w:szCs w:val="24"/>
            <w:vertAlign w:val="superscript"/>
          </w:rPr>
          <w:t>6</w:t>
        </w:r>
      </w:hyperlink>
      <w:hyperlink r:id="rId16">
        <w:r w:rsidRPr="00FC2DDA">
          <w:rPr>
            <w:rFonts w:ascii="Book Antiqua" w:eastAsia="Times New Roman" w:hAnsi="Book Antiqua" w:cs="Times New Roman"/>
            <w:color w:val="auto"/>
            <w:sz w:val="24"/>
            <w:szCs w:val="24"/>
            <w:vertAlign w:val="superscript"/>
          </w:rPr>
          <w:t>]</w:t>
        </w:r>
      </w:hyperlink>
      <w:r w:rsidRPr="00FC2DDA">
        <w:rPr>
          <w:rFonts w:ascii="Book Antiqua" w:eastAsia="Times New Roman" w:hAnsi="Book Antiqua" w:cs="Times New Roman"/>
          <w:color w:val="auto"/>
          <w:sz w:val="24"/>
          <w:szCs w:val="24"/>
        </w:rPr>
        <w:t xml:space="preserve"> and prevention campaigns are expected to reduce the burden of chronic viral liver disease and its complications, inc</w:t>
      </w:r>
      <w:r w:rsidR="00167C10" w:rsidRPr="00FC2DDA">
        <w:rPr>
          <w:rFonts w:ascii="Book Antiqua" w:eastAsia="Times New Roman" w:hAnsi="Book Antiqua" w:cs="Times New Roman"/>
          <w:color w:val="auto"/>
          <w:sz w:val="24"/>
          <w:szCs w:val="24"/>
        </w:rPr>
        <w:t>luding hepatocellular carcinoma</w:t>
      </w:r>
      <w:r w:rsidRPr="00FC2DDA">
        <w:rPr>
          <w:rFonts w:ascii="Book Antiqua" w:eastAsia="Times New Roman" w:hAnsi="Book Antiqua" w:cs="Times New Roman"/>
          <w:color w:val="auto"/>
          <w:sz w:val="24"/>
          <w:szCs w:val="24"/>
          <w:vertAlign w:val="superscript"/>
        </w:rPr>
        <w:t>[7]</w:t>
      </w:r>
      <w:r w:rsidRPr="00FC2DDA">
        <w:rPr>
          <w:rFonts w:ascii="Book Antiqua" w:eastAsia="Times New Roman" w:hAnsi="Book Antiqua" w:cs="Times New Roman"/>
          <w:color w:val="auto"/>
          <w:sz w:val="24"/>
          <w:szCs w:val="24"/>
        </w:rPr>
        <w:t>. On the other side, the widespread epidemic of obesity is expected to induce a significant increase in incidence of NAFLD, and its complications such as NASH, cirrhos</w:t>
      </w:r>
      <w:r w:rsidR="00167C10" w:rsidRPr="00FC2DDA">
        <w:rPr>
          <w:rFonts w:ascii="Book Antiqua" w:eastAsia="Times New Roman" w:hAnsi="Book Antiqua" w:cs="Times New Roman"/>
          <w:color w:val="auto"/>
          <w:sz w:val="24"/>
          <w:szCs w:val="24"/>
        </w:rPr>
        <w:t>is and hepatocellular carcinoma</w:t>
      </w:r>
      <w:hyperlink r:id="rId17">
        <w:r w:rsidRPr="00FC2DDA">
          <w:rPr>
            <w:rFonts w:ascii="Book Antiqua" w:eastAsia="Times New Roman" w:hAnsi="Book Antiqua" w:cs="Times New Roman"/>
            <w:color w:val="auto"/>
            <w:sz w:val="24"/>
            <w:szCs w:val="24"/>
            <w:vertAlign w:val="superscript"/>
          </w:rPr>
          <w:t>[</w:t>
        </w:r>
      </w:hyperlink>
      <w:r w:rsidRPr="00FC2DDA">
        <w:rPr>
          <w:rFonts w:ascii="Book Antiqua" w:eastAsia="Times New Roman" w:hAnsi="Book Antiqua" w:cs="Times New Roman"/>
          <w:color w:val="auto"/>
          <w:sz w:val="24"/>
          <w:szCs w:val="24"/>
          <w:vertAlign w:val="superscript"/>
        </w:rPr>
        <w:t>8</w:t>
      </w:r>
      <w:r w:rsidR="00167C10" w:rsidRPr="00FC2DDA">
        <w:rPr>
          <w:rFonts w:ascii="Book Antiqua" w:eastAsia="Times New Roman" w:hAnsi="Book Antiqua" w:cs="Times New Roman"/>
          <w:color w:val="auto"/>
          <w:sz w:val="24"/>
          <w:szCs w:val="24"/>
          <w:vertAlign w:val="superscript"/>
        </w:rPr>
        <w:t>,</w:t>
      </w:r>
      <w:r w:rsidR="00E86040" w:rsidRPr="00FC2DDA">
        <w:rPr>
          <w:rFonts w:ascii="Book Antiqua" w:eastAsia="Times New Roman" w:hAnsi="Book Antiqua" w:cs="Times New Roman"/>
          <w:color w:val="auto"/>
          <w:sz w:val="24"/>
          <w:szCs w:val="24"/>
          <w:vertAlign w:val="superscript"/>
        </w:rPr>
        <w:t>9</w:t>
      </w:r>
      <w:hyperlink r:id="rId18">
        <w:r w:rsidRPr="00FC2DDA">
          <w:rPr>
            <w:rFonts w:ascii="Book Antiqua" w:eastAsia="Times New Roman" w:hAnsi="Book Antiqua" w:cs="Times New Roman"/>
            <w:color w:val="auto"/>
            <w:sz w:val="24"/>
            <w:szCs w:val="24"/>
            <w:vertAlign w:val="superscript"/>
          </w:rPr>
          <w:t>]</w:t>
        </w:r>
      </w:hyperlink>
      <w:r w:rsidRPr="00FC2DDA">
        <w:rPr>
          <w:rFonts w:ascii="Book Antiqua" w:eastAsia="Times New Roman" w:hAnsi="Book Antiqua" w:cs="Times New Roman"/>
          <w:color w:val="auto"/>
          <w:sz w:val="24"/>
          <w:szCs w:val="24"/>
        </w:rPr>
        <w:t>.</w:t>
      </w:r>
    </w:p>
    <w:p w14:paraId="74BF2B70" w14:textId="50F3C7FC"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Liver cirrhosis is the underlying and common condition associated with hepatocarcinogenesis. Cirrhosis develops after a long period of chronic liver disease when the risk of HCC is still low. The nodu</w:t>
      </w:r>
      <w:r w:rsidR="00FA7A0E" w:rsidRPr="00FC2DDA">
        <w:rPr>
          <w:rFonts w:ascii="Book Antiqua" w:eastAsia="Times New Roman" w:hAnsi="Book Antiqua" w:cs="Times New Roman"/>
          <w:color w:val="auto"/>
          <w:sz w:val="24"/>
          <w:szCs w:val="24"/>
        </w:rPr>
        <w:t>les that could be potentially fi</w:t>
      </w:r>
      <w:r w:rsidRPr="00FC2DDA">
        <w:rPr>
          <w:rFonts w:ascii="Book Antiqua" w:eastAsia="Times New Roman" w:hAnsi="Book Antiqua" w:cs="Times New Roman"/>
          <w:color w:val="auto"/>
          <w:sz w:val="24"/>
          <w:szCs w:val="24"/>
        </w:rPr>
        <w:t xml:space="preserve">nd in a cirrhotic liver comprise: small </w:t>
      </w:r>
      <w:r w:rsidR="00FA7A0E" w:rsidRPr="00FC2DDA">
        <w:rPr>
          <w:rFonts w:ascii="Book Antiqua" w:eastAsia="Times New Roman" w:hAnsi="Book Antiqua" w:cs="Times New Roman"/>
          <w:color w:val="auto"/>
          <w:sz w:val="24"/>
          <w:szCs w:val="24"/>
        </w:rPr>
        <w:t>and large regenerative nodule (</w:t>
      </w:r>
      <w:r w:rsidRPr="00FC2DDA">
        <w:rPr>
          <w:rFonts w:ascii="Book Antiqua" w:eastAsia="Times New Roman" w:hAnsi="Book Antiqua" w:cs="Times New Roman"/>
          <w:color w:val="auto"/>
          <w:sz w:val="24"/>
          <w:szCs w:val="24"/>
        </w:rPr>
        <w:t>RN), low-grade dysplastic nodule (LGDN), high-grade dysplastic nodule (HGDN), early HCC, well</w:t>
      </w:r>
      <w:r w:rsidR="00FA7A0E"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differentiated HCC and moderately-poorly differentiated HCC. Hepatocarcinogenesis is a multistep event during which cell density increase, Kuppfer cells decrease, nodules enlarge and hemodynamics changes occur. In the initial phase</w:t>
      </w:r>
      <w:r w:rsidR="00FA7A0E"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normal arterial supply decrease but portal perfusion is still present. Later, intranodular arterial vascularity increases due to the appearance of unpaired arteries (capillarization) while portal blood </w:t>
      </w:r>
      <w:r w:rsidR="00167C10" w:rsidRPr="00FC2DDA">
        <w:rPr>
          <w:rFonts w:ascii="Book Antiqua" w:eastAsia="Times New Roman" w:hAnsi="Book Antiqua" w:cs="Times New Roman"/>
          <w:color w:val="auto"/>
          <w:sz w:val="24"/>
          <w:szCs w:val="24"/>
        </w:rPr>
        <w:t>supplies progressively decrease</w:t>
      </w:r>
      <w:r w:rsidRPr="00FC2DDA">
        <w:rPr>
          <w:rFonts w:ascii="Book Antiqua" w:eastAsia="Times New Roman" w:hAnsi="Book Antiqua" w:cs="Times New Roman"/>
          <w:color w:val="auto"/>
          <w:sz w:val="24"/>
          <w:szCs w:val="24"/>
          <w:vertAlign w:val="superscript"/>
        </w:rPr>
        <w:t>[</w:t>
      </w:r>
      <w:r w:rsidR="00E86040" w:rsidRPr="00FC2DDA">
        <w:rPr>
          <w:rFonts w:ascii="Book Antiqua" w:eastAsia="Times New Roman" w:hAnsi="Book Antiqua" w:cs="Times New Roman"/>
          <w:color w:val="auto"/>
          <w:sz w:val="24"/>
          <w:szCs w:val="24"/>
          <w:vertAlign w:val="superscript"/>
        </w:rPr>
        <w:t>10</w:t>
      </w:r>
      <w:r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lastRenderedPageBreak/>
        <w:t>At the same time organic anionic transporting polypeptide (OATP), transporters of bile salts, simultaneously and gradually decrease. OATP expression levels are high in RNs and LGDNs and lower in many HGDNs, early HCCs, and progressed HCCs. The hemodynamic changes are well depict</w:t>
      </w:r>
      <w:r w:rsidR="0028223A" w:rsidRPr="00FC2DDA">
        <w:rPr>
          <w:rFonts w:ascii="Book Antiqua" w:eastAsia="Times New Roman" w:hAnsi="Book Antiqua" w:cs="Times New Roman"/>
          <w:color w:val="auto"/>
          <w:sz w:val="24"/>
          <w:szCs w:val="24"/>
        </w:rPr>
        <w:t>ed</w:t>
      </w:r>
      <w:r w:rsidRPr="00FC2DDA">
        <w:rPr>
          <w:rFonts w:ascii="Book Antiqua" w:eastAsia="Times New Roman" w:hAnsi="Book Antiqua" w:cs="Times New Roman"/>
          <w:color w:val="auto"/>
          <w:sz w:val="24"/>
          <w:szCs w:val="24"/>
        </w:rPr>
        <w:t xml:space="preserve"> during dynamic multidetector computed tomography (MDCT) and magnetic resonance imaging (MRI) and both European and American guidelines have endorsed this techniques for the diagnosis of HCC &gt; 1</w:t>
      </w:r>
      <w:r w:rsidR="00DD03A0" w:rsidRPr="00FC2DDA">
        <w:rPr>
          <w:rFonts w:ascii="Book Antiqua" w:hAnsi="Book Antiqua" w:cs="Times New Roman"/>
          <w:color w:val="auto"/>
          <w:sz w:val="24"/>
          <w:szCs w:val="24"/>
          <w:lang w:eastAsia="zh-CN"/>
        </w:rPr>
        <w:t xml:space="preserve"> </w:t>
      </w:r>
      <w:r w:rsidRPr="00FC2DDA">
        <w:rPr>
          <w:rFonts w:ascii="Book Antiqua" w:eastAsia="Times New Roman" w:hAnsi="Book Antiqua" w:cs="Times New Roman"/>
          <w:color w:val="auto"/>
          <w:sz w:val="24"/>
          <w:szCs w:val="24"/>
        </w:rPr>
        <w:t>cm, based on the typical hallmarks of hypervascularity in arterial phase with wash-out in port</w:t>
      </w:r>
      <w:r w:rsidR="00167C10" w:rsidRPr="00FC2DDA">
        <w:rPr>
          <w:rFonts w:ascii="Book Antiqua" w:eastAsia="Times New Roman" w:hAnsi="Book Antiqua" w:cs="Times New Roman"/>
          <w:color w:val="auto"/>
          <w:sz w:val="24"/>
          <w:szCs w:val="24"/>
        </w:rPr>
        <w:t>al phase, avoiding liver biopsy</w:t>
      </w:r>
      <w:r w:rsidRPr="00FC2DDA">
        <w:rPr>
          <w:rFonts w:ascii="Book Antiqua" w:eastAsia="Times New Roman" w:hAnsi="Book Antiqua" w:cs="Times New Roman"/>
          <w:color w:val="auto"/>
          <w:sz w:val="24"/>
          <w:szCs w:val="24"/>
          <w:vertAlign w:val="superscript"/>
        </w:rPr>
        <w:t>[11</w:t>
      </w:r>
      <w:r w:rsidR="00167C10" w:rsidRPr="00FC2DDA">
        <w:rPr>
          <w:rFonts w:ascii="Book Antiqua" w:eastAsia="Times New Roman" w:hAnsi="Book Antiqua" w:cs="Times New Roman"/>
          <w:color w:val="auto"/>
          <w:sz w:val="24"/>
          <w:szCs w:val="24"/>
          <w:vertAlign w:val="superscript"/>
        </w:rPr>
        <w:t>,</w:t>
      </w:r>
      <w:r w:rsidR="003C6843" w:rsidRPr="00FC2DDA">
        <w:rPr>
          <w:rFonts w:ascii="Book Antiqua" w:eastAsia="Times New Roman" w:hAnsi="Book Antiqua" w:cs="Times New Roman"/>
          <w:color w:val="auto"/>
          <w:sz w:val="24"/>
          <w:szCs w:val="24"/>
          <w:vertAlign w:val="superscript"/>
        </w:rPr>
        <w:t>12</w:t>
      </w:r>
      <w:r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w:t>
      </w:r>
    </w:p>
    <w:p w14:paraId="64F24D37" w14:textId="396C9BCA"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However</w:t>
      </w:r>
      <w:r w:rsidR="0028223A"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there is still a high rate of false negative, ranging from 25</w:t>
      </w:r>
      <w:r w:rsidR="00167C10"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-30%, in particular for nodules &lt;</w:t>
      </w:r>
      <w:r w:rsidR="00167C10" w:rsidRPr="00FC2DDA">
        <w:rPr>
          <w:rFonts w:ascii="Book Antiqua" w:hAnsi="Book Antiqua" w:cs="Times New Roman"/>
          <w:color w:val="auto"/>
          <w:sz w:val="24"/>
          <w:szCs w:val="24"/>
          <w:lang w:eastAsia="zh-CN"/>
        </w:rPr>
        <w:t xml:space="preserve"> </w:t>
      </w:r>
      <w:r w:rsidR="00167C10" w:rsidRPr="00FC2DDA">
        <w:rPr>
          <w:rFonts w:ascii="Book Antiqua" w:eastAsia="Times New Roman" w:hAnsi="Book Antiqua" w:cs="Times New Roman"/>
          <w:color w:val="auto"/>
          <w:sz w:val="24"/>
          <w:szCs w:val="24"/>
        </w:rPr>
        <w:t>2 cm</w:t>
      </w:r>
      <w:r w:rsidRPr="00FC2DDA">
        <w:rPr>
          <w:rFonts w:ascii="Book Antiqua" w:eastAsia="Times New Roman" w:hAnsi="Book Antiqua" w:cs="Times New Roman"/>
          <w:color w:val="auto"/>
          <w:sz w:val="24"/>
          <w:szCs w:val="24"/>
          <w:vertAlign w:val="superscript"/>
        </w:rPr>
        <w:t>[</w:t>
      </w:r>
      <w:r w:rsidR="00167C10" w:rsidRPr="00FC2DDA">
        <w:rPr>
          <w:rFonts w:ascii="Book Antiqua" w:eastAsia="Times New Roman" w:hAnsi="Book Antiqua" w:cs="Times New Roman"/>
          <w:color w:val="auto"/>
          <w:sz w:val="24"/>
          <w:szCs w:val="24"/>
          <w:vertAlign w:val="superscript"/>
        </w:rPr>
        <w:t>13,</w:t>
      </w:r>
      <w:r w:rsidR="003C6843" w:rsidRPr="00FC2DDA">
        <w:rPr>
          <w:rFonts w:ascii="Book Antiqua" w:eastAsia="Times New Roman" w:hAnsi="Book Antiqua" w:cs="Times New Roman"/>
          <w:color w:val="auto"/>
          <w:sz w:val="24"/>
          <w:szCs w:val="24"/>
          <w:vertAlign w:val="superscript"/>
        </w:rPr>
        <w:t>14</w:t>
      </w:r>
      <w:r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 which actually are the more often encountered focal liver lesions, thanks to the widespread of surveillance programs.</w:t>
      </w:r>
      <w:r w:rsidR="00FA7A0E"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In th</w:t>
      </w:r>
      <w:r w:rsidR="00FA7A0E" w:rsidRPr="00FC2DDA">
        <w:rPr>
          <w:rFonts w:ascii="Book Antiqua" w:eastAsia="Times New Roman" w:hAnsi="Book Antiqua" w:cs="Times New Roman"/>
          <w:color w:val="auto"/>
          <w:sz w:val="24"/>
          <w:szCs w:val="24"/>
        </w:rPr>
        <w:t>ese</w:t>
      </w:r>
      <w:r w:rsidRPr="00FC2DDA">
        <w:rPr>
          <w:rFonts w:ascii="Book Antiqua" w:eastAsia="Times New Roman" w:hAnsi="Book Antiqua" w:cs="Times New Roman"/>
          <w:color w:val="auto"/>
          <w:sz w:val="24"/>
          <w:szCs w:val="24"/>
        </w:rPr>
        <w:t xml:space="preserve"> small nodules</w:t>
      </w:r>
      <w:r w:rsidR="00FA7A0E"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hemodynamic changes of hepatocarcinogenesis are in an early step since neoangiogenesis is incomplete and they are still mainly filled by portal vessels, in contrast to progressed HCC. MRI</w:t>
      </w:r>
      <w:r w:rsidR="005571C4"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in part overcomes th</w:t>
      </w:r>
      <w:r w:rsidR="00FA7A0E" w:rsidRPr="00FC2DDA">
        <w:rPr>
          <w:rFonts w:ascii="Book Antiqua" w:eastAsia="Times New Roman" w:hAnsi="Book Antiqua" w:cs="Times New Roman"/>
          <w:color w:val="auto"/>
          <w:sz w:val="24"/>
          <w:szCs w:val="24"/>
        </w:rPr>
        <w:t>ese</w:t>
      </w:r>
      <w:r w:rsidRPr="00FC2DDA">
        <w:rPr>
          <w:rFonts w:ascii="Book Antiqua" w:eastAsia="Times New Roman" w:hAnsi="Book Antiqua" w:cs="Times New Roman"/>
          <w:color w:val="auto"/>
          <w:sz w:val="24"/>
          <w:szCs w:val="24"/>
        </w:rPr>
        <w:t xml:space="preserve"> limits. It has been recently demonstrated that this diagnostic technique has a higher diagnostic performance over </w:t>
      </w:r>
      <w:r w:rsidR="00B664DE" w:rsidRPr="00FC2DDA">
        <w:rPr>
          <w:rFonts w:ascii="Book Antiqua" w:eastAsia="Times New Roman" w:hAnsi="Book Antiqua" w:cs="Times New Roman"/>
          <w:color w:val="auto"/>
          <w:sz w:val="24"/>
          <w:szCs w:val="24"/>
        </w:rPr>
        <w:t xml:space="preserve">computed tomography </w:t>
      </w:r>
      <w:r w:rsidR="00B664DE" w:rsidRPr="00FC2DDA">
        <w:rPr>
          <w:rFonts w:ascii="Book Antiqua" w:hAnsi="Book Antiqua" w:cs="Times New Roman" w:hint="eastAsia"/>
          <w:color w:val="auto"/>
          <w:sz w:val="24"/>
          <w:szCs w:val="24"/>
          <w:lang w:eastAsia="zh-CN"/>
        </w:rPr>
        <w:t>(</w:t>
      </w:r>
      <w:r w:rsidRPr="00FC2DDA">
        <w:rPr>
          <w:rFonts w:ascii="Book Antiqua" w:eastAsia="Times New Roman" w:hAnsi="Book Antiqua" w:cs="Times New Roman"/>
          <w:color w:val="auto"/>
          <w:sz w:val="24"/>
          <w:szCs w:val="24"/>
        </w:rPr>
        <w:t>CT</w:t>
      </w:r>
      <w:r w:rsidR="00B664DE" w:rsidRPr="00FC2DDA">
        <w:rPr>
          <w:rFonts w:ascii="Book Antiqua" w:hAnsi="Book Antiqua" w:cs="Times New Roman" w:hint="eastAsia"/>
          <w:color w:val="auto"/>
          <w:sz w:val="24"/>
          <w:szCs w:val="24"/>
          <w:lang w:eastAsia="zh-CN"/>
        </w:rPr>
        <w:t>)</w:t>
      </w:r>
      <w:r w:rsidRPr="00FC2DDA">
        <w:rPr>
          <w:rFonts w:ascii="Book Antiqua" w:eastAsia="Times New Roman" w:hAnsi="Book Antiqua" w:cs="Times New Roman"/>
          <w:color w:val="auto"/>
          <w:sz w:val="24"/>
          <w:szCs w:val="24"/>
        </w:rPr>
        <w:t>, in the detection of high</w:t>
      </w:r>
      <w:r w:rsidR="00FA7A0E" w:rsidRPr="00FC2DDA">
        <w:rPr>
          <w:rFonts w:ascii="Book Antiqua" w:eastAsia="Times New Roman" w:hAnsi="Book Antiqua" w:cs="Times New Roman"/>
          <w:color w:val="auto"/>
          <w:sz w:val="24"/>
          <w:szCs w:val="24"/>
        </w:rPr>
        <w:t>-</w:t>
      </w:r>
      <w:r w:rsidR="00DD03A0" w:rsidRPr="00FC2DDA">
        <w:rPr>
          <w:rFonts w:ascii="Book Antiqua" w:eastAsia="Times New Roman" w:hAnsi="Book Antiqua" w:cs="Times New Roman"/>
          <w:color w:val="auto"/>
          <w:sz w:val="24"/>
          <w:szCs w:val="24"/>
        </w:rPr>
        <w:t>risk nodules</w:t>
      </w:r>
      <w:r w:rsidR="008955AE" w:rsidRPr="00FC2DDA">
        <w:rPr>
          <w:rFonts w:ascii="Book Antiqua" w:eastAsia="Times New Roman" w:hAnsi="Book Antiqua" w:cs="Times New Roman"/>
          <w:color w:val="auto"/>
          <w:sz w:val="24"/>
          <w:szCs w:val="24"/>
          <w:vertAlign w:val="superscript"/>
        </w:rPr>
        <w:t>[15</w:t>
      </w:r>
      <w:r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 This is due to its high contrast resolution and to its multiparametric characteristics.</w:t>
      </w:r>
      <w:r w:rsidR="00FA7A0E" w:rsidRPr="00FC2DDA">
        <w:rPr>
          <w:rFonts w:ascii="Book Antiqua" w:eastAsia="Times New Roman" w:hAnsi="Book Antiqua" w:cs="Times New Roman"/>
          <w:color w:val="auto"/>
          <w:sz w:val="24"/>
          <w:szCs w:val="24"/>
        </w:rPr>
        <w:t xml:space="preserve"> In fact, i</w:t>
      </w:r>
      <w:r w:rsidRPr="00FC2DDA">
        <w:rPr>
          <w:rFonts w:ascii="Book Antiqua" w:eastAsia="Times New Roman" w:hAnsi="Book Antiqua" w:cs="Times New Roman"/>
          <w:color w:val="auto"/>
          <w:sz w:val="24"/>
          <w:szCs w:val="24"/>
        </w:rPr>
        <w:t>t is known that hyperintensity on T2 weighted sequences and restricted diffusion in diffuse weighted images (D</w:t>
      </w:r>
      <w:r w:rsidR="00DD03A0" w:rsidRPr="00FC2DDA">
        <w:rPr>
          <w:rFonts w:ascii="Book Antiqua" w:eastAsia="Times New Roman" w:hAnsi="Book Antiqua" w:cs="Times New Roman"/>
          <w:color w:val="auto"/>
          <w:sz w:val="24"/>
          <w:szCs w:val="24"/>
        </w:rPr>
        <w:t>WI), are features of malignancy</w:t>
      </w:r>
      <w:r w:rsidRPr="00FC2DDA">
        <w:rPr>
          <w:rFonts w:ascii="Book Antiqua" w:eastAsia="Times New Roman" w:hAnsi="Book Antiqua" w:cs="Times New Roman"/>
          <w:color w:val="auto"/>
          <w:sz w:val="24"/>
          <w:szCs w:val="24"/>
          <w:vertAlign w:val="superscript"/>
        </w:rPr>
        <w:t>[1</w:t>
      </w:r>
      <w:r w:rsidR="008955AE" w:rsidRPr="00FC2DDA">
        <w:rPr>
          <w:rFonts w:ascii="Book Antiqua" w:eastAsia="Times New Roman" w:hAnsi="Book Antiqua" w:cs="Times New Roman"/>
          <w:color w:val="auto"/>
          <w:sz w:val="24"/>
          <w:szCs w:val="24"/>
          <w:vertAlign w:val="superscript"/>
        </w:rPr>
        <w:t>6</w:t>
      </w:r>
      <w:r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 Moreover the recent introduction of hepatospecific MRI contrast agent gadolinium-ethoxybenzyl-dieth-ylenetriamine pentaacetic acid (Gd-EOB-DTPA, Primovist ®; Bayer Schering Pharma, Berlin, Germany) which gives information not only on vascular changes but also on hepatocyte function, raises the sensitivity for the detection of early HCC</w:t>
      </w:r>
      <w:r w:rsidR="000C37AA" w:rsidRPr="00FC2DDA">
        <w:rPr>
          <w:rFonts w:ascii="Book Antiqua" w:hAnsi="Book Antiqua" w:cs="Times New Roman"/>
          <w:color w:val="auto"/>
          <w:sz w:val="24"/>
          <w:szCs w:val="24"/>
          <w:lang w:eastAsia="zh-CN"/>
        </w:rPr>
        <w:t xml:space="preserve"> </w:t>
      </w:r>
      <w:r w:rsidRPr="00FC2DDA">
        <w:rPr>
          <w:rFonts w:ascii="Book Antiqua" w:eastAsia="Times New Roman" w:hAnsi="Book Antiqua" w:cs="Times New Roman"/>
          <w:color w:val="auto"/>
          <w:sz w:val="24"/>
          <w:szCs w:val="24"/>
        </w:rPr>
        <w:t>to 91</w:t>
      </w:r>
      <w:r w:rsidR="000C37AA" w:rsidRPr="00FC2DDA">
        <w:rPr>
          <w:rFonts w:ascii="Book Antiqua" w:eastAsia="Times New Roman" w:hAnsi="Book Antiqua" w:cs="Times New Roman"/>
          <w:color w:val="auto"/>
          <w:sz w:val="24"/>
          <w:szCs w:val="24"/>
        </w:rPr>
        <w:t>%-93%</w:t>
      </w:r>
      <w:r w:rsidRPr="00FC2DDA">
        <w:rPr>
          <w:rFonts w:ascii="Book Antiqua" w:eastAsia="Times New Roman" w:hAnsi="Book Antiqua" w:cs="Times New Roman"/>
          <w:color w:val="auto"/>
          <w:sz w:val="24"/>
          <w:szCs w:val="24"/>
          <w:vertAlign w:val="superscript"/>
        </w:rPr>
        <w:t>[1</w:t>
      </w:r>
      <w:r w:rsidR="008955AE" w:rsidRPr="00FC2DDA">
        <w:rPr>
          <w:rFonts w:ascii="Book Antiqua" w:eastAsia="Times New Roman" w:hAnsi="Book Antiqua" w:cs="Times New Roman"/>
          <w:color w:val="auto"/>
          <w:sz w:val="24"/>
          <w:szCs w:val="24"/>
          <w:vertAlign w:val="superscript"/>
        </w:rPr>
        <w:t>7</w:t>
      </w:r>
      <w:r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 Based on this features</w:t>
      </w:r>
      <w:r w:rsidR="00FA539B" w:rsidRPr="00FC2DDA">
        <w:rPr>
          <w:rFonts w:ascii="Book Antiqua" w:eastAsia="Times New Roman" w:hAnsi="Book Antiqua" w:cs="Times New Roman"/>
          <w:color w:val="auto"/>
          <w:sz w:val="24"/>
          <w:szCs w:val="24"/>
        </w:rPr>
        <w:t xml:space="preserve"> Kim BR and colleagues</w:t>
      </w:r>
      <w:r w:rsidR="008955AE" w:rsidRPr="00FC2DDA">
        <w:rPr>
          <w:rFonts w:ascii="Book Antiqua" w:eastAsia="Times New Roman" w:hAnsi="Book Antiqua" w:cs="Times New Roman"/>
          <w:color w:val="auto"/>
          <w:sz w:val="24"/>
          <w:szCs w:val="24"/>
          <w:vertAlign w:val="superscript"/>
        </w:rPr>
        <w:t>[16]</w:t>
      </w:r>
      <w:r w:rsidR="008955AE"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 xml:space="preserve">demonstrated that readers had significantly higher detection sensitivity for early HCCs with MRI than with multidetector CT (78.6% </w:t>
      </w:r>
      <w:r w:rsidRPr="00FC2DDA">
        <w:rPr>
          <w:rFonts w:ascii="Book Antiqua" w:eastAsia="Times New Roman" w:hAnsi="Book Antiqua" w:cs="Times New Roman"/>
          <w:i/>
          <w:color w:val="auto"/>
          <w:sz w:val="24"/>
          <w:szCs w:val="24"/>
        </w:rPr>
        <w:t xml:space="preserve">vs </w:t>
      </w:r>
      <w:r w:rsidRPr="00FC2DDA">
        <w:rPr>
          <w:rFonts w:ascii="Book Antiqua" w:eastAsia="Times New Roman" w:hAnsi="Book Antiqua" w:cs="Times New Roman"/>
          <w:color w:val="auto"/>
          <w:sz w:val="24"/>
          <w:szCs w:val="24"/>
        </w:rPr>
        <w:t>52.4%</w:t>
      </w:r>
      <w:r w:rsidR="000B2370" w:rsidRPr="00FC2DDA">
        <w:rPr>
          <w:rFonts w:ascii="Book Antiqua" w:hAnsi="Book Antiqua" w:cs="Times New Roman"/>
          <w:color w:val="auto"/>
          <w:sz w:val="24"/>
          <w:szCs w:val="24"/>
          <w:lang w:eastAsia="zh-CN"/>
        </w:rPr>
        <w:t xml:space="preserve">, </w:t>
      </w:r>
      <w:r w:rsidRPr="00FC2DDA">
        <w:rPr>
          <w:rFonts w:ascii="Book Antiqua" w:eastAsia="Times New Roman" w:hAnsi="Book Antiqua" w:cs="Times New Roman"/>
          <w:i/>
          <w:color w:val="auto"/>
          <w:sz w:val="24"/>
          <w:szCs w:val="24"/>
        </w:rPr>
        <w:t>P</w:t>
      </w:r>
      <w:r w:rsidRPr="00FC2DDA">
        <w:rPr>
          <w:rFonts w:ascii="Book Antiqua" w:eastAsia="Times New Roman" w:hAnsi="Book Antiqua" w:cs="Times New Roman"/>
          <w:color w:val="auto"/>
          <w:sz w:val="24"/>
          <w:szCs w:val="24"/>
        </w:rPr>
        <w:t xml:space="preserve"> = </w:t>
      </w:r>
      <w:r w:rsidR="000B2370" w:rsidRPr="00FC2DDA">
        <w:rPr>
          <w:rFonts w:ascii="Book Antiqua" w:hAnsi="Book Antiqua" w:cs="Times New Roman"/>
          <w:color w:val="auto"/>
          <w:sz w:val="24"/>
          <w:szCs w:val="24"/>
          <w:lang w:eastAsia="zh-CN"/>
        </w:rPr>
        <w:t>0</w:t>
      </w:r>
      <w:r w:rsidR="000B2370" w:rsidRPr="00FC2DDA">
        <w:rPr>
          <w:rFonts w:ascii="Book Antiqua" w:eastAsia="Times New Roman" w:hAnsi="Book Antiqua" w:cs="Times New Roman"/>
          <w:color w:val="auto"/>
          <w:sz w:val="24"/>
          <w:szCs w:val="24"/>
        </w:rPr>
        <w:t>.001</w:t>
      </w:r>
      <w:r w:rsidR="000B2370" w:rsidRPr="00FC2DDA">
        <w:rPr>
          <w:rFonts w:ascii="Book Antiqua" w:hAnsi="Book Antiqua" w:cs="Times New Roman"/>
          <w:color w:val="auto"/>
          <w:sz w:val="24"/>
          <w:szCs w:val="24"/>
          <w:lang w:eastAsia="zh-CN"/>
        </w:rPr>
        <w:t>;</w:t>
      </w:r>
      <w:r w:rsidRPr="00FC2DDA">
        <w:rPr>
          <w:rFonts w:ascii="Book Antiqua" w:eastAsia="Times New Roman" w:hAnsi="Book Antiqua" w:cs="Times New Roman"/>
          <w:color w:val="auto"/>
          <w:sz w:val="24"/>
          <w:szCs w:val="24"/>
        </w:rPr>
        <w:t xml:space="preserve"> 71.4% </w:t>
      </w:r>
      <w:r w:rsidRPr="00FC2DDA">
        <w:rPr>
          <w:rFonts w:ascii="Book Antiqua" w:eastAsia="Times New Roman" w:hAnsi="Book Antiqua" w:cs="Times New Roman"/>
          <w:i/>
          <w:color w:val="auto"/>
          <w:sz w:val="24"/>
          <w:szCs w:val="24"/>
        </w:rPr>
        <w:t>vs</w:t>
      </w:r>
      <w:r w:rsidRPr="00FC2DDA">
        <w:rPr>
          <w:rFonts w:ascii="Book Antiqua" w:eastAsia="Times New Roman" w:hAnsi="Book Antiqua" w:cs="Times New Roman"/>
          <w:color w:val="auto"/>
          <w:sz w:val="24"/>
          <w:szCs w:val="24"/>
        </w:rPr>
        <w:t xml:space="preserve"> 50.0%</w:t>
      </w:r>
      <w:r w:rsidR="000B2370" w:rsidRPr="00FC2DDA">
        <w:rPr>
          <w:rFonts w:ascii="Book Antiqua" w:hAnsi="Book Antiqua" w:cs="Times New Roman"/>
          <w:color w:val="auto"/>
          <w:sz w:val="24"/>
          <w:szCs w:val="24"/>
          <w:lang w:eastAsia="zh-CN"/>
        </w:rPr>
        <w:t xml:space="preserve">, </w:t>
      </w:r>
      <w:r w:rsidR="000B2370" w:rsidRPr="00FC2DDA">
        <w:rPr>
          <w:rFonts w:ascii="Book Antiqua" w:eastAsia="Times New Roman" w:hAnsi="Book Antiqua" w:cs="Times New Roman"/>
          <w:i/>
          <w:color w:val="auto"/>
          <w:sz w:val="24"/>
          <w:szCs w:val="24"/>
        </w:rPr>
        <w:t>P</w:t>
      </w:r>
      <w:r w:rsidRPr="00FC2DDA">
        <w:rPr>
          <w:rFonts w:ascii="Book Antiqua" w:eastAsia="Times New Roman" w:hAnsi="Book Antiqua" w:cs="Times New Roman"/>
          <w:color w:val="auto"/>
          <w:sz w:val="24"/>
          <w:szCs w:val="24"/>
        </w:rPr>
        <w:t xml:space="preserve"> = </w:t>
      </w:r>
      <w:r w:rsidR="000B2370" w:rsidRPr="00FC2DDA">
        <w:rPr>
          <w:rFonts w:ascii="Book Antiqua" w:hAnsi="Book Antiqua" w:cs="Times New Roman"/>
          <w:color w:val="auto"/>
          <w:sz w:val="24"/>
          <w:szCs w:val="24"/>
          <w:lang w:eastAsia="zh-CN"/>
        </w:rPr>
        <w:t>0</w:t>
      </w:r>
      <w:r w:rsidR="000B2370" w:rsidRPr="00FC2DDA">
        <w:rPr>
          <w:rFonts w:ascii="Book Antiqua" w:eastAsia="Times New Roman" w:hAnsi="Book Antiqua" w:cs="Times New Roman"/>
          <w:color w:val="auto"/>
          <w:sz w:val="24"/>
          <w:szCs w:val="24"/>
        </w:rPr>
        <w:t>.011</w:t>
      </w:r>
      <w:r w:rsidR="00A50BD9" w:rsidRPr="00FC2DDA">
        <w:rPr>
          <w:rFonts w:ascii="Book Antiqua" w:hAnsi="Book Antiqua" w:cs="Times New Roman"/>
          <w:color w:val="auto"/>
          <w:sz w:val="24"/>
          <w:szCs w:val="24"/>
          <w:lang w:eastAsia="zh-CN"/>
        </w:rPr>
        <w:t>;</w:t>
      </w:r>
      <w:r w:rsidRPr="00FC2DDA">
        <w:rPr>
          <w:rFonts w:ascii="Book Antiqua" w:eastAsia="Times New Roman" w:hAnsi="Book Antiqua" w:cs="Times New Roman"/>
          <w:color w:val="auto"/>
          <w:sz w:val="24"/>
          <w:szCs w:val="24"/>
        </w:rPr>
        <w:t xml:space="preserve"> and 73.8% </w:t>
      </w:r>
      <w:r w:rsidRPr="00FC2DDA">
        <w:rPr>
          <w:rFonts w:ascii="Book Antiqua" w:eastAsia="Times New Roman" w:hAnsi="Book Antiqua" w:cs="Times New Roman"/>
          <w:i/>
          <w:color w:val="auto"/>
          <w:sz w:val="24"/>
          <w:szCs w:val="24"/>
        </w:rPr>
        <w:t>vs</w:t>
      </w:r>
      <w:r w:rsidR="000B2370" w:rsidRPr="00FC2DDA">
        <w:rPr>
          <w:rFonts w:ascii="Book Antiqua" w:eastAsia="Times New Roman" w:hAnsi="Book Antiqua" w:cs="Times New Roman"/>
          <w:color w:val="auto"/>
          <w:sz w:val="24"/>
          <w:szCs w:val="24"/>
        </w:rPr>
        <w:t xml:space="preserve"> 50.0%</w:t>
      </w:r>
      <w:r w:rsidR="000B2370" w:rsidRPr="00FC2DDA">
        <w:rPr>
          <w:rFonts w:ascii="Book Antiqua" w:hAnsi="Book Antiqua" w:cs="Times New Roman"/>
          <w:color w:val="auto"/>
          <w:sz w:val="24"/>
          <w:szCs w:val="24"/>
          <w:lang w:eastAsia="zh-CN"/>
        </w:rPr>
        <w:t xml:space="preserve">, </w:t>
      </w:r>
      <w:r w:rsidR="000B2370" w:rsidRPr="00FC2DDA">
        <w:rPr>
          <w:rFonts w:ascii="Book Antiqua" w:eastAsia="Times New Roman" w:hAnsi="Book Antiqua" w:cs="Times New Roman"/>
          <w:i/>
          <w:color w:val="auto"/>
          <w:sz w:val="24"/>
          <w:szCs w:val="24"/>
        </w:rPr>
        <w:t>P</w:t>
      </w:r>
      <w:r w:rsidRPr="00FC2DDA">
        <w:rPr>
          <w:rFonts w:ascii="Book Antiqua" w:eastAsia="Times New Roman" w:hAnsi="Book Antiqua" w:cs="Times New Roman"/>
          <w:color w:val="auto"/>
          <w:sz w:val="24"/>
          <w:szCs w:val="24"/>
        </w:rPr>
        <w:t xml:space="preserve"> = </w:t>
      </w:r>
      <w:r w:rsidR="000B2370" w:rsidRPr="00FC2DDA">
        <w:rPr>
          <w:rFonts w:ascii="Book Antiqua" w:hAnsi="Book Antiqua" w:cs="Times New Roman"/>
          <w:color w:val="auto"/>
          <w:sz w:val="24"/>
          <w:szCs w:val="24"/>
          <w:lang w:eastAsia="zh-CN"/>
        </w:rPr>
        <w:t>0</w:t>
      </w:r>
      <w:r w:rsidRPr="00FC2DDA">
        <w:rPr>
          <w:rFonts w:ascii="Book Antiqua" w:eastAsia="Times New Roman" w:hAnsi="Book Antiqua" w:cs="Times New Roman"/>
          <w:color w:val="auto"/>
          <w:sz w:val="24"/>
          <w:szCs w:val="24"/>
        </w:rPr>
        <w:t xml:space="preserve">.001], respectively), by the meaning of 30 more LI-RADS category 4 early HCCs identified at MRI. </w:t>
      </w:r>
    </w:p>
    <w:p w14:paraId="3E892127" w14:textId="77777777"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 xml:space="preserve">The correct characterization of all nodules possibly encountered in a cirrhotic liver is of paramount importance </w:t>
      </w:r>
      <w:r w:rsidR="00FA7A0E" w:rsidRPr="00FC2DDA">
        <w:rPr>
          <w:rFonts w:ascii="Book Antiqua" w:eastAsia="Times New Roman" w:hAnsi="Book Antiqua" w:cs="Times New Roman"/>
          <w:color w:val="auto"/>
          <w:sz w:val="24"/>
          <w:szCs w:val="24"/>
        </w:rPr>
        <w:t xml:space="preserve">because of </w:t>
      </w:r>
      <w:r w:rsidRPr="00FC2DDA">
        <w:rPr>
          <w:rFonts w:ascii="Book Antiqua" w:eastAsia="Times New Roman" w:hAnsi="Book Antiqua" w:cs="Times New Roman"/>
          <w:color w:val="auto"/>
          <w:sz w:val="24"/>
          <w:szCs w:val="24"/>
        </w:rPr>
        <w:t xml:space="preserve">their completely different management. In fact while regenerative and dysplastic nodules deserve a strict follow-up, HCC should be treated with the more suitable therapeutic option, according its stage. This is clearly defined by </w:t>
      </w:r>
      <w:r w:rsidRPr="00FC2DDA">
        <w:rPr>
          <w:rFonts w:ascii="Book Antiqua" w:eastAsia="Times New Roman" w:hAnsi="Book Antiqua" w:cs="Times New Roman"/>
          <w:color w:val="auto"/>
          <w:sz w:val="24"/>
          <w:szCs w:val="24"/>
        </w:rPr>
        <w:lastRenderedPageBreak/>
        <w:t>the Barcelona Clinic Liver Cancer (BCLC) staging system, adopted in all Western countries</w:t>
      </w:r>
      <w:r w:rsidR="00FA7A0E"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and endorsed by both American and European guidelines.</w:t>
      </w:r>
    </w:p>
    <w:p w14:paraId="2C36EE96" w14:textId="3D7E1ECB" w:rsidR="001B04E3" w:rsidRPr="00FC2DDA" w:rsidRDefault="00FB4404" w:rsidP="00AF2AB9">
      <w:pPr>
        <w:snapToGrid w:val="0"/>
        <w:spacing w:after="0" w:line="360" w:lineRule="auto"/>
        <w:ind w:firstLineChars="100" w:firstLine="240"/>
        <w:jc w:val="both"/>
        <w:rPr>
          <w:rFonts w:ascii="Book Antiqua" w:hAnsi="Book Antiqua" w:cs="Times New Roman"/>
          <w:color w:val="auto"/>
          <w:sz w:val="24"/>
          <w:szCs w:val="24"/>
        </w:rPr>
      </w:pPr>
      <w:bookmarkStart w:id="84" w:name="_Hlk509043596"/>
      <w:r w:rsidRPr="00FC2DDA">
        <w:rPr>
          <w:rFonts w:ascii="Book Antiqua" w:eastAsia="Times New Roman" w:hAnsi="Book Antiqua" w:cs="Times New Roman"/>
          <w:color w:val="auto"/>
          <w:sz w:val="24"/>
          <w:szCs w:val="24"/>
        </w:rPr>
        <w:t xml:space="preserve">In this context, beside traditional radiological techniques, new functional imaging tools have been introduced in clinical practice in order to provide not only morphological information but also functional data information. </w:t>
      </w:r>
      <w:bookmarkStart w:id="85" w:name="_Hlk509043302"/>
      <w:r w:rsidRPr="00FC2DDA">
        <w:rPr>
          <w:rFonts w:ascii="Book Antiqua" w:eastAsia="Times New Roman" w:hAnsi="Book Antiqua" w:cs="Times New Roman"/>
          <w:color w:val="auto"/>
          <w:sz w:val="24"/>
          <w:szCs w:val="24"/>
        </w:rPr>
        <w:t xml:space="preserve">Functional magnetic resonance imaging encompasses a wide range of advanced techniques capable in evaluating physiological and pathological modifications of tissues, by the analysis of quantitative </w:t>
      </w:r>
      <w:r w:rsidR="005A6779" w:rsidRPr="00FC2DDA">
        <w:rPr>
          <w:rFonts w:ascii="Book Antiqua" w:eastAsia="Times New Roman" w:hAnsi="Book Antiqua" w:cs="Times New Roman"/>
          <w:color w:val="auto"/>
          <w:sz w:val="24"/>
          <w:szCs w:val="24"/>
        </w:rPr>
        <w:t>data</w:t>
      </w:r>
      <w:r w:rsidRPr="00FC2DDA">
        <w:rPr>
          <w:rFonts w:ascii="Book Antiqua" w:eastAsia="Times New Roman" w:hAnsi="Book Antiqua" w:cs="Times New Roman"/>
          <w:color w:val="auto"/>
          <w:sz w:val="24"/>
          <w:szCs w:val="24"/>
        </w:rPr>
        <w:t xml:space="preserve">, in addition to those obtained from standard morphological imaging. These techniques may include </w:t>
      </w:r>
      <w:r w:rsidRPr="00FC2DDA">
        <w:rPr>
          <w:rFonts w:ascii="Book Antiqua" w:hAnsi="Book Antiqua" w:cs="Times New Roman"/>
          <w:color w:val="auto"/>
          <w:sz w:val="24"/>
          <w:szCs w:val="24"/>
        </w:rPr>
        <w:t>diffusion-weighted sequences, hepatobiliary contrast agents, perfusion imaging, MR-elastography and more recently radiomics analysis.</w:t>
      </w:r>
      <w:bookmarkEnd w:id="84"/>
      <w:bookmarkEnd w:id="85"/>
      <w:r w:rsidR="007F65DB" w:rsidRPr="00FC2DDA">
        <w:rPr>
          <w:rFonts w:ascii="Book Antiqua" w:hAnsi="Book Antiqua" w:cs="Times New Roman"/>
          <w:color w:val="auto"/>
          <w:sz w:val="24"/>
          <w:szCs w:val="24"/>
        </w:rPr>
        <w:t xml:space="preserve"> </w:t>
      </w:r>
      <w:r w:rsidRPr="00FC2DDA">
        <w:rPr>
          <w:rFonts w:ascii="Book Antiqua" w:eastAsia="Times New Roman" w:hAnsi="Book Antiqua" w:cs="Times New Roman"/>
          <w:color w:val="auto"/>
          <w:sz w:val="24"/>
          <w:szCs w:val="24"/>
        </w:rPr>
        <w:t>In particular, perfusion imaging (related to vascular profile) and diffusion imaging (related to cellular profile)</w:t>
      </w:r>
      <w:r w:rsidR="003871FB" w:rsidRPr="00FC2DDA">
        <w:rPr>
          <w:rFonts w:ascii="Book Antiqua" w:hAnsi="Book Antiqua" w:cs="Times New Roman" w:hint="eastAsia"/>
          <w:color w:val="auto"/>
          <w:sz w:val="24"/>
          <w:szCs w:val="24"/>
          <w:lang w:eastAsia="zh-CN"/>
        </w:rPr>
        <w:t xml:space="preserve"> </w:t>
      </w:r>
      <w:r w:rsidR="003871FB" w:rsidRPr="00FC2DDA">
        <w:rPr>
          <w:rFonts w:ascii="Book Antiqua" w:hAnsi="Book Antiqua" w:cs="Times New Roman"/>
          <w:color w:val="auto"/>
          <w:sz w:val="24"/>
          <w:szCs w:val="24"/>
          <w:lang w:eastAsia="zh-CN"/>
        </w:rPr>
        <w:t>(</w:t>
      </w:r>
      <w:r w:rsidR="005E1DF8" w:rsidRPr="00FC2DDA">
        <w:rPr>
          <w:rFonts w:ascii="Book Antiqua" w:eastAsia="Times New Roman" w:hAnsi="Book Antiqua" w:cs="Times New Roman"/>
          <w:color w:val="auto"/>
          <w:sz w:val="24"/>
          <w:szCs w:val="24"/>
        </w:rPr>
        <w:t>Fig</w:t>
      </w:r>
      <w:r w:rsidR="003871FB" w:rsidRPr="00FC2DDA">
        <w:rPr>
          <w:rFonts w:ascii="Book Antiqua" w:hAnsi="Book Antiqua" w:cs="Times New Roman"/>
          <w:color w:val="auto"/>
          <w:sz w:val="24"/>
          <w:szCs w:val="24"/>
          <w:lang w:eastAsia="zh-CN"/>
        </w:rPr>
        <w:t xml:space="preserve">ure </w:t>
      </w:r>
      <w:r w:rsidR="005E1DF8" w:rsidRPr="00FC2DDA">
        <w:rPr>
          <w:rFonts w:ascii="Book Antiqua" w:eastAsia="Times New Roman" w:hAnsi="Book Antiqua" w:cs="Times New Roman"/>
          <w:color w:val="auto"/>
          <w:sz w:val="24"/>
          <w:szCs w:val="24"/>
        </w:rPr>
        <w:t>1</w:t>
      </w:r>
      <w:r w:rsidR="003871FB" w:rsidRPr="00FC2DDA">
        <w:rPr>
          <w:rFonts w:ascii="Book Antiqua" w:hAnsi="Book Antiqua" w:cs="Times New Roman"/>
          <w:color w:val="auto"/>
          <w:sz w:val="24"/>
          <w:szCs w:val="24"/>
          <w:lang w:eastAsia="zh-CN"/>
        </w:rPr>
        <w:t xml:space="preserve">) </w:t>
      </w:r>
      <w:r w:rsidRPr="00FC2DDA">
        <w:rPr>
          <w:rFonts w:ascii="Book Antiqua" w:eastAsia="Times New Roman" w:hAnsi="Book Antiqua" w:cs="Times New Roman"/>
          <w:color w:val="auto"/>
          <w:sz w:val="24"/>
          <w:szCs w:val="24"/>
        </w:rPr>
        <w:t xml:space="preserve">techniques have been extensively studied during various steps of HCC evolution, from initial assessment of vascular modifications in cirrhotic liver through its progression in </w:t>
      </w:r>
      <w:r w:rsidR="00A37185" w:rsidRPr="00FC2DDA">
        <w:rPr>
          <w:rFonts w:ascii="Book Antiqua" w:eastAsia="Times New Roman" w:hAnsi="Book Antiqua" w:cs="Times New Roman"/>
          <w:color w:val="auto"/>
          <w:sz w:val="24"/>
          <w:szCs w:val="24"/>
        </w:rPr>
        <w:t>tumor lesion, and finally to it</w:t>
      </w:r>
      <w:r w:rsidRPr="00FC2DDA">
        <w:rPr>
          <w:rFonts w:ascii="Book Antiqua" w:eastAsia="Times New Roman" w:hAnsi="Book Antiqua" w:cs="Times New Roman"/>
          <w:color w:val="auto"/>
          <w:sz w:val="24"/>
          <w:szCs w:val="24"/>
        </w:rPr>
        <w:t>s follow-up after treatment.</w:t>
      </w:r>
      <w:r w:rsidR="00EF1F0E" w:rsidRPr="00FC2DDA">
        <w:rPr>
          <w:rFonts w:ascii="Book Antiqua" w:hAnsi="Book Antiqua" w:cs="Times New Roman"/>
          <w:color w:val="auto"/>
          <w:sz w:val="24"/>
          <w:szCs w:val="24"/>
        </w:rPr>
        <w:t xml:space="preserve">                                                                    </w:t>
      </w:r>
      <w:r w:rsidRPr="00FC2DDA">
        <w:rPr>
          <w:rFonts w:ascii="Book Antiqua" w:eastAsia="Arial" w:hAnsi="Book Antiqua" w:cs="Arial"/>
          <w:color w:val="auto"/>
          <w:sz w:val="24"/>
          <w:szCs w:val="24"/>
        </w:rPr>
        <w:t>Hence</w:t>
      </w:r>
      <w:r w:rsidR="00A37185" w:rsidRPr="00FC2DDA">
        <w:rPr>
          <w:rFonts w:ascii="Book Antiqua" w:eastAsia="Arial" w:hAnsi="Book Antiqua" w:cs="Arial"/>
          <w:color w:val="auto"/>
          <w:sz w:val="24"/>
          <w:szCs w:val="24"/>
        </w:rPr>
        <w:t>,</w:t>
      </w:r>
      <w:r w:rsidRPr="00FC2DDA">
        <w:rPr>
          <w:rFonts w:ascii="Book Antiqua" w:eastAsia="Arial" w:hAnsi="Book Antiqua" w:cs="Arial"/>
          <w:color w:val="auto"/>
          <w:sz w:val="24"/>
          <w:szCs w:val="24"/>
        </w:rPr>
        <w:t xml:space="preserve"> </w:t>
      </w:r>
      <w:bookmarkStart w:id="86" w:name="_Hlk509043334"/>
      <w:r w:rsidRPr="00FC2DDA">
        <w:rPr>
          <w:rFonts w:ascii="Book Antiqua" w:eastAsia="Arial" w:hAnsi="Book Antiqua" w:cs="Arial"/>
          <w:color w:val="auto"/>
          <w:sz w:val="24"/>
          <w:szCs w:val="24"/>
        </w:rPr>
        <w:t>in this review we provide an overview of recent advances and techniques in MR studies for the diagnosis and the staging of hepatocellular carcinoma</w:t>
      </w:r>
      <w:r w:rsidRPr="00FC2DDA">
        <w:rPr>
          <w:rFonts w:ascii="Book Antiqua" w:eastAsia="Times New Roman" w:hAnsi="Book Antiqua" w:cs="Times New Roman"/>
          <w:color w:val="auto"/>
          <w:sz w:val="24"/>
          <w:szCs w:val="24"/>
        </w:rPr>
        <w:t>.</w:t>
      </w:r>
    </w:p>
    <w:bookmarkEnd w:id="86"/>
    <w:p w14:paraId="526BB906" w14:textId="65205A01" w:rsidR="001B04E3" w:rsidRPr="00FC2DDA" w:rsidRDefault="001B04E3" w:rsidP="00AF2AB9">
      <w:pPr>
        <w:snapToGrid w:val="0"/>
        <w:spacing w:after="0" w:line="360" w:lineRule="auto"/>
        <w:jc w:val="both"/>
        <w:rPr>
          <w:rFonts w:ascii="Book Antiqua" w:eastAsia="Times New Roman" w:hAnsi="Book Antiqua" w:cs="Times New Roman"/>
          <w:color w:val="auto"/>
          <w:sz w:val="24"/>
          <w:szCs w:val="24"/>
        </w:rPr>
      </w:pPr>
    </w:p>
    <w:p w14:paraId="09A5EE6E" w14:textId="771A2D2E" w:rsidR="001B04E3" w:rsidRPr="00FC2DDA" w:rsidRDefault="00FB4404"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CONTRAST MEDIA: EXTRACELLULAR AND HEPATOBILIARY AGENTS</w:t>
      </w:r>
    </w:p>
    <w:p w14:paraId="5AE91BE9" w14:textId="7DDC5D41" w:rsidR="008D6A6C" w:rsidRPr="00FC2DDA" w:rsidRDefault="00FB4404" w:rsidP="00AF2AB9">
      <w:pPr>
        <w:widowControl w:val="0"/>
        <w:snapToGrid w:val="0"/>
        <w:spacing w:after="0" w:line="360" w:lineRule="auto"/>
        <w:jc w:val="both"/>
        <w:rPr>
          <w:rFonts w:ascii="Book Antiqua" w:hAnsi="Book Antiqua" w:cs="Times New Roman"/>
          <w:color w:val="auto"/>
          <w:sz w:val="24"/>
          <w:szCs w:val="24"/>
          <w:lang w:eastAsia="zh-CN"/>
        </w:rPr>
      </w:pPr>
      <w:r w:rsidRPr="00FC2DDA">
        <w:rPr>
          <w:rFonts w:ascii="Book Antiqua" w:eastAsia="Times New Roman" w:hAnsi="Book Antiqua" w:cs="Times New Roman"/>
          <w:color w:val="auto"/>
          <w:sz w:val="24"/>
          <w:szCs w:val="24"/>
        </w:rPr>
        <w:t>Gadolinium is a</w:t>
      </w:r>
      <w:r w:rsidR="003E131F" w:rsidRPr="00FC2DDA">
        <w:rPr>
          <w:rFonts w:ascii="Book Antiqua" w:hAnsi="Book Antiqua" w:cs="Times New Roman"/>
          <w:color w:val="auto"/>
          <w:sz w:val="24"/>
          <w:szCs w:val="24"/>
          <w:lang w:eastAsia="zh-CN"/>
        </w:rPr>
        <w:t xml:space="preserve"> </w:t>
      </w:r>
      <w:r w:rsidRPr="00FC2DDA">
        <w:rPr>
          <w:rFonts w:ascii="Book Antiqua" w:eastAsia="Times New Roman" w:hAnsi="Book Antiqua" w:cs="Times New Roman"/>
          <w:color w:val="auto"/>
          <w:sz w:val="24"/>
          <w:szCs w:val="24"/>
        </w:rPr>
        <w:t xml:space="preserve">paramagnetic ion which shorten T1 relaxation time in tissues and therefore produces </w:t>
      </w:r>
      <w:r w:rsidR="003E131F" w:rsidRPr="00FC2DDA">
        <w:rPr>
          <w:rFonts w:ascii="Book Antiqua" w:eastAsia="Times New Roman" w:hAnsi="Book Antiqua" w:cs="Times New Roman"/>
          <w:color w:val="auto"/>
          <w:sz w:val="24"/>
          <w:szCs w:val="24"/>
        </w:rPr>
        <w:t>an increase of signal intensity</w:t>
      </w:r>
      <w:r w:rsidR="004676CA" w:rsidRPr="00FC2DDA">
        <w:rPr>
          <w:rFonts w:ascii="Book Antiqua" w:eastAsia="Times New Roman" w:hAnsi="Book Antiqua" w:cs="Times New Roman"/>
          <w:color w:val="auto"/>
          <w:sz w:val="24"/>
          <w:szCs w:val="24"/>
          <w:vertAlign w:val="superscript"/>
        </w:rPr>
        <w:t>[18]</w:t>
      </w:r>
      <w:r w:rsidRPr="00FC2DDA">
        <w:rPr>
          <w:rFonts w:ascii="Book Antiqua" w:eastAsia="Times New Roman" w:hAnsi="Book Antiqua" w:cs="Times New Roman"/>
          <w:color w:val="auto"/>
          <w:sz w:val="24"/>
          <w:szCs w:val="24"/>
        </w:rPr>
        <w:t>. Based on bio</w:t>
      </w:r>
      <w:r w:rsidR="00A37185"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distribution, there are 3 categories of gadolinium-based contrast agents: Extracellular fluid agents (ECFAs), </w:t>
      </w:r>
      <w:r w:rsidR="009750BF" w:rsidRPr="00FC2DDA">
        <w:rPr>
          <w:rFonts w:ascii="Book Antiqua" w:eastAsia="Times New Roman" w:hAnsi="Book Antiqua" w:cs="Times New Roman"/>
          <w:color w:val="auto"/>
          <w:sz w:val="24"/>
          <w:szCs w:val="24"/>
        </w:rPr>
        <w:t>b</w:t>
      </w:r>
      <w:r w:rsidRPr="00FC2DDA">
        <w:rPr>
          <w:rFonts w:ascii="Book Antiqua" w:eastAsia="Times New Roman" w:hAnsi="Book Antiqua" w:cs="Times New Roman"/>
          <w:color w:val="auto"/>
          <w:sz w:val="24"/>
          <w:szCs w:val="24"/>
        </w:rPr>
        <w:t xml:space="preserve">lood pool agents (BPCAs) and targeted and organ-specific contrast agents such as </w:t>
      </w:r>
      <w:r w:rsidR="009750BF" w:rsidRPr="00FC2DDA">
        <w:rPr>
          <w:rFonts w:ascii="Book Antiqua" w:eastAsia="Times New Roman" w:hAnsi="Book Antiqua" w:cs="Times New Roman"/>
          <w:color w:val="auto"/>
          <w:sz w:val="24"/>
          <w:szCs w:val="24"/>
        </w:rPr>
        <w:t>h</w:t>
      </w:r>
      <w:r w:rsidRPr="00FC2DDA">
        <w:rPr>
          <w:rFonts w:ascii="Book Antiqua" w:eastAsia="Times New Roman" w:hAnsi="Book Antiqua" w:cs="Times New Roman"/>
          <w:color w:val="auto"/>
          <w:sz w:val="24"/>
          <w:szCs w:val="24"/>
        </w:rPr>
        <w:t>epatocyte-specific contrast agents (HCAs). ECFAs and HCAs are the most commonly used in liver imaging.</w:t>
      </w:r>
      <w:r w:rsidR="001567E5"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ECFAs consist of gadolinium chelated to a</w:t>
      </w:r>
      <w:r w:rsidR="003E131F" w:rsidRPr="00FC2DDA">
        <w:rPr>
          <w:rFonts w:ascii="Book Antiqua" w:eastAsia="Times New Roman" w:hAnsi="Book Antiqua" w:cs="Times New Roman"/>
          <w:color w:val="auto"/>
          <w:sz w:val="24"/>
          <w:szCs w:val="24"/>
        </w:rPr>
        <w:t>n organic compound such as DTPA</w:t>
      </w:r>
      <w:r w:rsidR="004676CA" w:rsidRPr="00FC2DDA">
        <w:rPr>
          <w:rFonts w:ascii="Book Antiqua" w:eastAsia="Times New Roman" w:hAnsi="Book Antiqua" w:cs="Times New Roman"/>
          <w:color w:val="auto"/>
          <w:sz w:val="24"/>
          <w:szCs w:val="24"/>
          <w:vertAlign w:val="superscript"/>
        </w:rPr>
        <w:t>[19]</w:t>
      </w:r>
      <w:r w:rsidR="004676CA"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They are further divided in standard relaxivity macrocyclic agents, standard relaxivity linear agents and high relativity linear agents (Table</w:t>
      </w:r>
      <w:r w:rsidR="00235A9D" w:rsidRPr="00FC2DDA">
        <w:rPr>
          <w:rFonts w:ascii="Book Antiqua" w:hAnsi="Book Antiqua" w:cs="Times New Roman" w:hint="eastAsia"/>
          <w:color w:val="auto"/>
          <w:sz w:val="24"/>
          <w:szCs w:val="24"/>
          <w:lang w:eastAsia="zh-CN"/>
        </w:rPr>
        <w:t xml:space="preserve"> </w:t>
      </w:r>
      <w:r w:rsidR="00636F70" w:rsidRPr="00FC2DDA">
        <w:rPr>
          <w:rFonts w:ascii="Book Antiqua" w:eastAsia="Times New Roman" w:hAnsi="Book Antiqua" w:cs="Times New Roman"/>
          <w:color w:val="auto"/>
          <w:sz w:val="24"/>
          <w:szCs w:val="24"/>
        </w:rPr>
        <w:t>1</w:t>
      </w:r>
      <w:r w:rsidRPr="00FC2DDA">
        <w:rPr>
          <w:rFonts w:ascii="Book Antiqua" w:eastAsia="Times New Roman" w:hAnsi="Book Antiqua" w:cs="Times New Roman"/>
          <w:color w:val="auto"/>
          <w:sz w:val="24"/>
          <w:szCs w:val="24"/>
        </w:rPr>
        <w:t>).</w:t>
      </w:r>
      <w:r w:rsidR="001567E5" w:rsidRPr="00FC2DDA">
        <w:rPr>
          <w:rFonts w:ascii="Book Antiqua" w:eastAsia="Times New Roman" w:hAnsi="Book Antiqua" w:cs="Times New Roman"/>
          <w:color w:val="auto"/>
          <w:sz w:val="24"/>
          <w:szCs w:val="24"/>
        </w:rPr>
        <w:t xml:space="preserve"> </w:t>
      </w:r>
      <w:r w:rsidR="005B430F" w:rsidRPr="00FC2DDA">
        <w:rPr>
          <w:rFonts w:ascii="Book Antiqua" w:eastAsia="Times New Roman" w:hAnsi="Book Antiqua" w:cs="Times New Roman"/>
          <w:color w:val="auto"/>
          <w:sz w:val="24"/>
          <w:szCs w:val="24"/>
        </w:rPr>
        <w:t>T</w:t>
      </w:r>
      <w:r w:rsidRPr="00FC2DDA">
        <w:rPr>
          <w:rFonts w:ascii="Book Antiqua" w:eastAsia="Times New Roman" w:hAnsi="Book Antiqua" w:cs="Times New Roman"/>
          <w:color w:val="auto"/>
          <w:sz w:val="24"/>
          <w:szCs w:val="24"/>
        </w:rPr>
        <w:t>he details regarding the advantages and disadvantages of each contrast category is beyond the scope of this article, but in general</w:t>
      </w:r>
      <w:r w:rsidR="00A37185"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there</w:t>
      </w:r>
      <w:r w:rsidR="003E131F" w:rsidRPr="00FC2DDA">
        <w:rPr>
          <w:rFonts w:ascii="Book Antiqua" w:eastAsia="Times New Roman" w:hAnsi="Book Antiqua" w:cs="Times New Roman"/>
          <w:color w:val="auto"/>
          <w:sz w:val="24"/>
          <w:szCs w:val="24"/>
        </w:rPr>
        <w:t xml:space="preserve"> is little clinical difference</w:t>
      </w:r>
      <w:r w:rsidR="00C70ED4" w:rsidRPr="00FC2DDA">
        <w:rPr>
          <w:rFonts w:ascii="Book Antiqua" w:eastAsia="Times New Roman" w:hAnsi="Book Antiqua" w:cs="Times New Roman"/>
          <w:color w:val="auto"/>
          <w:sz w:val="24"/>
          <w:szCs w:val="24"/>
          <w:vertAlign w:val="superscript"/>
        </w:rPr>
        <w:t>[2</w:t>
      </w:r>
      <w:r w:rsidRPr="00FC2DDA">
        <w:rPr>
          <w:rFonts w:ascii="Book Antiqua" w:eastAsia="Times New Roman" w:hAnsi="Book Antiqua" w:cs="Times New Roman"/>
          <w:color w:val="auto"/>
          <w:sz w:val="24"/>
          <w:szCs w:val="24"/>
          <w:vertAlign w:val="superscript"/>
        </w:rPr>
        <w:t>0</w:t>
      </w:r>
      <w:r w:rsidR="00C70ED4"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 xml:space="preserve">. The standard dose is 0.1 mmol/kg typically injected intravenously at a rate of 2 mL/s followed by a normal saline “flush” of 20 to 50 mL.  After the injection, ECFAs are rapidly cleared from the intravascular space through the capillaries into the extracellular space. They are mainly eliminated by renal excretion and have imaging dynamics comparable to the extracellular iodinated contrast </w:t>
      </w:r>
      <w:r w:rsidRPr="00FC2DDA">
        <w:rPr>
          <w:rFonts w:ascii="Book Antiqua" w:eastAsia="Times New Roman" w:hAnsi="Book Antiqua" w:cs="Times New Roman"/>
          <w:color w:val="auto"/>
          <w:sz w:val="24"/>
          <w:szCs w:val="24"/>
        </w:rPr>
        <w:lastRenderedPageBreak/>
        <w:t xml:space="preserve">media used in CT. However, MRI is more sensitive to the effects of gadolinium than CT </w:t>
      </w:r>
      <w:r w:rsidR="00283D8F" w:rsidRPr="00FC2DDA">
        <w:rPr>
          <w:rFonts w:ascii="Book Antiqua" w:eastAsia="Times New Roman" w:hAnsi="Book Antiqua" w:cs="Times New Roman"/>
          <w:color w:val="auto"/>
          <w:sz w:val="24"/>
          <w:szCs w:val="24"/>
        </w:rPr>
        <w:t xml:space="preserve">is </w:t>
      </w:r>
      <w:r w:rsidRPr="00FC2DDA">
        <w:rPr>
          <w:rFonts w:ascii="Book Antiqua" w:eastAsia="Times New Roman" w:hAnsi="Book Antiqua" w:cs="Times New Roman"/>
          <w:color w:val="auto"/>
          <w:sz w:val="24"/>
          <w:szCs w:val="24"/>
        </w:rPr>
        <w:t xml:space="preserve">to the effects of iodine, because Gadolinium has an amplification effect </w:t>
      </w:r>
      <w:r w:rsidR="00283D8F" w:rsidRPr="00FC2DDA">
        <w:rPr>
          <w:rFonts w:ascii="Book Antiqua" w:eastAsia="Times New Roman" w:hAnsi="Book Antiqua" w:cs="Times New Roman"/>
          <w:color w:val="auto"/>
          <w:sz w:val="24"/>
          <w:szCs w:val="24"/>
        </w:rPr>
        <w:t xml:space="preserve">due to the </w:t>
      </w:r>
      <w:r w:rsidRPr="00FC2DDA">
        <w:rPr>
          <w:rFonts w:ascii="Book Antiqua" w:eastAsia="Times New Roman" w:hAnsi="Book Antiqua" w:cs="Times New Roman"/>
          <w:color w:val="auto"/>
          <w:sz w:val="24"/>
          <w:szCs w:val="24"/>
        </w:rPr>
        <w:t>number of adjacent water protons relaxe</w:t>
      </w:r>
      <w:r w:rsidR="003E131F" w:rsidRPr="00FC2DDA">
        <w:rPr>
          <w:rFonts w:ascii="Book Antiqua" w:eastAsia="Times New Roman" w:hAnsi="Book Antiqua" w:cs="Times New Roman"/>
          <w:color w:val="auto"/>
          <w:sz w:val="24"/>
          <w:szCs w:val="24"/>
        </w:rPr>
        <w:t>d by a single gadolinium atom</w:t>
      </w:r>
      <w:r w:rsidR="00137D76" w:rsidRPr="00FC2DDA">
        <w:rPr>
          <w:rFonts w:ascii="Book Antiqua" w:eastAsia="Times New Roman" w:hAnsi="Book Antiqua" w:cs="Times New Roman"/>
          <w:color w:val="auto"/>
          <w:sz w:val="24"/>
          <w:szCs w:val="24"/>
          <w:vertAlign w:val="superscript"/>
        </w:rPr>
        <w:t>[1</w:t>
      </w:r>
      <w:r w:rsidRPr="00FC2DDA">
        <w:rPr>
          <w:rFonts w:ascii="Book Antiqua" w:eastAsia="Times New Roman" w:hAnsi="Book Antiqua" w:cs="Times New Roman"/>
          <w:color w:val="auto"/>
          <w:sz w:val="24"/>
          <w:szCs w:val="24"/>
          <w:vertAlign w:val="superscript"/>
        </w:rPr>
        <w:t>9,</w:t>
      </w:r>
      <w:r w:rsidR="00137D76" w:rsidRPr="00FC2DDA">
        <w:rPr>
          <w:rFonts w:ascii="Book Antiqua" w:eastAsia="Times New Roman" w:hAnsi="Book Antiqua" w:cs="Times New Roman"/>
          <w:color w:val="auto"/>
          <w:sz w:val="24"/>
          <w:szCs w:val="24"/>
          <w:vertAlign w:val="superscript"/>
        </w:rPr>
        <w:t>2</w:t>
      </w:r>
      <w:r w:rsidRPr="00FC2DDA">
        <w:rPr>
          <w:rFonts w:ascii="Book Antiqua" w:eastAsia="Times New Roman" w:hAnsi="Book Antiqua" w:cs="Times New Roman"/>
          <w:color w:val="auto"/>
          <w:sz w:val="24"/>
          <w:szCs w:val="24"/>
          <w:vertAlign w:val="superscript"/>
        </w:rPr>
        <w:t>1</w:t>
      </w:r>
      <w:r w:rsidR="00137D76"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 xml:space="preserve">. In summary, ECFAs enter </w:t>
      </w:r>
      <w:r w:rsidR="00A37185" w:rsidRPr="00FC2DDA">
        <w:rPr>
          <w:rFonts w:ascii="Book Antiqua" w:eastAsia="Times New Roman" w:hAnsi="Book Antiqua" w:cs="Times New Roman"/>
          <w:color w:val="auto"/>
          <w:sz w:val="24"/>
          <w:szCs w:val="24"/>
        </w:rPr>
        <w:t xml:space="preserve">into </w:t>
      </w:r>
      <w:r w:rsidRPr="00FC2DDA">
        <w:rPr>
          <w:rFonts w:ascii="Book Antiqua" w:eastAsia="Times New Roman" w:hAnsi="Book Antiqua" w:cs="Times New Roman"/>
          <w:color w:val="auto"/>
          <w:sz w:val="24"/>
          <w:szCs w:val="24"/>
        </w:rPr>
        <w:t>the liver through the hepatic artery and portal vein and are freely redistributed into the interstitial space</w:t>
      </w:r>
      <w:r w:rsidR="00A37185" w:rsidRPr="00FC2DDA">
        <w:rPr>
          <w:rFonts w:ascii="Book Antiqua" w:eastAsia="Times New Roman" w:hAnsi="Book Antiqua" w:cs="Times New Roman"/>
          <w:color w:val="auto"/>
          <w:sz w:val="24"/>
          <w:szCs w:val="24"/>
        </w:rPr>
        <w:t xml:space="preserve">; they demonstrate vascular perfusion </w:t>
      </w:r>
      <w:r w:rsidRPr="00FC2DDA">
        <w:rPr>
          <w:rFonts w:ascii="Book Antiqua" w:eastAsia="Times New Roman" w:hAnsi="Book Antiqua" w:cs="Times New Roman"/>
          <w:color w:val="auto"/>
          <w:sz w:val="24"/>
          <w:szCs w:val="24"/>
        </w:rPr>
        <w:t xml:space="preserve">by distributing and allow </w:t>
      </w:r>
      <w:r w:rsidR="00A37185" w:rsidRPr="00FC2DDA">
        <w:rPr>
          <w:rFonts w:ascii="Book Antiqua" w:eastAsia="Times New Roman" w:hAnsi="Book Antiqua" w:cs="Times New Roman"/>
          <w:color w:val="auto"/>
          <w:sz w:val="24"/>
          <w:szCs w:val="24"/>
        </w:rPr>
        <w:t>the evaluation of</w:t>
      </w:r>
      <w:r w:rsidRPr="00FC2DDA">
        <w:rPr>
          <w:rFonts w:ascii="Book Antiqua" w:eastAsia="Times New Roman" w:hAnsi="Book Antiqua" w:cs="Times New Roman"/>
          <w:color w:val="auto"/>
          <w:sz w:val="24"/>
          <w:szCs w:val="24"/>
        </w:rPr>
        <w:t xml:space="preserve"> </w:t>
      </w:r>
      <w:r w:rsidR="00A37185" w:rsidRPr="00FC2DDA">
        <w:rPr>
          <w:rFonts w:ascii="Book Antiqua" w:eastAsia="Times New Roman" w:hAnsi="Book Antiqua" w:cs="Times New Roman"/>
          <w:color w:val="auto"/>
          <w:sz w:val="24"/>
          <w:szCs w:val="24"/>
        </w:rPr>
        <w:t>l</w:t>
      </w:r>
      <w:r w:rsidRPr="00FC2DDA">
        <w:rPr>
          <w:rFonts w:ascii="Book Antiqua" w:eastAsia="Times New Roman" w:hAnsi="Book Antiqua" w:cs="Times New Roman"/>
          <w:color w:val="auto"/>
          <w:sz w:val="24"/>
          <w:szCs w:val="24"/>
        </w:rPr>
        <w:t>iver lesion</w:t>
      </w:r>
      <w:r w:rsidR="00A37185" w:rsidRPr="00FC2DDA">
        <w:rPr>
          <w:rFonts w:ascii="Book Antiqua" w:eastAsia="Times New Roman" w:hAnsi="Book Antiqua" w:cs="Times New Roman"/>
          <w:color w:val="auto"/>
          <w:sz w:val="24"/>
          <w:szCs w:val="24"/>
        </w:rPr>
        <w:t>s</w:t>
      </w:r>
      <w:r w:rsidRPr="00FC2DDA">
        <w:rPr>
          <w:rFonts w:ascii="Book Antiqua" w:eastAsia="Times New Roman" w:hAnsi="Book Antiqua" w:cs="Times New Roman"/>
          <w:color w:val="auto"/>
          <w:sz w:val="24"/>
          <w:szCs w:val="24"/>
        </w:rPr>
        <w:t xml:space="preserve"> based on assessment of vascularity</w:t>
      </w:r>
      <w:r w:rsidR="00A37185"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w:t>
      </w:r>
      <w:r w:rsidR="00A37185" w:rsidRPr="00FC2DDA">
        <w:rPr>
          <w:rFonts w:ascii="Book Antiqua" w:eastAsia="Times New Roman" w:hAnsi="Book Antiqua" w:cs="Times New Roman"/>
          <w:color w:val="auto"/>
          <w:sz w:val="24"/>
          <w:szCs w:val="24"/>
        </w:rPr>
        <w:t>T</w:t>
      </w:r>
      <w:r w:rsidRPr="00FC2DDA">
        <w:rPr>
          <w:rFonts w:ascii="Book Antiqua" w:eastAsia="Times New Roman" w:hAnsi="Book Antiqua" w:cs="Times New Roman"/>
          <w:color w:val="auto"/>
          <w:sz w:val="24"/>
          <w:szCs w:val="24"/>
        </w:rPr>
        <w:t>he combination of arterial phase hyperenhancement followed by washout appearance in the portal venous and/or delayed phase is the key diagnostic feature of HCC</w:t>
      </w:r>
      <w:r w:rsidR="008D6A6C"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vertAlign w:val="superscript"/>
        </w:rPr>
        <w:t>11</w:t>
      </w:r>
      <w:r w:rsidR="00F839C6" w:rsidRPr="00FC2DDA">
        <w:rPr>
          <w:rFonts w:ascii="Book Antiqua" w:eastAsia="Times New Roman" w:hAnsi="Book Antiqua" w:cs="Times New Roman"/>
          <w:color w:val="auto"/>
          <w:sz w:val="24"/>
          <w:szCs w:val="24"/>
          <w:vertAlign w:val="superscript"/>
        </w:rPr>
        <w:t>,</w:t>
      </w:r>
      <w:r w:rsidR="008D6A6C" w:rsidRPr="00FC2DDA">
        <w:rPr>
          <w:rFonts w:ascii="Book Antiqua" w:eastAsia="Times New Roman" w:hAnsi="Book Antiqua" w:cs="Times New Roman"/>
          <w:color w:val="auto"/>
          <w:sz w:val="24"/>
          <w:szCs w:val="24"/>
          <w:vertAlign w:val="superscript"/>
        </w:rPr>
        <w:t>12]</w:t>
      </w:r>
      <w:r w:rsidR="003E131F" w:rsidRPr="00FC2DDA">
        <w:rPr>
          <w:rFonts w:ascii="Book Antiqua" w:hAnsi="Book Antiqua" w:cs="Times New Roman"/>
          <w:color w:val="auto"/>
          <w:sz w:val="24"/>
          <w:szCs w:val="24"/>
          <w:lang w:eastAsia="zh-CN"/>
        </w:rPr>
        <w:t xml:space="preserve"> (</w:t>
      </w:r>
      <w:r w:rsidR="003E131F" w:rsidRPr="00FC2DDA">
        <w:rPr>
          <w:rFonts w:ascii="Book Antiqua" w:eastAsia="Times New Roman" w:hAnsi="Book Antiqua" w:cs="Times New Roman"/>
          <w:color w:val="auto"/>
          <w:sz w:val="24"/>
          <w:szCs w:val="24"/>
        </w:rPr>
        <w:t>Fig</w:t>
      </w:r>
      <w:r w:rsidR="003E131F" w:rsidRPr="00FC2DDA">
        <w:rPr>
          <w:rFonts w:ascii="Book Antiqua" w:hAnsi="Book Antiqua" w:cs="Times New Roman"/>
          <w:color w:val="auto"/>
          <w:sz w:val="24"/>
          <w:szCs w:val="24"/>
          <w:lang w:eastAsia="zh-CN"/>
        </w:rPr>
        <w:t>ure</w:t>
      </w:r>
      <w:r w:rsidR="003E131F" w:rsidRPr="00FC2DDA">
        <w:rPr>
          <w:rFonts w:ascii="Book Antiqua" w:eastAsia="Times New Roman" w:hAnsi="Book Antiqua" w:cs="Times New Roman"/>
          <w:color w:val="auto"/>
          <w:sz w:val="24"/>
          <w:szCs w:val="24"/>
        </w:rPr>
        <w:t xml:space="preserve"> 2</w:t>
      </w:r>
      <w:r w:rsidR="003E131F" w:rsidRPr="00FC2DDA">
        <w:rPr>
          <w:rFonts w:ascii="Book Antiqua" w:hAnsi="Book Antiqua" w:cs="Times New Roman"/>
          <w:color w:val="auto"/>
          <w:sz w:val="24"/>
          <w:szCs w:val="24"/>
          <w:lang w:eastAsia="zh-CN"/>
        </w:rPr>
        <w:t>)</w:t>
      </w:r>
      <w:r w:rsidRPr="00FC2DDA">
        <w:rPr>
          <w:rFonts w:ascii="Book Antiqua" w:eastAsia="Times New Roman" w:hAnsi="Book Antiqua" w:cs="Times New Roman"/>
          <w:color w:val="auto"/>
          <w:sz w:val="24"/>
          <w:szCs w:val="24"/>
        </w:rPr>
        <w:t>.</w:t>
      </w:r>
      <w:r w:rsidR="001567E5" w:rsidRPr="00FC2DDA">
        <w:rPr>
          <w:rFonts w:ascii="Book Antiqua" w:eastAsia="Times New Roman" w:hAnsi="Book Antiqua" w:cs="Times New Roman"/>
          <w:color w:val="auto"/>
          <w:sz w:val="24"/>
          <w:szCs w:val="24"/>
        </w:rPr>
        <w:t xml:space="preserve"> </w:t>
      </w:r>
    </w:p>
    <w:p w14:paraId="32D45989" w14:textId="77777777" w:rsidR="00F839C6" w:rsidRPr="00FC2DDA" w:rsidRDefault="00FB4404" w:rsidP="00AF2AB9">
      <w:pPr>
        <w:widowControl w:val="0"/>
        <w:snapToGrid w:val="0"/>
        <w:spacing w:after="0" w:line="360" w:lineRule="auto"/>
        <w:ind w:firstLineChars="100" w:firstLine="240"/>
        <w:jc w:val="both"/>
        <w:rPr>
          <w:rFonts w:ascii="Book Antiqua" w:hAnsi="Book Antiqua" w:cs="Times New Roman"/>
          <w:color w:val="auto"/>
          <w:sz w:val="24"/>
          <w:szCs w:val="24"/>
          <w:lang w:eastAsia="zh-CN"/>
        </w:rPr>
      </w:pPr>
      <w:r w:rsidRPr="00FC2DDA">
        <w:rPr>
          <w:rFonts w:ascii="Book Antiqua" w:eastAsia="Times New Roman" w:hAnsi="Book Antiqua" w:cs="Times New Roman"/>
          <w:color w:val="auto"/>
          <w:sz w:val="24"/>
          <w:szCs w:val="24"/>
        </w:rPr>
        <w:t>The pathophysiologic basis for arterial phase hyperenhancement in HCC is related to the increasing of intranodular arterial suppl</w:t>
      </w:r>
      <w:r w:rsidR="00850652" w:rsidRPr="00FC2DDA">
        <w:rPr>
          <w:rFonts w:ascii="Book Antiqua" w:eastAsia="Times New Roman" w:hAnsi="Book Antiqua" w:cs="Times New Roman"/>
          <w:color w:val="auto"/>
          <w:sz w:val="24"/>
          <w:szCs w:val="24"/>
        </w:rPr>
        <w:t xml:space="preserve">y during </w:t>
      </w:r>
      <w:r w:rsidR="00F839C6" w:rsidRPr="00FC2DDA">
        <w:rPr>
          <w:rFonts w:ascii="Book Antiqua" w:eastAsia="Times New Roman" w:hAnsi="Book Antiqua" w:cs="Times New Roman"/>
          <w:color w:val="auto"/>
          <w:sz w:val="24"/>
          <w:szCs w:val="24"/>
        </w:rPr>
        <w:t>hepatocarcinogenesis</w:t>
      </w:r>
      <w:r w:rsidR="00850652" w:rsidRPr="00FC2DDA">
        <w:rPr>
          <w:rFonts w:ascii="Book Antiqua" w:eastAsia="Times New Roman" w:hAnsi="Book Antiqua" w:cs="Times New Roman"/>
          <w:color w:val="auto"/>
          <w:sz w:val="24"/>
          <w:szCs w:val="24"/>
          <w:vertAlign w:val="superscript"/>
        </w:rPr>
        <w:t>[2</w:t>
      </w:r>
      <w:r w:rsidRPr="00FC2DDA">
        <w:rPr>
          <w:rFonts w:ascii="Book Antiqua" w:eastAsia="Times New Roman" w:hAnsi="Book Antiqua" w:cs="Times New Roman"/>
          <w:color w:val="auto"/>
          <w:sz w:val="24"/>
          <w:szCs w:val="24"/>
          <w:vertAlign w:val="superscript"/>
        </w:rPr>
        <w:t>2</w:t>
      </w:r>
      <w:r w:rsidR="00850652"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 The mechanisms underlying washout appearance in HCC depending on a range of factors: early venous drainage of contrast material from the tumour, progressive enhancement of background liver, reduced intranodular portal venous blood supply, tumour hypercellularity with corresponding reduction in extracellular volume and intrinsic hy</w:t>
      </w:r>
      <w:r w:rsidR="00F839C6" w:rsidRPr="00FC2DDA">
        <w:rPr>
          <w:rFonts w:ascii="Book Antiqua" w:eastAsia="Times New Roman" w:hAnsi="Book Antiqua" w:cs="Times New Roman"/>
          <w:color w:val="auto"/>
          <w:sz w:val="24"/>
          <w:szCs w:val="24"/>
        </w:rPr>
        <w:t>poattenuation/hypointensity</w:t>
      </w:r>
      <w:r w:rsidR="00850652" w:rsidRPr="00FC2DDA">
        <w:rPr>
          <w:rFonts w:ascii="Book Antiqua" w:eastAsia="Times New Roman" w:hAnsi="Book Antiqua" w:cs="Times New Roman"/>
          <w:color w:val="auto"/>
          <w:sz w:val="24"/>
          <w:szCs w:val="24"/>
          <w:vertAlign w:val="superscript"/>
        </w:rPr>
        <w:t>[23]</w:t>
      </w:r>
      <w:r w:rsidRPr="00FC2DDA">
        <w:rPr>
          <w:rFonts w:ascii="Book Antiqua" w:eastAsia="Times New Roman" w:hAnsi="Book Antiqua" w:cs="Times New Roman"/>
          <w:color w:val="auto"/>
          <w:sz w:val="24"/>
          <w:szCs w:val="24"/>
        </w:rPr>
        <w:t xml:space="preserve">. In cirrhotic patients, this enhancement pattern has approximately 100% specificity for lesions larger than 2 cm and approximately 90% </w:t>
      </w:r>
      <w:r w:rsidR="00F839C6" w:rsidRPr="00FC2DDA">
        <w:rPr>
          <w:rFonts w:ascii="Book Antiqua" w:eastAsia="Times New Roman" w:hAnsi="Book Antiqua" w:cs="Times New Roman"/>
          <w:color w:val="auto"/>
          <w:sz w:val="24"/>
          <w:szCs w:val="24"/>
        </w:rPr>
        <w:t>specificity for those of 1-2 cm</w:t>
      </w:r>
      <w:r w:rsidR="00850652" w:rsidRPr="00FC2DDA">
        <w:rPr>
          <w:rFonts w:ascii="Book Antiqua" w:eastAsia="Times New Roman" w:hAnsi="Book Antiqua" w:cs="Times New Roman"/>
          <w:color w:val="auto"/>
          <w:sz w:val="24"/>
          <w:szCs w:val="24"/>
          <w:vertAlign w:val="superscript"/>
        </w:rPr>
        <w:t>[24]</w:t>
      </w:r>
      <w:r w:rsidRPr="00FC2DDA">
        <w:rPr>
          <w:rFonts w:ascii="Book Antiqua" w:eastAsia="Times New Roman" w:hAnsi="Book Antiqua" w:cs="Times New Roman"/>
          <w:color w:val="auto"/>
          <w:sz w:val="24"/>
          <w:szCs w:val="24"/>
        </w:rPr>
        <w:t>.  However, the main limitation with ECFAs for diagnosis and staging HCCs is low per-lesion sensitivity, because an atypical vascular behaviour is quite common in small (&lt;</w:t>
      </w:r>
      <w:r w:rsidR="00F839C6" w:rsidRPr="00FC2DDA">
        <w:rPr>
          <w:rFonts w:ascii="Book Antiqua" w:hAnsi="Book Antiqua" w:cs="Times New Roman"/>
          <w:color w:val="auto"/>
          <w:sz w:val="24"/>
          <w:szCs w:val="24"/>
          <w:lang w:eastAsia="zh-CN"/>
        </w:rPr>
        <w:t xml:space="preserve"> </w:t>
      </w:r>
      <w:r w:rsidRPr="00FC2DDA">
        <w:rPr>
          <w:rFonts w:ascii="Book Antiqua" w:eastAsia="Times New Roman" w:hAnsi="Book Antiqua" w:cs="Times New Roman"/>
          <w:color w:val="auto"/>
          <w:sz w:val="24"/>
          <w:szCs w:val="24"/>
        </w:rPr>
        <w:t>2 cm) nodule and approximately one-third of these are malignant (‘‘the one-third rule’’</w:t>
      </w:r>
      <w:r w:rsidR="00F839C6" w:rsidRPr="00FC2DDA">
        <w:rPr>
          <w:rFonts w:ascii="Book Antiqua" w:eastAsia="Times New Roman" w:hAnsi="Book Antiqua" w:cs="Times New Roman"/>
          <w:color w:val="auto"/>
          <w:sz w:val="24"/>
          <w:szCs w:val="24"/>
        </w:rPr>
        <w:t>)</w:t>
      </w:r>
      <w:r w:rsidR="00140C79" w:rsidRPr="00FC2DDA">
        <w:rPr>
          <w:rFonts w:ascii="Book Antiqua" w:eastAsia="Times New Roman" w:hAnsi="Book Antiqua" w:cs="Times New Roman"/>
          <w:color w:val="auto"/>
          <w:sz w:val="24"/>
          <w:szCs w:val="24"/>
          <w:vertAlign w:val="superscript"/>
        </w:rPr>
        <w:t>[25]</w:t>
      </w:r>
      <w:r w:rsidRPr="00FC2DDA">
        <w:rPr>
          <w:rFonts w:ascii="Book Antiqua" w:eastAsia="Times New Roman" w:hAnsi="Book Antiqua" w:cs="Times New Roman"/>
          <w:color w:val="auto"/>
          <w:sz w:val="24"/>
          <w:szCs w:val="24"/>
        </w:rPr>
        <w:t>. Indeed, the intranodular hemodynamic changes during carcinogenesis starts with an arterial hypovascularity with portal perfusion still present, followed by a decrease of both arterial and portal blood supply and, subsequently, by an increase in arterial vascularity to isovascular and, finally,</w:t>
      </w:r>
      <w:r w:rsidR="00F839C6" w:rsidRPr="00FC2DDA">
        <w:rPr>
          <w:rFonts w:ascii="Book Antiqua" w:eastAsia="Times New Roman" w:hAnsi="Book Antiqua" w:cs="Times New Roman"/>
          <w:color w:val="auto"/>
          <w:sz w:val="24"/>
          <w:szCs w:val="24"/>
        </w:rPr>
        <w:t xml:space="preserve"> to a hypervascular pattern</w:t>
      </w:r>
      <w:r w:rsidR="00140C79" w:rsidRPr="00FC2DDA">
        <w:rPr>
          <w:rFonts w:ascii="Book Antiqua" w:eastAsia="Times New Roman" w:hAnsi="Book Antiqua" w:cs="Times New Roman"/>
          <w:color w:val="auto"/>
          <w:sz w:val="24"/>
          <w:szCs w:val="24"/>
          <w:vertAlign w:val="superscript"/>
        </w:rPr>
        <w:t>[12]</w:t>
      </w:r>
      <w:r w:rsidR="00140C79" w:rsidRPr="00FC2DDA">
        <w:rPr>
          <w:rFonts w:ascii="Book Antiqua" w:eastAsia="Times New Roman" w:hAnsi="Book Antiqua" w:cs="Times New Roman"/>
          <w:color w:val="auto"/>
          <w:sz w:val="24"/>
          <w:szCs w:val="24"/>
        </w:rPr>
        <w:t>.</w:t>
      </w:r>
    </w:p>
    <w:p w14:paraId="5A5C97AA" w14:textId="12F65662" w:rsidR="00970478" w:rsidRPr="00FC2DDA" w:rsidRDefault="00FB4404" w:rsidP="00AF2AB9">
      <w:pPr>
        <w:widowControl w:val="0"/>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 xml:space="preserve">On the other side, several recent studies demonstrated that the expression of organic anion-transporting polypeptide (OATP) diminishes during </w:t>
      </w:r>
      <w:r w:rsidR="00FA539B" w:rsidRPr="00FC2DDA">
        <w:rPr>
          <w:rFonts w:ascii="Book Antiqua" w:eastAsia="Times New Roman" w:hAnsi="Book Antiqua" w:cs="Times New Roman"/>
          <w:color w:val="auto"/>
          <w:sz w:val="24"/>
          <w:szCs w:val="24"/>
        </w:rPr>
        <w:t>hepatocarcinogenesis</w:t>
      </w:r>
      <w:r w:rsidR="00140C79" w:rsidRPr="00FC2DDA">
        <w:rPr>
          <w:rFonts w:ascii="Book Antiqua" w:eastAsia="Times New Roman" w:hAnsi="Book Antiqua" w:cs="Times New Roman"/>
          <w:color w:val="auto"/>
          <w:sz w:val="24"/>
          <w:szCs w:val="24"/>
          <w:vertAlign w:val="superscript"/>
        </w:rPr>
        <w:t>[26]</w:t>
      </w:r>
      <w:r w:rsidR="00140C79"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 xml:space="preserve">Moreover, OATP 8 expression level decreases prior to complete neoangiogenesis, elevation of arterial flow and </w:t>
      </w:r>
      <w:r w:rsidR="00F839C6" w:rsidRPr="00FC2DDA">
        <w:rPr>
          <w:rFonts w:ascii="Book Antiqua" w:eastAsia="Times New Roman" w:hAnsi="Book Antiqua" w:cs="Times New Roman"/>
          <w:color w:val="auto"/>
          <w:sz w:val="24"/>
          <w:szCs w:val="24"/>
        </w:rPr>
        <w:t>reduction of portal venous flow</w:t>
      </w:r>
      <w:r w:rsidR="00140C79" w:rsidRPr="00FC2DDA">
        <w:rPr>
          <w:rFonts w:ascii="Book Antiqua" w:eastAsia="Times New Roman" w:hAnsi="Book Antiqua" w:cs="Times New Roman"/>
          <w:color w:val="auto"/>
          <w:sz w:val="24"/>
          <w:szCs w:val="24"/>
          <w:vertAlign w:val="superscript"/>
        </w:rPr>
        <w:t>[27]</w:t>
      </w:r>
      <w:r w:rsidRPr="00FC2DDA">
        <w:rPr>
          <w:rFonts w:ascii="Book Antiqua" w:eastAsia="Times New Roman" w:hAnsi="Book Antiqua" w:cs="Times New Roman"/>
          <w:color w:val="auto"/>
          <w:sz w:val="24"/>
          <w:szCs w:val="24"/>
        </w:rPr>
        <w:t xml:space="preserve">. Thanks to their lipophilic characteristics HCAs, after the intravascular/interstitial distribution, are taken up by functioning hepatocytes, metabolized and excreted into the bile through the OATP 8: consequently, nodules with low or no OATP expression, as the majority of HCC, many early HCCs and some high-grade dysplastic nodule, do not uptake HCAs and appear </w:t>
      </w:r>
      <w:r w:rsidRPr="00FC2DDA">
        <w:rPr>
          <w:rFonts w:ascii="Book Antiqua" w:eastAsia="Times New Roman" w:hAnsi="Book Antiqua" w:cs="Times New Roman"/>
          <w:color w:val="auto"/>
          <w:sz w:val="24"/>
          <w:szCs w:val="24"/>
        </w:rPr>
        <w:lastRenderedPageBreak/>
        <w:t>hypointense in the hepatobiliary phase (HBP)</w:t>
      </w:r>
      <w:r w:rsidR="00F839C6" w:rsidRPr="00FC2DDA">
        <w:rPr>
          <w:rFonts w:ascii="Book Antiqua" w:hAnsi="Book Antiqua" w:cs="Times New Roman"/>
          <w:color w:val="auto"/>
          <w:sz w:val="24"/>
          <w:szCs w:val="24"/>
          <w:lang w:eastAsia="zh-CN"/>
        </w:rPr>
        <w:t xml:space="preserve"> (</w:t>
      </w:r>
      <w:r w:rsidR="00F839C6" w:rsidRPr="00FC2DDA">
        <w:rPr>
          <w:rFonts w:ascii="Book Antiqua" w:eastAsia="Times New Roman" w:hAnsi="Book Antiqua" w:cs="Times New Roman"/>
          <w:color w:val="auto"/>
          <w:sz w:val="24"/>
          <w:szCs w:val="24"/>
        </w:rPr>
        <w:t>Fig</w:t>
      </w:r>
      <w:r w:rsidR="00F839C6" w:rsidRPr="00FC2DDA">
        <w:rPr>
          <w:rFonts w:ascii="Book Antiqua" w:hAnsi="Book Antiqua" w:cs="Times New Roman"/>
          <w:color w:val="auto"/>
          <w:sz w:val="24"/>
          <w:szCs w:val="24"/>
          <w:lang w:eastAsia="zh-CN"/>
        </w:rPr>
        <w:t>ure</w:t>
      </w:r>
      <w:r w:rsidR="00F839C6" w:rsidRPr="00FC2DDA">
        <w:rPr>
          <w:rFonts w:ascii="Book Antiqua" w:eastAsia="Times New Roman" w:hAnsi="Book Antiqua" w:cs="Times New Roman"/>
          <w:color w:val="auto"/>
          <w:sz w:val="24"/>
          <w:szCs w:val="24"/>
        </w:rPr>
        <w:t xml:space="preserve"> 2</w:t>
      </w:r>
      <w:r w:rsidR="00F839C6" w:rsidRPr="00FC2DDA">
        <w:rPr>
          <w:rFonts w:ascii="Book Antiqua" w:hAnsi="Book Antiqua" w:cs="Times New Roman"/>
          <w:color w:val="auto"/>
          <w:sz w:val="24"/>
          <w:szCs w:val="24"/>
          <w:lang w:eastAsia="zh-CN"/>
        </w:rPr>
        <w:t>)</w:t>
      </w:r>
      <w:r w:rsidRPr="00FC2DDA">
        <w:rPr>
          <w:rFonts w:ascii="Book Antiqua" w:eastAsia="Times New Roman" w:hAnsi="Book Antiqua" w:cs="Times New Roman"/>
          <w:color w:val="auto"/>
          <w:sz w:val="24"/>
          <w:szCs w:val="24"/>
        </w:rPr>
        <w:t>.</w:t>
      </w:r>
      <w:r w:rsidR="00F839C6" w:rsidRPr="00FC2DDA">
        <w:rPr>
          <w:rFonts w:ascii="Book Antiqua" w:hAnsi="Book Antiqua" w:cs="Times New Roman"/>
          <w:color w:val="auto"/>
          <w:sz w:val="24"/>
          <w:szCs w:val="24"/>
          <w:lang w:eastAsia="zh-CN"/>
        </w:rPr>
        <w:t xml:space="preserve"> </w:t>
      </w:r>
      <w:r w:rsidRPr="00FC2DDA">
        <w:rPr>
          <w:rFonts w:ascii="Book Antiqua" w:eastAsia="Times New Roman" w:hAnsi="Book Antiqua" w:cs="Times New Roman"/>
          <w:color w:val="auto"/>
          <w:sz w:val="24"/>
          <w:szCs w:val="24"/>
        </w:rPr>
        <w:t xml:space="preserve">A recent meta-analysis has shown that the impact of HBP on a per-lesion sensitivity is significant, in particular the use of Gd-EOB-DTPA allowed a sensitivity of 87% </w:t>
      </w:r>
      <w:r w:rsidRPr="00FC2DDA">
        <w:rPr>
          <w:rFonts w:ascii="Book Antiqua" w:eastAsia="Times New Roman" w:hAnsi="Book Antiqua" w:cs="Times New Roman"/>
          <w:i/>
          <w:color w:val="auto"/>
          <w:sz w:val="24"/>
          <w:szCs w:val="24"/>
        </w:rPr>
        <w:t>vs</w:t>
      </w:r>
      <w:r w:rsidR="00D4205D" w:rsidRPr="00FC2DDA">
        <w:rPr>
          <w:rFonts w:ascii="Book Antiqua" w:hAnsi="Book Antiqua" w:cs="Times New Roman"/>
          <w:i/>
          <w:color w:val="auto"/>
          <w:sz w:val="24"/>
          <w:szCs w:val="24"/>
          <w:lang w:eastAsia="zh-CN"/>
        </w:rPr>
        <w:t xml:space="preserve"> </w:t>
      </w:r>
      <w:r w:rsidRPr="00FC2DDA">
        <w:rPr>
          <w:rFonts w:ascii="Book Antiqua" w:eastAsia="Times New Roman" w:hAnsi="Book Antiqua" w:cs="Times New Roman"/>
          <w:color w:val="auto"/>
          <w:sz w:val="24"/>
          <w:szCs w:val="24"/>
        </w:rPr>
        <w:t>74% (</w:t>
      </w:r>
      <w:r w:rsidRPr="00FC2DDA">
        <w:rPr>
          <w:rFonts w:ascii="Book Antiqua" w:eastAsia="Times New Roman" w:hAnsi="Book Antiqua" w:cs="Times New Roman"/>
          <w:i/>
          <w:caps/>
          <w:color w:val="auto"/>
          <w:sz w:val="24"/>
          <w:szCs w:val="24"/>
        </w:rPr>
        <w:t>p</w:t>
      </w:r>
      <w:r w:rsidR="00D4205D" w:rsidRPr="00FC2DDA">
        <w:rPr>
          <w:rFonts w:ascii="Book Antiqua" w:hAnsi="Book Antiqua" w:cs="Times New Roman"/>
          <w:color w:val="auto"/>
          <w:sz w:val="24"/>
          <w:szCs w:val="24"/>
          <w:lang w:eastAsia="zh-CN"/>
        </w:rPr>
        <w:t xml:space="preserve"> </w:t>
      </w:r>
      <w:r w:rsidRPr="00FC2DDA">
        <w:rPr>
          <w:rFonts w:ascii="Book Antiqua" w:eastAsia="Times New Roman" w:hAnsi="Book Antiqua" w:cs="Times New Roman"/>
          <w:color w:val="auto"/>
          <w:sz w:val="24"/>
          <w:szCs w:val="24"/>
        </w:rPr>
        <w:t>=</w:t>
      </w:r>
      <w:r w:rsidR="00D4205D" w:rsidRPr="00FC2DDA">
        <w:rPr>
          <w:rFonts w:ascii="Book Antiqua" w:hAnsi="Book Antiqua" w:cs="Times New Roman"/>
          <w:color w:val="auto"/>
          <w:sz w:val="24"/>
          <w:szCs w:val="24"/>
          <w:lang w:eastAsia="zh-CN"/>
        </w:rPr>
        <w:t xml:space="preserve"> </w:t>
      </w:r>
      <w:r w:rsidR="00D4205D" w:rsidRPr="00FC2DDA">
        <w:rPr>
          <w:rFonts w:ascii="Book Antiqua" w:eastAsia="Times New Roman" w:hAnsi="Book Antiqua" w:cs="Times New Roman"/>
          <w:color w:val="auto"/>
          <w:sz w:val="24"/>
          <w:szCs w:val="24"/>
        </w:rPr>
        <w:t>0.03) the one without HBP</w:t>
      </w:r>
      <w:r w:rsidR="00EC5F74" w:rsidRPr="00FC2DDA">
        <w:rPr>
          <w:rFonts w:ascii="Book Antiqua" w:eastAsia="Times New Roman" w:hAnsi="Book Antiqua" w:cs="Times New Roman"/>
          <w:color w:val="auto"/>
          <w:sz w:val="24"/>
          <w:szCs w:val="24"/>
          <w:vertAlign w:val="superscript"/>
        </w:rPr>
        <w:t>[28]</w:t>
      </w:r>
      <w:r w:rsidR="00EC5F74" w:rsidRPr="00FC2DDA">
        <w:rPr>
          <w:rFonts w:ascii="Book Antiqua" w:eastAsia="Times New Roman" w:hAnsi="Book Antiqua" w:cs="Times New Roman"/>
          <w:color w:val="auto"/>
          <w:sz w:val="24"/>
          <w:szCs w:val="24"/>
        </w:rPr>
        <w:t>.</w:t>
      </w:r>
      <w:r w:rsidR="001567E5"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Based on these consideration</w:t>
      </w:r>
      <w:r w:rsidR="00C063E2" w:rsidRPr="00FC2DDA">
        <w:rPr>
          <w:rFonts w:ascii="Book Antiqua" w:eastAsia="Times New Roman" w:hAnsi="Book Antiqua" w:cs="Times New Roman"/>
          <w:color w:val="auto"/>
          <w:sz w:val="24"/>
          <w:szCs w:val="24"/>
        </w:rPr>
        <w:t>s</w:t>
      </w:r>
      <w:r w:rsidRPr="00FC2DDA">
        <w:rPr>
          <w:rFonts w:ascii="Book Antiqua" w:eastAsia="Times New Roman" w:hAnsi="Book Antiqua" w:cs="Times New Roman"/>
          <w:color w:val="auto"/>
          <w:sz w:val="24"/>
          <w:szCs w:val="24"/>
        </w:rPr>
        <w:t xml:space="preserve">, </w:t>
      </w:r>
      <w:r w:rsidR="00C063E2" w:rsidRPr="00FC2DDA">
        <w:rPr>
          <w:rFonts w:ascii="Book Antiqua" w:eastAsia="Times New Roman" w:hAnsi="Book Antiqua" w:cs="Times New Roman"/>
          <w:color w:val="auto"/>
          <w:sz w:val="24"/>
          <w:szCs w:val="24"/>
        </w:rPr>
        <w:t xml:space="preserve">the </w:t>
      </w:r>
      <w:r w:rsidRPr="00FC2DDA">
        <w:rPr>
          <w:rFonts w:ascii="Book Antiqua" w:eastAsia="Times New Roman" w:hAnsi="Book Antiqua" w:cs="Times New Roman"/>
          <w:color w:val="auto"/>
          <w:sz w:val="24"/>
          <w:szCs w:val="24"/>
        </w:rPr>
        <w:t>current contrast agents applied in the study of the liver are</w:t>
      </w:r>
      <w:r w:rsidR="003C29E4" w:rsidRPr="00FC2DDA">
        <w:rPr>
          <w:rFonts w:ascii="Book Antiqua" w:eastAsia="Times New Roman" w:hAnsi="Book Antiqua" w:cs="Times New Roman"/>
          <w:color w:val="auto"/>
          <w:sz w:val="24"/>
          <w:szCs w:val="24"/>
        </w:rPr>
        <w:t xml:space="preserve"> the </w:t>
      </w:r>
      <w:r w:rsidRPr="00FC2DDA">
        <w:rPr>
          <w:rFonts w:ascii="Book Antiqua" w:eastAsia="Times New Roman" w:hAnsi="Book Antiqua" w:cs="Times New Roman"/>
          <w:color w:val="auto"/>
          <w:sz w:val="24"/>
          <w:szCs w:val="24"/>
        </w:rPr>
        <w:t xml:space="preserve"> gadobenate dimeglumine (Gd-BOPTA/Dimeg, MultiHance</w:t>
      </w:r>
      <w:r w:rsidRPr="00FC2DDA">
        <w:rPr>
          <w:rFonts w:ascii="Book Antiqua" w:eastAsia="Times New Roman" w:hAnsi="Book Antiqua" w:cs="Times New Roman"/>
          <w:color w:val="auto"/>
          <w:sz w:val="24"/>
          <w:szCs w:val="24"/>
          <w:vertAlign w:val="superscript"/>
        </w:rPr>
        <w:t>®</w:t>
      </w:r>
      <w:r w:rsidR="003C29E4" w:rsidRPr="00FC2DDA">
        <w:rPr>
          <w:rFonts w:ascii="Book Antiqua" w:eastAsia="Times New Roman" w:hAnsi="Book Antiqua" w:cs="Times New Roman"/>
          <w:color w:val="auto"/>
          <w:sz w:val="24"/>
          <w:szCs w:val="24"/>
        </w:rPr>
        <w:t>, Bracco, Milan, Italy), that</w:t>
      </w:r>
      <w:r w:rsidRPr="00FC2DDA">
        <w:rPr>
          <w:rFonts w:ascii="Book Antiqua" w:eastAsia="Times New Roman" w:hAnsi="Book Antiqua" w:cs="Times New Roman"/>
          <w:color w:val="auto"/>
          <w:sz w:val="24"/>
          <w:szCs w:val="24"/>
        </w:rPr>
        <w:t xml:space="preserve"> is a chelate of the paramagnetic gadolinium ion salified with 2 molecules of meglumine, and gadolinium ethoxybenzyl diethylenetriaminepentaacetic acid (Gd-EOB-DTPA, Primovist</w:t>
      </w:r>
      <w:r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 xml:space="preserve">, Bayer Schering Pharma, Berlin, Germany), that is a highly water-soluble contrast agent </w:t>
      </w:r>
      <w:r w:rsidR="003C29E4" w:rsidRPr="00FC2DDA">
        <w:rPr>
          <w:rFonts w:ascii="Book Antiqua" w:eastAsia="Times New Roman" w:hAnsi="Book Antiqua" w:cs="Times New Roman"/>
          <w:color w:val="auto"/>
          <w:sz w:val="24"/>
          <w:szCs w:val="24"/>
        </w:rPr>
        <w:t xml:space="preserve">with </w:t>
      </w:r>
      <w:r w:rsidRPr="00FC2DDA">
        <w:rPr>
          <w:rFonts w:ascii="Book Antiqua" w:eastAsia="Times New Roman" w:hAnsi="Book Antiqua" w:cs="Times New Roman"/>
          <w:color w:val="auto"/>
          <w:sz w:val="24"/>
          <w:szCs w:val="24"/>
        </w:rPr>
        <w:t>an ethobenzyl group attached to gadolinium diet</w:t>
      </w:r>
      <w:r w:rsidR="00FA539B" w:rsidRPr="00FC2DDA">
        <w:rPr>
          <w:rFonts w:ascii="Book Antiqua" w:eastAsia="Times New Roman" w:hAnsi="Book Antiqua" w:cs="Times New Roman"/>
          <w:color w:val="auto"/>
          <w:sz w:val="24"/>
          <w:szCs w:val="24"/>
        </w:rPr>
        <w:t>hylenetriamine pentaacetic acid</w:t>
      </w:r>
      <w:r w:rsidR="00EC5F74" w:rsidRPr="00FC2DDA">
        <w:rPr>
          <w:rFonts w:ascii="Book Antiqua" w:eastAsia="Times New Roman" w:hAnsi="Book Antiqua" w:cs="Times New Roman"/>
          <w:color w:val="auto"/>
          <w:sz w:val="24"/>
          <w:szCs w:val="24"/>
          <w:vertAlign w:val="superscript"/>
        </w:rPr>
        <w:t>[29]</w:t>
      </w:r>
      <w:r w:rsidR="00EC5F74"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The approved dose of Gd-BOPTA for hepatic imaging is 0.05 mmol/kg (0.1 m</w:t>
      </w:r>
      <w:r w:rsidRPr="00FC2DDA">
        <w:rPr>
          <w:rFonts w:ascii="Book Antiqua" w:eastAsia="Times New Roman" w:hAnsi="Book Antiqua" w:cs="Times New Roman"/>
          <w:caps/>
          <w:color w:val="auto"/>
          <w:sz w:val="24"/>
          <w:szCs w:val="24"/>
        </w:rPr>
        <w:t>l</w:t>
      </w:r>
      <w:r w:rsidRPr="00FC2DDA">
        <w:rPr>
          <w:rFonts w:ascii="Book Antiqua" w:eastAsia="Times New Roman" w:hAnsi="Book Antiqua" w:cs="Times New Roman"/>
          <w:color w:val="auto"/>
          <w:sz w:val="24"/>
          <w:szCs w:val="24"/>
        </w:rPr>
        <w:t xml:space="preserve">/kg of a 0.5 </w:t>
      </w:r>
      <w:r w:rsidR="00D4205D" w:rsidRPr="00FC2DDA">
        <w:rPr>
          <w:rFonts w:ascii="Book Antiqua" w:hAnsi="Book Antiqua" w:cs="Times New Roman"/>
          <w:color w:val="auto"/>
          <w:sz w:val="24"/>
          <w:szCs w:val="24"/>
          <w:lang w:eastAsia="zh-CN"/>
        </w:rPr>
        <w:t>mol/L</w:t>
      </w:r>
      <w:r w:rsidR="00245A8F" w:rsidRPr="00FC2DDA">
        <w:rPr>
          <w:rFonts w:ascii="Book Antiqua" w:eastAsia="Times New Roman" w:hAnsi="Book Antiqua" w:cs="Times New Roman"/>
          <w:color w:val="auto"/>
          <w:sz w:val="24"/>
          <w:szCs w:val="24"/>
        </w:rPr>
        <w:t xml:space="preserve"> solution)</w:t>
      </w:r>
      <w:r w:rsidR="00970478" w:rsidRPr="00FC2DDA">
        <w:rPr>
          <w:rFonts w:ascii="Book Antiqua" w:eastAsia="Times New Roman" w:hAnsi="Book Antiqua" w:cs="Times New Roman"/>
          <w:color w:val="auto"/>
          <w:sz w:val="24"/>
          <w:szCs w:val="24"/>
          <w:vertAlign w:val="superscript"/>
        </w:rPr>
        <w:t>[30]</w:t>
      </w:r>
      <w:r w:rsidRPr="00FC2DDA">
        <w:rPr>
          <w:rFonts w:ascii="Book Antiqua" w:eastAsia="Times New Roman" w:hAnsi="Book Antiqua" w:cs="Times New Roman"/>
          <w:color w:val="auto"/>
          <w:sz w:val="24"/>
          <w:szCs w:val="24"/>
        </w:rPr>
        <w:t xml:space="preserve"> and it should be administered undiluted followed by a normal saline “flush” of 20 to 50 mL. Hepatic uptake represents 2</w:t>
      </w:r>
      <w:r w:rsidR="00245A8F"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-4% of the injected dose for Gd-BOPTA and the HBP is typically performed between 45 and 120 min</w:t>
      </w:r>
      <w:r w:rsidR="00245A8F" w:rsidRPr="00FC2DDA">
        <w:rPr>
          <w:rFonts w:ascii="Book Antiqua" w:hAnsi="Book Antiqua" w:cs="Times New Roman"/>
          <w:color w:val="auto"/>
          <w:sz w:val="24"/>
          <w:szCs w:val="24"/>
          <w:lang w:eastAsia="zh-CN"/>
        </w:rPr>
        <w:t xml:space="preserve"> </w:t>
      </w:r>
      <w:r w:rsidRPr="00FC2DDA">
        <w:rPr>
          <w:rFonts w:ascii="Book Antiqua" w:eastAsia="Times New Roman" w:hAnsi="Book Antiqua" w:cs="Times New Roman"/>
          <w:color w:val="auto"/>
          <w:sz w:val="24"/>
          <w:szCs w:val="24"/>
        </w:rPr>
        <w:t>after injection and is necessary in order to achieve sufficient e</w:t>
      </w:r>
      <w:r w:rsidR="00970478" w:rsidRPr="00FC2DDA">
        <w:rPr>
          <w:rFonts w:ascii="Book Antiqua" w:eastAsia="Times New Roman" w:hAnsi="Book Antiqua" w:cs="Times New Roman"/>
          <w:color w:val="auto"/>
          <w:sz w:val="24"/>
          <w:szCs w:val="24"/>
        </w:rPr>
        <w:t>nhancement.</w:t>
      </w:r>
    </w:p>
    <w:p w14:paraId="4BA0687B" w14:textId="7066ABFC" w:rsidR="001B04E3" w:rsidRPr="00FC2DDA" w:rsidRDefault="00FB4404" w:rsidP="00AF2AB9">
      <w:pPr>
        <w:widowControl w:val="0"/>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The approved dose of Gd-</w:t>
      </w:r>
      <w:r w:rsidR="00740876" w:rsidRPr="00FC2DDA">
        <w:rPr>
          <w:rFonts w:ascii="Book Antiqua" w:eastAsia="Times New Roman" w:hAnsi="Book Antiqua" w:cs="Times New Roman"/>
          <w:color w:val="auto"/>
          <w:sz w:val="24"/>
          <w:szCs w:val="24"/>
        </w:rPr>
        <w:t>EOB-DTPA is 0.025 mmol/kg, which</w:t>
      </w:r>
      <w:r w:rsidRPr="00FC2DDA">
        <w:rPr>
          <w:rFonts w:ascii="Book Antiqua" w:eastAsia="Times New Roman" w:hAnsi="Book Antiqua" w:cs="Times New Roman"/>
          <w:color w:val="auto"/>
          <w:sz w:val="24"/>
          <w:szCs w:val="24"/>
        </w:rPr>
        <w:t xml:space="preserve"> is considered the minimum effective dose for the detection of liver lesions in the hepatobiliary phase. The modalities of gadoxetic acid administration were addressed i</w:t>
      </w:r>
      <w:r w:rsidR="00245A8F" w:rsidRPr="00FC2DDA">
        <w:rPr>
          <w:rFonts w:ascii="Book Antiqua" w:eastAsia="Times New Roman" w:hAnsi="Book Antiqua" w:cs="Times New Roman"/>
          <w:color w:val="auto"/>
          <w:sz w:val="24"/>
          <w:szCs w:val="24"/>
        </w:rPr>
        <w:t>n the ESGAR consensus statement</w:t>
      </w:r>
      <w:r w:rsidR="00970478" w:rsidRPr="00FC2DDA">
        <w:rPr>
          <w:rFonts w:ascii="Book Antiqua" w:eastAsia="Times New Roman" w:hAnsi="Book Antiqua" w:cs="Times New Roman"/>
          <w:color w:val="auto"/>
          <w:sz w:val="24"/>
          <w:szCs w:val="24"/>
          <w:vertAlign w:val="superscript"/>
        </w:rPr>
        <w:t>[31]</w:t>
      </w:r>
      <w:r w:rsidR="00970478"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(flow-rate of 1</w:t>
      </w:r>
      <w:r w:rsidR="00245A8F" w:rsidRPr="00FC2DDA">
        <w:rPr>
          <w:rFonts w:ascii="Book Antiqua" w:hAnsi="Book Antiqua" w:cs="Times New Roman"/>
          <w:color w:val="auto"/>
          <w:sz w:val="24"/>
          <w:szCs w:val="24"/>
          <w:lang w:eastAsia="zh-CN"/>
        </w:rPr>
        <w:t>-</w:t>
      </w:r>
      <w:r w:rsidRPr="00FC2DDA">
        <w:rPr>
          <w:rFonts w:ascii="Book Antiqua" w:eastAsia="Times New Roman" w:hAnsi="Book Antiqua" w:cs="Times New Roman"/>
          <w:color w:val="auto"/>
          <w:sz w:val="24"/>
          <w:szCs w:val="24"/>
        </w:rPr>
        <w:t>2 mL/s followed by a 20-mL saline flush at 1</w:t>
      </w:r>
      <w:r w:rsidR="00245A8F" w:rsidRPr="00FC2DDA">
        <w:rPr>
          <w:rFonts w:ascii="Book Antiqua" w:hAnsi="Book Antiqua" w:cs="Times New Roman"/>
          <w:color w:val="auto"/>
          <w:sz w:val="24"/>
          <w:szCs w:val="24"/>
          <w:lang w:eastAsia="zh-CN"/>
        </w:rPr>
        <w:t>-</w:t>
      </w:r>
      <w:r w:rsidRPr="00FC2DDA">
        <w:rPr>
          <w:rFonts w:ascii="Book Antiqua" w:eastAsia="Times New Roman" w:hAnsi="Book Antiqua" w:cs="Times New Roman"/>
          <w:color w:val="auto"/>
          <w:sz w:val="24"/>
          <w:szCs w:val="24"/>
        </w:rPr>
        <w:t>2 mL/s using a bolus triggering technique). Hepatic uptake represents 50% for Gd-EOB-DTPA and the HBP reaches its maximum intensity approximately 20 min after injection with gadoxetate disodium,</w:t>
      </w:r>
      <w:r w:rsidR="00245A8F" w:rsidRPr="00FC2DDA">
        <w:rPr>
          <w:rFonts w:ascii="Book Antiqua" w:eastAsia="Times New Roman" w:hAnsi="Book Antiqua" w:cs="Times New Roman"/>
          <w:color w:val="auto"/>
          <w:sz w:val="24"/>
          <w:szCs w:val="24"/>
        </w:rPr>
        <w:t xml:space="preserve"> and persists for several hours</w:t>
      </w:r>
      <w:r w:rsidR="003D09D1" w:rsidRPr="00FC2DDA">
        <w:rPr>
          <w:rFonts w:ascii="Book Antiqua" w:eastAsia="Times New Roman" w:hAnsi="Book Antiqua" w:cs="Times New Roman"/>
          <w:color w:val="auto"/>
          <w:sz w:val="24"/>
          <w:szCs w:val="24"/>
          <w:vertAlign w:val="superscript"/>
        </w:rPr>
        <w:t>[32]</w:t>
      </w:r>
      <w:r w:rsidRPr="00FC2DDA">
        <w:rPr>
          <w:rFonts w:ascii="Book Antiqua" w:eastAsia="Times New Roman" w:hAnsi="Book Antiqua" w:cs="Times New Roman"/>
          <w:color w:val="auto"/>
          <w:sz w:val="24"/>
          <w:szCs w:val="24"/>
        </w:rPr>
        <w:t>.  The clinical use of liver-specific contrast agents allows the radiologist to obtain morphologic and vascular-related information, although an overlap between delayed phase and hepatocyte phase have to be consi</w:t>
      </w:r>
      <w:r w:rsidR="00245A8F" w:rsidRPr="00FC2DDA">
        <w:rPr>
          <w:rFonts w:ascii="Book Antiqua" w:eastAsia="Times New Roman" w:hAnsi="Book Antiqua" w:cs="Times New Roman"/>
          <w:color w:val="auto"/>
          <w:sz w:val="24"/>
          <w:szCs w:val="24"/>
        </w:rPr>
        <w:t>dered during dynamic evaluation</w:t>
      </w:r>
      <w:r w:rsidR="008812EF" w:rsidRPr="00FC2DDA">
        <w:rPr>
          <w:rFonts w:ascii="Book Antiqua" w:eastAsia="Times New Roman" w:hAnsi="Book Antiqua" w:cs="Times New Roman"/>
          <w:color w:val="auto"/>
          <w:sz w:val="24"/>
          <w:szCs w:val="24"/>
          <w:vertAlign w:val="superscript"/>
        </w:rPr>
        <w:t>[33]</w:t>
      </w:r>
      <w:r w:rsidR="00245A8F" w:rsidRPr="00FC2DDA">
        <w:rPr>
          <w:rFonts w:ascii="Book Antiqua" w:eastAsia="Times New Roman" w:hAnsi="Book Antiqua" w:cs="Times New Roman"/>
          <w:color w:val="auto"/>
          <w:sz w:val="24"/>
          <w:szCs w:val="24"/>
        </w:rPr>
        <w:t>.  A recent meta-analysis</w:t>
      </w:r>
      <w:r w:rsidR="008812EF" w:rsidRPr="00FC2DDA">
        <w:rPr>
          <w:rFonts w:ascii="Book Antiqua" w:eastAsia="Times New Roman" w:hAnsi="Book Antiqua" w:cs="Times New Roman"/>
          <w:color w:val="auto"/>
          <w:sz w:val="24"/>
          <w:szCs w:val="24"/>
          <w:vertAlign w:val="superscript"/>
        </w:rPr>
        <w:t>[34]</w:t>
      </w:r>
      <w:r w:rsidR="008812EF"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 xml:space="preserve">reported that in trials of MRI that directly compared test performance using different contrast agents, use of HCAs was associated with higher sensitivity than ECAs (difference of 13%), with no difference in specificity. The difference was somewhat greater for HCC lesions smaller than 2 cm (difference of 15%). These finding were </w:t>
      </w:r>
      <w:r w:rsidR="00245A8F" w:rsidRPr="00FC2DDA">
        <w:rPr>
          <w:rFonts w:ascii="Book Antiqua" w:eastAsia="Times New Roman" w:hAnsi="Book Antiqua" w:cs="Times New Roman"/>
          <w:color w:val="auto"/>
          <w:sz w:val="24"/>
          <w:szCs w:val="24"/>
        </w:rPr>
        <w:t>stressed by the ESGAR consensus</w:t>
      </w:r>
      <w:r w:rsidR="008812EF" w:rsidRPr="00FC2DDA">
        <w:rPr>
          <w:rFonts w:ascii="Book Antiqua" w:eastAsia="Times New Roman" w:hAnsi="Book Antiqua" w:cs="Times New Roman"/>
          <w:color w:val="auto"/>
          <w:sz w:val="24"/>
          <w:szCs w:val="24"/>
          <w:vertAlign w:val="superscript"/>
        </w:rPr>
        <w:t>[31]</w:t>
      </w:r>
      <w:r w:rsidR="008812EF"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who stated that a Gd-EOB-DTPA MR examination should be performed in order to characterize an undetermined focal liver lesion of 10 mm or larger in the cirrhotic liver.</w:t>
      </w:r>
      <w:r w:rsidR="001567E5"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 xml:space="preserve">In summary, HCAs allow </w:t>
      </w:r>
      <w:r w:rsidR="00740876" w:rsidRPr="00FC2DDA">
        <w:rPr>
          <w:rFonts w:ascii="Book Antiqua" w:eastAsia="Times New Roman" w:hAnsi="Book Antiqua" w:cs="Times New Roman"/>
          <w:color w:val="auto"/>
          <w:sz w:val="24"/>
          <w:szCs w:val="24"/>
        </w:rPr>
        <w:t xml:space="preserve">a </w:t>
      </w:r>
      <w:r w:rsidRPr="00FC2DDA">
        <w:rPr>
          <w:rFonts w:ascii="Book Antiqua" w:eastAsia="Times New Roman" w:hAnsi="Book Antiqua" w:cs="Times New Roman"/>
          <w:color w:val="auto"/>
          <w:sz w:val="24"/>
          <w:szCs w:val="24"/>
        </w:rPr>
        <w:t>comprehensive non</w:t>
      </w:r>
      <w:r w:rsidR="00740876"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invasive imaging assessment of </w:t>
      </w:r>
      <w:r w:rsidR="00740876" w:rsidRPr="00FC2DDA">
        <w:rPr>
          <w:rFonts w:ascii="Book Antiqua" w:eastAsia="Times New Roman" w:hAnsi="Book Antiqua" w:cs="Times New Roman"/>
          <w:color w:val="auto"/>
          <w:sz w:val="24"/>
          <w:szCs w:val="24"/>
        </w:rPr>
        <w:t xml:space="preserve">the liver </w:t>
      </w:r>
      <w:r w:rsidR="00740876" w:rsidRPr="00FC2DDA">
        <w:rPr>
          <w:rFonts w:ascii="Book Antiqua" w:eastAsia="Times New Roman" w:hAnsi="Book Antiqua" w:cs="Times New Roman"/>
          <w:color w:val="auto"/>
          <w:sz w:val="24"/>
          <w:szCs w:val="24"/>
        </w:rPr>
        <w:lastRenderedPageBreak/>
        <w:t xml:space="preserve">parenchyma, </w:t>
      </w:r>
      <w:r w:rsidRPr="00FC2DDA">
        <w:rPr>
          <w:rFonts w:ascii="Book Antiqua" w:eastAsia="Times New Roman" w:hAnsi="Book Antiqua" w:cs="Times New Roman"/>
          <w:color w:val="auto"/>
          <w:sz w:val="24"/>
          <w:szCs w:val="24"/>
        </w:rPr>
        <w:t>intrahepatic lesion</w:t>
      </w:r>
      <w:r w:rsidR="00740876" w:rsidRPr="00FC2DDA">
        <w:rPr>
          <w:rFonts w:ascii="Book Antiqua" w:eastAsia="Times New Roman" w:hAnsi="Book Antiqua" w:cs="Times New Roman"/>
          <w:color w:val="auto"/>
          <w:sz w:val="24"/>
          <w:szCs w:val="24"/>
        </w:rPr>
        <w:t>s</w:t>
      </w:r>
      <w:r w:rsidRPr="00FC2DDA">
        <w:rPr>
          <w:rFonts w:ascii="Book Antiqua" w:eastAsia="Times New Roman" w:hAnsi="Book Antiqua" w:cs="Times New Roman"/>
          <w:color w:val="auto"/>
          <w:sz w:val="24"/>
          <w:szCs w:val="24"/>
        </w:rPr>
        <w:t xml:space="preserve"> depiction or characterization, hepatic vasculature, and the biliary tree in a single examination</w:t>
      </w:r>
      <w:r w:rsidR="00740876" w:rsidRPr="00FC2DDA">
        <w:rPr>
          <w:rFonts w:ascii="Book Antiqua" w:eastAsia="Times New Roman" w:hAnsi="Book Antiqua" w:cs="Times New Roman"/>
          <w:color w:val="auto"/>
          <w:sz w:val="24"/>
          <w:szCs w:val="24"/>
        </w:rPr>
        <w:t>. They</w:t>
      </w:r>
      <w:r w:rsidRPr="00FC2DDA">
        <w:rPr>
          <w:rFonts w:ascii="Book Antiqua" w:eastAsia="Times New Roman" w:hAnsi="Book Antiqua" w:cs="Times New Roman"/>
          <w:color w:val="auto"/>
          <w:sz w:val="24"/>
          <w:szCs w:val="24"/>
        </w:rPr>
        <w:t xml:space="preserve"> </w:t>
      </w:r>
      <w:r w:rsidR="00740876" w:rsidRPr="00FC2DDA">
        <w:rPr>
          <w:rFonts w:ascii="Book Antiqua" w:eastAsia="Times New Roman" w:hAnsi="Book Antiqua" w:cs="Times New Roman"/>
          <w:color w:val="auto"/>
          <w:sz w:val="24"/>
          <w:szCs w:val="24"/>
        </w:rPr>
        <w:t>have</w:t>
      </w:r>
      <w:r w:rsidRPr="00FC2DDA">
        <w:rPr>
          <w:rFonts w:ascii="Book Antiqua" w:eastAsia="Times New Roman" w:hAnsi="Book Antiqua" w:cs="Times New Roman"/>
          <w:color w:val="auto"/>
          <w:sz w:val="24"/>
          <w:szCs w:val="24"/>
        </w:rPr>
        <w:t xml:space="preserve"> several advantages in evaluation of the cirrhotic liver including: </w:t>
      </w:r>
      <w:r w:rsidR="00F879C3" w:rsidRPr="00FC2DDA">
        <w:rPr>
          <w:rFonts w:ascii="Book Antiqua" w:hAnsi="Book Antiqua" w:cs="Times New Roman" w:hint="eastAsia"/>
          <w:color w:val="auto"/>
          <w:sz w:val="24"/>
          <w:szCs w:val="24"/>
          <w:lang w:eastAsia="zh-CN"/>
        </w:rPr>
        <w:t>(1</w:t>
      </w:r>
      <w:r w:rsidRPr="00FC2DDA">
        <w:rPr>
          <w:rFonts w:ascii="Book Antiqua" w:eastAsia="Times New Roman" w:hAnsi="Book Antiqua" w:cs="Times New Roman"/>
          <w:color w:val="auto"/>
          <w:sz w:val="24"/>
          <w:szCs w:val="24"/>
        </w:rPr>
        <w:t>) higher sensitivity for the diagnosis of HCC, in particula</w:t>
      </w:r>
      <w:r w:rsidR="00245A8F" w:rsidRPr="00FC2DDA">
        <w:rPr>
          <w:rFonts w:ascii="Book Antiqua" w:eastAsia="Times New Roman" w:hAnsi="Book Antiqua" w:cs="Times New Roman"/>
          <w:color w:val="auto"/>
          <w:sz w:val="24"/>
          <w:szCs w:val="24"/>
        </w:rPr>
        <w:t>r for lesions smaller than 2 cm</w:t>
      </w:r>
      <w:r w:rsidR="008812EF" w:rsidRPr="00FC2DDA">
        <w:rPr>
          <w:rFonts w:ascii="Book Antiqua" w:eastAsia="Times New Roman" w:hAnsi="Book Antiqua" w:cs="Times New Roman"/>
          <w:color w:val="auto"/>
          <w:sz w:val="24"/>
          <w:szCs w:val="24"/>
          <w:vertAlign w:val="superscript"/>
        </w:rPr>
        <w:t>[34]</w:t>
      </w:r>
      <w:r w:rsidRPr="00FC2DDA">
        <w:rPr>
          <w:rFonts w:ascii="Book Antiqua" w:eastAsia="Times New Roman" w:hAnsi="Book Antiqua" w:cs="Times New Roman"/>
          <w:color w:val="auto"/>
          <w:sz w:val="24"/>
          <w:szCs w:val="24"/>
        </w:rPr>
        <w:t xml:space="preserve">; </w:t>
      </w:r>
      <w:r w:rsidR="00F879C3" w:rsidRPr="00FC2DDA">
        <w:rPr>
          <w:rFonts w:ascii="Book Antiqua" w:hAnsi="Book Antiqua" w:cs="Times New Roman" w:hint="eastAsia"/>
          <w:color w:val="auto"/>
          <w:sz w:val="24"/>
          <w:szCs w:val="24"/>
          <w:lang w:eastAsia="zh-CN"/>
        </w:rPr>
        <w:t>(2</w:t>
      </w:r>
      <w:r w:rsidRPr="00FC2DDA">
        <w:rPr>
          <w:rFonts w:ascii="Book Antiqua" w:eastAsia="Times New Roman" w:hAnsi="Book Antiqua" w:cs="Times New Roman"/>
          <w:color w:val="auto"/>
          <w:sz w:val="24"/>
          <w:szCs w:val="24"/>
        </w:rPr>
        <w:t>) improved characterization of arterially enhancing lesions without definit</w:t>
      </w:r>
      <w:r w:rsidR="00245A8F" w:rsidRPr="00FC2DDA">
        <w:rPr>
          <w:rFonts w:ascii="Book Antiqua" w:eastAsia="Times New Roman" w:hAnsi="Book Antiqua" w:cs="Times New Roman"/>
          <w:color w:val="auto"/>
          <w:sz w:val="24"/>
          <w:szCs w:val="24"/>
        </w:rPr>
        <w:t>e washout on subsequent imaging</w:t>
      </w:r>
      <w:r w:rsidR="008812EF" w:rsidRPr="00FC2DDA">
        <w:rPr>
          <w:rFonts w:ascii="Book Antiqua" w:eastAsia="Times New Roman" w:hAnsi="Book Antiqua" w:cs="Times New Roman"/>
          <w:color w:val="auto"/>
          <w:sz w:val="24"/>
          <w:szCs w:val="24"/>
          <w:vertAlign w:val="superscript"/>
        </w:rPr>
        <w:t>[35]</w:t>
      </w:r>
      <w:r w:rsidRPr="00FC2DDA">
        <w:rPr>
          <w:rFonts w:ascii="Book Antiqua" w:eastAsia="Times New Roman" w:hAnsi="Book Antiqua" w:cs="Times New Roman"/>
          <w:color w:val="auto"/>
          <w:sz w:val="24"/>
          <w:szCs w:val="24"/>
        </w:rPr>
        <w:t xml:space="preserve">; </w:t>
      </w:r>
      <w:r w:rsidR="00F879C3" w:rsidRPr="00FC2DDA">
        <w:rPr>
          <w:rFonts w:ascii="Book Antiqua" w:hAnsi="Book Antiqua" w:cs="Times New Roman" w:hint="eastAsia"/>
          <w:color w:val="auto"/>
          <w:sz w:val="24"/>
          <w:szCs w:val="24"/>
          <w:lang w:eastAsia="zh-CN"/>
        </w:rPr>
        <w:t xml:space="preserve">(3) </w:t>
      </w:r>
      <w:r w:rsidR="00740876" w:rsidRPr="00FC2DDA">
        <w:rPr>
          <w:rFonts w:ascii="Book Antiqua" w:eastAsia="Times New Roman" w:hAnsi="Book Antiqua" w:cs="Times New Roman"/>
          <w:color w:val="auto"/>
          <w:sz w:val="24"/>
          <w:szCs w:val="24"/>
        </w:rPr>
        <w:t>the possibility to differentiate</w:t>
      </w:r>
      <w:r w:rsidRPr="00FC2DDA">
        <w:rPr>
          <w:rFonts w:ascii="Book Antiqua" w:eastAsia="Times New Roman" w:hAnsi="Book Antiqua" w:cs="Times New Roman"/>
          <w:color w:val="auto"/>
          <w:sz w:val="24"/>
          <w:szCs w:val="24"/>
        </w:rPr>
        <w:t xml:space="preserve"> arterially enha</w:t>
      </w:r>
      <w:r w:rsidR="00245A8F" w:rsidRPr="00FC2DDA">
        <w:rPr>
          <w:rFonts w:ascii="Book Antiqua" w:eastAsia="Times New Roman" w:hAnsi="Book Antiqua" w:cs="Times New Roman"/>
          <w:color w:val="auto"/>
          <w:sz w:val="24"/>
          <w:szCs w:val="24"/>
        </w:rPr>
        <w:t xml:space="preserve">ncing lesion </w:t>
      </w:r>
      <w:r w:rsidR="00245A8F" w:rsidRPr="00FC2DDA">
        <w:rPr>
          <w:rFonts w:ascii="Book Antiqua" w:eastAsia="Times New Roman" w:hAnsi="Book Antiqua" w:cs="Times New Roman"/>
          <w:i/>
          <w:color w:val="auto"/>
          <w:sz w:val="24"/>
          <w:szCs w:val="24"/>
        </w:rPr>
        <w:t>vs</w:t>
      </w:r>
      <w:r w:rsidR="00E0463F" w:rsidRPr="00FC2DDA">
        <w:rPr>
          <w:rFonts w:ascii="Book Antiqua" w:hAnsi="Book Antiqua" w:cs="Times New Roman" w:hint="eastAsia"/>
          <w:color w:val="auto"/>
          <w:sz w:val="24"/>
          <w:szCs w:val="24"/>
          <w:lang w:eastAsia="zh-CN"/>
        </w:rPr>
        <w:t xml:space="preserve"> </w:t>
      </w:r>
      <w:r w:rsidR="00245A8F" w:rsidRPr="00FC2DDA">
        <w:rPr>
          <w:rFonts w:ascii="Book Antiqua" w:eastAsia="Times New Roman" w:hAnsi="Book Antiqua" w:cs="Times New Roman"/>
          <w:color w:val="auto"/>
          <w:sz w:val="24"/>
          <w:szCs w:val="24"/>
        </w:rPr>
        <w:t>pseudo­lesions</w:t>
      </w:r>
      <w:r w:rsidR="008812EF" w:rsidRPr="00FC2DDA">
        <w:rPr>
          <w:rFonts w:ascii="Book Antiqua" w:eastAsia="Times New Roman" w:hAnsi="Book Antiqua" w:cs="Times New Roman"/>
          <w:color w:val="auto"/>
          <w:sz w:val="24"/>
          <w:szCs w:val="24"/>
          <w:vertAlign w:val="superscript"/>
        </w:rPr>
        <w:t>[36]</w:t>
      </w:r>
      <w:r w:rsidR="00F879C3"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 xml:space="preserve">and </w:t>
      </w:r>
      <w:r w:rsidR="00F879C3" w:rsidRPr="00FC2DDA">
        <w:rPr>
          <w:rFonts w:ascii="Book Antiqua" w:hAnsi="Book Antiqua" w:cs="Times New Roman" w:hint="eastAsia"/>
          <w:color w:val="auto"/>
          <w:sz w:val="24"/>
          <w:szCs w:val="24"/>
          <w:lang w:eastAsia="zh-CN"/>
        </w:rPr>
        <w:t>(4</w:t>
      </w:r>
      <w:r w:rsidRPr="00FC2DDA">
        <w:rPr>
          <w:rFonts w:ascii="Book Antiqua" w:eastAsia="Times New Roman" w:hAnsi="Book Antiqua" w:cs="Times New Roman"/>
          <w:color w:val="auto"/>
          <w:sz w:val="24"/>
          <w:szCs w:val="24"/>
        </w:rPr>
        <w:t>) detection of lesions with decrease uptake evidenced only in the HBP that are likely to be pr</w:t>
      </w:r>
      <w:r w:rsidR="00245A8F" w:rsidRPr="00FC2DDA">
        <w:rPr>
          <w:rFonts w:ascii="Book Antiqua" w:eastAsia="Times New Roman" w:hAnsi="Book Antiqua" w:cs="Times New Roman"/>
          <w:color w:val="auto"/>
          <w:sz w:val="24"/>
          <w:szCs w:val="24"/>
        </w:rPr>
        <w:t>ecancerous or borderline lesion</w:t>
      </w:r>
      <w:r w:rsidR="008812EF" w:rsidRPr="00FC2DDA">
        <w:rPr>
          <w:rFonts w:ascii="Book Antiqua" w:eastAsia="Times New Roman" w:hAnsi="Book Antiqua" w:cs="Times New Roman"/>
          <w:color w:val="auto"/>
          <w:sz w:val="24"/>
          <w:szCs w:val="24"/>
          <w:vertAlign w:val="superscript"/>
        </w:rPr>
        <w:t>[37</w:t>
      </w:r>
      <w:r w:rsidR="002E39AC"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 xml:space="preserve">. </w:t>
      </w:r>
    </w:p>
    <w:p w14:paraId="772378E2" w14:textId="77777777" w:rsidR="00245A8F" w:rsidRPr="00FC2DDA" w:rsidRDefault="00245A8F" w:rsidP="00AF2AB9">
      <w:pPr>
        <w:snapToGrid w:val="0"/>
        <w:spacing w:after="0" w:line="360" w:lineRule="auto"/>
        <w:jc w:val="both"/>
        <w:rPr>
          <w:rFonts w:ascii="Book Antiqua" w:hAnsi="Book Antiqua" w:cs="Times New Roman"/>
          <w:b/>
          <w:color w:val="auto"/>
          <w:sz w:val="24"/>
          <w:szCs w:val="24"/>
          <w:lang w:eastAsia="zh-CN"/>
        </w:rPr>
      </w:pPr>
    </w:p>
    <w:p w14:paraId="16B29DF7" w14:textId="77777777" w:rsidR="001B04E3" w:rsidRPr="00FC2DDA" w:rsidRDefault="00FB4404"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 xml:space="preserve">PERFUSION IMAGING </w:t>
      </w:r>
    </w:p>
    <w:p w14:paraId="31DBDE43" w14:textId="4B0A4101" w:rsidR="003D0487" w:rsidRPr="00FC2DDA" w:rsidRDefault="003D0487" w:rsidP="00AF2AB9">
      <w:pPr>
        <w:snapToGrid w:val="0"/>
        <w:spacing w:after="0" w:line="360" w:lineRule="auto"/>
        <w:jc w:val="both"/>
        <w:rPr>
          <w:rFonts w:ascii="Book Antiqua" w:eastAsia="Times" w:hAnsi="Book Antiqua" w:cs="Times"/>
          <w:color w:val="auto"/>
          <w:sz w:val="24"/>
          <w:szCs w:val="24"/>
        </w:rPr>
      </w:pPr>
      <w:r w:rsidRPr="00FC2DDA">
        <w:rPr>
          <w:rFonts w:ascii="Book Antiqua" w:eastAsia="Times" w:hAnsi="Book Antiqua" w:cs="Times"/>
          <w:color w:val="auto"/>
          <w:sz w:val="24"/>
          <w:szCs w:val="24"/>
        </w:rPr>
        <w:t>Perfusion MRI in the assessment of HCC nowadays is focus on detection a</w:t>
      </w:r>
      <w:r w:rsidR="00245A8F" w:rsidRPr="00FC2DDA">
        <w:rPr>
          <w:rFonts w:ascii="Book Antiqua" w:eastAsia="Times" w:hAnsi="Book Antiqua" w:cs="Times"/>
          <w:color w:val="auto"/>
          <w:sz w:val="24"/>
          <w:szCs w:val="24"/>
        </w:rPr>
        <w:t>nd characterization of lesions</w:t>
      </w:r>
      <w:r w:rsidR="00CB4616" w:rsidRPr="00FC2DDA">
        <w:rPr>
          <w:rFonts w:ascii="Book Antiqua" w:eastAsia="Times New Roman" w:hAnsi="Book Antiqua" w:cs="Times New Roman"/>
          <w:color w:val="auto"/>
          <w:sz w:val="24"/>
          <w:szCs w:val="24"/>
          <w:vertAlign w:val="superscript"/>
        </w:rPr>
        <w:t>[38-40]</w:t>
      </w:r>
      <w:r w:rsidRPr="00FC2DDA">
        <w:rPr>
          <w:rFonts w:ascii="Book Antiqua" w:eastAsia="Times" w:hAnsi="Book Antiqua" w:cs="Times"/>
          <w:color w:val="auto"/>
          <w:sz w:val="24"/>
          <w:szCs w:val="24"/>
        </w:rPr>
        <w:t>, in the eva</w:t>
      </w:r>
      <w:r w:rsidR="00245A8F" w:rsidRPr="00FC2DDA">
        <w:rPr>
          <w:rFonts w:ascii="Book Antiqua" w:eastAsia="Times" w:hAnsi="Book Antiqua" w:cs="Times"/>
          <w:color w:val="auto"/>
          <w:sz w:val="24"/>
          <w:szCs w:val="24"/>
        </w:rPr>
        <w:t>luation of response to therapy</w:t>
      </w:r>
      <w:r w:rsidR="00245A8F" w:rsidRPr="00FC2DDA">
        <w:rPr>
          <w:rFonts w:ascii="Book Antiqua" w:eastAsia="Times New Roman" w:hAnsi="Book Antiqua" w:cs="Times New Roman"/>
          <w:color w:val="auto"/>
          <w:sz w:val="24"/>
          <w:szCs w:val="24"/>
          <w:vertAlign w:val="superscript"/>
        </w:rPr>
        <w:t>[38,</w:t>
      </w:r>
      <w:r w:rsidR="00CB4616" w:rsidRPr="00FC2DDA">
        <w:rPr>
          <w:rFonts w:ascii="Book Antiqua" w:eastAsia="Times New Roman" w:hAnsi="Book Antiqua" w:cs="Times New Roman"/>
          <w:color w:val="auto"/>
          <w:sz w:val="24"/>
          <w:szCs w:val="24"/>
          <w:vertAlign w:val="superscript"/>
        </w:rPr>
        <w:t>41-44]</w:t>
      </w:r>
      <w:r w:rsidR="00CB4616" w:rsidRPr="00FC2DDA">
        <w:rPr>
          <w:rFonts w:ascii="Book Antiqua" w:eastAsia="Times" w:hAnsi="Book Antiqua" w:cs="Times"/>
          <w:color w:val="auto"/>
          <w:sz w:val="24"/>
          <w:szCs w:val="24"/>
        </w:rPr>
        <w:t xml:space="preserve"> </w:t>
      </w:r>
      <w:r w:rsidR="00245A8F" w:rsidRPr="00FC2DDA">
        <w:rPr>
          <w:rFonts w:ascii="Book Antiqua" w:eastAsia="Times" w:hAnsi="Book Antiqua" w:cs="Times"/>
          <w:color w:val="auto"/>
          <w:sz w:val="24"/>
          <w:szCs w:val="24"/>
        </w:rPr>
        <w:t>and prognosis</w:t>
      </w:r>
      <w:r w:rsidR="00245A8F" w:rsidRPr="00FC2DDA">
        <w:rPr>
          <w:rFonts w:ascii="Book Antiqua" w:eastAsia="Times New Roman" w:hAnsi="Book Antiqua" w:cs="Times New Roman"/>
          <w:color w:val="auto"/>
          <w:sz w:val="24"/>
          <w:szCs w:val="24"/>
          <w:vertAlign w:val="superscript"/>
        </w:rPr>
        <w:t>[44,</w:t>
      </w:r>
      <w:r w:rsidR="00CB4616" w:rsidRPr="00FC2DDA">
        <w:rPr>
          <w:rFonts w:ascii="Book Antiqua" w:eastAsia="Times New Roman" w:hAnsi="Book Antiqua" w:cs="Times New Roman"/>
          <w:color w:val="auto"/>
          <w:sz w:val="24"/>
          <w:szCs w:val="24"/>
          <w:vertAlign w:val="superscript"/>
        </w:rPr>
        <w:t>45]</w:t>
      </w:r>
      <w:r w:rsidR="00245A8F" w:rsidRPr="00FC2DDA">
        <w:rPr>
          <w:rFonts w:ascii="Book Antiqua" w:hAnsi="Book Antiqua" w:cs="Times"/>
          <w:color w:val="auto"/>
          <w:sz w:val="24"/>
          <w:szCs w:val="24"/>
          <w:lang w:eastAsia="zh-CN"/>
        </w:rPr>
        <w:t xml:space="preserve"> (</w:t>
      </w:r>
      <w:r w:rsidR="00245A8F" w:rsidRPr="00FC2DDA">
        <w:rPr>
          <w:rFonts w:ascii="Book Antiqua" w:eastAsia="Times" w:hAnsi="Book Antiqua" w:cs="Times"/>
          <w:color w:val="auto"/>
          <w:sz w:val="24"/>
          <w:szCs w:val="24"/>
        </w:rPr>
        <w:t>Table 2</w:t>
      </w:r>
      <w:r w:rsidR="00245A8F" w:rsidRPr="00FC2DDA">
        <w:rPr>
          <w:rFonts w:ascii="Book Antiqua" w:hAnsi="Book Antiqua" w:cs="Times"/>
          <w:color w:val="auto"/>
          <w:sz w:val="24"/>
          <w:szCs w:val="24"/>
          <w:lang w:eastAsia="zh-CN"/>
        </w:rPr>
        <w:t>)</w:t>
      </w:r>
      <w:r w:rsidR="00E652AF" w:rsidRPr="00FC2DDA">
        <w:rPr>
          <w:rFonts w:ascii="Book Antiqua" w:eastAsia="Times" w:hAnsi="Book Antiqua" w:cs="Times"/>
          <w:color w:val="auto"/>
          <w:sz w:val="24"/>
          <w:szCs w:val="24"/>
        </w:rPr>
        <w:t xml:space="preserve">. </w:t>
      </w:r>
    </w:p>
    <w:p w14:paraId="5AEA8801" w14:textId="1D567131" w:rsidR="001B04E3" w:rsidRPr="00FC2DDA" w:rsidRDefault="00FB4404" w:rsidP="00AF2AB9">
      <w:pPr>
        <w:snapToGrid w:val="0"/>
        <w:spacing w:after="0" w:line="360" w:lineRule="auto"/>
        <w:ind w:firstLineChars="100" w:firstLine="240"/>
        <w:jc w:val="both"/>
        <w:rPr>
          <w:rFonts w:ascii="Book Antiqua" w:eastAsia="Times" w:hAnsi="Book Antiqua" w:cs="Times"/>
          <w:color w:val="auto"/>
          <w:sz w:val="24"/>
          <w:szCs w:val="24"/>
        </w:rPr>
      </w:pPr>
      <w:r w:rsidRPr="00FC2DDA">
        <w:rPr>
          <w:rFonts w:ascii="Book Antiqua" w:eastAsia="Times" w:hAnsi="Book Antiqua" w:cs="Times"/>
          <w:color w:val="auto"/>
          <w:sz w:val="24"/>
          <w:szCs w:val="24"/>
        </w:rPr>
        <w:t xml:space="preserve">The basis of </w:t>
      </w:r>
      <w:r w:rsidR="009934CC" w:rsidRPr="00FC2DDA">
        <w:rPr>
          <w:rFonts w:ascii="Book Antiqua" w:eastAsia="Times New Roman" w:hAnsi="Book Antiqua" w:cs="Times New Roman"/>
          <w:color w:val="auto"/>
          <w:sz w:val="24"/>
          <w:szCs w:val="24"/>
        </w:rPr>
        <w:t>dynamic contrast-enhanced</w:t>
      </w:r>
      <w:r w:rsidR="009934CC" w:rsidRPr="00FC2DDA">
        <w:rPr>
          <w:rFonts w:ascii="Book Antiqua" w:eastAsia="Times" w:hAnsi="Book Antiqua" w:cs="Times"/>
          <w:color w:val="auto"/>
          <w:sz w:val="24"/>
          <w:szCs w:val="24"/>
        </w:rPr>
        <w:t xml:space="preserve"> </w:t>
      </w:r>
      <w:r w:rsidR="009934CC" w:rsidRPr="00FC2DDA">
        <w:rPr>
          <w:rFonts w:ascii="Book Antiqua" w:hAnsi="Book Antiqua" w:cs="Times" w:hint="eastAsia"/>
          <w:color w:val="auto"/>
          <w:sz w:val="24"/>
          <w:szCs w:val="24"/>
          <w:lang w:eastAsia="zh-CN"/>
        </w:rPr>
        <w:t>(</w:t>
      </w:r>
      <w:r w:rsidRPr="00FC2DDA">
        <w:rPr>
          <w:rFonts w:ascii="Book Antiqua" w:eastAsia="Times" w:hAnsi="Book Antiqua" w:cs="Times"/>
          <w:color w:val="auto"/>
          <w:sz w:val="24"/>
          <w:szCs w:val="24"/>
        </w:rPr>
        <w:t>DCE</w:t>
      </w:r>
      <w:r w:rsidR="009934CC" w:rsidRPr="00FC2DDA">
        <w:rPr>
          <w:rFonts w:ascii="Book Antiqua" w:hAnsi="Book Antiqua" w:cs="Times" w:hint="eastAsia"/>
          <w:color w:val="auto"/>
          <w:sz w:val="24"/>
          <w:szCs w:val="24"/>
          <w:lang w:eastAsia="zh-CN"/>
        </w:rPr>
        <w:t>)</w:t>
      </w:r>
      <w:r w:rsidRPr="00FC2DDA">
        <w:rPr>
          <w:rFonts w:ascii="Book Antiqua" w:eastAsia="Times" w:hAnsi="Book Antiqua" w:cs="Times"/>
          <w:color w:val="auto"/>
          <w:sz w:val="24"/>
          <w:szCs w:val="24"/>
        </w:rPr>
        <w:t>-perfusion MR imaging is the acquisition of multiple image sets, every few seconds, through the tumor or as much of the organ as possible, after gadolinium injection. The rate and pattern of contrast enhancement reflects the time evolution of the contrast agent within the tissue, which occurs as result of the microcirculatory pathophysiological changes. Perfusion MRI could extend the currently used qualitative assessment applied for the differential diagnosis of lesions, by applying quantitative metrics to describe their vascular behavio</w:t>
      </w:r>
      <w:r w:rsidR="00E652AF" w:rsidRPr="00FC2DDA">
        <w:rPr>
          <w:rFonts w:ascii="Book Antiqua" w:eastAsia="Times" w:hAnsi="Book Antiqua" w:cs="Times"/>
          <w:color w:val="auto"/>
          <w:sz w:val="24"/>
          <w:szCs w:val="24"/>
        </w:rPr>
        <w:t>u</w:t>
      </w:r>
      <w:r w:rsidRPr="00FC2DDA">
        <w:rPr>
          <w:rFonts w:ascii="Book Antiqua" w:eastAsia="Times" w:hAnsi="Book Antiqua" w:cs="Times"/>
          <w:color w:val="auto"/>
          <w:sz w:val="24"/>
          <w:szCs w:val="24"/>
        </w:rPr>
        <w:t xml:space="preserve">r. </w:t>
      </w:r>
    </w:p>
    <w:p w14:paraId="72707C21" w14:textId="0A02712F"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 xml:space="preserve">The main purpose of MRI perfusion is the quantification of vascular characteristics of HCC, because </w:t>
      </w:r>
      <w:r w:rsidR="003D0487" w:rsidRPr="00FC2DDA">
        <w:rPr>
          <w:rFonts w:ascii="Book Antiqua" w:eastAsia="Times New Roman" w:hAnsi="Book Antiqua" w:cs="Times New Roman"/>
          <w:color w:val="auto"/>
          <w:sz w:val="24"/>
          <w:szCs w:val="24"/>
        </w:rPr>
        <w:t xml:space="preserve">the </w:t>
      </w:r>
      <w:r w:rsidRPr="00FC2DDA">
        <w:rPr>
          <w:rFonts w:ascii="Book Antiqua" w:eastAsia="Times New Roman" w:hAnsi="Book Antiqua" w:cs="Times New Roman"/>
          <w:color w:val="auto"/>
          <w:sz w:val="24"/>
          <w:szCs w:val="24"/>
        </w:rPr>
        <w:t>growth and progression of histological malignancy of HCC are associated with new blood vessels forma</w:t>
      </w:r>
      <w:r w:rsidR="00B12872" w:rsidRPr="00FC2DDA">
        <w:rPr>
          <w:rFonts w:ascii="Book Antiqua" w:eastAsia="Times New Roman" w:hAnsi="Book Antiqua" w:cs="Times New Roman"/>
          <w:color w:val="auto"/>
          <w:sz w:val="24"/>
          <w:szCs w:val="24"/>
        </w:rPr>
        <w:t>tion</w:t>
      </w:r>
      <w:r w:rsidR="003A508F" w:rsidRPr="00FC2DDA">
        <w:rPr>
          <w:rFonts w:ascii="Book Antiqua" w:eastAsia="Times New Roman" w:hAnsi="Book Antiqua" w:cs="Times New Roman"/>
          <w:color w:val="auto"/>
          <w:sz w:val="24"/>
          <w:szCs w:val="24"/>
          <w:vertAlign w:val="superscript"/>
        </w:rPr>
        <w:t>[46]</w:t>
      </w:r>
      <w:r w:rsidRPr="00FC2DDA">
        <w:rPr>
          <w:rFonts w:ascii="Book Antiqua" w:eastAsia="Times New Roman" w:hAnsi="Book Antiqua" w:cs="Times New Roman"/>
          <w:color w:val="auto"/>
          <w:sz w:val="24"/>
          <w:szCs w:val="24"/>
        </w:rPr>
        <w:t xml:space="preserve"> (angiogenesis). Moreover, the targets of anti-angiogenic drugs</w:t>
      </w:r>
      <w:r w:rsidR="003D0487"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w:t>
      </w:r>
      <w:r w:rsidR="003D0487" w:rsidRPr="00FC2DDA">
        <w:rPr>
          <w:rFonts w:ascii="Book Antiqua" w:eastAsia="Times New Roman" w:hAnsi="Book Antiqua" w:cs="Times New Roman"/>
          <w:color w:val="auto"/>
          <w:sz w:val="24"/>
          <w:szCs w:val="24"/>
        </w:rPr>
        <w:t xml:space="preserve">recently used for HCC treatment, </w:t>
      </w:r>
      <w:r w:rsidRPr="00FC2DDA">
        <w:rPr>
          <w:rFonts w:ascii="Book Antiqua" w:eastAsia="Times New Roman" w:hAnsi="Book Antiqua" w:cs="Times New Roman"/>
          <w:color w:val="auto"/>
          <w:sz w:val="24"/>
          <w:szCs w:val="24"/>
        </w:rPr>
        <w:t>are r</w:t>
      </w:r>
      <w:r w:rsidR="002A7BEC" w:rsidRPr="00FC2DDA">
        <w:rPr>
          <w:rFonts w:ascii="Book Antiqua" w:eastAsia="Times New Roman" w:hAnsi="Book Antiqua" w:cs="Times New Roman"/>
          <w:color w:val="auto"/>
          <w:sz w:val="24"/>
          <w:szCs w:val="24"/>
        </w:rPr>
        <w:t>e</w:t>
      </w:r>
      <w:r w:rsidRPr="00FC2DDA">
        <w:rPr>
          <w:rFonts w:ascii="Book Antiqua" w:eastAsia="Times New Roman" w:hAnsi="Book Antiqua" w:cs="Times New Roman"/>
          <w:color w:val="auto"/>
          <w:sz w:val="24"/>
          <w:szCs w:val="24"/>
        </w:rPr>
        <w:t>presented by these new blood vessels and therefore the perfusion, as a functional imaging technique, may be suitable for evaluating patients tr</w:t>
      </w:r>
      <w:r w:rsidR="00B12872" w:rsidRPr="00FC2DDA">
        <w:rPr>
          <w:rFonts w:ascii="Book Antiqua" w:eastAsia="Times New Roman" w:hAnsi="Book Antiqua" w:cs="Times New Roman"/>
          <w:color w:val="auto"/>
          <w:sz w:val="24"/>
          <w:szCs w:val="24"/>
        </w:rPr>
        <w:t>eated with these agents</w:t>
      </w:r>
      <w:r w:rsidR="003A508F" w:rsidRPr="00FC2DDA">
        <w:rPr>
          <w:rFonts w:ascii="Book Antiqua" w:eastAsia="Times New Roman" w:hAnsi="Book Antiqua" w:cs="Times New Roman"/>
          <w:color w:val="auto"/>
          <w:sz w:val="24"/>
          <w:szCs w:val="24"/>
          <w:vertAlign w:val="superscript"/>
        </w:rPr>
        <w:t>[47-50]</w:t>
      </w:r>
      <w:r w:rsidRPr="00FC2DDA">
        <w:rPr>
          <w:rFonts w:ascii="Book Antiqua" w:eastAsia="Times New Roman" w:hAnsi="Book Antiqua" w:cs="Times New Roman"/>
          <w:color w:val="auto"/>
          <w:sz w:val="24"/>
          <w:szCs w:val="24"/>
        </w:rPr>
        <w:t>.</w:t>
      </w:r>
    </w:p>
    <w:p w14:paraId="60570229" w14:textId="27D8A80A"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Dynamic contrast-enhanced magnetic resonance imaging (DCE-MRI) provides non-invasive imaging biomarkers that can measure changes in tumour blood flow, vascular permeability, and interst</w:t>
      </w:r>
      <w:r w:rsidR="00B12872" w:rsidRPr="00FC2DDA">
        <w:rPr>
          <w:rFonts w:ascii="Book Antiqua" w:eastAsia="Times New Roman" w:hAnsi="Book Antiqua" w:cs="Times New Roman"/>
          <w:color w:val="auto"/>
          <w:sz w:val="24"/>
          <w:szCs w:val="24"/>
        </w:rPr>
        <w:t>itial and intravascular volumes</w:t>
      </w:r>
      <w:r w:rsidR="00B12872" w:rsidRPr="00FC2DDA">
        <w:rPr>
          <w:rFonts w:ascii="Book Antiqua" w:eastAsia="Times New Roman" w:hAnsi="Book Antiqua" w:cs="Times New Roman"/>
          <w:color w:val="auto"/>
          <w:sz w:val="24"/>
          <w:szCs w:val="24"/>
          <w:vertAlign w:val="superscript"/>
        </w:rPr>
        <w:t>[40,43,</w:t>
      </w:r>
      <w:r w:rsidR="00166A17" w:rsidRPr="00FC2DDA">
        <w:rPr>
          <w:rFonts w:ascii="Book Antiqua" w:eastAsia="Times New Roman" w:hAnsi="Book Antiqua" w:cs="Times New Roman"/>
          <w:color w:val="auto"/>
          <w:sz w:val="24"/>
          <w:szCs w:val="24"/>
          <w:vertAlign w:val="superscript"/>
        </w:rPr>
        <w:t>47]</w:t>
      </w:r>
      <w:r w:rsidR="00166A17"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and can predict the surviv</w:t>
      </w:r>
      <w:r w:rsidR="00B12872" w:rsidRPr="00FC2DDA">
        <w:rPr>
          <w:rFonts w:ascii="Book Antiqua" w:eastAsia="Times New Roman" w:hAnsi="Book Antiqua" w:cs="Times New Roman"/>
          <w:color w:val="auto"/>
          <w:sz w:val="24"/>
          <w:szCs w:val="24"/>
        </w:rPr>
        <w:t>al outcome in patients with HCC</w:t>
      </w:r>
      <w:r w:rsidR="00166A17" w:rsidRPr="00FC2DDA">
        <w:rPr>
          <w:rFonts w:ascii="Book Antiqua" w:eastAsia="Times New Roman" w:hAnsi="Book Antiqua" w:cs="Times New Roman"/>
          <w:color w:val="auto"/>
          <w:sz w:val="24"/>
          <w:szCs w:val="24"/>
          <w:vertAlign w:val="superscript"/>
        </w:rPr>
        <w:t>[51-53]</w:t>
      </w:r>
      <w:r w:rsidRPr="00FC2DDA">
        <w:rPr>
          <w:rFonts w:ascii="Book Antiqua" w:eastAsia="Times New Roman" w:hAnsi="Book Antiqua" w:cs="Times New Roman"/>
          <w:color w:val="auto"/>
          <w:sz w:val="24"/>
          <w:szCs w:val="24"/>
        </w:rPr>
        <w:t xml:space="preserve">. Generally, DCE-MRI consists of acquisition of T1-weighted MR images before, during and after intravenous injection of a </w:t>
      </w:r>
      <w:r w:rsidR="00B12872" w:rsidRPr="00FC2DDA">
        <w:rPr>
          <w:rFonts w:ascii="Book Antiqua" w:eastAsia="Times New Roman" w:hAnsi="Book Antiqua" w:cs="Times New Roman"/>
          <w:color w:val="auto"/>
          <w:sz w:val="24"/>
          <w:szCs w:val="24"/>
        </w:rPr>
        <w:t>gadolinium-based contrast agent</w:t>
      </w:r>
      <w:r w:rsidR="00937F23" w:rsidRPr="00FC2DDA">
        <w:rPr>
          <w:rFonts w:ascii="Book Antiqua" w:eastAsia="Times New Roman" w:hAnsi="Book Antiqua" w:cs="Times New Roman"/>
          <w:color w:val="auto"/>
          <w:sz w:val="24"/>
          <w:szCs w:val="24"/>
          <w:vertAlign w:val="superscript"/>
        </w:rPr>
        <w:t>[40]</w:t>
      </w:r>
      <w:r w:rsidRPr="00FC2DDA">
        <w:rPr>
          <w:rFonts w:ascii="Book Antiqua" w:eastAsia="Times New Roman" w:hAnsi="Book Antiqua" w:cs="Times New Roman"/>
          <w:color w:val="auto"/>
          <w:sz w:val="24"/>
          <w:szCs w:val="24"/>
        </w:rPr>
        <w:t xml:space="preserve">. The contrast agent extravasates at level of tumour tissue, from </w:t>
      </w:r>
      <w:r w:rsidRPr="00FC2DDA">
        <w:rPr>
          <w:rFonts w:ascii="Book Antiqua" w:eastAsia="Times New Roman" w:hAnsi="Book Antiqua" w:cs="Times New Roman"/>
          <w:color w:val="auto"/>
          <w:sz w:val="24"/>
          <w:szCs w:val="24"/>
        </w:rPr>
        <w:lastRenderedPageBreak/>
        <w:t>intravascular to the extravascular extracellular space (</w:t>
      </w:r>
      <w:r w:rsidR="00B12872" w:rsidRPr="00FC2DDA">
        <w:rPr>
          <w:rFonts w:ascii="Book Antiqua" w:eastAsia="Times New Roman" w:hAnsi="Book Antiqua" w:cs="Times New Roman"/>
          <w:color w:val="auto"/>
          <w:sz w:val="24"/>
          <w:szCs w:val="24"/>
        </w:rPr>
        <w:t>EES) with increased T1-w signal</w:t>
      </w:r>
      <w:r w:rsidR="00B12872" w:rsidRPr="00FC2DDA">
        <w:rPr>
          <w:rFonts w:ascii="Book Antiqua" w:eastAsia="Times New Roman" w:hAnsi="Book Antiqua" w:cs="Times New Roman"/>
          <w:color w:val="auto"/>
          <w:sz w:val="24"/>
          <w:szCs w:val="24"/>
          <w:vertAlign w:val="superscript"/>
        </w:rPr>
        <w:t>[43,54,</w:t>
      </w:r>
      <w:r w:rsidR="00937F23" w:rsidRPr="00FC2DDA">
        <w:rPr>
          <w:rFonts w:ascii="Book Antiqua" w:eastAsia="Times New Roman" w:hAnsi="Book Antiqua" w:cs="Times New Roman"/>
          <w:color w:val="auto"/>
          <w:sz w:val="24"/>
          <w:szCs w:val="24"/>
          <w:vertAlign w:val="superscript"/>
        </w:rPr>
        <w:t>55]</w:t>
      </w:r>
      <w:r w:rsidRPr="00FC2DDA">
        <w:rPr>
          <w:rFonts w:ascii="Book Antiqua" w:eastAsia="Times New Roman" w:hAnsi="Book Antiqua" w:cs="Times New Roman"/>
          <w:color w:val="auto"/>
          <w:sz w:val="24"/>
          <w:szCs w:val="24"/>
        </w:rPr>
        <w:t>. This extravasation to EES in the tumour tissue depends on vessel leakiness (permeability) and blood flow (perfusion) and so the signal measured with DCE-MRI could be sensitive to alterations in vascular pe</w:t>
      </w:r>
      <w:r w:rsidR="00B12872" w:rsidRPr="00FC2DDA">
        <w:rPr>
          <w:rFonts w:ascii="Book Antiqua" w:eastAsia="Times New Roman" w:hAnsi="Book Antiqua" w:cs="Times New Roman"/>
          <w:color w:val="auto"/>
          <w:sz w:val="24"/>
          <w:szCs w:val="24"/>
        </w:rPr>
        <w:t>rmeability, EES, and blood flow</w:t>
      </w:r>
      <w:r w:rsidR="00B12872" w:rsidRPr="00FC2DDA">
        <w:rPr>
          <w:rFonts w:ascii="Book Antiqua" w:eastAsia="Times New Roman" w:hAnsi="Book Antiqua" w:cs="Times New Roman"/>
          <w:color w:val="auto"/>
          <w:sz w:val="24"/>
          <w:szCs w:val="24"/>
          <w:vertAlign w:val="superscript"/>
        </w:rPr>
        <w:t>[43,</w:t>
      </w:r>
      <w:r w:rsidR="000C4C9F" w:rsidRPr="00FC2DDA">
        <w:rPr>
          <w:rFonts w:ascii="Book Antiqua" w:eastAsia="Times New Roman" w:hAnsi="Book Antiqua" w:cs="Times New Roman"/>
          <w:color w:val="auto"/>
          <w:sz w:val="24"/>
          <w:szCs w:val="24"/>
          <w:vertAlign w:val="superscript"/>
        </w:rPr>
        <w:t>54]</w:t>
      </w:r>
      <w:r w:rsidRPr="00FC2DDA">
        <w:rPr>
          <w:rFonts w:ascii="Book Antiqua" w:eastAsia="Times New Roman" w:hAnsi="Book Antiqua" w:cs="Times New Roman"/>
          <w:color w:val="auto"/>
          <w:sz w:val="24"/>
          <w:szCs w:val="24"/>
        </w:rPr>
        <w:t>.</w:t>
      </w:r>
    </w:p>
    <w:p w14:paraId="04FAC89F" w14:textId="0494E9C3" w:rsidR="001B04E3" w:rsidRPr="00FC2DDA" w:rsidRDefault="00FB4404" w:rsidP="00AF2AB9">
      <w:pPr>
        <w:snapToGrid w:val="0"/>
        <w:spacing w:after="0" w:line="360" w:lineRule="auto"/>
        <w:ind w:firstLineChars="100" w:firstLine="240"/>
        <w:jc w:val="both"/>
        <w:rPr>
          <w:rFonts w:ascii="Book Antiqua" w:hAnsi="Book Antiqua" w:cs="Times New Roman"/>
          <w:color w:val="auto"/>
          <w:sz w:val="24"/>
          <w:szCs w:val="24"/>
          <w:lang w:eastAsia="zh-CN"/>
        </w:rPr>
      </w:pPr>
      <w:r w:rsidRPr="00FC2DDA">
        <w:rPr>
          <w:rFonts w:ascii="Book Antiqua" w:eastAsia="Times New Roman" w:hAnsi="Book Antiqua" w:cs="Times New Roman"/>
          <w:color w:val="auto"/>
          <w:sz w:val="24"/>
          <w:szCs w:val="24"/>
        </w:rPr>
        <w:t>DCE-MRI signals can be quantified using a semi-quantitative (model free) or quan</w:t>
      </w:r>
      <w:r w:rsidR="00B12872" w:rsidRPr="00FC2DDA">
        <w:rPr>
          <w:rFonts w:ascii="Book Antiqua" w:eastAsia="Times New Roman" w:hAnsi="Book Antiqua" w:cs="Times New Roman"/>
          <w:color w:val="auto"/>
          <w:sz w:val="24"/>
          <w:szCs w:val="24"/>
        </w:rPr>
        <w:t>titative (model based) analysis</w:t>
      </w:r>
      <w:r w:rsidR="000C4C9F" w:rsidRPr="00FC2DDA">
        <w:rPr>
          <w:rFonts w:ascii="Book Antiqua" w:eastAsia="Times New Roman" w:hAnsi="Book Antiqua" w:cs="Times New Roman"/>
          <w:color w:val="auto"/>
          <w:sz w:val="24"/>
          <w:szCs w:val="24"/>
          <w:vertAlign w:val="superscript"/>
        </w:rPr>
        <w:t>[56]</w:t>
      </w:r>
      <w:r w:rsidRPr="00FC2DDA">
        <w:rPr>
          <w:rFonts w:ascii="Book Antiqua" w:eastAsia="Times New Roman" w:hAnsi="Book Antiqua" w:cs="Times New Roman"/>
          <w:color w:val="auto"/>
          <w:sz w:val="24"/>
          <w:szCs w:val="24"/>
        </w:rPr>
        <w:t xml:space="preserve">. Both analysis methods have several parameters </w:t>
      </w:r>
      <w:r w:rsidR="00B12872" w:rsidRPr="00FC2DDA">
        <w:rPr>
          <w:rFonts w:ascii="Book Antiqua" w:eastAsia="Times New Roman" w:hAnsi="Book Antiqua" w:cs="Times New Roman"/>
          <w:color w:val="auto"/>
          <w:sz w:val="24"/>
          <w:szCs w:val="24"/>
        </w:rPr>
        <w:t>related with tumor angiogenesis</w:t>
      </w:r>
      <w:r w:rsidR="00B12872" w:rsidRPr="00FC2DDA">
        <w:rPr>
          <w:rFonts w:ascii="Book Antiqua" w:eastAsia="Times New Roman" w:hAnsi="Book Antiqua" w:cs="Times New Roman"/>
          <w:color w:val="auto"/>
          <w:sz w:val="24"/>
          <w:szCs w:val="24"/>
          <w:vertAlign w:val="superscript"/>
        </w:rPr>
        <w:t>[54,</w:t>
      </w:r>
      <w:r w:rsidR="004448E8" w:rsidRPr="00FC2DDA">
        <w:rPr>
          <w:rFonts w:ascii="Book Antiqua" w:eastAsia="Times New Roman" w:hAnsi="Book Antiqua" w:cs="Times New Roman"/>
          <w:color w:val="auto"/>
          <w:sz w:val="24"/>
          <w:szCs w:val="24"/>
          <w:vertAlign w:val="superscript"/>
        </w:rPr>
        <w:t>57]</w:t>
      </w:r>
      <w:r w:rsidRPr="00FC2DDA">
        <w:rPr>
          <w:rFonts w:ascii="Book Antiqua" w:eastAsia="Times New Roman" w:hAnsi="Book Antiqua" w:cs="Times New Roman"/>
          <w:color w:val="auto"/>
          <w:sz w:val="24"/>
          <w:szCs w:val="24"/>
        </w:rPr>
        <w:t xml:space="preserve"> and can give different information on liver and tumor </w:t>
      </w:r>
      <w:r w:rsidR="00B12872" w:rsidRPr="00FC2DDA">
        <w:rPr>
          <w:rFonts w:ascii="Book Antiqua" w:eastAsia="Times New Roman" w:hAnsi="Book Antiqua" w:cs="Times New Roman"/>
          <w:color w:val="auto"/>
          <w:sz w:val="24"/>
          <w:szCs w:val="24"/>
        </w:rPr>
        <w:t>perfusion</w:t>
      </w:r>
      <w:r w:rsidR="006E018C" w:rsidRPr="00FC2DDA">
        <w:rPr>
          <w:rFonts w:ascii="Book Antiqua" w:eastAsia="Times New Roman" w:hAnsi="Book Antiqua" w:cs="Times New Roman"/>
          <w:color w:val="auto"/>
          <w:sz w:val="24"/>
          <w:szCs w:val="24"/>
          <w:vertAlign w:val="superscript"/>
        </w:rPr>
        <w:t>[56]</w:t>
      </w:r>
      <w:r w:rsidRPr="00FC2DDA">
        <w:rPr>
          <w:rFonts w:ascii="Book Antiqua" w:eastAsia="Times New Roman" w:hAnsi="Book Antiqua" w:cs="Times New Roman"/>
          <w:color w:val="auto"/>
          <w:sz w:val="24"/>
          <w:szCs w:val="24"/>
        </w:rPr>
        <w:t xml:space="preserve">. Briefly, with the semi-quantitative analysis all perfusion parameters are extracted directly from time-signal intensity (SI) curves </w:t>
      </w:r>
      <w:r w:rsidR="00B12872" w:rsidRPr="00FC2DDA">
        <w:rPr>
          <w:rFonts w:ascii="Book Antiqua" w:hAnsi="Book Antiqua" w:cs="Times New Roman"/>
          <w:color w:val="auto"/>
          <w:sz w:val="24"/>
          <w:szCs w:val="24"/>
          <w:lang w:eastAsia="zh-CN"/>
        </w:rPr>
        <w:t>[</w:t>
      </w:r>
      <w:r w:rsidRPr="00FC2DDA">
        <w:rPr>
          <w:rFonts w:ascii="Book Antiqua" w:eastAsia="Times New Roman" w:hAnsi="Book Antiqua" w:cs="Times New Roman"/>
          <w:i/>
          <w:color w:val="auto"/>
          <w:sz w:val="24"/>
          <w:szCs w:val="24"/>
        </w:rPr>
        <w:t>e.g.</w:t>
      </w:r>
      <w:r w:rsidR="00A72EB1" w:rsidRPr="00FC2DDA">
        <w:rPr>
          <w:rFonts w:ascii="Book Antiqua" w:hAnsi="Book Antiqua" w:cs="Times New Roman"/>
          <w:color w:val="auto"/>
          <w:sz w:val="24"/>
          <w:szCs w:val="24"/>
          <w:lang w:eastAsia="zh-CN"/>
        </w:rPr>
        <w:t>,</w:t>
      </w:r>
      <w:r w:rsidRPr="00FC2DDA">
        <w:rPr>
          <w:rFonts w:ascii="Book Antiqua" w:eastAsia="Times New Roman" w:hAnsi="Book Antiqua" w:cs="Times New Roman"/>
          <w:color w:val="auto"/>
          <w:sz w:val="24"/>
          <w:szCs w:val="24"/>
        </w:rPr>
        <w:t xml:space="preserve"> AUC, maximum SI or peak enhancement ratio, wash-in slope, mean transit time (MTT)</w:t>
      </w:r>
      <w:r w:rsidR="00B12872" w:rsidRPr="00FC2DDA">
        <w:rPr>
          <w:rFonts w:ascii="Book Antiqua" w:hAnsi="Book Antiqua" w:cs="Times New Roman"/>
          <w:color w:val="auto"/>
          <w:sz w:val="24"/>
          <w:szCs w:val="24"/>
          <w:lang w:eastAsia="zh-CN"/>
        </w:rPr>
        <w:t>]</w:t>
      </w:r>
      <w:r w:rsidR="00283D8F" w:rsidRPr="00FC2DDA">
        <w:rPr>
          <w:rFonts w:ascii="Book Antiqua" w:eastAsia="Times New Roman" w:hAnsi="Book Antiqua" w:cs="Times New Roman"/>
          <w:color w:val="auto"/>
          <w:sz w:val="24"/>
          <w:szCs w:val="24"/>
        </w:rPr>
        <w:t>, derived from different dynamic contrastographic sequences</w:t>
      </w:r>
      <w:r w:rsidRPr="00FC2DDA">
        <w:rPr>
          <w:rFonts w:ascii="Book Antiqua" w:eastAsia="Times New Roman" w:hAnsi="Book Antiqua" w:cs="Times New Roman"/>
          <w:color w:val="auto"/>
          <w:sz w:val="24"/>
          <w:szCs w:val="24"/>
        </w:rPr>
        <w:t>. Although widely used, semi-quantitative analysis is highly affected by the acquisition systems and comparison and quantification of th</w:t>
      </w:r>
      <w:r w:rsidR="0039481B" w:rsidRPr="00FC2DDA">
        <w:rPr>
          <w:rFonts w:ascii="Book Antiqua" w:eastAsia="Times New Roman" w:hAnsi="Book Antiqua" w:cs="Times New Roman"/>
          <w:color w:val="auto"/>
          <w:sz w:val="24"/>
          <w:szCs w:val="24"/>
        </w:rPr>
        <w:t>ese parameters can be difficult</w:t>
      </w:r>
      <w:r w:rsidR="0039481B" w:rsidRPr="00FC2DDA">
        <w:rPr>
          <w:rFonts w:ascii="Book Antiqua" w:eastAsia="Times New Roman" w:hAnsi="Book Antiqua" w:cs="Times New Roman"/>
          <w:color w:val="auto"/>
          <w:sz w:val="24"/>
          <w:szCs w:val="24"/>
          <w:vertAlign w:val="superscript"/>
        </w:rPr>
        <w:t>[56,</w:t>
      </w:r>
      <w:r w:rsidR="006E018C" w:rsidRPr="00FC2DDA">
        <w:rPr>
          <w:rFonts w:ascii="Book Antiqua" w:eastAsia="Times New Roman" w:hAnsi="Book Antiqua" w:cs="Times New Roman"/>
          <w:color w:val="auto"/>
          <w:sz w:val="24"/>
          <w:szCs w:val="24"/>
          <w:vertAlign w:val="superscript"/>
        </w:rPr>
        <w:t>57]</w:t>
      </w:r>
      <w:r w:rsidRPr="00FC2DDA">
        <w:rPr>
          <w:rFonts w:ascii="Book Antiqua" w:eastAsia="Times New Roman" w:hAnsi="Book Antiqua" w:cs="Times New Roman"/>
          <w:color w:val="auto"/>
          <w:sz w:val="24"/>
          <w:szCs w:val="24"/>
        </w:rPr>
        <w:t xml:space="preserve"> because the true concentration of contrast agent in the tissues is not estimated</w:t>
      </w:r>
      <w:r w:rsidR="0039481B" w:rsidRPr="00FC2DDA">
        <w:rPr>
          <w:rFonts w:ascii="Book Antiqua" w:hAnsi="Book Antiqua" w:cs="Times New Roman"/>
          <w:color w:val="auto"/>
          <w:sz w:val="24"/>
          <w:szCs w:val="24"/>
          <w:lang w:eastAsia="zh-CN"/>
        </w:rPr>
        <w:t xml:space="preserve"> (</w:t>
      </w:r>
      <w:r w:rsidR="0039481B" w:rsidRPr="00FC2DDA">
        <w:rPr>
          <w:rFonts w:ascii="Book Antiqua" w:eastAsia="Times New Roman" w:hAnsi="Book Antiqua" w:cs="Times New Roman"/>
          <w:color w:val="auto"/>
          <w:sz w:val="24"/>
          <w:szCs w:val="24"/>
        </w:rPr>
        <w:t>Fig</w:t>
      </w:r>
      <w:r w:rsidR="0039481B" w:rsidRPr="00FC2DDA">
        <w:rPr>
          <w:rFonts w:ascii="Book Antiqua" w:hAnsi="Book Antiqua" w:cs="Times New Roman"/>
          <w:color w:val="auto"/>
          <w:sz w:val="24"/>
          <w:szCs w:val="24"/>
          <w:lang w:eastAsia="zh-CN"/>
        </w:rPr>
        <w:t>ure</w:t>
      </w:r>
      <w:r w:rsidR="0039481B" w:rsidRPr="00FC2DDA">
        <w:rPr>
          <w:rFonts w:ascii="Book Antiqua" w:eastAsia="Times New Roman" w:hAnsi="Book Antiqua" w:cs="Times New Roman"/>
          <w:color w:val="auto"/>
          <w:sz w:val="24"/>
          <w:szCs w:val="24"/>
        </w:rPr>
        <w:t xml:space="preserve"> 3</w:t>
      </w:r>
      <w:r w:rsidR="0039481B" w:rsidRPr="00FC2DDA">
        <w:rPr>
          <w:rFonts w:ascii="Book Antiqua" w:hAnsi="Book Antiqua" w:cs="Times New Roman"/>
          <w:color w:val="auto"/>
          <w:sz w:val="24"/>
          <w:szCs w:val="24"/>
          <w:lang w:eastAsia="zh-CN"/>
        </w:rPr>
        <w:t>)</w:t>
      </w:r>
      <w:r w:rsidRPr="00FC2DDA">
        <w:rPr>
          <w:rFonts w:ascii="Book Antiqua" w:eastAsia="Times New Roman" w:hAnsi="Book Antiqua" w:cs="Times New Roman"/>
          <w:color w:val="auto"/>
          <w:sz w:val="24"/>
          <w:szCs w:val="24"/>
        </w:rPr>
        <w:t xml:space="preserve">. </w:t>
      </w:r>
    </w:p>
    <w:p w14:paraId="23EF3A8E" w14:textId="682D745F"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Quantitative analysis depends on fitting the time SI curves with the changes in concentration of the contrast agent using pharmacokinetic techniques using several kinetics models based on different</w:t>
      </w:r>
      <w:r w:rsidR="00E000EC" w:rsidRPr="00FC2DDA">
        <w:rPr>
          <w:rFonts w:ascii="Book Antiqua" w:eastAsia="Times New Roman" w:hAnsi="Book Antiqua" w:cs="Times New Roman"/>
          <w:color w:val="auto"/>
          <w:sz w:val="24"/>
          <w:szCs w:val="24"/>
        </w:rPr>
        <w:t xml:space="preserve"> physiological assumptions made</w:t>
      </w:r>
      <w:r w:rsidR="006E018C" w:rsidRPr="00FC2DDA">
        <w:rPr>
          <w:rFonts w:ascii="Book Antiqua" w:eastAsia="Times New Roman" w:hAnsi="Book Antiqua" w:cs="Times New Roman"/>
          <w:color w:val="auto"/>
          <w:sz w:val="24"/>
          <w:szCs w:val="24"/>
          <w:vertAlign w:val="superscript"/>
        </w:rPr>
        <w:t>[56]</w:t>
      </w:r>
      <w:r w:rsidRPr="00FC2DDA">
        <w:rPr>
          <w:rFonts w:ascii="Book Antiqua" w:eastAsia="Times New Roman" w:hAnsi="Book Antiqua" w:cs="Times New Roman"/>
          <w:color w:val="auto"/>
          <w:sz w:val="24"/>
          <w:szCs w:val="24"/>
        </w:rPr>
        <w:t>. These kinetics models can be bi-compartmental models (taking into account vessels and EES) or mono-compartmental (taking into account the vascular space because of the typical architecture of the liver)</w:t>
      </w:r>
      <w:r w:rsidR="006E018C" w:rsidRPr="00FC2DDA">
        <w:rPr>
          <w:rFonts w:ascii="Book Antiqua" w:eastAsia="Times New Roman" w:hAnsi="Book Antiqua" w:cs="Times New Roman"/>
          <w:color w:val="auto"/>
          <w:sz w:val="24"/>
          <w:szCs w:val="24"/>
          <w:vertAlign w:val="superscript"/>
        </w:rPr>
        <w:t>[56]</w:t>
      </w:r>
      <w:r w:rsidRPr="00FC2DDA">
        <w:rPr>
          <w:rFonts w:ascii="Book Antiqua" w:eastAsia="Times New Roman" w:hAnsi="Book Antiqua" w:cs="Times New Roman"/>
          <w:color w:val="auto"/>
          <w:sz w:val="24"/>
          <w:szCs w:val="24"/>
        </w:rPr>
        <w:t>, with a double or single input system (arterial and portal or arterial alone), conventional compartment (CC) models vs distributed p</w:t>
      </w:r>
      <w:r w:rsidR="00E000EC" w:rsidRPr="00FC2DDA">
        <w:rPr>
          <w:rFonts w:ascii="Book Antiqua" w:eastAsia="Times New Roman" w:hAnsi="Book Antiqua" w:cs="Times New Roman"/>
          <w:color w:val="auto"/>
          <w:sz w:val="24"/>
          <w:szCs w:val="24"/>
        </w:rPr>
        <w:t>arameters (DP) models</w:t>
      </w:r>
      <w:r w:rsidR="00E000EC" w:rsidRPr="00FC2DDA">
        <w:rPr>
          <w:rFonts w:ascii="Book Antiqua" w:eastAsia="Times New Roman" w:hAnsi="Book Antiqua" w:cs="Times New Roman"/>
          <w:color w:val="auto"/>
          <w:sz w:val="24"/>
          <w:szCs w:val="24"/>
          <w:vertAlign w:val="superscript"/>
        </w:rPr>
        <w:t>[54,</w:t>
      </w:r>
      <w:r w:rsidR="006E018C" w:rsidRPr="00FC2DDA">
        <w:rPr>
          <w:rFonts w:ascii="Book Antiqua" w:eastAsia="Times New Roman" w:hAnsi="Book Antiqua" w:cs="Times New Roman"/>
          <w:color w:val="auto"/>
          <w:sz w:val="24"/>
          <w:szCs w:val="24"/>
          <w:vertAlign w:val="superscript"/>
        </w:rPr>
        <w:t>56]</w:t>
      </w:r>
      <w:r w:rsidR="006E018C" w:rsidRPr="00FC2DDA">
        <w:rPr>
          <w:rFonts w:ascii="Book Antiqua" w:eastAsia="Times New Roman" w:hAnsi="Book Antiqua" w:cs="Times New Roman"/>
          <w:color w:val="auto"/>
          <w:sz w:val="24"/>
          <w:szCs w:val="24"/>
        </w:rPr>
        <w:t>.</w:t>
      </w:r>
    </w:p>
    <w:p w14:paraId="2BA6154E" w14:textId="40E1EC5E"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Several parameters extracted with quantitative analysis are related to the influx of contrast agent from the intravascular space to the EES (K trans) and its reverse (Kep), the volume fraction of EES (Ve) which is an indirect expression of the</w:t>
      </w:r>
      <w:r w:rsidR="00E000EC" w:rsidRPr="00FC2DDA">
        <w:rPr>
          <w:rFonts w:ascii="Book Antiqua" w:eastAsia="Times New Roman" w:hAnsi="Book Antiqua" w:cs="Times New Roman"/>
          <w:color w:val="auto"/>
          <w:sz w:val="24"/>
          <w:szCs w:val="24"/>
        </w:rPr>
        <w:t xml:space="preserve"> cellular density of the tissue</w:t>
      </w:r>
      <w:r w:rsidR="00E000EC" w:rsidRPr="00FC2DDA">
        <w:rPr>
          <w:rFonts w:ascii="Book Antiqua" w:eastAsia="Times New Roman" w:hAnsi="Book Antiqua" w:cs="Times New Roman"/>
          <w:color w:val="auto"/>
          <w:sz w:val="24"/>
          <w:szCs w:val="24"/>
          <w:vertAlign w:val="superscript"/>
        </w:rPr>
        <w:t>[43,54,</w:t>
      </w:r>
      <w:r w:rsidR="006E018C" w:rsidRPr="00FC2DDA">
        <w:rPr>
          <w:rFonts w:ascii="Book Antiqua" w:eastAsia="Times New Roman" w:hAnsi="Book Antiqua" w:cs="Times New Roman"/>
          <w:color w:val="auto"/>
          <w:sz w:val="24"/>
          <w:szCs w:val="24"/>
          <w:vertAlign w:val="superscript"/>
        </w:rPr>
        <w:t>56]</w:t>
      </w:r>
      <w:r w:rsidRPr="00FC2DDA">
        <w:rPr>
          <w:rFonts w:ascii="Book Antiqua" w:eastAsia="Times New Roman" w:hAnsi="Book Antiqua" w:cs="Times New Roman"/>
          <w:color w:val="auto"/>
          <w:sz w:val="24"/>
          <w:szCs w:val="24"/>
        </w:rPr>
        <w:t xml:space="preserve">. </w:t>
      </w:r>
    </w:p>
    <w:p w14:paraId="1D8C2243" w14:textId="179BB1E6"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In comparison to the semi-quantitative analysis, these parameters are more time consuming because they generate parametric maps through a pixel-by-pixel curve fitting process. Although the histogram analysis and the heterogeneity of these parametric maps are more computationally demanding, they may also</w:t>
      </w:r>
      <w:r w:rsidR="003542C3" w:rsidRPr="00FC2DDA">
        <w:rPr>
          <w:rFonts w:ascii="Book Antiqua" w:eastAsia="Times New Roman" w:hAnsi="Book Antiqua" w:cs="Times New Roman"/>
          <w:color w:val="auto"/>
          <w:sz w:val="24"/>
          <w:szCs w:val="24"/>
        </w:rPr>
        <w:t xml:space="preserve"> provide additional information</w:t>
      </w:r>
      <w:r w:rsidR="003542C3" w:rsidRPr="00FC2DDA">
        <w:rPr>
          <w:rFonts w:ascii="Book Antiqua" w:eastAsia="Times New Roman" w:hAnsi="Book Antiqua" w:cs="Times New Roman"/>
          <w:color w:val="auto"/>
          <w:sz w:val="24"/>
          <w:szCs w:val="24"/>
          <w:vertAlign w:val="superscript"/>
        </w:rPr>
        <w:t>[43,</w:t>
      </w:r>
      <w:r w:rsidR="006E018C" w:rsidRPr="00FC2DDA">
        <w:rPr>
          <w:rFonts w:ascii="Book Antiqua" w:eastAsia="Times New Roman" w:hAnsi="Book Antiqua" w:cs="Times New Roman"/>
          <w:color w:val="auto"/>
          <w:sz w:val="24"/>
          <w:szCs w:val="24"/>
          <w:vertAlign w:val="superscript"/>
        </w:rPr>
        <w:t>56]</w:t>
      </w:r>
      <w:r w:rsidRPr="00FC2DDA">
        <w:rPr>
          <w:rFonts w:ascii="Book Antiqua" w:eastAsia="Times New Roman" w:hAnsi="Book Antiqua" w:cs="Times New Roman"/>
          <w:color w:val="auto"/>
          <w:sz w:val="24"/>
          <w:szCs w:val="24"/>
        </w:rPr>
        <w:t xml:space="preserve">. Moreover, numerous pharmacokinetic models have been proposed by Tofts </w:t>
      </w:r>
      <w:r w:rsidRPr="00FC2DDA">
        <w:rPr>
          <w:rFonts w:ascii="Book Antiqua" w:eastAsia="Times New Roman" w:hAnsi="Book Antiqua" w:cs="Times New Roman"/>
          <w:i/>
          <w:color w:val="auto"/>
          <w:sz w:val="24"/>
          <w:szCs w:val="24"/>
        </w:rPr>
        <w:t>et al</w:t>
      </w:r>
      <w:r w:rsidR="003542C3" w:rsidRPr="00FC2DDA">
        <w:rPr>
          <w:rFonts w:ascii="Book Antiqua" w:eastAsia="Times New Roman" w:hAnsi="Book Antiqua" w:cs="Times New Roman"/>
          <w:color w:val="auto"/>
          <w:sz w:val="24"/>
          <w:szCs w:val="24"/>
          <w:vertAlign w:val="superscript"/>
        </w:rPr>
        <w:t>[58</w:t>
      </w:r>
      <w:r w:rsidR="003542C3" w:rsidRPr="00FC2DDA">
        <w:rPr>
          <w:rFonts w:ascii="Book Antiqua" w:hAnsi="Book Antiqua" w:cs="Times New Roman"/>
          <w:color w:val="auto"/>
          <w:sz w:val="24"/>
          <w:szCs w:val="24"/>
          <w:vertAlign w:val="superscript"/>
          <w:lang w:eastAsia="zh-CN"/>
        </w:rPr>
        <w:t>]</w:t>
      </w:r>
      <w:r w:rsidRPr="00FC2DDA">
        <w:rPr>
          <w:rFonts w:ascii="Book Antiqua" w:eastAsia="Times New Roman" w:hAnsi="Book Antiqua" w:cs="Times New Roman"/>
          <w:color w:val="auto"/>
          <w:sz w:val="24"/>
          <w:szCs w:val="24"/>
        </w:rPr>
        <w:t>,</w:t>
      </w:r>
      <w:r w:rsidR="00FE0817" w:rsidRPr="00FC2DDA">
        <w:rPr>
          <w:rFonts w:ascii="Book Antiqua" w:eastAsia="Times New Roman" w:hAnsi="Book Antiqua" w:cs="Times New Roman"/>
          <w:color w:val="auto"/>
          <w:sz w:val="24"/>
          <w:szCs w:val="24"/>
        </w:rPr>
        <w:t xml:space="preserve"> Brix </w:t>
      </w:r>
      <w:r w:rsidR="003542C3" w:rsidRPr="00FC2DDA">
        <w:rPr>
          <w:rFonts w:ascii="Book Antiqua" w:eastAsia="Times New Roman" w:hAnsi="Book Antiqua" w:cs="Times New Roman"/>
          <w:i/>
          <w:color w:val="auto"/>
          <w:sz w:val="24"/>
          <w:szCs w:val="24"/>
        </w:rPr>
        <w:t>et al</w:t>
      </w:r>
      <w:r w:rsidR="003542C3" w:rsidRPr="00FC2DDA">
        <w:rPr>
          <w:rFonts w:ascii="Book Antiqua" w:eastAsia="Times New Roman" w:hAnsi="Book Antiqua" w:cs="Times New Roman"/>
          <w:color w:val="auto"/>
          <w:sz w:val="24"/>
          <w:szCs w:val="24"/>
          <w:vertAlign w:val="superscript"/>
        </w:rPr>
        <w:t>[5</w:t>
      </w:r>
      <w:r w:rsidR="003542C3" w:rsidRPr="00FC2DDA">
        <w:rPr>
          <w:rFonts w:ascii="Book Antiqua" w:hAnsi="Book Antiqua" w:cs="Times New Roman"/>
          <w:color w:val="auto"/>
          <w:sz w:val="24"/>
          <w:szCs w:val="24"/>
          <w:vertAlign w:val="superscript"/>
          <w:lang w:eastAsia="zh-CN"/>
        </w:rPr>
        <w:t>9]</w:t>
      </w:r>
      <w:r w:rsidR="003542C3" w:rsidRPr="00FC2DDA">
        <w:rPr>
          <w:rFonts w:ascii="Book Antiqua" w:hAnsi="Book Antiqua" w:cs="Times New Roman"/>
          <w:color w:val="auto"/>
          <w:sz w:val="24"/>
          <w:szCs w:val="24"/>
          <w:lang w:eastAsia="zh-CN"/>
        </w:rPr>
        <w:t xml:space="preserve"> </w:t>
      </w:r>
      <w:r w:rsidR="00FE0817" w:rsidRPr="00FC2DDA">
        <w:rPr>
          <w:rFonts w:ascii="Book Antiqua" w:eastAsia="Times New Roman" w:hAnsi="Book Antiqua" w:cs="Times New Roman"/>
          <w:color w:val="auto"/>
          <w:sz w:val="24"/>
          <w:szCs w:val="24"/>
        </w:rPr>
        <w:t xml:space="preserve">and Larsson </w:t>
      </w:r>
      <w:r w:rsidR="003542C3" w:rsidRPr="00FC2DDA">
        <w:rPr>
          <w:rFonts w:ascii="Book Antiqua" w:eastAsia="Times New Roman" w:hAnsi="Book Antiqua" w:cs="Times New Roman"/>
          <w:i/>
          <w:color w:val="auto"/>
          <w:sz w:val="24"/>
          <w:szCs w:val="24"/>
        </w:rPr>
        <w:t>et al</w:t>
      </w:r>
      <w:r w:rsidR="003542C3" w:rsidRPr="00FC2DDA">
        <w:rPr>
          <w:rFonts w:ascii="Book Antiqua" w:eastAsia="Times New Roman" w:hAnsi="Book Antiqua" w:cs="Times New Roman"/>
          <w:color w:val="auto"/>
          <w:sz w:val="24"/>
          <w:szCs w:val="24"/>
          <w:vertAlign w:val="superscript"/>
        </w:rPr>
        <w:t>[</w:t>
      </w:r>
      <w:r w:rsidR="003542C3" w:rsidRPr="00FC2DDA">
        <w:rPr>
          <w:rFonts w:ascii="Book Antiqua" w:hAnsi="Book Antiqua" w:cs="Times New Roman"/>
          <w:color w:val="auto"/>
          <w:sz w:val="24"/>
          <w:szCs w:val="24"/>
          <w:vertAlign w:val="superscript"/>
          <w:lang w:eastAsia="zh-CN"/>
        </w:rPr>
        <w:t>60]</w:t>
      </w:r>
      <w:r w:rsidRPr="00FC2DDA">
        <w:rPr>
          <w:rFonts w:ascii="Book Antiqua" w:eastAsia="Times New Roman" w:hAnsi="Book Antiqua" w:cs="Times New Roman"/>
          <w:color w:val="auto"/>
          <w:sz w:val="24"/>
          <w:szCs w:val="24"/>
        </w:rPr>
        <w:t>, using a</w:t>
      </w:r>
      <w:r w:rsidR="00405BEF" w:rsidRPr="00FC2DDA">
        <w:rPr>
          <w:rFonts w:ascii="Book Antiqua" w:eastAsia="Times New Roman" w:hAnsi="Book Antiqua" w:cs="Times New Roman"/>
          <w:color w:val="auto"/>
          <w:sz w:val="24"/>
          <w:szCs w:val="24"/>
        </w:rPr>
        <w:t xml:space="preserve"> single arterial input function</w:t>
      </w:r>
      <w:r w:rsidRPr="00FC2DDA">
        <w:rPr>
          <w:rFonts w:ascii="Book Antiqua" w:eastAsia="Times New Roman" w:hAnsi="Book Antiqua" w:cs="Times New Roman"/>
          <w:color w:val="auto"/>
          <w:sz w:val="24"/>
          <w:szCs w:val="24"/>
          <w:vertAlign w:val="superscript"/>
        </w:rPr>
        <w:t>[</w:t>
      </w:r>
      <w:r w:rsidR="005A23B5" w:rsidRPr="00FC2DDA">
        <w:rPr>
          <w:rFonts w:ascii="Book Antiqua" w:eastAsia="Times New Roman" w:hAnsi="Book Antiqua" w:cs="Times New Roman"/>
          <w:color w:val="auto"/>
          <w:sz w:val="24"/>
          <w:szCs w:val="24"/>
          <w:vertAlign w:val="superscript"/>
        </w:rPr>
        <w:t>43</w:t>
      </w:r>
      <w:r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 xml:space="preserve">. </w:t>
      </w:r>
      <w:r w:rsidR="00283D8F" w:rsidRPr="00FC2DDA">
        <w:rPr>
          <w:rFonts w:ascii="Book Antiqua" w:eastAsia="Times New Roman" w:hAnsi="Book Antiqua" w:cs="Times New Roman"/>
          <w:color w:val="auto"/>
          <w:sz w:val="24"/>
          <w:szCs w:val="24"/>
        </w:rPr>
        <w:t xml:space="preserve">Because </w:t>
      </w:r>
      <w:r w:rsidRPr="00FC2DDA">
        <w:rPr>
          <w:rFonts w:ascii="Book Antiqua" w:eastAsia="Times New Roman" w:hAnsi="Book Antiqua" w:cs="Times New Roman"/>
          <w:color w:val="auto"/>
          <w:sz w:val="24"/>
          <w:szCs w:val="24"/>
        </w:rPr>
        <w:t xml:space="preserve">hepatocellular carcinoma receives major blood supply from hepatic neo-arteries and often arise from a </w:t>
      </w:r>
      <w:r w:rsidRPr="00FC2DDA">
        <w:rPr>
          <w:rFonts w:ascii="Book Antiqua" w:eastAsia="Times New Roman" w:hAnsi="Book Antiqua" w:cs="Times New Roman"/>
          <w:color w:val="auto"/>
          <w:sz w:val="24"/>
          <w:szCs w:val="24"/>
        </w:rPr>
        <w:lastRenderedPageBreak/>
        <w:t>cirrhotic liver</w:t>
      </w:r>
      <w:r w:rsidR="00283D8F"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 xml:space="preserve">the single input model (considering only the arterial input) and the dual compartment model (because of the alteration in the EES) are frequently </w:t>
      </w:r>
      <w:r w:rsidR="00283D8F" w:rsidRPr="00FC2DDA">
        <w:rPr>
          <w:rFonts w:ascii="Book Antiqua" w:eastAsia="Times New Roman" w:hAnsi="Book Antiqua" w:cs="Times New Roman"/>
          <w:color w:val="auto"/>
          <w:sz w:val="24"/>
          <w:szCs w:val="24"/>
        </w:rPr>
        <w:t xml:space="preserve">both </w:t>
      </w:r>
      <w:r w:rsidR="00405BEF" w:rsidRPr="00FC2DDA">
        <w:rPr>
          <w:rFonts w:ascii="Book Antiqua" w:eastAsia="Times New Roman" w:hAnsi="Book Antiqua" w:cs="Times New Roman"/>
          <w:color w:val="auto"/>
          <w:sz w:val="24"/>
          <w:szCs w:val="24"/>
        </w:rPr>
        <w:t>used in the literature</w:t>
      </w:r>
      <w:r w:rsidR="00405BEF" w:rsidRPr="00FC2DDA">
        <w:rPr>
          <w:rFonts w:ascii="Book Antiqua" w:eastAsia="Times New Roman" w:hAnsi="Book Antiqua" w:cs="Times New Roman"/>
          <w:color w:val="auto"/>
          <w:sz w:val="24"/>
          <w:szCs w:val="24"/>
          <w:vertAlign w:val="superscript"/>
        </w:rPr>
        <w:t>[54,</w:t>
      </w:r>
      <w:r w:rsidR="005A23B5" w:rsidRPr="00FC2DDA">
        <w:rPr>
          <w:rFonts w:ascii="Book Antiqua" w:eastAsia="Times New Roman" w:hAnsi="Book Antiqua" w:cs="Times New Roman"/>
          <w:color w:val="auto"/>
          <w:sz w:val="24"/>
          <w:szCs w:val="24"/>
          <w:vertAlign w:val="superscript"/>
        </w:rPr>
        <w:t>56]</w:t>
      </w:r>
      <w:r w:rsidRPr="00FC2DDA">
        <w:rPr>
          <w:rFonts w:ascii="Book Antiqua" w:eastAsia="Times New Roman" w:hAnsi="Book Antiqua" w:cs="Times New Roman"/>
          <w:color w:val="auto"/>
          <w:sz w:val="24"/>
          <w:szCs w:val="24"/>
        </w:rPr>
        <w:t>.</w:t>
      </w:r>
    </w:p>
    <w:p w14:paraId="240B1E69" w14:textId="693E57DD"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However, because of numerous DCE-MRI–related limitations, parameters derived from these pharmacokinetic models may lack sufficient pre</w:t>
      </w:r>
      <w:r w:rsidR="00405BEF" w:rsidRPr="00FC2DDA">
        <w:rPr>
          <w:rFonts w:ascii="Book Antiqua" w:eastAsia="Times New Roman" w:hAnsi="Book Antiqua" w:cs="Times New Roman"/>
          <w:color w:val="auto"/>
          <w:sz w:val="24"/>
          <w:szCs w:val="24"/>
        </w:rPr>
        <w:t>cision for clinical application</w:t>
      </w:r>
      <w:r w:rsidR="005A23B5" w:rsidRPr="00FC2DDA">
        <w:rPr>
          <w:rFonts w:ascii="Book Antiqua" w:eastAsia="Times New Roman" w:hAnsi="Book Antiqua" w:cs="Times New Roman"/>
          <w:color w:val="auto"/>
          <w:sz w:val="24"/>
          <w:szCs w:val="24"/>
          <w:vertAlign w:val="superscript"/>
        </w:rPr>
        <w:t>[38]</w:t>
      </w:r>
      <w:r w:rsidRPr="00FC2DDA">
        <w:rPr>
          <w:rFonts w:ascii="Book Antiqua" w:eastAsia="Times New Roman" w:hAnsi="Book Antiqua" w:cs="Times New Roman"/>
          <w:color w:val="auto"/>
          <w:sz w:val="24"/>
          <w:szCs w:val="24"/>
        </w:rPr>
        <w:t>, and there is no consensus regarding the pharmacokinetic model that should be used to quantify HCC perfusion parameters even if some studies demonstrated that some pharmacokinetic models c</w:t>
      </w:r>
      <w:r w:rsidR="00405BEF" w:rsidRPr="00FC2DDA">
        <w:rPr>
          <w:rFonts w:ascii="Book Antiqua" w:eastAsia="Times New Roman" w:hAnsi="Book Antiqua" w:cs="Times New Roman"/>
          <w:color w:val="auto"/>
          <w:sz w:val="24"/>
          <w:szCs w:val="24"/>
        </w:rPr>
        <w:t>an be equivalent in the results</w:t>
      </w:r>
      <w:r w:rsidR="005A23B5" w:rsidRPr="00FC2DDA">
        <w:rPr>
          <w:rFonts w:ascii="Book Antiqua" w:eastAsia="Times New Roman" w:hAnsi="Book Antiqua" w:cs="Times New Roman"/>
          <w:color w:val="auto"/>
          <w:sz w:val="24"/>
          <w:szCs w:val="24"/>
          <w:vertAlign w:val="superscript"/>
        </w:rPr>
        <w:t>[40]</w:t>
      </w:r>
      <w:r w:rsidRPr="00FC2DDA">
        <w:rPr>
          <w:rFonts w:ascii="Book Antiqua" w:eastAsia="Times New Roman" w:hAnsi="Book Antiqua" w:cs="Times New Roman"/>
          <w:color w:val="auto"/>
          <w:sz w:val="24"/>
          <w:szCs w:val="24"/>
        </w:rPr>
        <w:t xml:space="preserve">. </w:t>
      </w:r>
    </w:p>
    <w:p w14:paraId="599A7337" w14:textId="77777777"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 xml:space="preserve">All these possibilities and differences in the field of DCE-MRI yielded the literature studies to different results. </w:t>
      </w:r>
    </w:p>
    <w:p w14:paraId="1542F35A" w14:textId="72E3A82C"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In general, two recent studies demonstrated that HCC had significantly higher peak, slope, AUC, arterial fraction, and arterial flow but lower portal flow, distribution</w:t>
      </w:r>
      <w:r w:rsidR="00405BEF" w:rsidRPr="00FC2DDA">
        <w:rPr>
          <w:rFonts w:ascii="Book Antiqua" w:eastAsia="Times New Roman" w:hAnsi="Book Antiqua" w:cs="Times New Roman"/>
          <w:color w:val="auto"/>
          <w:sz w:val="24"/>
          <w:szCs w:val="24"/>
        </w:rPr>
        <w:t xml:space="preserve"> volume, and MTT than the liver</w:t>
      </w:r>
      <w:r w:rsidR="005A23B5" w:rsidRPr="00FC2DDA">
        <w:rPr>
          <w:rFonts w:ascii="Book Antiqua" w:eastAsia="Times New Roman" w:hAnsi="Book Antiqua" w:cs="Times New Roman"/>
          <w:color w:val="auto"/>
          <w:sz w:val="24"/>
          <w:szCs w:val="24"/>
          <w:vertAlign w:val="superscript"/>
        </w:rPr>
        <w:t>[45]</w:t>
      </w:r>
      <w:r w:rsidRPr="00FC2DDA">
        <w:rPr>
          <w:rFonts w:ascii="Book Antiqua" w:eastAsia="Times New Roman" w:hAnsi="Book Antiqua" w:cs="Times New Roman"/>
          <w:color w:val="auto"/>
          <w:sz w:val="24"/>
          <w:szCs w:val="24"/>
        </w:rPr>
        <w:t>. HCCs with high peak are correlated to a longer overall survival (OS) in comparison with</w:t>
      </w:r>
      <w:r w:rsidR="00FA539B" w:rsidRPr="00FC2DDA">
        <w:rPr>
          <w:rFonts w:ascii="Book Antiqua" w:eastAsia="Times New Roman" w:hAnsi="Book Antiqua" w:cs="Times New Roman"/>
          <w:color w:val="auto"/>
          <w:sz w:val="24"/>
          <w:szCs w:val="24"/>
        </w:rPr>
        <w:t xml:space="preserve"> HCC with low peak</w:t>
      </w:r>
      <w:r w:rsidR="00E21FFD" w:rsidRPr="00FC2DDA">
        <w:rPr>
          <w:rFonts w:ascii="Book Antiqua" w:eastAsia="Times New Roman" w:hAnsi="Book Antiqua" w:cs="Times New Roman"/>
          <w:color w:val="auto"/>
          <w:sz w:val="24"/>
          <w:szCs w:val="24"/>
          <w:vertAlign w:val="superscript"/>
        </w:rPr>
        <w:t>[45]</w:t>
      </w:r>
      <w:r w:rsidR="00E21FFD"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before systemic therapy. Secondary, high peak reduction assessed early (one week) after system</w:t>
      </w:r>
      <w:r w:rsidR="00405BEF" w:rsidRPr="00FC2DDA">
        <w:rPr>
          <w:rFonts w:ascii="Book Antiqua" w:eastAsia="Times New Roman" w:hAnsi="Book Antiqua" w:cs="Times New Roman"/>
          <w:color w:val="auto"/>
          <w:sz w:val="24"/>
          <w:szCs w:val="24"/>
        </w:rPr>
        <w:t>ic therapy can be related to OS</w:t>
      </w:r>
      <w:r w:rsidR="00E21FFD" w:rsidRPr="00FC2DDA">
        <w:rPr>
          <w:rFonts w:ascii="Book Antiqua" w:eastAsia="Times New Roman" w:hAnsi="Book Antiqua" w:cs="Times New Roman"/>
          <w:color w:val="auto"/>
          <w:sz w:val="24"/>
          <w:szCs w:val="24"/>
          <w:vertAlign w:val="superscript"/>
        </w:rPr>
        <w:t>[44]</w:t>
      </w:r>
      <w:r w:rsidRPr="00FC2DDA">
        <w:rPr>
          <w:rFonts w:ascii="Book Antiqua" w:eastAsia="Times New Roman" w:hAnsi="Book Antiqua" w:cs="Times New Roman"/>
          <w:color w:val="auto"/>
          <w:sz w:val="24"/>
          <w:szCs w:val="24"/>
        </w:rPr>
        <w:t xml:space="preserve">. </w:t>
      </w:r>
    </w:p>
    <w:p w14:paraId="0FDDE731" w14:textId="0F96D3F9" w:rsidR="00E21FFD" w:rsidRPr="00FC2DDA" w:rsidRDefault="00FB4404"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DCE-MRI semi-quantitative parameters (relative arterial, venous, and late enhancement; maximum enhancement; maximum relative enhancement, and time to peak) potentially can be used also to differentiate residual viable tumor tissue and effective tr</w:t>
      </w:r>
      <w:r w:rsidR="00405BEF" w:rsidRPr="00FC2DDA">
        <w:rPr>
          <w:rFonts w:ascii="Book Antiqua" w:eastAsia="Times New Roman" w:hAnsi="Book Antiqua" w:cs="Times New Roman"/>
          <w:color w:val="auto"/>
          <w:sz w:val="24"/>
          <w:szCs w:val="24"/>
        </w:rPr>
        <w:t>eated lesions after TACE or RFA</w:t>
      </w:r>
      <w:r w:rsidR="00E21FFD" w:rsidRPr="00FC2DDA">
        <w:rPr>
          <w:rFonts w:ascii="Book Antiqua" w:eastAsia="Times New Roman" w:hAnsi="Book Antiqua" w:cs="Times New Roman"/>
          <w:color w:val="auto"/>
          <w:sz w:val="24"/>
          <w:szCs w:val="24"/>
          <w:vertAlign w:val="superscript"/>
        </w:rPr>
        <w:t>[41]</w:t>
      </w:r>
      <w:r w:rsidR="00E21FFD"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 xml:space="preserve">some of them, in a multivariate analysis, seemed also to predict </w:t>
      </w:r>
      <w:r w:rsidR="00405BEF" w:rsidRPr="00FC2DDA">
        <w:rPr>
          <w:rFonts w:ascii="Book Antiqua" w:eastAsia="Times New Roman" w:hAnsi="Book Antiqua" w:cs="Times New Roman"/>
          <w:color w:val="auto"/>
          <w:sz w:val="24"/>
          <w:szCs w:val="24"/>
        </w:rPr>
        <w:t>the response to radiotherapy RT</w:t>
      </w:r>
      <w:r w:rsidR="00E21FFD" w:rsidRPr="00FC2DDA">
        <w:rPr>
          <w:rFonts w:ascii="Book Antiqua" w:eastAsia="Times New Roman" w:hAnsi="Book Antiqua" w:cs="Times New Roman"/>
          <w:color w:val="auto"/>
          <w:sz w:val="24"/>
          <w:szCs w:val="24"/>
          <w:vertAlign w:val="superscript"/>
        </w:rPr>
        <w:t>[42]</w:t>
      </w:r>
      <w:r w:rsidR="00E21FFD" w:rsidRPr="00FC2DDA">
        <w:rPr>
          <w:rFonts w:ascii="Book Antiqua" w:eastAsia="Times New Roman" w:hAnsi="Book Antiqua" w:cs="Times New Roman"/>
          <w:color w:val="auto"/>
          <w:sz w:val="24"/>
          <w:szCs w:val="24"/>
        </w:rPr>
        <w:t>.</w:t>
      </w:r>
    </w:p>
    <w:p w14:paraId="62C679C8" w14:textId="6BE6B12B" w:rsidR="00E21FFD"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Some groups found that with DCE-MRI is possible to quantify the perfusion in the liver and HCC with an increased arterial flow and decreased portal venous flow in HC</w:t>
      </w:r>
      <w:r w:rsidR="00A7041D" w:rsidRPr="00FC2DDA">
        <w:rPr>
          <w:rFonts w:ascii="Book Antiqua" w:eastAsia="Times New Roman" w:hAnsi="Book Antiqua" w:cs="Times New Roman"/>
          <w:color w:val="auto"/>
          <w:sz w:val="24"/>
          <w:szCs w:val="24"/>
        </w:rPr>
        <w:t>C compared with cirrhotic liver</w:t>
      </w:r>
      <w:r w:rsidRPr="00FC2DDA">
        <w:rPr>
          <w:rFonts w:ascii="Book Antiqua" w:eastAsia="Times New Roman" w:hAnsi="Book Antiqua" w:cs="Times New Roman"/>
          <w:color w:val="auto"/>
          <w:sz w:val="24"/>
          <w:szCs w:val="24"/>
        </w:rPr>
        <w:t>, with significant differences in the degree of arterial versus portal venous blood flo</w:t>
      </w:r>
      <w:r w:rsidR="00405BEF" w:rsidRPr="00FC2DDA">
        <w:rPr>
          <w:rFonts w:ascii="Book Antiqua" w:eastAsia="Times New Roman" w:hAnsi="Book Antiqua" w:cs="Times New Roman"/>
          <w:color w:val="auto"/>
          <w:sz w:val="24"/>
          <w:szCs w:val="24"/>
        </w:rPr>
        <w:t>w in treated and untreated HCCs</w:t>
      </w:r>
      <w:r w:rsidR="00E21FFD" w:rsidRPr="00FC2DDA">
        <w:rPr>
          <w:rFonts w:ascii="Book Antiqua" w:eastAsia="Times New Roman" w:hAnsi="Book Antiqua" w:cs="Times New Roman"/>
          <w:color w:val="auto"/>
          <w:sz w:val="24"/>
          <w:szCs w:val="24"/>
          <w:vertAlign w:val="superscript"/>
        </w:rPr>
        <w:t>[38]</w:t>
      </w:r>
      <w:r w:rsidR="00E21FFD" w:rsidRPr="00FC2DDA">
        <w:rPr>
          <w:rFonts w:ascii="Book Antiqua" w:eastAsia="Times New Roman" w:hAnsi="Book Antiqua" w:cs="Times New Roman"/>
          <w:color w:val="auto"/>
          <w:sz w:val="24"/>
          <w:szCs w:val="24"/>
        </w:rPr>
        <w:t>.</w:t>
      </w:r>
    </w:p>
    <w:p w14:paraId="05537D43" w14:textId="5E967978"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Perfusion parameters could be correlate to the grading differentiation of HCC but in most of the cases, there are no significant differences in perfusions and grade of</w:t>
      </w:r>
      <w:r w:rsidR="000F1786" w:rsidRPr="00FC2DDA">
        <w:rPr>
          <w:rFonts w:ascii="Book Antiqua" w:eastAsia="Times New Roman" w:hAnsi="Book Antiqua" w:cs="Times New Roman"/>
          <w:color w:val="auto"/>
          <w:sz w:val="24"/>
          <w:szCs w:val="24"/>
        </w:rPr>
        <w:t xml:space="preserve"> HCC diffe</w:t>
      </w:r>
      <w:r w:rsidR="00A7041D" w:rsidRPr="00FC2DDA">
        <w:rPr>
          <w:rFonts w:ascii="Book Antiqua" w:eastAsia="Times New Roman" w:hAnsi="Book Antiqua" w:cs="Times New Roman"/>
          <w:color w:val="auto"/>
          <w:sz w:val="24"/>
          <w:szCs w:val="24"/>
        </w:rPr>
        <w:t>rentiation</w:t>
      </w:r>
      <w:r w:rsidR="00E21FFD"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with the exception</w:t>
      </w:r>
      <w:r w:rsidR="00405BEF" w:rsidRPr="00FC2DDA">
        <w:rPr>
          <w:rFonts w:ascii="Book Antiqua" w:eastAsia="Times New Roman" w:hAnsi="Book Antiqua" w:cs="Times New Roman"/>
          <w:color w:val="auto"/>
          <w:sz w:val="24"/>
          <w:szCs w:val="24"/>
        </w:rPr>
        <w:t xml:space="preserve"> of the arterial fraction (ART)</w:t>
      </w:r>
      <w:r w:rsidR="00E21FFD" w:rsidRPr="00FC2DDA">
        <w:rPr>
          <w:rFonts w:ascii="Book Antiqua" w:eastAsia="Times New Roman" w:hAnsi="Book Antiqua" w:cs="Times New Roman"/>
          <w:color w:val="auto"/>
          <w:sz w:val="24"/>
          <w:szCs w:val="24"/>
          <w:vertAlign w:val="superscript"/>
        </w:rPr>
        <w:t>[40]</w:t>
      </w:r>
      <w:r w:rsidRPr="00FC2DDA">
        <w:rPr>
          <w:rFonts w:ascii="Book Antiqua" w:eastAsia="Times New Roman" w:hAnsi="Book Antiqua" w:cs="Times New Roman"/>
          <w:color w:val="auto"/>
          <w:sz w:val="24"/>
          <w:szCs w:val="24"/>
        </w:rPr>
        <w:t xml:space="preserve">. </w:t>
      </w:r>
      <w:r w:rsidR="00283D8F" w:rsidRPr="00FC2DDA">
        <w:rPr>
          <w:rFonts w:ascii="Book Antiqua" w:eastAsia="Times New Roman" w:hAnsi="Book Antiqua" w:cs="Times New Roman"/>
          <w:color w:val="auto"/>
          <w:sz w:val="24"/>
          <w:szCs w:val="24"/>
        </w:rPr>
        <w:t xml:space="preserve">The </w:t>
      </w:r>
      <w:r w:rsidRPr="00FC2DDA">
        <w:rPr>
          <w:rFonts w:ascii="Book Antiqua" w:eastAsia="Times New Roman" w:hAnsi="Book Antiqua" w:cs="Times New Roman"/>
          <w:color w:val="auto"/>
          <w:sz w:val="24"/>
          <w:szCs w:val="24"/>
        </w:rPr>
        <w:t xml:space="preserve">ART </w:t>
      </w:r>
      <w:r w:rsidR="00283D8F" w:rsidRPr="00FC2DDA">
        <w:rPr>
          <w:rFonts w:ascii="Book Antiqua" w:eastAsia="Times New Roman" w:hAnsi="Book Antiqua" w:cs="Times New Roman"/>
          <w:color w:val="auto"/>
          <w:sz w:val="24"/>
          <w:szCs w:val="24"/>
        </w:rPr>
        <w:t xml:space="preserve">parameter </w:t>
      </w:r>
      <w:r w:rsidRPr="00FC2DDA">
        <w:rPr>
          <w:rFonts w:ascii="Book Antiqua" w:eastAsia="Times New Roman" w:hAnsi="Book Antiqua" w:cs="Times New Roman"/>
          <w:color w:val="auto"/>
          <w:sz w:val="24"/>
          <w:szCs w:val="24"/>
        </w:rPr>
        <w:t xml:space="preserve">is a value estimated each time through perfusion equations obtained from the addition of the two input inflow </w:t>
      </w:r>
      <w:r w:rsidR="00405BEF" w:rsidRPr="00FC2DDA">
        <w:rPr>
          <w:rFonts w:ascii="Book Antiqua" w:eastAsia="Times New Roman" w:hAnsi="Book Antiqua" w:cs="Times New Roman"/>
          <w:color w:val="auto"/>
          <w:sz w:val="24"/>
          <w:szCs w:val="24"/>
        </w:rPr>
        <w:t>(arterial and portal) into one</w:t>
      </w:r>
      <w:r w:rsidR="00E21FFD" w:rsidRPr="00FC2DDA">
        <w:rPr>
          <w:rFonts w:ascii="Book Antiqua" w:eastAsia="Times New Roman" w:hAnsi="Book Antiqua" w:cs="Times New Roman"/>
          <w:color w:val="auto"/>
          <w:sz w:val="24"/>
          <w:szCs w:val="24"/>
          <w:vertAlign w:val="superscript"/>
        </w:rPr>
        <w:t>[40]</w:t>
      </w:r>
      <w:r w:rsidRPr="00FC2DDA">
        <w:rPr>
          <w:rFonts w:ascii="Book Antiqua" w:eastAsia="Times New Roman" w:hAnsi="Book Antiqua" w:cs="Times New Roman"/>
          <w:color w:val="auto"/>
          <w:sz w:val="24"/>
          <w:szCs w:val="24"/>
        </w:rPr>
        <w:t>. Moreover, it has been suggested that ART can be used to assess response t</w:t>
      </w:r>
      <w:r w:rsidR="00405BEF" w:rsidRPr="00FC2DDA">
        <w:rPr>
          <w:rFonts w:ascii="Book Antiqua" w:eastAsia="Times New Roman" w:hAnsi="Book Antiqua" w:cs="Times New Roman"/>
          <w:color w:val="auto"/>
          <w:sz w:val="24"/>
          <w:szCs w:val="24"/>
        </w:rPr>
        <w:t>o local regional therapy in HCC</w:t>
      </w:r>
      <w:r w:rsidR="00405BEF" w:rsidRPr="00FC2DDA">
        <w:rPr>
          <w:rFonts w:ascii="Book Antiqua" w:eastAsia="Times New Roman" w:hAnsi="Book Antiqua" w:cs="Times New Roman"/>
          <w:color w:val="auto"/>
          <w:sz w:val="24"/>
          <w:szCs w:val="24"/>
          <w:vertAlign w:val="superscript"/>
        </w:rPr>
        <w:t>[38,40,</w:t>
      </w:r>
      <w:r w:rsidR="00EF07A8" w:rsidRPr="00FC2DDA">
        <w:rPr>
          <w:rFonts w:ascii="Book Antiqua" w:eastAsia="Times New Roman" w:hAnsi="Book Antiqua" w:cs="Times New Roman"/>
          <w:color w:val="auto"/>
          <w:sz w:val="24"/>
          <w:szCs w:val="24"/>
          <w:vertAlign w:val="superscript"/>
        </w:rPr>
        <w:t>61</w:t>
      </w:r>
      <w:r w:rsidR="00E21FFD" w:rsidRPr="00FC2DDA">
        <w:rPr>
          <w:rFonts w:ascii="Book Antiqua" w:eastAsia="Times New Roman" w:hAnsi="Book Antiqua" w:cs="Times New Roman"/>
          <w:color w:val="auto"/>
          <w:sz w:val="24"/>
          <w:szCs w:val="24"/>
          <w:vertAlign w:val="superscript"/>
        </w:rPr>
        <w:t>]</w:t>
      </w:r>
      <w:r w:rsidRPr="00FC2DDA">
        <w:rPr>
          <w:rFonts w:ascii="Book Antiqua" w:eastAsia="Times New Roman" w:hAnsi="Book Antiqua" w:cs="Times New Roman"/>
          <w:color w:val="auto"/>
          <w:sz w:val="24"/>
          <w:szCs w:val="24"/>
        </w:rPr>
        <w:t>.</w:t>
      </w:r>
    </w:p>
    <w:p w14:paraId="6EF9393F" w14:textId="22B791A7"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 xml:space="preserve">In a recent study from Chen </w:t>
      </w:r>
      <w:r w:rsidRPr="00FC2DDA">
        <w:rPr>
          <w:rFonts w:ascii="Book Antiqua" w:eastAsia="Times New Roman" w:hAnsi="Book Antiqua" w:cs="Times New Roman"/>
          <w:i/>
          <w:color w:val="auto"/>
          <w:sz w:val="24"/>
          <w:szCs w:val="24"/>
        </w:rPr>
        <w:t>et al</w:t>
      </w:r>
      <w:r w:rsidR="00B304DF" w:rsidRPr="00FC2DDA">
        <w:rPr>
          <w:rFonts w:ascii="Book Antiqua" w:eastAsia="Times New Roman" w:hAnsi="Book Antiqua" w:cs="Times New Roman"/>
          <w:color w:val="auto"/>
          <w:sz w:val="24"/>
          <w:szCs w:val="24"/>
          <w:vertAlign w:val="superscript"/>
        </w:rPr>
        <w:t>[39]</w:t>
      </w:r>
      <w:r w:rsidR="00B304DF"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 xml:space="preserve">the max-Ktrans seems to correlate with tumor grades (rho = - 0.382, </w:t>
      </w:r>
      <w:r w:rsidRPr="00FC2DDA">
        <w:rPr>
          <w:rFonts w:ascii="Book Antiqua" w:eastAsia="Times New Roman" w:hAnsi="Book Antiqua" w:cs="Times New Roman"/>
          <w:i/>
          <w:color w:val="auto"/>
          <w:sz w:val="24"/>
          <w:szCs w:val="24"/>
        </w:rPr>
        <w:t>P</w:t>
      </w:r>
      <w:r w:rsidRPr="00FC2DDA">
        <w:rPr>
          <w:rFonts w:ascii="Book Antiqua" w:eastAsia="Times New Roman" w:hAnsi="Book Antiqua" w:cs="Times New Roman"/>
          <w:color w:val="auto"/>
          <w:sz w:val="24"/>
          <w:szCs w:val="24"/>
        </w:rPr>
        <w:t xml:space="preserve"> = 0.028). The Ktrans, Kep, and iAUC of high-grades HCC are </w:t>
      </w:r>
      <w:r w:rsidRPr="00FC2DDA">
        <w:rPr>
          <w:rFonts w:ascii="Book Antiqua" w:eastAsia="Times New Roman" w:hAnsi="Book Antiqua" w:cs="Times New Roman"/>
          <w:color w:val="auto"/>
          <w:sz w:val="24"/>
          <w:szCs w:val="24"/>
        </w:rPr>
        <w:lastRenderedPageBreak/>
        <w:t>significantly lower than that of low-grades HCC (</w:t>
      </w:r>
      <w:r w:rsidR="00405BEF" w:rsidRPr="00FC2DDA">
        <w:rPr>
          <w:rFonts w:ascii="Book Antiqua" w:eastAsia="Times New Roman" w:hAnsi="Book Antiqua" w:cs="Times New Roman"/>
          <w:i/>
          <w:color w:val="auto"/>
          <w:sz w:val="24"/>
          <w:szCs w:val="24"/>
        </w:rPr>
        <w:t>P</w:t>
      </w:r>
      <w:r w:rsidRPr="00FC2DDA">
        <w:rPr>
          <w:rFonts w:ascii="Book Antiqua" w:eastAsia="Times New Roman" w:hAnsi="Book Antiqua" w:cs="Times New Roman"/>
          <w:color w:val="auto"/>
          <w:sz w:val="24"/>
          <w:szCs w:val="24"/>
        </w:rPr>
        <w:t xml:space="preserve"> = 0.001, 0.031, 0.003, respectively), but there is no statistically significant differences for Ve between high grade and low grade HCC (</w:t>
      </w:r>
      <w:r w:rsidR="00405BEF" w:rsidRPr="00FC2DDA">
        <w:rPr>
          <w:rFonts w:ascii="Book Antiqua" w:eastAsia="Times New Roman" w:hAnsi="Book Antiqua" w:cs="Times New Roman"/>
          <w:i/>
          <w:color w:val="auto"/>
          <w:sz w:val="24"/>
          <w:szCs w:val="24"/>
        </w:rPr>
        <w:t>P</w:t>
      </w:r>
      <w:r w:rsidRPr="00FC2DDA">
        <w:rPr>
          <w:rFonts w:ascii="Book Antiqua" w:eastAsia="Times New Roman" w:hAnsi="Book Antiqua" w:cs="Times New Roman"/>
          <w:color w:val="auto"/>
          <w:sz w:val="24"/>
          <w:szCs w:val="24"/>
        </w:rPr>
        <w:t xml:space="preserve"> &gt; 0.05)</w:t>
      </w:r>
      <w:r w:rsidR="007C5DA8" w:rsidRPr="00FC2DDA">
        <w:rPr>
          <w:rFonts w:ascii="Book Antiqua" w:eastAsia="Times New Roman" w:hAnsi="Book Antiqua" w:cs="Times New Roman"/>
          <w:color w:val="auto"/>
          <w:sz w:val="24"/>
          <w:szCs w:val="24"/>
          <w:vertAlign w:val="superscript"/>
        </w:rPr>
        <w:t>[39]</w:t>
      </w:r>
      <w:r w:rsidRPr="00FC2DDA">
        <w:rPr>
          <w:rFonts w:ascii="Book Antiqua" w:eastAsia="Times New Roman" w:hAnsi="Book Antiqua" w:cs="Times New Roman"/>
          <w:color w:val="auto"/>
          <w:sz w:val="24"/>
          <w:szCs w:val="24"/>
        </w:rPr>
        <w:t>.</w:t>
      </w:r>
    </w:p>
    <w:p w14:paraId="6A1611C8" w14:textId="0BBB63A6"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These results suggest that DCE-MRI ca be useful as a non-invasive marker of HCC angiogenesis, but new equipment and sequences and models are still under investigation and newer equipment are going to be applied in the next future to quantify the perfusion of HCC, as a biomarkers of degree of malignancy, pr</w:t>
      </w:r>
      <w:r w:rsidR="00FA539B" w:rsidRPr="00FC2DDA">
        <w:rPr>
          <w:rFonts w:ascii="Book Antiqua" w:eastAsia="Times New Roman" w:hAnsi="Book Antiqua" w:cs="Times New Roman"/>
          <w:color w:val="auto"/>
          <w:sz w:val="24"/>
          <w:szCs w:val="24"/>
        </w:rPr>
        <w:t>ognosis and response to therapy</w:t>
      </w:r>
      <w:r w:rsidR="007C5DA8" w:rsidRPr="00FC2DDA">
        <w:rPr>
          <w:rFonts w:ascii="Book Antiqua" w:eastAsia="Times New Roman" w:hAnsi="Book Antiqua" w:cs="Times New Roman"/>
          <w:color w:val="auto"/>
          <w:sz w:val="24"/>
          <w:szCs w:val="24"/>
          <w:vertAlign w:val="superscript"/>
        </w:rPr>
        <w:t>[38-40]</w:t>
      </w:r>
      <w:r w:rsidRPr="00FC2DDA">
        <w:rPr>
          <w:rFonts w:ascii="Book Antiqua" w:eastAsia="Times New Roman" w:hAnsi="Book Antiqua" w:cs="Times New Roman"/>
          <w:color w:val="auto"/>
          <w:sz w:val="24"/>
          <w:szCs w:val="24"/>
        </w:rPr>
        <w:t>.</w:t>
      </w:r>
    </w:p>
    <w:p w14:paraId="0AD2377B" w14:textId="77777777" w:rsidR="007C5DA8" w:rsidRPr="00FC2DDA" w:rsidRDefault="007C5DA8" w:rsidP="00AF2AB9">
      <w:pPr>
        <w:snapToGrid w:val="0"/>
        <w:spacing w:after="0" w:line="360" w:lineRule="auto"/>
        <w:jc w:val="both"/>
        <w:rPr>
          <w:rFonts w:ascii="Book Antiqua" w:eastAsia="Times New Roman" w:hAnsi="Book Antiqua" w:cs="Times New Roman"/>
          <w:color w:val="auto"/>
          <w:sz w:val="24"/>
          <w:szCs w:val="24"/>
        </w:rPr>
      </w:pPr>
    </w:p>
    <w:p w14:paraId="0B4CE075" w14:textId="77777777" w:rsidR="001B04E3" w:rsidRPr="00FC2DDA" w:rsidRDefault="00FB4404"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DIFFUSION WEIGHTED IMAGING</w:t>
      </w:r>
    </w:p>
    <w:p w14:paraId="26E8AD37" w14:textId="3D8551F3" w:rsidR="00283D8F" w:rsidRPr="00FC2DDA" w:rsidRDefault="00283D8F" w:rsidP="00AF2AB9">
      <w:pPr>
        <w:snapToGrid w:val="0"/>
        <w:spacing w:after="0" w:line="360" w:lineRule="auto"/>
        <w:jc w:val="both"/>
        <w:rPr>
          <w:rFonts w:ascii="Book Antiqua" w:hAnsi="Book Antiqua" w:cs="Times New Roman"/>
          <w:color w:val="auto"/>
          <w:sz w:val="24"/>
          <w:szCs w:val="24"/>
          <w:vertAlign w:val="superscript"/>
          <w:lang w:eastAsia="zh-CN"/>
        </w:rPr>
      </w:pPr>
      <w:r w:rsidRPr="00FC2DDA">
        <w:rPr>
          <w:rFonts w:ascii="Book Antiqua" w:eastAsia="Times New Roman" w:hAnsi="Book Antiqua" w:cs="Times New Roman"/>
          <w:color w:val="auto"/>
          <w:sz w:val="24"/>
          <w:szCs w:val="24"/>
        </w:rPr>
        <w:t xml:space="preserve">DWI is a functional MRI sequence that allow the characterization of biological tissues based on the diffusion properties of water molecules, providing information about tissue cellularity and about the </w:t>
      </w:r>
      <w:r w:rsidR="00FA539B" w:rsidRPr="00FC2DDA">
        <w:rPr>
          <w:rFonts w:ascii="Book Antiqua" w:eastAsia="Times New Roman" w:hAnsi="Book Antiqua" w:cs="Times New Roman"/>
          <w:color w:val="auto"/>
          <w:sz w:val="24"/>
          <w:szCs w:val="24"/>
        </w:rPr>
        <w:t>integrity of cellular membranes</w:t>
      </w:r>
      <w:r w:rsidR="00C26503" w:rsidRPr="00FC2DDA">
        <w:rPr>
          <w:rFonts w:ascii="Book Antiqua" w:eastAsia="Times New Roman" w:hAnsi="Book Antiqua" w:cs="Times New Roman"/>
          <w:color w:val="auto"/>
          <w:sz w:val="24"/>
          <w:szCs w:val="24"/>
          <w:vertAlign w:val="superscript"/>
        </w:rPr>
        <w:t>[2]</w:t>
      </w:r>
      <w:r w:rsidRPr="00FC2DDA">
        <w:rPr>
          <w:rFonts w:ascii="Book Antiqua" w:eastAsia="Times New Roman" w:hAnsi="Book Antiqua" w:cs="Times New Roman"/>
          <w:color w:val="auto"/>
          <w:sz w:val="24"/>
          <w:szCs w:val="24"/>
        </w:rPr>
        <w:t>. In fact, in high cellular tissue, the higher density of hydrophobic cellular membranes reduce the “appar</w:t>
      </w:r>
      <w:r w:rsidR="00FA539B" w:rsidRPr="00FC2DDA">
        <w:rPr>
          <w:rFonts w:ascii="Book Antiqua" w:eastAsia="Times New Roman" w:hAnsi="Book Antiqua" w:cs="Times New Roman"/>
          <w:color w:val="auto"/>
          <w:sz w:val="24"/>
          <w:szCs w:val="24"/>
        </w:rPr>
        <w:t>ent” diffusion of water protons</w:t>
      </w:r>
      <w:r w:rsidR="001D6180" w:rsidRPr="00FC2DDA">
        <w:rPr>
          <w:rFonts w:ascii="Book Antiqua" w:eastAsia="Times New Roman" w:hAnsi="Book Antiqua" w:cs="Times New Roman"/>
          <w:color w:val="auto"/>
          <w:sz w:val="24"/>
          <w:szCs w:val="24"/>
          <w:vertAlign w:val="superscript"/>
        </w:rPr>
        <w:t>[62]</w:t>
      </w:r>
      <w:r w:rsidRPr="00FC2DDA">
        <w:rPr>
          <w:rFonts w:ascii="Book Antiqua" w:eastAsia="Times New Roman" w:hAnsi="Book Antiqua" w:cs="Times New Roman"/>
          <w:color w:val="auto"/>
          <w:sz w:val="24"/>
          <w:szCs w:val="24"/>
        </w:rPr>
        <w:t xml:space="preserve">, thus the water diffusion can be considered relatively “restricted”.  </w:t>
      </w:r>
      <w:r w:rsidRPr="00FC2DDA">
        <w:rPr>
          <w:rFonts w:ascii="Book Antiqua" w:eastAsia="Arial" w:hAnsi="Book Antiqua" w:cs="Arial"/>
          <w:color w:val="auto"/>
          <w:sz w:val="24"/>
          <w:szCs w:val="24"/>
        </w:rPr>
        <w:t>More simply the “diffusion restriction” refers to a tumour signal intensity that is higher than the surrounding parenchyma (the liver for example) on high b-value DW MR images, and, to date, DW-imaging represents an integral part of the routine MR protocol for liver disease</w:t>
      </w:r>
      <w:r w:rsidR="006928EE" w:rsidRPr="00FC2DDA">
        <w:rPr>
          <w:rFonts w:ascii="Book Antiqua" w:hAnsi="Book Antiqua" w:cs="Arial"/>
          <w:color w:val="auto"/>
          <w:sz w:val="24"/>
          <w:szCs w:val="24"/>
          <w:lang w:eastAsia="zh-CN"/>
        </w:rPr>
        <w:t xml:space="preserve"> (</w:t>
      </w:r>
      <w:r w:rsidR="006928EE" w:rsidRPr="00FC2DDA">
        <w:rPr>
          <w:rFonts w:ascii="Book Antiqua" w:eastAsia="Arial" w:hAnsi="Book Antiqua" w:cs="Arial"/>
          <w:color w:val="auto"/>
          <w:sz w:val="24"/>
          <w:szCs w:val="24"/>
        </w:rPr>
        <w:t>Fig</w:t>
      </w:r>
      <w:r w:rsidR="006928EE" w:rsidRPr="00FC2DDA">
        <w:rPr>
          <w:rFonts w:ascii="Book Antiqua" w:hAnsi="Book Antiqua" w:cs="Arial"/>
          <w:color w:val="auto"/>
          <w:sz w:val="24"/>
          <w:szCs w:val="24"/>
          <w:lang w:eastAsia="zh-CN"/>
        </w:rPr>
        <w:t xml:space="preserve">ure </w:t>
      </w:r>
      <w:r w:rsidR="006928EE" w:rsidRPr="00FC2DDA">
        <w:rPr>
          <w:rFonts w:ascii="Book Antiqua" w:eastAsia="Arial" w:hAnsi="Book Antiqua" w:cs="Arial"/>
          <w:color w:val="auto"/>
          <w:sz w:val="24"/>
          <w:szCs w:val="24"/>
        </w:rPr>
        <w:t>4</w:t>
      </w:r>
      <w:r w:rsidR="006928EE" w:rsidRPr="00FC2DDA">
        <w:rPr>
          <w:rFonts w:ascii="Book Antiqua" w:hAnsi="Book Antiqua" w:cs="Arial"/>
          <w:color w:val="auto"/>
          <w:sz w:val="24"/>
          <w:szCs w:val="24"/>
          <w:lang w:eastAsia="zh-CN"/>
        </w:rPr>
        <w:t>)</w:t>
      </w:r>
      <w:r w:rsidR="006928EE" w:rsidRPr="00FC2DDA">
        <w:rPr>
          <w:rFonts w:ascii="Book Antiqua" w:eastAsia="Arial" w:hAnsi="Book Antiqua" w:cs="Arial"/>
          <w:color w:val="auto"/>
          <w:sz w:val="24"/>
          <w:szCs w:val="24"/>
        </w:rPr>
        <w:t xml:space="preserve">. </w:t>
      </w:r>
    </w:p>
    <w:p w14:paraId="30EB5208" w14:textId="7DA0E2CC" w:rsidR="001B04E3" w:rsidRPr="00FC2DDA" w:rsidRDefault="00331DA5"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In 2010, Taouli</w:t>
      </w:r>
      <w:r w:rsidRPr="00FC2DDA">
        <w:rPr>
          <w:rFonts w:ascii="Book Antiqua" w:hAnsi="Book Antiqua" w:cs="Times New Roman"/>
          <w:color w:val="auto"/>
          <w:sz w:val="24"/>
          <w:szCs w:val="24"/>
          <w:lang w:eastAsia="zh-CN"/>
        </w:rPr>
        <w:t xml:space="preserve"> </w:t>
      </w:r>
      <w:r w:rsidRPr="00FC2DDA">
        <w:rPr>
          <w:rFonts w:ascii="Book Antiqua" w:hAnsi="Book Antiqua" w:cs="Times New Roman"/>
          <w:i/>
          <w:color w:val="auto"/>
          <w:sz w:val="24"/>
          <w:szCs w:val="24"/>
          <w:lang w:eastAsia="zh-CN"/>
        </w:rPr>
        <w:t>et al</w:t>
      </w:r>
      <w:r w:rsidR="00BA3407" w:rsidRPr="00FC2DDA">
        <w:rPr>
          <w:rFonts w:ascii="Book Antiqua" w:eastAsia="Times New Roman" w:hAnsi="Book Antiqua" w:cs="Times New Roman"/>
          <w:color w:val="auto"/>
          <w:sz w:val="24"/>
          <w:szCs w:val="24"/>
          <w:vertAlign w:val="superscript"/>
        </w:rPr>
        <w:t>[63]</w:t>
      </w:r>
      <w:r w:rsidR="00FB4404" w:rsidRPr="00FC2DDA">
        <w:rPr>
          <w:rFonts w:ascii="Book Antiqua" w:eastAsia="Times New Roman" w:hAnsi="Book Antiqua" w:cs="Times New Roman"/>
          <w:color w:val="auto"/>
          <w:sz w:val="24"/>
          <w:szCs w:val="24"/>
        </w:rPr>
        <w:t xml:space="preserve"> defined DW MR imaging, an attractive technique, that was reaching a potential for clinical use in the abdomen, particularly in the liver. Nowadays, </w:t>
      </w:r>
      <w:r w:rsidR="00DC4452" w:rsidRPr="00FC2DDA">
        <w:rPr>
          <w:rFonts w:ascii="Book Antiqua" w:eastAsia="Times New Roman" w:hAnsi="Book Antiqua" w:cs="Times New Roman"/>
          <w:color w:val="auto"/>
          <w:sz w:val="24"/>
          <w:szCs w:val="24"/>
        </w:rPr>
        <w:t xml:space="preserve">in less than a decade, all the potential uses of DWI are greatly shown, and diffusion </w:t>
      </w:r>
      <w:r w:rsidR="00FB4404" w:rsidRPr="00FC2DDA">
        <w:rPr>
          <w:rFonts w:ascii="Book Antiqua" w:eastAsia="Times New Roman" w:hAnsi="Book Antiqua" w:cs="Times New Roman"/>
          <w:color w:val="auto"/>
          <w:sz w:val="24"/>
          <w:szCs w:val="24"/>
        </w:rPr>
        <w:t xml:space="preserve">can be considered a useful tool for the diagnosis of focal liver lesions, </w:t>
      </w:r>
      <w:r w:rsidR="00DC4452" w:rsidRPr="00FC2DDA">
        <w:rPr>
          <w:rFonts w:ascii="Book Antiqua" w:eastAsia="Times New Roman" w:hAnsi="Book Antiqua" w:cs="Times New Roman"/>
          <w:color w:val="auto"/>
          <w:sz w:val="24"/>
          <w:szCs w:val="24"/>
        </w:rPr>
        <w:t>with</w:t>
      </w:r>
      <w:r w:rsidR="00FB4404" w:rsidRPr="00FC2DDA">
        <w:rPr>
          <w:rFonts w:ascii="Book Antiqua" w:eastAsia="Times New Roman" w:hAnsi="Book Antiqua" w:cs="Times New Roman"/>
          <w:color w:val="auto"/>
          <w:sz w:val="24"/>
          <w:szCs w:val="24"/>
        </w:rPr>
        <w:t xml:space="preserve"> better </w:t>
      </w:r>
      <w:r w:rsidR="00A81EAC" w:rsidRPr="00FC2DDA">
        <w:rPr>
          <w:rFonts w:ascii="Book Antiqua" w:eastAsia="Times New Roman" w:hAnsi="Book Antiqua" w:cs="Times New Roman"/>
          <w:color w:val="auto"/>
          <w:sz w:val="24"/>
          <w:szCs w:val="24"/>
        </w:rPr>
        <w:t>results than T2-weighted images</w:t>
      </w:r>
      <w:r w:rsidR="00BA3407" w:rsidRPr="00FC2DDA">
        <w:rPr>
          <w:rFonts w:ascii="Book Antiqua" w:eastAsia="Times New Roman" w:hAnsi="Book Antiqua" w:cs="Times New Roman"/>
          <w:color w:val="auto"/>
          <w:sz w:val="24"/>
          <w:szCs w:val="24"/>
          <w:vertAlign w:val="superscript"/>
        </w:rPr>
        <w:t>[64]</w:t>
      </w:r>
      <w:r w:rsidR="00FB4404" w:rsidRPr="00FC2DDA">
        <w:rPr>
          <w:rFonts w:ascii="Book Antiqua" w:eastAsia="Times New Roman" w:hAnsi="Book Antiqua" w:cs="Times New Roman"/>
          <w:color w:val="auto"/>
          <w:sz w:val="24"/>
          <w:szCs w:val="24"/>
        </w:rPr>
        <w:t xml:space="preserve"> </w:t>
      </w:r>
      <w:r w:rsidR="00DC4452" w:rsidRPr="00FC2DDA">
        <w:rPr>
          <w:rFonts w:ascii="Book Antiqua" w:eastAsia="Times New Roman" w:hAnsi="Book Antiqua" w:cs="Times New Roman"/>
          <w:color w:val="auto"/>
          <w:sz w:val="24"/>
          <w:szCs w:val="24"/>
        </w:rPr>
        <w:t xml:space="preserve">especially in </w:t>
      </w:r>
      <w:r w:rsidR="00A81EAC" w:rsidRPr="00FC2DDA">
        <w:rPr>
          <w:rFonts w:ascii="Book Antiqua" w:eastAsia="Times New Roman" w:hAnsi="Book Antiqua" w:cs="Times New Roman"/>
          <w:color w:val="auto"/>
          <w:sz w:val="24"/>
          <w:szCs w:val="24"/>
        </w:rPr>
        <w:t>HCC</w:t>
      </w:r>
      <w:r w:rsidR="00BA3407" w:rsidRPr="00FC2DDA">
        <w:rPr>
          <w:rFonts w:ascii="Book Antiqua" w:eastAsia="Times New Roman" w:hAnsi="Book Antiqua" w:cs="Times New Roman"/>
          <w:color w:val="auto"/>
          <w:sz w:val="24"/>
          <w:szCs w:val="24"/>
          <w:vertAlign w:val="superscript"/>
        </w:rPr>
        <w:t>[65]</w:t>
      </w:r>
      <w:r w:rsidR="00FB4404" w:rsidRPr="00FC2DDA">
        <w:rPr>
          <w:rFonts w:ascii="Book Antiqua" w:eastAsia="Times New Roman" w:hAnsi="Book Antiqua" w:cs="Times New Roman"/>
          <w:color w:val="auto"/>
          <w:sz w:val="24"/>
          <w:szCs w:val="24"/>
        </w:rPr>
        <w:t>. The reason</w:t>
      </w:r>
      <w:r w:rsidR="00DC4452" w:rsidRPr="00FC2DDA">
        <w:rPr>
          <w:rFonts w:ascii="Book Antiqua" w:eastAsia="Times New Roman" w:hAnsi="Book Antiqua" w:cs="Times New Roman"/>
          <w:color w:val="auto"/>
          <w:sz w:val="24"/>
          <w:szCs w:val="24"/>
        </w:rPr>
        <w:t>s</w:t>
      </w:r>
      <w:r w:rsidR="00FB4404" w:rsidRPr="00FC2DDA">
        <w:rPr>
          <w:rFonts w:ascii="Book Antiqua" w:eastAsia="Times New Roman" w:hAnsi="Book Antiqua" w:cs="Times New Roman"/>
          <w:color w:val="auto"/>
          <w:sz w:val="24"/>
          <w:szCs w:val="24"/>
        </w:rPr>
        <w:t xml:space="preserve"> are different: </w:t>
      </w:r>
      <w:r w:rsidR="00DC4452" w:rsidRPr="00FC2DDA">
        <w:rPr>
          <w:rFonts w:ascii="Book Antiqua" w:eastAsia="Times New Roman" w:hAnsi="Book Antiqua" w:cs="Times New Roman"/>
          <w:color w:val="auto"/>
          <w:sz w:val="24"/>
          <w:szCs w:val="24"/>
        </w:rPr>
        <w:t xml:space="preserve">DWI </w:t>
      </w:r>
      <w:r w:rsidR="00FB4404" w:rsidRPr="00FC2DDA">
        <w:rPr>
          <w:rFonts w:ascii="Book Antiqua" w:eastAsia="Times New Roman" w:hAnsi="Book Antiqua" w:cs="Times New Roman"/>
          <w:color w:val="auto"/>
          <w:sz w:val="24"/>
          <w:szCs w:val="24"/>
        </w:rPr>
        <w:t xml:space="preserve">add useful qualitative and quantitative information to standard sequences; it </w:t>
      </w:r>
      <w:r w:rsidR="00DC4452" w:rsidRPr="00FC2DDA">
        <w:rPr>
          <w:rFonts w:ascii="Book Antiqua" w:eastAsia="Times New Roman" w:hAnsi="Book Antiqua" w:cs="Times New Roman"/>
          <w:color w:val="auto"/>
          <w:sz w:val="24"/>
          <w:szCs w:val="24"/>
        </w:rPr>
        <w:t>has</w:t>
      </w:r>
      <w:r w:rsidR="00FB4404" w:rsidRPr="00FC2DDA">
        <w:rPr>
          <w:rFonts w:ascii="Book Antiqua" w:eastAsia="Times New Roman" w:hAnsi="Book Antiqua" w:cs="Times New Roman"/>
          <w:color w:val="auto"/>
          <w:sz w:val="24"/>
          <w:szCs w:val="24"/>
        </w:rPr>
        <w:t xml:space="preserve"> </w:t>
      </w:r>
      <w:r w:rsidR="00DC4452" w:rsidRPr="00FC2DDA">
        <w:rPr>
          <w:rFonts w:ascii="Book Antiqua" w:eastAsia="Times New Roman" w:hAnsi="Book Antiqua" w:cs="Times New Roman"/>
          <w:color w:val="auto"/>
          <w:sz w:val="24"/>
          <w:szCs w:val="24"/>
        </w:rPr>
        <w:t xml:space="preserve">short acquisition time </w:t>
      </w:r>
      <w:r w:rsidR="00FB4404" w:rsidRPr="00FC2DDA">
        <w:rPr>
          <w:rFonts w:ascii="Book Antiqua" w:eastAsia="Times New Roman" w:hAnsi="Book Antiqua" w:cs="Times New Roman"/>
          <w:color w:val="auto"/>
          <w:sz w:val="24"/>
          <w:szCs w:val="24"/>
        </w:rPr>
        <w:t xml:space="preserve">and can be easily </w:t>
      </w:r>
      <w:r w:rsidR="00DC4452" w:rsidRPr="00FC2DDA">
        <w:rPr>
          <w:rFonts w:ascii="Book Antiqua" w:eastAsia="Times New Roman" w:hAnsi="Book Antiqua" w:cs="Times New Roman"/>
          <w:color w:val="auto"/>
          <w:sz w:val="24"/>
          <w:szCs w:val="24"/>
        </w:rPr>
        <w:t xml:space="preserve">included </w:t>
      </w:r>
      <w:r w:rsidR="00FB4404" w:rsidRPr="00FC2DDA">
        <w:rPr>
          <w:rFonts w:ascii="Book Antiqua" w:eastAsia="Times New Roman" w:hAnsi="Book Antiqua" w:cs="Times New Roman"/>
          <w:color w:val="auto"/>
          <w:sz w:val="24"/>
          <w:szCs w:val="24"/>
        </w:rPr>
        <w:t>to existing protocols</w:t>
      </w:r>
      <w:r w:rsidR="00DC4452" w:rsidRPr="00FC2DDA">
        <w:rPr>
          <w:rFonts w:ascii="Book Antiqua" w:eastAsia="Times New Roman" w:hAnsi="Book Antiqua" w:cs="Times New Roman"/>
          <w:color w:val="auto"/>
          <w:sz w:val="24"/>
          <w:szCs w:val="24"/>
        </w:rPr>
        <w:t>, moreover, DWI do not need the use of contrast materials</w:t>
      </w:r>
      <w:r w:rsidR="00A81EAC" w:rsidRPr="00FC2DDA">
        <w:rPr>
          <w:rFonts w:ascii="Book Antiqua" w:eastAsia="Times New Roman" w:hAnsi="Book Antiqua" w:cs="Times New Roman"/>
          <w:color w:val="auto"/>
          <w:sz w:val="24"/>
          <w:szCs w:val="24"/>
          <w:vertAlign w:val="superscript"/>
        </w:rPr>
        <w:t>[66,</w:t>
      </w:r>
      <w:r w:rsidR="006417DA" w:rsidRPr="00FC2DDA">
        <w:rPr>
          <w:rFonts w:ascii="Book Antiqua" w:eastAsia="Times New Roman" w:hAnsi="Book Antiqua" w:cs="Times New Roman"/>
          <w:color w:val="auto"/>
          <w:sz w:val="24"/>
          <w:szCs w:val="24"/>
          <w:vertAlign w:val="superscript"/>
        </w:rPr>
        <w:t>67]</w:t>
      </w:r>
      <w:r w:rsidR="00FB4404" w:rsidRPr="00FC2DDA">
        <w:rPr>
          <w:rFonts w:ascii="Book Antiqua" w:eastAsia="Times New Roman" w:hAnsi="Book Antiqua" w:cs="Times New Roman"/>
          <w:color w:val="auto"/>
          <w:sz w:val="24"/>
          <w:szCs w:val="24"/>
        </w:rPr>
        <w:t>.</w:t>
      </w:r>
    </w:p>
    <w:p w14:paraId="55E37FDF" w14:textId="5B48D27A" w:rsidR="001B04E3" w:rsidRPr="00FC2DDA" w:rsidRDefault="00FB4404" w:rsidP="00CE0FE0">
      <w:pPr>
        <w:snapToGrid w:val="0"/>
        <w:spacing w:after="0" w:line="360" w:lineRule="auto"/>
        <w:ind w:firstLineChars="100" w:firstLine="240"/>
        <w:jc w:val="both"/>
        <w:rPr>
          <w:rFonts w:ascii="Book Antiqua" w:eastAsia="Times New Roman" w:hAnsi="Book Antiqua" w:cs="Times New Roman"/>
          <w:color w:val="auto"/>
          <w:sz w:val="24"/>
          <w:szCs w:val="24"/>
        </w:rPr>
      </w:pPr>
      <w:bookmarkStart w:id="87" w:name="_gjdgxs" w:colFirst="0" w:colLast="0"/>
      <w:bookmarkEnd w:id="87"/>
      <w:r w:rsidRPr="00FC2DDA">
        <w:rPr>
          <w:rFonts w:ascii="Book Antiqua" w:eastAsia="Gungsuh" w:hAnsi="Book Antiqua" w:cs="Gungsuh"/>
          <w:color w:val="auto"/>
          <w:sz w:val="24"/>
          <w:szCs w:val="24"/>
        </w:rPr>
        <w:t xml:space="preserve">Although </w:t>
      </w:r>
      <w:r w:rsidR="00BF7AA6" w:rsidRPr="00FC2DDA">
        <w:rPr>
          <w:rFonts w:ascii="Book Antiqua" w:eastAsia="Gungsuh" w:hAnsi="Book Antiqua" w:cs="Gungsuh"/>
          <w:color w:val="auto"/>
          <w:sz w:val="24"/>
          <w:szCs w:val="24"/>
        </w:rPr>
        <w:t>several</w:t>
      </w:r>
      <w:r w:rsidRPr="00FC2DDA">
        <w:rPr>
          <w:rFonts w:ascii="Book Antiqua" w:eastAsia="Gungsuh" w:hAnsi="Book Antiqua" w:cs="Gungsuh"/>
          <w:color w:val="auto"/>
          <w:sz w:val="24"/>
          <w:szCs w:val="24"/>
        </w:rPr>
        <w:t xml:space="preserve"> DW imaging sequences can be applied to evaluate the liver, </w:t>
      </w:r>
      <w:r w:rsidR="00D60EE5" w:rsidRPr="00FC2DDA">
        <w:rPr>
          <w:rFonts w:ascii="Book Antiqua" w:eastAsia="Gungsuh" w:hAnsi="Book Antiqua" w:cs="Gungsuh"/>
          <w:color w:val="auto"/>
          <w:sz w:val="24"/>
          <w:szCs w:val="24"/>
        </w:rPr>
        <w:t xml:space="preserve">the </w:t>
      </w:r>
      <w:r w:rsidRPr="00FC2DDA">
        <w:rPr>
          <w:rFonts w:ascii="Book Antiqua" w:eastAsia="Gungsuh" w:hAnsi="Book Antiqua" w:cs="Gungsuh"/>
          <w:color w:val="auto"/>
          <w:sz w:val="24"/>
          <w:szCs w:val="24"/>
        </w:rPr>
        <w:t>single shot spin-echo (SE) echo-planar technique is the most frequently used in combination with fat sup</w:t>
      </w:r>
      <w:r w:rsidR="00AF2AB9" w:rsidRPr="00FC2DDA">
        <w:rPr>
          <w:rFonts w:ascii="Book Antiqua" w:eastAsia="Gungsuh" w:hAnsi="Book Antiqua" w:cs="Gungsuh"/>
          <w:color w:val="auto"/>
          <w:sz w:val="24"/>
          <w:szCs w:val="24"/>
        </w:rPr>
        <w:t>pression. Recent studies</w:t>
      </w:r>
      <w:r w:rsidR="00C5218E" w:rsidRPr="00FC2DDA">
        <w:rPr>
          <w:rFonts w:ascii="Book Antiqua" w:eastAsia="Times New Roman" w:hAnsi="Book Antiqua" w:cs="Times New Roman"/>
          <w:color w:val="auto"/>
          <w:sz w:val="24"/>
          <w:szCs w:val="24"/>
          <w:vertAlign w:val="superscript"/>
        </w:rPr>
        <w:t>[68]</w:t>
      </w:r>
      <w:r w:rsidR="00DC4452" w:rsidRPr="00FC2DDA">
        <w:rPr>
          <w:rFonts w:ascii="Book Antiqua" w:eastAsia="Gungsuh" w:hAnsi="Book Antiqua" w:cs="Gungsuh"/>
          <w:color w:val="auto"/>
          <w:sz w:val="24"/>
          <w:szCs w:val="24"/>
        </w:rPr>
        <w:t xml:space="preserve">, </w:t>
      </w:r>
      <w:r w:rsidRPr="00FC2DDA">
        <w:rPr>
          <w:rFonts w:ascii="Book Antiqua" w:eastAsia="Gungsuh" w:hAnsi="Book Antiqua" w:cs="Gungsuh"/>
          <w:color w:val="auto"/>
          <w:sz w:val="24"/>
          <w:szCs w:val="24"/>
        </w:rPr>
        <w:t xml:space="preserve">compared free breathing (FB) vs respiratory triggered (RT) DWI for detecting HCC, using a 3 T scanner, a 32-channel torso-cardiac phased-array coil and dual-source parallel radiofrequency excitation and transmission technology. They concluded that FB-DWI provided better image quality and showed higher detectability of </w:t>
      </w:r>
      <w:r w:rsidRPr="00FC2DDA">
        <w:rPr>
          <w:rFonts w:ascii="Book Antiqua" w:eastAsia="Gungsuh" w:hAnsi="Book Antiqua" w:cs="Gungsuh"/>
          <w:color w:val="auto"/>
          <w:sz w:val="24"/>
          <w:szCs w:val="24"/>
        </w:rPr>
        <w:lastRenderedPageBreak/>
        <w:t>HCCs in patients with chronic liver disease compared to RT-DWI, without significantly reducing the SNR of the normal liver parenchyma or the lesion-to-non lesion CNR. DW imaging should</w:t>
      </w:r>
      <w:r w:rsidR="00BC2E28" w:rsidRPr="00FC2DDA">
        <w:rPr>
          <w:rFonts w:ascii="Book Antiqua" w:eastAsia="Gungsuh" w:hAnsi="Book Antiqua" w:cs="Gungsuh"/>
          <w:color w:val="auto"/>
          <w:sz w:val="24"/>
          <w:szCs w:val="24"/>
        </w:rPr>
        <w:t xml:space="preserve"> not</w:t>
      </w:r>
      <w:r w:rsidRPr="00FC2DDA">
        <w:rPr>
          <w:rFonts w:ascii="Book Antiqua" w:eastAsia="Gungsuh" w:hAnsi="Book Antiqua" w:cs="Gungsuh"/>
          <w:color w:val="auto"/>
          <w:sz w:val="24"/>
          <w:szCs w:val="24"/>
        </w:rPr>
        <w:t xml:space="preserve"> be considered a stand-alone sequence, but should be integrated in MR protocols: the combination of Gd-EOB-DTPA and DWI could allow </w:t>
      </w:r>
      <w:r w:rsidR="00BC2E28" w:rsidRPr="00FC2DDA">
        <w:rPr>
          <w:rFonts w:ascii="Book Antiqua" w:eastAsia="Gungsuh" w:hAnsi="Book Antiqua" w:cs="Gungsuh"/>
          <w:color w:val="auto"/>
          <w:sz w:val="24"/>
          <w:szCs w:val="24"/>
        </w:rPr>
        <w:t xml:space="preserve">the </w:t>
      </w:r>
      <w:r w:rsidRPr="00FC2DDA">
        <w:rPr>
          <w:rFonts w:ascii="Book Antiqua" w:eastAsia="Gungsuh" w:hAnsi="Book Antiqua" w:cs="Gungsuh"/>
          <w:color w:val="auto"/>
          <w:sz w:val="24"/>
          <w:szCs w:val="24"/>
        </w:rPr>
        <w:t xml:space="preserve">assessment of </w:t>
      </w:r>
      <w:r w:rsidR="00BC2E28" w:rsidRPr="00FC2DDA">
        <w:rPr>
          <w:rFonts w:ascii="Book Antiqua" w:eastAsia="Gungsuh" w:hAnsi="Book Antiqua" w:cs="Gungsuh"/>
          <w:color w:val="auto"/>
          <w:sz w:val="24"/>
          <w:szCs w:val="24"/>
        </w:rPr>
        <w:t xml:space="preserve">the </w:t>
      </w:r>
      <w:r w:rsidRPr="00FC2DDA">
        <w:rPr>
          <w:rFonts w:ascii="Book Antiqua" w:eastAsia="Gungsuh" w:hAnsi="Book Antiqua" w:cs="Gungsuh"/>
          <w:color w:val="auto"/>
          <w:sz w:val="24"/>
          <w:szCs w:val="24"/>
        </w:rPr>
        <w:t xml:space="preserve">three </w:t>
      </w:r>
      <w:r w:rsidR="00BC2E28" w:rsidRPr="00FC2DDA">
        <w:rPr>
          <w:rFonts w:ascii="Book Antiqua" w:eastAsia="Gungsuh" w:hAnsi="Book Antiqua" w:cs="Gungsuh"/>
          <w:color w:val="auto"/>
          <w:sz w:val="24"/>
          <w:szCs w:val="24"/>
        </w:rPr>
        <w:t xml:space="preserve">main </w:t>
      </w:r>
      <w:r w:rsidRPr="00FC2DDA">
        <w:rPr>
          <w:rFonts w:ascii="Book Antiqua" w:eastAsia="Gungsuh" w:hAnsi="Book Antiqua" w:cs="Gungsuh"/>
          <w:color w:val="auto"/>
          <w:sz w:val="24"/>
          <w:szCs w:val="24"/>
        </w:rPr>
        <w:t>processe</w:t>
      </w:r>
      <w:r w:rsidR="00BC2E28" w:rsidRPr="00FC2DDA">
        <w:rPr>
          <w:rFonts w:ascii="Book Antiqua" w:eastAsia="Gungsuh" w:hAnsi="Book Antiqua" w:cs="Gungsuh"/>
          <w:color w:val="auto"/>
          <w:sz w:val="24"/>
          <w:szCs w:val="24"/>
        </w:rPr>
        <w:t xml:space="preserve">s in the </w:t>
      </w:r>
      <w:r w:rsidRPr="00FC2DDA">
        <w:rPr>
          <w:rFonts w:ascii="Book Antiqua" w:eastAsia="Gungsuh" w:hAnsi="Book Antiqua" w:cs="Gungsuh"/>
          <w:color w:val="auto"/>
          <w:sz w:val="24"/>
          <w:szCs w:val="24"/>
        </w:rPr>
        <w:t>hepatic multistep carcinogenesis (vascular changes, hepatocyte change and tissue diffusivity). A recent meta-analysis showed that the combination of gadoxetic acid-enhanced MRI and DWI significantly improves both diagnostic accuracy and specificity for HCCs associ</w:t>
      </w:r>
      <w:r w:rsidR="00AF2AB9" w:rsidRPr="00FC2DDA">
        <w:rPr>
          <w:rFonts w:ascii="Book Antiqua" w:eastAsia="Gungsuh" w:hAnsi="Book Antiqua" w:cs="Gungsuh"/>
          <w:color w:val="auto"/>
          <w:sz w:val="24"/>
          <w:szCs w:val="24"/>
        </w:rPr>
        <w:t>ated with chronic liver disease</w:t>
      </w:r>
      <w:r w:rsidRPr="00FC2DDA">
        <w:rPr>
          <w:rFonts w:ascii="Book Antiqua" w:eastAsia="Gungsuh" w:hAnsi="Book Antiqua" w:cs="Gungsuh"/>
          <w:color w:val="auto"/>
          <w:sz w:val="24"/>
          <w:szCs w:val="24"/>
          <w:vertAlign w:val="superscript"/>
        </w:rPr>
        <w:t>[</w:t>
      </w:r>
      <w:r w:rsidR="00235E3F" w:rsidRPr="00FC2DDA">
        <w:rPr>
          <w:rFonts w:ascii="Book Antiqua" w:eastAsia="Gungsuh" w:hAnsi="Book Antiqua" w:cs="Gungsuh"/>
          <w:color w:val="auto"/>
          <w:sz w:val="24"/>
          <w:szCs w:val="24"/>
          <w:vertAlign w:val="superscript"/>
        </w:rPr>
        <w:t>69</w:t>
      </w:r>
      <w:r w:rsidRPr="00FC2DDA">
        <w:rPr>
          <w:rFonts w:ascii="Book Antiqua" w:eastAsia="Gungsuh" w:hAnsi="Book Antiqua" w:cs="Gungsuh"/>
          <w:color w:val="auto"/>
          <w:sz w:val="24"/>
          <w:szCs w:val="24"/>
          <w:vertAlign w:val="superscript"/>
        </w:rPr>
        <w:t>]</w:t>
      </w:r>
      <w:r w:rsidRPr="00FC2DDA">
        <w:rPr>
          <w:rFonts w:ascii="Book Antiqua" w:eastAsia="Gungsuh" w:hAnsi="Book Antiqua" w:cs="Gungsuh"/>
          <w:color w:val="auto"/>
          <w:sz w:val="24"/>
          <w:szCs w:val="24"/>
        </w:rPr>
        <w:t>.</w:t>
      </w:r>
      <w:r w:rsidR="00C17475" w:rsidRPr="00FC2DDA">
        <w:rPr>
          <w:rFonts w:ascii="Book Antiqua" w:eastAsia="Gungsuh" w:hAnsi="Book Antiqua" w:cs="Gungsuh"/>
          <w:color w:val="auto"/>
          <w:sz w:val="24"/>
          <w:szCs w:val="24"/>
        </w:rPr>
        <w:t xml:space="preserve"> </w:t>
      </w:r>
      <w:r w:rsidRPr="00FC2DDA">
        <w:rPr>
          <w:rFonts w:ascii="Book Antiqua" w:eastAsia="Gungsuh" w:hAnsi="Book Antiqua" w:cs="Gungsuh"/>
          <w:color w:val="auto"/>
          <w:sz w:val="24"/>
          <w:szCs w:val="24"/>
        </w:rPr>
        <w:t xml:space="preserve">Several studies underline the importance that DWI add to dynamic contrast-enhanced MRI, in characterization of small </w:t>
      </w:r>
      <w:r w:rsidR="00BC2E28" w:rsidRPr="00FC2DDA">
        <w:rPr>
          <w:rFonts w:ascii="Book Antiqua" w:eastAsia="Gungsuh" w:hAnsi="Book Antiqua" w:cs="Gungsuh"/>
          <w:color w:val="auto"/>
          <w:sz w:val="24"/>
          <w:szCs w:val="24"/>
        </w:rPr>
        <w:t>or</w:t>
      </w:r>
      <w:r w:rsidR="00AF2AB9" w:rsidRPr="00FC2DDA">
        <w:rPr>
          <w:rFonts w:ascii="Book Antiqua" w:eastAsia="Gungsuh" w:hAnsi="Book Antiqua" w:cs="Gungsuh"/>
          <w:color w:val="auto"/>
          <w:sz w:val="24"/>
          <w:szCs w:val="24"/>
        </w:rPr>
        <w:t xml:space="preserve"> atypically enhancing lesions</w:t>
      </w:r>
      <w:r w:rsidR="00AF2AB9" w:rsidRPr="00FC2DDA">
        <w:rPr>
          <w:rFonts w:ascii="Book Antiqua" w:eastAsia="Gungsuh" w:hAnsi="Book Antiqua" w:cs="Gungsuh"/>
          <w:color w:val="auto"/>
          <w:sz w:val="24"/>
          <w:szCs w:val="24"/>
          <w:vertAlign w:val="superscript"/>
        </w:rPr>
        <w:t>[70,</w:t>
      </w:r>
      <w:r w:rsidR="00235E3F" w:rsidRPr="00FC2DDA">
        <w:rPr>
          <w:rFonts w:ascii="Book Antiqua" w:eastAsia="Gungsuh" w:hAnsi="Book Antiqua" w:cs="Gungsuh"/>
          <w:color w:val="auto"/>
          <w:sz w:val="24"/>
          <w:szCs w:val="24"/>
          <w:vertAlign w:val="superscript"/>
        </w:rPr>
        <w:t>71]</w:t>
      </w:r>
      <w:r w:rsidR="00235E3F" w:rsidRPr="00FC2DDA">
        <w:rPr>
          <w:rFonts w:ascii="Book Antiqua" w:eastAsia="Gungsuh" w:hAnsi="Book Antiqua" w:cs="Gungsuh"/>
          <w:color w:val="auto"/>
          <w:sz w:val="24"/>
          <w:szCs w:val="24"/>
        </w:rPr>
        <w:t xml:space="preserve">. </w:t>
      </w:r>
      <w:r w:rsidRPr="00FC2DDA">
        <w:rPr>
          <w:rFonts w:ascii="Book Antiqua" w:eastAsia="Gungsuh" w:hAnsi="Book Antiqua" w:cs="Gungsuh"/>
          <w:color w:val="auto"/>
          <w:sz w:val="24"/>
          <w:szCs w:val="24"/>
        </w:rPr>
        <w:t xml:space="preserve">In particular, Briani </w:t>
      </w:r>
      <w:r w:rsidRPr="00FC2DDA">
        <w:rPr>
          <w:rFonts w:ascii="Book Antiqua" w:eastAsia="Gungsuh" w:hAnsi="Book Antiqua" w:cs="Gungsuh"/>
          <w:i/>
          <w:color w:val="auto"/>
          <w:sz w:val="24"/>
          <w:szCs w:val="24"/>
        </w:rPr>
        <w:t>et al</w:t>
      </w:r>
      <w:r w:rsidR="00235E3F" w:rsidRPr="00FC2DDA">
        <w:rPr>
          <w:rFonts w:ascii="Book Antiqua" w:eastAsia="Gungsuh" w:hAnsi="Book Antiqua" w:cs="Gungsuh"/>
          <w:color w:val="auto"/>
          <w:sz w:val="24"/>
          <w:szCs w:val="24"/>
          <w:vertAlign w:val="superscript"/>
        </w:rPr>
        <w:t>[71]</w:t>
      </w:r>
      <w:r w:rsidRPr="00FC2DDA">
        <w:rPr>
          <w:rFonts w:ascii="Book Antiqua" w:eastAsia="Gungsuh" w:hAnsi="Book Antiqua" w:cs="Gungsuh"/>
          <w:color w:val="auto"/>
          <w:sz w:val="24"/>
          <w:szCs w:val="24"/>
        </w:rPr>
        <w:t xml:space="preserve"> demonstrate</w:t>
      </w:r>
      <w:r w:rsidR="00D60EE5" w:rsidRPr="00FC2DDA">
        <w:rPr>
          <w:rFonts w:ascii="Book Antiqua" w:eastAsia="Gungsuh" w:hAnsi="Book Antiqua" w:cs="Gungsuh"/>
          <w:color w:val="auto"/>
          <w:sz w:val="24"/>
          <w:szCs w:val="24"/>
        </w:rPr>
        <w:t>d</w:t>
      </w:r>
      <w:r w:rsidRPr="00FC2DDA">
        <w:rPr>
          <w:rFonts w:ascii="Book Antiqua" w:eastAsia="Gungsuh" w:hAnsi="Book Antiqua" w:cs="Gungsuh"/>
          <w:color w:val="auto"/>
          <w:sz w:val="24"/>
          <w:szCs w:val="24"/>
        </w:rPr>
        <w:t xml:space="preserve"> that the hypovascular lesions ≥</w:t>
      </w:r>
      <w:r w:rsidR="00AF2AB9" w:rsidRPr="00FC2DDA">
        <w:rPr>
          <w:rFonts w:ascii="Book Antiqua" w:hAnsi="Book Antiqua" w:cs="Gungsuh" w:hint="eastAsia"/>
          <w:color w:val="auto"/>
          <w:sz w:val="24"/>
          <w:szCs w:val="24"/>
          <w:lang w:eastAsia="zh-CN"/>
        </w:rPr>
        <w:t xml:space="preserve"> </w:t>
      </w:r>
      <w:r w:rsidRPr="00FC2DDA">
        <w:rPr>
          <w:rFonts w:ascii="Book Antiqua" w:eastAsia="Gungsuh" w:hAnsi="Book Antiqua" w:cs="Gungsuh"/>
          <w:color w:val="auto"/>
          <w:sz w:val="24"/>
          <w:szCs w:val="24"/>
        </w:rPr>
        <w:t>10 mm that appeared hyperintense in DWI are associated with progression to hypervascular HCC.  DWI can not only indicate the morphological characteristics of a lesion with a qualitative assessment, but with apparent diffusion coefficient</w:t>
      </w:r>
      <w:r w:rsidR="00AF2AB9" w:rsidRPr="00FC2DDA">
        <w:rPr>
          <w:rFonts w:ascii="Book Antiqua" w:hAnsi="Book Antiqua" w:cs="Gungsuh" w:hint="eastAsia"/>
          <w:color w:val="auto"/>
          <w:sz w:val="24"/>
          <w:szCs w:val="24"/>
          <w:lang w:eastAsia="zh-CN"/>
        </w:rPr>
        <w:t xml:space="preserve"> </w:t>
      </w:r>
      <w:r w:rsidRPr="00FC2DDA">
        <w:rPr>
          <w:rFonts w:ascii="Book Antiqua" w:eastAsia="Gungsuh" w:hAnsi="Book Antiqua" w:cs="Gungsuh"/>
          <w:color w:val="auto"/>
          <w:sz w:val="24"/>
          <w:szCs w:val="24"/>
        </w:rPr>
        <w:t xml:space="preserve">(ADC) measurement can also provide a quantitative index of diffusion characteristics, analysing  structure and </w:t>
      </w:r>
      <w:r w:rsidR="00AF2AB9" w:rsidRPr="00FC2DDA">
        <w:rPr>
          <w:rFonts w:ascii="Book Antiqua" w:eastAsia="Gungsuh" w:hAnsi="Book Antiqua" w:cs="Gungsuh"/>
          <w:color w:val="auto"/>
          <w:sz w:val="24"/>
          <w:szCs w:val="24"/>
        </w:rPr>
        <w:t>tissue components. Some authors</w:t>
      </w:r>
      <w:r w:rsidR="00AF2AB9" w:rsidRPr="00FC2DDA">
        <w:rPr>
          <w:rFonts w:ascii="Book Antiqua" w:eastAsia="Gungsuh" w:hAnsi="Book Antiqua" w:cs="Gungsuh"/>
          <w:color w:val="auto"/>
          <w:sz w:val="24"/>
          <w:szCs w:val="24"/>
          <w:vertAlign w:val="superscript"/>
        </w:rPr>
        <w:t>[70,</w:t>
      </w:r>
      <w:r w:rsidR="00622C36" w:rsidRPr="00FC2DDA">
        <w:rPr>
          <w:rFonts w:ascii="Book Antiqua" w:eastAsia="Gungsuh" w:hAnsi="Book Antiqua" w:cs="Gungsuh"/>
          <w:color w:val="auto"/>
          <w:sz w:val="24"/>
          <w:szCs w:val="24"/>
          <w:vertAlign w:val="superscript"/>
        </w:rPr>
        <w:t>72]</w:t>
      </w:r>
      <w:r w:rsidRPr="00FC2DDA">
        <w:rPr>
          <w:rFonts w:ascii="Book Antiqua" w:eastAsia="Gungsuh" w:hAnsi="Book Antiqua" w:cs="Gungsuh"/>
          <w:color w:val="auto"/>
          <w:sz w:val="24"/>
          <w:szCs w:val="24"/>
        </w:rPr>
        <w:t xml:space="preserve"> </w:t>
      </w:r>
      <w:r w:rsidR="00D60EE5" w:rsidRPr="00FC2DDA">
        <w:rPr>
          <w:rFonts w:ascii="Book Antiqua" w:eastAsia="Gungsuh" w:hAnsi="Book Antiqua" w:cs="Gungsuh"/>
          <w:color w:val="auto"/>
          <w:sz w:val="24"/>
          <w:szCs w:val="24"/>
        </w:rPr>
        <w:t xml:space="preserve">suggested that </w:t>
      </w:r>
      <w:r w:rsidRPr="00FC2DDA">
        <w:rPr>
          <w:rFonts w:ascii="Book Antiqua" w:eastAsia="Gungsuh" w:hAnsi="Book Antiqua" w:cs="Gungsuh"/>
          <w:color w:val="auto"/>
          <w:sz w:val="24"/>
          <w:szCs w:val="24"/>
        </w:rPr>
        <w:t xml:space="preserve">a lesion-to-liver ADC ratio cut-off value of 0.92, </w:t>
      </w:r>
      <w:r w:rsidR="00D60EE5" w:rsidRPr="00FC2DDA">
        <w:rPr>
          <w:rFonts w:ascii="Book Antiqua" w:eastAsia="Gungsuh" w:hAnsi="Book Antiqua" w:cs="Gungsuh"/>
          <w:color w:val="auto"/>
          <w:sz w:val="24"/>
          <w:szCs w:val="24"/>
        </w:rPr>
        <w:t xml:space="preserve">may offer </w:t>
      </w:r>
      <w:r w:rsidRPr="00FC2DDA">
        <w:rPr>
          <w:rFonts w:ascii="Book Antiqua" w:eastAsia="Gungsuh" w:hAnsi="Book Antiqua" w:cs="Gungsuh"/>
          <w:color w:val="auto"/>
          <w:sz w:val="24"/>
          <w:szCs w:val="24"/>
        </w:rPr>
        <w:t xml:space="preserve">good sensitivity, specificity and accuracy in differentiating HCC vs </w:t>
      </w:r>
      <w:r w:rsidR="00BC2E28" w:rsidRPr="00FC2DDA">
        <w:rPr>
          <w:rFonts w:ascii="Book Antiqua" w:eastAsia="Gungsuh" w:hAnsi="Book Antiqua" w:cs="Gungsuh"/>
          <w:color w:val="auto"/>
          <w:sz w:val="24"/>
          <w:szCs w:val="24"/>
        </w:rPr>
        <w:t>dysplastic nodules (</w:t>
      </w:r>
      <w:r w:rsidRPr="00FC2DDA">
        <w:rPr>
          <w:rFonts w:ascii="Book Antiqua" w:eastAsia="Gungsuh" w:hAnsi="Book Antiqua" w:cs="Gungsuh"/>
          <w:color w:val="auto"/>
          <w:sz w:val="24"/>
          <w:szCs w:val="24"/>
        </w:rPr>
        <w:t>DN</w:t>
      </w:r>
      <w:r w:rsidR="00BC2E28" w:rsidRPr="00FC2DDA">
        <w:rPr>
          <w:rFonts w:ascii="Book Antiqua" w:eastAsia="Gungsuh" w:hAnsi="Book Antiqua" w:cs="Gungsuh"/>
          <w:color w:val="auto"/>
          <w:sz w:val="24"/>
          <w:szCs w:val="24"/>
        </w:rPr>
        <w:t>)</w:t>
      </w:r>
      <w:r w:rsidRPr="00FC2DDA">
        <w:rPr>
          <w:rFonts w:ascii="Book Antiqua" w:eastAsia="Gungsuh" w:hAnsi="Book Antiqua" w:cs="Gungsuh"/>
          <w:color w:val="auto"/>
          <w:sz w:val="24"/>
          <w:szCs w:val="24"/>
        </w:rPr>
        <w:t xml:space="preserve">. Inchingolo </w:t>
      </w:r>
      <w:r w:rsidR="00AF2AB9" w:rsidRPr="00FC2DDA">
        <w:rPr>
          <w:rFonts w:ascii="Book Antiqua" w:hAnsi="Book Antiqua" w:cs="Gungsuh" w:hint="eastAsia"/>
          <w:i/>
          <w:color w:val="auto"/>
          <w:sz w:val="24"/>
          <w:szCs w:val="24"/>
          <w:lang w:eastAsia="zh-CN"/>
        </w:rPr>
        <w:t>e</w:t>
      </w:r>
      <w:r w:rsidRPr="00FC2DDA">
        <w:rPr>
          <w:rFonts w:ascii="Book Antiqua" w:eastAsia="Gungsuh" w:hAnsi="Book Antiqua" w:cs="Gungsuh"/>
          <w:i/>
          <w:color w:val="auto"/>
          <w:sz w:val="24"/>
          <w:szCs w:val="24"/>
        </w:rPr>
        <w:t>t al</w:t>
      </w:r>
      <w:r w:rsidR="00622C36" w:rsidRPr="00FC2DDA">
        <w:rPr>
          <w:rFonts w:ascii="Book Antiqua" w:eastAsia="Gungsuh" w:hAnsi="Book Antiqua" w:cs="Gungsuh"/>
          <w:color w:val="auto"/>
          <w:sz w:val="24"/>
          <w:szCs w:val="24"/>
          <w:vertAlign w:val="superscript"/>
        </w:rPr>
        <w:t>[70]</w:t>
      </w:r>
      <w:r w:rsidRPr="00FC2DDA">
        <w:rPr>
          <w:rFonts w:ascii="Book Antiqua" w:eastAsia="Gungsuh" w:hAnsi="Book Antiqua" w:cs="Gungsuh"/>
          <w:color w:val="auto"/>
          <w:sz w:val="24"/>
          <w:szCs w:val="24"/>
        </w:rPr>
        <w:t xml:space="preserve">, furthermore, obtained higher values (sensitivity 90.91%, specificity 80.95 % and accuracy of 83.55%), when the group of LGDNs was compared to the group </w:t>
      </w:r>
      <w:r w:rsidR="00D60EE5" w:rsidRPr="00FC2DDA">
        <w:rPr>
          <w:rFonts w:ascii="Book Antiqua" w:eastAsia="Gungsuh" w:hAnsi="Book Antiqua" w:cs="Gungsuh"/>
          <w:color w:val="auto"/>
          <w:sz w:val="24"/>
          <w:szCs w:val="24"/>
        </w:rPr>
        <w:t xml:space="preserve">that included both </w:t>
      </w:r>
      <w:r w:rsidRPr="00FC2DDA">
        <w:rPr>
          <w:rFonts w:ascii="Book Antiqua" w:eastAsia="Gungsuh" w:hAnsi="Book Antiqua" w:cs="Gungsuh"/>
          <w:color w:val="auto"/>
          <w:sz w:val="24"/>
          <w:szCs w:val="24"/>
        </w:rPr>
        <w:t xml:space="preserve">HGDNs and HCCs, with a cut-off of 0.95. Jiang </w:t>
      </w:r>
      <w:r w:rsidRPr="00FC2DDA">
        <w:rPr>
          <w:rFonts w:ascii="Book Antiqua" w:eastAsia="Gungsuh" w:hAnsi="Book Antiqua" w:cs="Gungsuh"/>
          <w:i/>
          <w:color w:val="auto"/>
          <w:sz w:val="24"/>
          <w:szCs w:val="24"/>
        </w:rPr>
        <w:t>et al</w:t>
      </w:r>
      <w:r w:rsidR="00622C36" w:rsidRPr="00FC2DDA">
        <w:rPr>
          <w:rFonts w:ascii="Book Antiqua" w:eastAsia="Gungsuh" w:hAnsi="Book Antiqua" w:cs="Gungsuh"/>
          <w:color w:val="auto"/>
          <w:sz w:val="24"/>
          <w:szCs w:val="24"/>
          <w:vertAlign w:val="superscript"/>
        </w:rPr>
        <w:t>[73]</w:t>
      </w:r>
      <w:r w:rsidRPr="00FC2DDA">
        <w:rPr>
          <w:rFonts w:ascii="Book Antiqua" w:eastAsia="Gungsuh" w:hAnsi="Book Antiqua" w:cs="Gungsuh"/>
          <w:color w:val="auto"/>
          <w:sz w:val="24"/>
          <w:szCs w:val="24"/>
        </w:rPr>
        <w:t xml:space="preserve"> conducted a retrospective analysis of the correlation between qualitative and quantitative DWI and HCC tumour grade. They found that while SI values on DWI could distinguish only between well-differentiated HCC and moderately or poorly differentiated HCC, ADC values</w:t>
      </w:r>
      <w:r w:rsidR="00BC2E28" w:rsidRPr="00FC2DDA">
        <w:rPr>
          <w:rFonts w:ascii="Book Antiqua" w:eastAsia="Gungsuh" w:hAnsi="Book Antiqua" w:cs="Gungsuh"/>
          <w:color w:val="auto"/>
          <w:sz w:val="24"/>
          <w:szCs w:val="24"/>
        </w:rPr>
        <w:t xml:space="preserve"> could distinguish between well</w:t>
      </w:r>
      <w:r w:rsidRPr="00FC2DDA">
        <w:rPr>
          <w:rFonts w:ascii="Book Antiqua" w:eastAsia="Gungsuh" w:hAnsi="Book Antiqua" w:cs="Gungsuh"/>
          <w:color w:val="auto"/>
          <w:sz w:val="24"/>
          <w:szCs w:val="24"/>
        </w:rPr>
        <w:t xml:space="preserve">, moderately, and poorly differentiated HCC, </w:t>
      </w:r>
      <w:r w:rsidR="00BC2E28" w:rsidRPr="00FC2DDA">
        <w:rPr>
          <w:rFonts w:ascii="Book Antiqua" w:eastAsia="Gungsuh" w:hAnsi="Book Antiqua" w:cs="Gungsuh"/>
          <w:color w:val="auto"/>
          <w:sz w:val="24"/>
          <w:szCs w:val="24"/>
        </w:rPr>
        <w:t xml:space="preserve">with the consequence of </w:t>
      </w:r>
      <w:r w:rsidRPr="00FC2DDA">
        <w:rPr>
          <w:rFonts w:ascii="Book Antiqua" w:eastAsia="Gungsuh" w:hAnsi="Book Antiqua" w:cs="Gungsuh"/>
          <w:color w:val="auto"/>
          <w:sz w:val="24"/>
          <w:szCs w:val="24"/>
        </w:rPr>
        <w:t>a better pre-operative and non-invasive histological characterization. Further application</w:t>
      </w:r>
      <w:r w:rsidR="00BC2E28" w:rsidRPr="00FC2DDA">
        <w:rPr>
          <w:rFonts w:ascii="Book Antiqua" w:eastAsia="Gungsuh" w:hAnsi="Book Antiqua" w:cs="Gungsuh"/>
          <w:color w:val="auto"/>
          <w:sz w:val="24"/>
          <w:szCs w:val="24"/>
        </w:rPr>
        <w:t>s</w:t>
      </w:r>
      <w:r w:rsidRPr="00FC2DDA">
        <w:rPr>
          <w:rFonts w:ascii="Book Antiqua" w:eastAsia="Gungsuh" w:hAnsi="Book Antiqua" w:cs="Gungsuh"/>
          <w:color w:val="auto"/>
          <w:sz w:val="24"/>
          <w:szCs w:val="24"/>
        </w:rPr>
        <w:t xml:space="preserve"> of DW imaging are still ongoing</w:t>
      </w:r>
      <w:r w:rsidR="00BC2E28" w:rsidRPr="00FC2DDA">
        <w:rPr>
          <w:rFonts w:ascii="Book Antiqua" w:eastAsia="Gungsuh" w:hAnsi="Book Antiqua" w:cs="Gungsuh"/>
          <w:color w:val="auto"/>
          <w:sz w:val="24"/>
          <w:szCs w:val="24"/>
        </w:rPr>
        <w:t xml:space="preserve">, larger </w:t>
      </w:r>
      <w:r w:rsidRPr="00FC2DDA">
        <w:rPr>
          <w:rFonts w:ascii="Book Antiqua" w:eastAsia="Gungsuh" w:hAnsi="Book Antiqua" w:cs="Gungsuh"/>
          <w:color w:val="auto"/>
          <w:sz w:val="24"/>
          <w:szCs w:val="24"/>
        </w:rPr>
        <w:t>stud</w:t>
      </w:r>
      <w:r w:rsidR="00BC2E28" w:rsidRPr="00FC2DDA">
        <w:rPr>
          <w:rFonts w:ascii="Book Antiqua" w:eastAsia="Gungsuh" w:hAnsi="Book Antiqua" w:cs="Gungsuh"/>
          <w:color w:val="auto"/>
          <w:sz w:val="24"/>
          <w:szCs w:val="24"/>
        </w:rPr>
        <w:t>ies</w:t>
      </w:r>
      <w:r w:rsidRPr="00FC2DDA">
        <w:rPr>
          <w:rFonts w:ascii="Book Antiqua" w:eastAsia="Gungsuh" w:hAnsi="Book Antiqua" w:cs="Gungsuh"/>
          <w:color w:val="auto"/>
          <w:sz w:val="24"/>
          <w:szCs w:val="24"/>
        </w:rPr>
        <w:t xml:space="preserve"> </w:t>
      </w:r>
      <w:r w:rsidR="00BC2E28" w:rsidRPr="00FC2DDA">
        <w:rPr>
          <w:rFonts w:ascii="Book Antiqua" w:eastAsia="Gungsuh" w:hAnsi="Book Antiqua" w:cs="Gungsuh"/>
          <w:color w:val="auto"/>
          <w:sz w:val="24"/>
          <w:szCs w:val="24"/>
        </w:rPr>
        <w:t xml:space="preserve">are need to </w:t>
      </w:r>
      <w:r w:rsidRPr="00FC2DDA">
        <w:rPr>
          <w:rFonts w:ascii="Book Antiqua" w:eastAsia="Gungsuh" w:hAnsi="Book Antiqua" w:cs="Gungsuh"/>
          <w:color w:val="auto"/>
          <w:sz w:val="24"/>
          <w:szCs w:val="24"/>
        </w:rPr>
        <w:t>validate</w:t>
      </w:r>
      <w:r w:rsidR="00BC2E28" w:rsidRPr="00FC2DDA">
        <w:rPr>
          <w:rFonts w:ascii="Book Antiqua" w:eastAsia="Gungsuh" w:hAnsi="Book Antiqua" w:cs="Gungsuh"/>
          <w:color w:val="auto"/>
          <w:sz w:val="24"/>
          <w:szCs w:val="24"/>
        </w:rPr>
        <w:t xml:space="preserve"> these results</w:t>
      </w:r>
      <w:r w:rsidRPr="00FC2DDA">
        <w:rPr>
          <w:rFonts w:ascii="Book Antiqua" w:eastAsia="Gungsuh" w:hAnsi="Book Antiqua" w:cs="Gungsuh"/>
          <w:color w:val="auto"/>
          <w:sz w:val="24"/>
          <w:szCs w:val="24"/>
        </w:rPr>
        <w:t xml:space="preserve">. One example is the application of DWI </w:t>
      </w:r>
      <w:r w:rsidR="00BC2E28" w:rsidRPr="00FC2DDA">
        <w:rPr>
          <w:rFonts w:ascii="Book Antiqua" w:eastAsia="Gungsuh" w:hAnsi="Book Antiqua" w:cs="Gungsuh"/>
          <w:color w:val="auto"/>
          <w:sz w:val="24"/>
          <w:szCs w:val="24"/>
        </w:rPr>
        <w:t xml:space="preserve">concerning the prediction of </w:t>
      </w:r>
      <w:r w:rsidRPr="00FC2DDA">
        <w:rPr>
          <w:rFonts w:ascii="Book Antiqua" w:eastAsia="Gungsuh" w:hAnsi="Book Antiqua" w:cs="Gungsuh"/>
          <w:color w:val="auto"/>
          <w:sz w:val="24"/>
          <w:szCs w:val="24"/>
        </w:rPr>
        <w:t>microvascular invasion (MVI) in HCC. MVI still remains one of the important prognostic factors of HCC recurrence, especially after surgical res</w:t>
      </w:r>
      <w:r w:rsidR="00AF2AB9" w:rsidRPr="00FC2DDA">
        <w:rPr>
          <w:rFonts w:ascii="Book Antiqua" w:eastAsia="Gungsuh" w:hAnsi="Book Antiqua" w:cs="Gungsuh"/>
          <w:color w:val="auto"/>
          <w:sz w:val="24"/>
          <w:szCs w:val="24"/>
        </w:rPr>
        <w:t>ection or liver transplantation</w:t>
      </w:r>
      <w:r w:rsidR="00AF2AB9" w:rsidRPr="00FC2DDA">
        <w:rPr>
          <w:rFonts w:ascii="Book Antiqua" w:eastAsia="Gungsuh" w:hAnsi="Book Antiqua" w:cs="Gungsuh"/>
          <w:color w:val="auto"/>
          <w:sz w:val="24"/>
          <w:szCs w:val="24"/>
          <w:vertAlign w:val="superscript"/>
        </w:rPr>
        <w:t>[74,</w:t>
      </w:r>
      <w:r w:rsidR="00F525E0" w:rsidRPr="00FC2DDA">
        <w:rPr>
          <w:rFonts w:ascii="Book Antiqua" w:eastAsia="Gungsuh" w:hAnsi="Book Antiqua" w:cs="Gungsuh"/>
          <w:color w:val="auto"/>
          <w:sz w:val="24"/>
          <w:szCs w:val="24"/>
          <w:vertAlign w:val="superscript"/>
        </w:rPr>
        <w:t>75]</w:t>
      </w:r>
      <w:r w:rsidRPr="00FC2DDA">
        <w:rPr>
          <w:rFonts w:ascii="Book Antiqua" w:eastAsia="Gungsuh" w:hAnsi="Book Antiqua" w:cs="Gungsuh"/>
          <w:color w:val="auto"/>
          <w:sz w:val="24"/>
          <w:szCs w:val="24"/>
        </w:rPr>
        <w:t>. In the past other imaging characteristics have previously been suggested as predictors of MVI, such as tumo</w:t>
      </w:r>
      <w:r w:rsidR="007F65DB" w:rsidRPr="00FC2DDA">
        <w:rPr>
          <w:rFonts w:ascii="Book Antiqua" w:eastAsia="Gungsuh" w:hAnsi="Book Antiqua" w:cs="Gungsuh"/>
          <w:color w:val="auto"/>
          <w:sz w:val="24"/>
          <w:szCs w:val="24"/>
        </w:rPr>
        <w:t>u</w:t>
      </w:r>
      <w:r w:rsidRPr="00FC2DDA">
        <w:rPr>
          <w:rFonts w:ascii="Book Antiqua" w:eastAsia="Gungsuh" w:hAnsi="Book Antiqua" w:cs="Gungsuh"/>
          <w:color w:val="auto"/>
          <w:sz w:val="24"/>
          <w:szCs w:val="24"/>
        </w:rPr>
        <w:t>r size, shape and margin, capsule, peritumoral enhancement, and dynamic enhancement p</w:t>
      </w:r>
      <w:r w:rsidR="00AF2AB9" w:rsidRPr="00FC2DDA">
        <w:rPr>
          <w:rFonts w:ascii="Book Antiqua" w:eastAsia="Gungsuh" w:hAnsi="Book Antiqua" w:cs="Gungsuh"/>
          <w:color w:val="auto"/>
          <w:sz w:val="24"/>
          <w:szCs w:val="24"/>
        </w:rPr>
        <w:t xml:space="preserve">attern; but recently Yang </w:t>
      </w:r>
      <w:r w:rsidR="00AF2AB9" w:rsidRPr="00FC2DDA">
        <w:rPr>
          <w:rFonts w:ascii="Book Antiqua" w:eastAsia="Gungsuh" w:hAnsi="Book Antiqua" w:cs="Gungsuh"/>
          <w:i/>
          <w:color w:val="auto"/>
          <w:sz w:val="24"/>
          <w:szCs w:val="24"/>
        </w:rPr>
        <w:t>et al</w:t>
      </w:r>
      <w:r w:rsidR="00F525E0" w:rsidRPr="00FC2DDA">
        <w:rPr>
          <w:rFonts w:ascii="Book Antiqua" w:eastAsia="Gungsuh" w:hAnsi="Book Antiqua" w:cs="Gungsuh"/>
          <w:color w:val="auto"/>
          <w:sz w:val="24"/>
          <w:szCs w:val="24"/>
          <w:vertAlign w:val="superscript"/>
        </w:rPr>
        <w:t>[76]</w:t>
      </w:r>
      <w:r w:rsidRPr="00FC2DDA">
        <w:rPr>
          <w:rFonts w:ascii="Book Antiqua" w:eastAsia="Gungsuh" w:hAnsi="Book Antiqua" w:cs="Gungsuh"/>
          <w:color w:val="auto"/>
          <w:sz w:val="24"/>
          <w:szCs w:val="24"/>
        </w:rPr>
        <w:t xml:space="preserve"> proposed a new </w:t>
      </w:r>
      <w:r w:rsidR="00BC2E28" w:rsidRPr="00FC2DDA">
        <w:rPr>
          <w:rFonts w:ascii="Book Antiqua" w:eastAsia="Gungsuh" w:hAnsi="Book Antiqua" w:cs="Gungsuh"/>
          <w:color w:val="auto"/>
          <w:sz w:val="24"/>
          <w:szCs w:val="24"/>
        </w:rPr>
        <w:t xml:space="preserve">integrated evaluation of </w:t>
      </w:r>
      <w:r w:rsidR="00BC2E28" w:rsidRPr="00FC2DDA">
        <w:rPr>
          <w:rFonts w:ascii="Book Antiqua" w:eastAsia="Gungsuh" w:hAnsi="Book Antiqua" w:cs="Gungsuh"/>
          <w:color w:val="auto"/>
          <w:sz w:val="24"/>
          <w:szCs w:val="24"/>
        </w:rPr>
        <w:lastRenderedPageBreak/>
        <w:t>T2 and DWI images by defining the concept of “</w:t>
      </w:r>
      <w:r w:rsidRPr="00FC2DDA">
        <w:rPr>
          <w:rFonts w:ascii="Book Antiqua" w:eastAsia="Gungsuh" w:hAnsi="Book Antiqua" w:cs="Gungsuh"/>
          <w:color w:val="auto"/>
          <w:sz w:val="24"/>
          <w:szCs w:val="24"/>
        </w:rPr>
        <w:t>diffusion- and T2-weighted imaging mismatch</w:t>
      </w:r>
      <w:r w:rsidR="00BC2E28" w:rsidRPr="00FC2DDA">
        <w:rPr>
          <w:rFonts w:ascii="Book Antiqua" w:eastAsia="Gungsuh" w:hAnsi="Book Antiqua" w:cs="Gungsuh"/>
          <w:color w:val="auto"/>
          <w:sz w:val="24"/>
          <w:szCs w:val="24"/>
        </w:rPr>
        <w:t xml:space="preserve">”. They demonstrated that this new </w:t>
      </w:r>
      <w:r w:rsidR="00A7041D" w:rsidRPr="00FC2DDA">
        <w:rPr>
          <w:rFonts w:ascii="Book Antiqua" w:eastAsia="Gungsuh" w:hAnsi="Book Antiqua" w:cs="Gungsuh"/>
          <w:color w:val="auto"/>
          <w:sz w:val="24"/>
          <w:szCs w:val="24"/>
        </w:rPr>
        <w:t>“</w:t>
      </w:r>
      <w:r w:rsidR="00BC2E28" w:rsidRPr="00FC2DDA">
        <w:rPr>
          <w:rFonts w:ascii="Book Antiqua" w:eastAsia="Gungsuh" w:hAnsi="Book Antiqua" w:cs="Gungsuh"/>
          <w:color w:val="auto"/>
          <w:sz w:val="24"/>
          <w:szCs w:val="24"/>
        </w:rPr>
        <w:t>DWI/T2 mismatch</w:t>
      </w:r>
      <w:r w:rsidR="00A7041D" w:rsidRPr="00FC2DDA">
        <w:rPr>
          <w:rFonts w:ascii="Book Antiqua" w:eastAsia="Gungsuh" w:hAnsi="Book Antiqua" w:cs="Gungsuh"/>
          <w:color w:val="auto"/>
          <w:sz w:val="24"/>
          <w:szCs w:val="24"/>
        </w:rPr>
        <w:t>”</w:t>
      </w:r>
      <w:r w:rsidR="00BC2E28" w:rsidRPr="00FC2DDA">
        <w:rPr>
          <w:rFonts w:ascii="Book Antiqua" w:eastAsia="Gungsuh" w:hAnsi="Book Antiqua" w:cs="Gungsuh"/>
          <w:color w:val="auto"/>
          <w:sz w:val="24"/>
          <w:szCs w:val="24"/>
        </w:rPr>
        <w:t xml:space="preserve"> was </w:t>
      </w:r>
      <w:r w:rsidRPr="00FC2DDA">
        <w:rPr>
          <w:rFonts w:ascii="Book Antiqua" w:eastAsia="Gungsuh" w:hAnsi="Book Antiqua" w:cs="Gungsuh"/>
          <w:color w:val="auto"/>
          <w:sz w:val="24"/>
          <w:szCs w:val="24"/>
        </w:rPr>
        <w:t xml:space="preserve">an independent predictor of MVI (odds ratio 4.521, </w:t>
      </w:r>
      <w:r w:rsidRPr="00FC2DDA">
        <w:rPr>
          <w:rFonts w:ascii="Book Antiqua" w:eastAsia="Gungsuh" w:hAnsi="Book Antiqua" w:cs="Gungsuh"/>
          <w:i/>
          <w:color w:val="auto"/>
          <w:sz w:val="24"/>
          <w:szCs w:val="24"/>
        </w:rPr>
        <w:t>P</w:t>
      </w:r>
      <w:r w:rsidR="00AF2AB9" w:rsidRPr="00FC2DDA">
        <w:rPr>
          <w:rFonts w:ascii="Book Antiqua" w:hAnsi="Book Antiqua" w:cs="Gungsuh" w:hint="eastAsia"/>
          <w:color w:val="auto"/>
          <w:sz w:val="24"/>
          <w:szCs w:val="24"/>
          <w:lang w:eastAsia="zh-CN"/>
        </w:rPr>
        <w:t xml:space="preserve"> </w:t>
      </w:r>
      <w:r w:rsidRPr="00FC2DDA">
        <w:rPr>
          <w:rFonts w:ascii="Book Antiqua" w:eastAsia="Gungsuh" w:hAnsi="Book Antiqua" w:cs="Gungsuh"/>
          <w:color w:val="auto"/>
          <w:sz w:val="24"/>
          <w:szCs w:val="24"/>
        </w:rPr>
        <w:t>=</w:t>
      </w:r>
      <w:r w:rsidR="00AF2AB9" w:rsidRPr="00FC2DDA">
        <w:rPr>
          <w:rFonts w:ascii="Book Antiqua" w:hAnsi="Book Antiqua" w:cs="Gungsuh" w:hint="eastAsia"/>
          <w:color w:val="auto"/>
          <w:sz w:val="24"/>
          <w:szCs w:val="24"/>
          <w:lang w:eastAsia="zh-CN"/>
        </w:rPr>
        <w:t xml:space="preserve"> 0</w:t>
      </w:r>
      <w:r w:rsidRPr="00FC2DDA">
        <w:rPr>
          <w:rFonts w:ascii="Book Antiqua" w:eastAsia="Gungsuh" w:hAnsi="Book Antiqua" w:cs="Gungsuh"/>
          <w:color w:val="auto"/>
          <w:sz w:val="24"/>
          <w:szCs w:val="24"/>
        </w:rPr>
        <w:t>.035), with a high specificity (95.65%). Another potential application of DWI is the assessment of liver tumour response to novel therapy</w:t>
      </w:r>
      <w:r w:rsidR="00E93658" w:rsidRPr="00FC2DDA">
        <w:rPr>
          <w:rFonts w:ascii="Book Antiqua" w:eastAsia="Gungsuh" w:hAnsi="Book Antiqua" w:cs="Gungsuh"/>
          <w:color w:val="auto"/>
          <w:sz w:val="24"/>
          <w:szCs w:val="24"/>
        </w:rPr>
        <w:t>.</w:t>
      </w:r>
      <w:r w:rsidRPr="00FC2DDA">
        <w:rPr>
          <w:rFonts w:ascii="Book Antiqua" w:eastAsia="Gungsuh" w:hAnsi="Book Antiqua" w:cs="Gungsuh"/>
          <w:color w:val="auto"/>
          <w:sz w:val="24"/>
          <w:szCs w:val="24"/>
        </w:rPr>
        <w:t xml:space="preserve"> </w:t>
      </w:r>
      <w:r w:rsidR="00E93658" w:rsidRPr="00FC2DDA">
        <w:rPr>
          <w:rFonts w:ascii="Book Antiqua" w:eastAsia="Gungsuh" w:hAnsi="Book Antiqua" w:cs="Gungsuh"/>
          <w:color w:val="auto"/>
          <w:sz w:val="24"/>
          <w:szCs w:val="24"/>
        </w:rPr>
        <w:t>I</w:t>
      </w:r>
      <w:r w:rsidRPr="00FC2DDA">
        <w:rPr>
          <w:rFonts w:ascii="Book Antiqua" w:eastAsia="Gungsuh" w:hAnsi="Book Antiqua" w:cs="Gungsuh"/>
          <w:color w:val="auto"/>
          <w:sz w:val="24"/>
          <w:szCs w:val="24"/>
        </w:rPr>
        <w:t>n fact, while a change in tumour size is the common effect</w:t>
      </w:r>
      <w:r w:rsidR="00E93658" w:rsidRPr="00FC2DDA">
        <w:rPr>
          <w:rFonts w:ascii="Book Antiqua" w:eastAsia="Gungsuh" w:hAnsi="Book Antiqua" w:cs="Gungsuh"/>
          <w:color w:val="auto"/>
          <w:sz w:val="24"/>
          <w:szCs w:val="24"/>
        </w:rPr>
        <w:t xml:space="preserve"> of conventional chemotherapy, </w:t>
      </w:r>
      <w:r w:rsidRPr="00FC2DDA">
        <w:rPr>
          <w:rFonts w:ascii="Book Antiqua" w:eastAsia="Gungsuh" w:hAnsi="Book Antiqua" w:cs="Gungsuh"/>
          <w:color w:val="auto"/>
          <w:sz w:val="24"/>
          <w:szCs w:val="24"/>
        </w:rPr>
        <w:t>loco</w:t>
      </w:r>
      <w:r w:rsidR="00E93658" w:rsidRPr="00FC2DDA">
        <w:rPr>
          <w:rFonts w:ascii="Book Antiqua" w:eastAsia="Gungsuh" w:hAnsi="Book Antiqua" w:cs="Gungsuh"/>
          <w:color w:val="auto"/>
          <w:sz w:val="24"/>
          <w:szCs w:val="24"/>
        </w:rPr>
        <w:t>-</w:t>
      </w:r>
      <w:r w:rsidRPr="00FC2DDA">
        <w:rPr>
          <w:rFonts w:ascii="Book Antiqua" w:eastAsia="Gungsuh" w:hAnsi="Book Antiqua" w:cs="Gungsuh"/>
          <w:color w:val="auto"/>
          <w:sz w:val="24"/>
          <w:szCs w:val="24"/>
        </w:rPr>
        <w:t>regional therapies may lead to stability of tumour size or even an increase in hepatic tumour; moreover novel molecular-targeted therapies may alter the morphology of the tumour by affecting its angiogenesis, with unchanged tumour size</w:t>
      </w:r>
      <w:r w:rsidR="00AF2AB9" w:rsidRPr="00FC2DDA">
        <w:rPr>
          <w:rFonts w:ascii="Book Antiqua" w:eastAsia="Gungsuh" w:hAnsi="Book Antiqua" w:cs="Gungsuh"/>
          <w:color w:val="auto"/>
          <w:sz w:val="24"/>
          <w:szCs w:val="24"/>
          <w:vertAlign w:val="superscript"/>
        </w:rPr>
        <w:t>[77]</w:t>
      </w:r>
      <w:r w:rsidRPr="00FC2DDA">
        <w:rPr>
          <w:rFonts w:ascii="Book Antiqua" w:eastAsia="Gungsuh" w:hAnsi="Book Antiqua" w:cs="Gungsuh"/>
          <w:color w:val="auto"/>
          <w:sz w:val="24"/>
          <w:szCs w:val="24"/>
        </w:rPr>
        <w:t>. Recent studies have shown the possibility to differentiate viable tissue from necrosis on the basis of ADC cut-off values, because</w:t>
      </w:r>
      <w:r w:rsidR="00AF2AB9" w:rsidRPr="00FC2DDA">
        <w:rPr>
          <w:rFonts w:ascii="Book Antiqua" w:eastAsia="Gungsuh" w:hAnsi="Book Antiqua" w:cs="Gungsuh"/>
          <w:color w:val="auto"/>
          <w:sz w:val="24"/>
          <w:szCs w:val="24"/>
        </w:rPr>
        <w:t xml:space="preserve"> necrosis has higher ADC values</w:t>
      </w:r>
      <w:r w:rsidR="00AF2AB9" w:rsidRPr="00FC2DDA">
        <w:rPr>
          <w:rFonts w:ascii="Book Antiqua" w:eastAsia="Gungsuh" w:hAnsi="Book Antiqua" w:cs="Gungsuh"/>
          <w:color w:val="auto"/>
          <w:sz w:val="24"/>
          <w:szCs w:val="24"/>
          <w:vertAlign w:val="superscript"/>
        </w:rPr>
        <w:t>[78,</w:t>
      </w:r>
      <w:r w:rsidR="009440BB" w:rsidRPr="00FC2DDA">
        <w:rPr>
          <w:rFonts w:ascii="Book Antiqua" w:eastAsia="Gungsuh" w:hAnsi="Book Antiqua" w:cs="Gungsuh"/>
          <w:color w:val="auto"/>
          <w:sz w:val="24"/>
          <w:szCs w:val="24"/>
          <w:vertAlign w:val="superscript"/>
        </w:rPr>
        <w:t>79]</w:t>
      </w:r>
      <w:r w:rsidRPr="00FC2DDA">
        <w:rPr>
          <w:rFonts w:ascii="Book Antiqua" w:eastAsia="Gungsuh" w:hAnsi="Book Antiqua" w:cs="Gungsuh"/>
          <w:color w:val="auto"/>
          <w:sz w:val="24"/>
          <w:szCs w:val="24"/>
        </w:rPr>
        <w:t>. For patients with hepatoc</w:t>
      </w:r>
      <w:r w:rsidR="00A70A5C" w:rsidRPr="00FC2DDA">
        <w:rPr>
          <w:rFonts w:ascii="Book Antiqua" w:eastAsia="Gungsuh" w:hAnsi="Book Antiqua" w:cs="Gungsuh"/>
          <w:color w:val="auto"/>
          <w:sz w:val="24"/>
          <w:szCs w:val="24"/>
        </w:rPr>
        <w:t>ellular carcinoma treated with S</w:t>
      </w:r>
      <w:r w:rsidRPr="00FC2DDA">
        <w:rPr>
          <w:rFonts w:ascii="Book Antiqua" w:eastAsia="Gungsuh" w:hAnsi="Book Antiqua" w:cs="Gungsuh"/>
          <w:color w:val="auto"/>
          <w:sz w:val="24"/>
          <w:szCs w:val="24"/>
        </w:rPr>
        <w:t>orafenib, a transient decrease in tumour ADC value approximately 1 month after treatment has been reported to be suggestive of h</w:t>
      </w:r>
      <w:r w:rsidR="007F65DB" w:rsidRPr="00FC2DDA">
        <w:rPr>
          <w:rFonts w:ascii="Book Antiqua" w:eastAsia="Gungsuh" w:hAnsi="Book Antiqua" w:cs="Gungsuh"/>
          <w:color w:val="auto"/>
          <w:sz w:val="24"/>
          <w:szCs w:val="24"/>
        </w:rPr>
        <w:t>a</w:t>
      </w:r>
      <w:r w:rsidRPr="00FC2DDA">
        <w:rPr>
          <w:rFonts w:ascii="Book Antiqua" w:eastAsia="Gungsuh" w:hAnsi="Book Antiqua" w:cs="Gungsuh"/>
          <w:color w:val="auto"/>
          <w:sz w:val="24"/>
          <w:szCs w:val="24"/>
        </w:rPr>
        <w:t>emorrhagic necrosis; however, a sustained decrease in ADC at 3-mo</w:t>
      </w:r>
      <w:r w:rsidR="00AF2AB9" w:rsidRPr="00FC2DDA">
        <w:rPr>
          <w:rFonts w:ascii="Book Antiqua" w:hAnsi="Book Antiqua" w:cs="Gungsuh" w:hint="eastAsia"/>
          <w:color w:val="auto"/>
          <w:sz w:val="24"/>
          <w:szCs w:val="24"/>
          <w:lang w:eastAsia="zh-CN"/>
        </w:rPr>
        <w:t xml:space="preserve"> </w:t>
      </w:r>
      <w:r w:rsidRPr="00FC2DDA">
        <w:rPr>
          <w:rFonts w:ascii="Book Antiqua" w:eastAsia="Gungsuh" w:hAnsi="Book Antiqua" w:cs="Gungsuh"/>
          <w:color w:val="auto"/>
          <w:sz w:val="24"/>
          <w:szCs w:val="24"/>
        </w:rPr>
        <w:t>follow-up may indicate v</w:t>
      </w:r>
      <w:r w:rsidR="00AF2AB9" w:rsidRPr="00FC2DDA">
        <w:rPr>
          <w:rFonts w:ascii="Book Antiqua" w:eastAsia="Gungsuh" w:hAnsi="Book Antiqua" w:cs="Gungsuh"/>
          <w:color w:val="auto"/>
          <w:sz w:val="24"/>
          <w:szCs w:val="24"/>
        </w:rPr>
        <w:t>iable tumour or its progression</w:t>
      </w:r>
      <w:r w:rsidR="009440BB" w:rsidRPr="00FC2DDA">
        <w:rPr>
          <w:rFonts w:ascii="Book Antiqua" w:eastAsia="Gungsuh" w:hAnsi="Book Antiqua" w:cs="Gungsuh"/>
          <w:color w:val="auto"/>
          <w:sz w:val="24"/>
          <w:szCs w:val="24"/>
          <w:vertAlign w:val="superscript"/>
        </w:rPr>
        <w:t>[80]</w:t>
      </w:r>
      <w:r w:rsidRPr="00FC2DDA">
        <w:rPr>
          <w:rFonts w:ascii="Book Antiqua" w:eastAsia="Gungsuh" w:hAnsi="Book Antiqua" w:cs="Gungsuh"/>
          <w:color w:val="auto"/>
          <w:sz w:val="24"/>
          <w:szCs w:val="24"/>
        </w:rPr>
        <w:t>. ADC values in patients with hepatocellular carcinoma treated with</w:t>
      </w:r>
      <w:r w:rsidR="00283D8F" w:rsidRPr="00FC2DDA">
        <w:rPr>
          <w:rFonts w:ascii="Book Antiqua" w:eastAsia="Gungsuh" w:hAnsi="Book Antiqua" w:cs="Gungsuh"/>
          <w:color w:val="auto"/>
          <w:sz w:val="24"/>
          <w:szCs w:val="24"/>
        </w:rPr>
        <w:t xml:space="preserve"> transarterial radioembolization (TARE) </w:t>
      </w:r>
      <w:r w:rsidRPr="00FC2DDA">
        <w:rPr>
          <w:rFonts w:ascii="Book Antiqua" w:eastAsia="Gungsuh" w:hAnsi="Book Antiqua" w:cs="Gungsuh"/>
          <w:color w:val="auto"/>
          <w:sz w:val="24"/>
          <w:szCs w:val="24"/>
        </w:rPr>
        <w:t>have been shown to increase, a finding suggestive of cellular necrosis, and increased ADC values in such cases may be an early marker of treatment response before chan</w:t>
      </w:r>
      <w:r w:rsidR="00AF2AB9" w:rsidRPr="00FC2DDA">
        <w:rPr>
          <w:rFonts w:ascii="Book Antiqua" w:eastAsia="Gungsuh" w:hAnsi="Book Antiqua" w:cs="Gungsuh"/>
          <w:color w:val="auto"/>
          <w:sz w:val="24"/>
          <w:szCs w:val="24"/>
        </w:rPr>
        <w:t>ges in tumour size are observed</w:t>
      </w:r>
      <w:r w:rsidR="009440BB" w:rsidRPr="00FC2DDA">
        <w:rPr>
          <w:rFonts w:ascii="Book Antiqua" w:eastAsia="Gungsuh" w:hAnsi="Book Antiqua" w:cs="Gungsuh"/>
          <w:color w:val="auto"/>
          <w:sz w:val="24"/>
          <w:szCs w:val="24"/>
          <w:vertAlign w:val="superscript"/>
        </w:rPr>
        <w:t>[81]</w:t>
      </w:r>
      <w:r w:rsidRPr="00FC2DDA">
        <w:rPr>
          <w:rFonts w:ascii="Book Antiqua" w:eastAsia="Gungsuh" w:hAnsi="Book Antiqua" w:cs="Gungsuh"/>
          <w:color w:val="auto"/>
          <w:sz w:val="24"/>
          <w:szCs w:val="24"/>
        </w:rPr>
        <w:t xml:space="preserve">. Despite the </w:t>
      </w:r>
      <w:r w:rsidR="00283D8F" w:rsidRPr="00FC2DDA">
        <w:rPr>
          <w:rFonts w:ascii="Book Antiqua" w:eastAsia="Gungsuh" w:hAnsi="Book Antiqua" w:cs="Gungsuh"/>
          <w:color w:val="auto"/>
          <w:sz w:val="24"/>
          <w:szCs w:val="24"/>
        </w:rPr>
        <w:t xml:space="preserve">several attempts to </w:t>
      </w:r>
      <w:r w:rsidRPr="00FC2DDA">
        <w:rPr>
          <w:rFonts w:ascii="Book Antiqua" w:eastAsia="Gungsuh" w:hAnsi="Book Antiqua" w:cs="Gungsuh"/>
          <w:color w:val="auto"/>
          <w:sz w:val="24"/>
          <w:szCs w:val="24"/>
        </w:rPr>
        <w:t xml:space="preserve">use of ADC values in </w:t>
      </w:r>
      <w:r w:rsidR="00283D8F" w:rsidRPr="00FC2DDA">
        <w:rPr>
          <w:rFonts w:ascii="Book Antiqua" w:eastAsia="Gungsuh" w:hAnsi="Book Antiqua" w:cs="Gungsuh"/>
          <w:color w:val="auto"/>
          <w:sz w:val="24"/>
          <w:szCs w:val="24"/>
        </w:rPr>
        <w:t xml:space="preserve">clinical practice, </w:t>
      </w:r>
      <w:r w:rsidRPr="00FC2DDA">
        <w:rPr>
          <w:rFonts w:ascii="Book Antiqua" w:eastAsia="Gungsuh" w:hAnsi="Book Antiqua" w:cs="Gungsuh"/>
          <w:color w:val="auto"/>
          <w:sz w:val="24"/>
          <w:szCs w:val="24"/>
        </w:rPr>
        <w:t xml:space="preserve">reproducibility of volumetric quantification with diffusion-weighted imaging is not well established. </w:t>
      </w:r>
      <w:r w:rsidR="00A70A5C" w:rsidRPr="00FC2DDA">
        <w:rPr>
          <w:rFonts w:ascii="Book Antiqua" w:eastAsia="Gungsuh" w:hAnsi="Book Antiqua" w:cs="Gungsuh"/>
          <w:color w:val="auto"/>
          <w:sz w:val="24"/>
          <w:szCs w:val="24"/>
        </w:rPr>
        <w:t xml:space="preserve">Moreover, there are some </w:t>
      </w:r>
      <w:r w:rsidRPr="00FC2DDA">
        <w:rPr>
          <w:rFonts w:ascii="Book Antiqua" w:eastAsia="Gungsuh" w:hAnsi="Book Antiqua" w:cs="Gungsuh"/>
          <w:color w:val="auto"/>
          <w:sz w:val="24"/>
          <w:szCs w:val="24"/>
        </w:rPr>
        <w:t>technical aspects</w:t>
      </w:r>
      <w:r w:rsidR="005322AE" w:rsidRPr="00FC2DDA">
        <w:rPr>
          <w:rFonts w:ascii="Book Antiqua" w:eastAsia="Gungsuh" w:hAnsi="Book Antiqua" w:cs="Gungsuh"/>
          <w:color w:val="auto"/>
          <w:sz w:val="24"/>
          <w:szCs w:val="24"/>
        </w:rPr>
        <w:t xml:space="preserve"> that </w:t>
      </w:r>
      <w:r w:rsidR="00A70A5C" w:rsidRPr="00FC2DDA">
        <w:rPr>
          <w:rFonts w:ascii="Book Antiqua" w:eastAsia="Gungsuh" w:hAnsi="Book Antiqua" w:cs="Gungsuh"/>
          <w:color w:val="auto"/>
          <w:sz w:val="24"/>
          <w:szCs w:val="24"/>
        </w:rPr>
        <w:t>need to be consider</w:t>
      </w:r>
      <w:r w:rsidR="00D56555" w:rsidRPr="00FC2DDA">
        <w:rPr>
          <w:rFonts w:ascii="Book Antiqua" w:eastAsia="Gungsuh" w:hAnsi="Book Antiqua" w:cs="Gungsuh"/>
          <w:color w:val="auto"/>
          <w:sz w:val="24"/>
          <w:szCs w:val="24"/>
        </w:rPr>
        <w:t>ed</w:t>
      </w:r>
      <w:r w:rsidRPr="00FC2DDA">
        <w:rPr>
          <w:rFonts w:ascii="Book Antiqua" w:eastAsia="Gungsuh" w:hAnsi="Book Antiqua" w:cs="Gungsuh"/>
          <w:color w:val="auto"/>
          <w:sz w:val="24"/>
          <w:szCs w:val="24"/>
        </w:rPr>
        <w:t xml:space="preserve">, like the differences in </w:t>
      </w:r>
      <w:r w:rsidR="00A70A5C" w:rsidRPr="00FC2DDA">
        <w:rPr>
          <w:rFonts w:ascii="Book Antiqua" w:eastAsia="Gungsuh" w:hAnsi="Book Antiqua" w:cs="Gungsuh"/>
          <w:color w:val="auto"/>
          <w:sz w:val="24"/>
          <w:szCs w:val="24"/>
        </w:rPr>
        <w:t>s</w:t>
      </w:r>
      <w:r w:rsidRPr="00FC2DDA">
        <w:rPr>
          <w:rFonts w:ascii="Book Antiqua" w:eastAsia="Gungsuh" w:hAnsi="Book Antiqua" w:cs="Gungsuh"/>
          <w:color w:val="auto"/>
          <w:sz w:val="24"/>
          <w:szCs w:val="24"/>
        </w:rPr>
        <w:t>canner</w:t>
      </w:r>
      <w:r w:rsidR="00A70A5C" w:rsidRPr="00FC2DDA">
        <w:rPr>
          <w:rFonts w:ascii="Book Antiqua" w:eastAsia="Gungsuh" w:hAnsi="Book Antiqua" w:cs="Gungsuh"/>
          <w:color w:val="auto"/>
          <w:sz w:val="24"/>
          <w:szCs w:val="24"/>
        </w:rPr>
        <w:t xml:space="preserve"> equipments</w:t>
      </w:r>
      <w:r w:rsidRPr="00FC2DDA">
        <w:rPr>
          <w:rFonts w:ascii="Book Antiqua" w:eastAsia="Gungsuh" w:hAnsi="Book Antiqua" w:cs="Gungsuh"/>
          <w:color w:val="auto"/>
          <w:sz w:val="24"/>
          <w:szCs w:val="24"/>
        </w:rPr>
        <w:t xml:space="preserve">, the lack of a standardized DWI protocol, the low reproducibility and comparability of ADC measurements </w:t>
      </w:r>
      <w:r w:rsidR="00A70A5C" w:rsidRPr="00FC2DDA">
        <w:rPr>
          <w:rFonts w:ascii="Book Antiqua" w:eastAsia="Gungsuh" w:hAnsi="Book Antiqua" w:cs="Gungsuh"/>
          <w:color w:val="auto"/>
          <w:sz w:val="24"/>
          <w:szCs w:val="24"/>
        </w:rPr>
        <w:t>among different</w:t>
      </w:r>
      <w:r w:rsidRPr="00FC2DDA">
        <w:rPr>
          <w:rFonts w:ascii="Book Antiqua" w:eastAsia="Gungsuh" w:hAnsi="Book Antiqua" w:cs="Gungsuh"/>
          <w:color w:val="auto"/>
          <w:sz w:val="24"/>
          <w:szCs w:val="24"/>
        </w:rPr>
        <w:t xml:space="preserve"> studies and finally the susceptibility of </w:t>
      </w:r>
      <w:r w:rsidR="00AF2AB9" w:rsidRPr="00FC2DDA">
        <w:rPr>
          <w:rFonts w:ascii="Book Antiqua" w:eastAsia="Gungsuh" w:hAnsi="Book Antiqua" w:cs="Gungsuh"/>
          <w:color w:val="auto"/>
          <w:sz w:val="24"/>
          <w:szCs w:val="24"/>
        </w:rPr>
        <w:t>ADC maps to noise and artefacts</w:t>
      </w:r>
      <w:r w:rsidR="005322AE" w:rsidRPr="00FC2DDA">
        <w:rPr>
          <w:rFonts w:ascii="Book Antiqua" w:eastAsia="Gungsuh" w:hAnsi="Book Antiqua" w:cs="Gungsuh"/>
          <w:color w:val="auto"/>
          <w:sz w:val="24"/>
          <w:szCs w:val="24"/>
          <w:vertAlign w:val="superscript"/>
        </w:rPr>
        <w:t>[64]</w:t>
      </w:r>
      <w:r w:rsidRPr="00FC2DDA">
        <w:rPr>
          <w:rFonts w:ascii="Book Antiqua" w:eastAsia="Gungsuh" w:hAnsi="Book Antiqua" w:cs="Gungsuh"/>
          <w:color w:val="auto"/>
          <w:sz w:val="24"/>
          <w:szCs w:val="24"/>
        </w:rPr>
        <w:t xml:space="preserve">. </w:t>
      </w:r>
    </w:p>
    <w:p w14:paraId="13AD660E" w14:textId="77777777" w:rsidR="001B04E3" w:rsidRPr="00FC2DDA" w:rsidRDefault="001B04E3" w:rsidP="00AF2AB9">
      <w:pPr>
        <w:snapToGrid w:val="0"/>
        <w:spacing w:after="0" w:line="360" w:lineRule="auto"/>
        <w:jc w:val="both"/>
        <w:rPr>
          <w:rFonts w:ascii="Book Antiqua" w:eastAsia="Times New Roman" w:hAnsi="Book Antiqua" w:cs="Times New Roman"/>
          <w:color w:val="auto"/>
          <w:sz w:val="24"/>
          <w:szCs w:val="24"/>
        </w:rPr>
      </w:pPr>
    </w:p>
    <w:p w14:paraId="7E30EAF8" w14:textId="3408E1F8" w:rsidR="001B04E3" w:rsidRPr="00FC2DDA" w:rsidRDefault="00FB4404"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MR ELASTOGRAPHY</w:t>
      </w:r>
    </w:p>
    <w:p w14:paraId="35B31BAA" w14:textId="1D27EAE1" w:rsidR="001B04E3" w:rsidRPr="00FC2DDA" w:rsidRDefault="00FB4404"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 xml:space="preserve">MR elastography (MRE) is an MRI-based method for the quantitative assessment of liver fibrosis and increased stiffness. This technique is based on the application of mechanical waves (generate through the machine), to the region of interest (the liver). </w:t>
      </w:r>
      <w:r w:rsidR="00050698" w:rsidRPr="00FC2DDA">
        <w:rPr>
          <w:rFonts w:ascii="Book Antiqua" w:eastAsia="Times New Roman" w:hAnsi="Book Antiqua" w:cs="Times New Roman"/>
          <w:color w:val="auto"/>
          <w:sz w:val="24"/>
          <w:szCs w:val="24"/>
        </w:rPr>
        <w:t>These waves</w:t>
      </w:r>
      <w:r w:rsidRPr="00FC2DDA">
        <w:rPr>
          <w:rFonts w:ascii="Book Antiqua" w:eastAsia="Times New Roman" w:hAnsi="Book Antiqua" w:cs="Times New Roman"/>
          <w:color w:val="auto"/>
          <w:sz w:val="24"/>
          <w:szCs w:val="24"/>
        </w:rPr>
        <w:t xml:space="preserve"> and their wave</w:t>
      </w:r>
      <w:r w:rsidR="00C904B2"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length are located in the liver through different elastographic sequences (the most used are gradient-echo sequences with motion-encoding gradients) to obtain different set of images and maps. With two different reconstruction algorithm applied to this set of images is possible to obtain a final colored image, called “confidence map”, with </w:t>
      </w:r>
      <w:r w:rsidRPr="00FC2DDA">
        <w:rPr>
          <w:rFonts w:ascii="Book Antiqua" w:eastAsia="Times New Roman" w:hAnsi="Book Antiqua" w:cs="Times New Roman"/>
          <w:color w:val="auto"/>
          <w:sz w:val="24"/>
          <w:szCs w:val="24"/>
        </w:rPr>
        <w:lastRenderedPageBreak/>
        <w:t>different stiffness areas of the liver expressed with different colo</w:t>
      </w:r>
      <w:r w:rsidR="007F65DB" w:rsidRPr="00FC2DDA">
        <w:rPr>
          <w:rFonts w:ascii="Book Antiqua" w:eastAsia="Times New Roman" w:hAnsi="Book Antiqua" w:cs="Times New Roman"/>
          <w:color w:val="auto"/>
          <w:sz w:val="24"/>
          <w:szCs w:val="24"/>
        </w:rPr>
        <w:t>u</w:t>
      </w:r>
      <w:r w:rsidRPr="00FC2DDA">
        <w:rPr>
          <w:rFonts w:ascii="Book Antiqua" w:eastAsia="Times New Roman" w:hAnsi="Book Antiqua" w:cs="Times New Roman"/>
          <w:color w:val="auto"/>
          <w:sz w:val="24"/>
          <w:szCs w:val="24"/>
        </w:rPr>
        <w:t>rs which correspond to different in kilo-pascal values (kPa).</w:t>
      </w:r>
    </w:p>
    <w:p w14:paraId="33390E11" w14:textId="482A377A"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Different studies have demonstrated the possibility to use MRE for assessment o</w:t>
      </w:r>
      <w:r w:rsidR="00AF2AB9" w:rsidRPr="00FC2DDA">
        <w:rPr>
          <w:rFonts w:ascii="Book Antiqua" w:eastAsia="Times New Roman" w:hAnsi="Book Antiqua" w:cs="Times New Roman"/>
          <w:color w:val="auto"/>
          <w:sz w:val="24"/>
          <w:szCs w:val="24"/>
        </w:rPr>
        <w:t>f mild degree of liver fibrosis</w:t>
      </w:r>
      <w:r w:rsidR="00785031" w:rsidRPr="00FC2DDA">
        <w:rPr>
          <w:rFonts w:ascii="Book Antiqua" w:eastAsia="Times New Roman" w:hAnsi="Book Antiqua" w:cs="Times New Roman"/>
          <w:color w:val="auto"/>
          <w:sz w:val="24"/>
          <w:szCs w:val="24"/>
          <w:vertAlign w:val="superscript"/>
        </w:rPr>
        <w:t>[82-84]</w:t>
      </w:r>
      <w:r w:rsidRPr="00FC2DDA">
        <w:rPr>
          <w:rFonts w:ascii="Book Antiqua" w:eastAsia="Times New Roman" w:hAnsi="Book Antiqua" w:cs="Times New Roman"/>
          <w:color w:val="auto"/>
          <w:sz w:val="24"/>
          <w:szCs w:val="24"/>
        </w:rPr>
        <w:t xml:space="preserve"> and to differentiate malignant a</w:t>
      </w:r>
      <w:r w:rsidR="00AF2AB9" w:rsidRPr="00FC2DDA">
        <w:rPr>
          <w:rFonts w:ascii="Book Antiqua" w:eastAsia="Times New Roman" w:hAnsi="Book Antiqua" w:cs="Times New Roman"/>
          <w:color w:val="auto"/>
          <w:sz w:val="24"/>
          <w:szCs w:val="24"/>
        </w:rPr>
        <w:t>nd benign nodules in the liver</w:t>
      </w:r>
      <w:r w:rsidR="00785031" w:rsidRPr="00FC2DDA">
        <w:rPr>
          <w:rFonts w:ascii="Book Antiqua" w:eastAsia="Times New Roman" w:hAnsi="Book Antiqua" w:cs="Times New Roman"/>
          <w:color w:val="auto"/>
          <w:sz w:val="24"/>
          <w:szCs w:val="24"/>
          <w:vertAlign w:val="superscript"/>
        </w:rPr>
        <w:t>[85]</w:t>
      </w:r>
      <w:r w:rsidRPr="00FC2DDA">
        <w:rPr>
          <w:rFonts w:ascii="Book Antiqua" w:eastAsia="Times New Roman" w:hAnsi="Book Antiqua" w:cs="Times New Roman"/>
          <w:color w:val="auto"/>
          <w:sz w:val="24"/>
          <w:szCs w:val="24"/>
        </w:rPr>
        <w:t xml:space="preserve">. A recent study tried to understand if there was a correlation between HCC stiffness detected with </w:t>
      </w:r>
      <w:r w:rsidR="00AF2AB9" w:rsidRPr="00FC2DDA">
        <w:rPr>
          <w:rFonts w:ascii="Book Antiqua" w:eastAsia="Times New Roman" w:hAnsi="Book Antiqua" w:cs="Times New Roman"/>
          <w:color w:val="auto"/>
          <w:sz w:val="24"/>
          <w:szCs w:val="24"/>
        </w:rPr>
        <w:t>MRE and HCC pathologic features</w:t>
      </w:r>
      <w:r w:rsidR="00452AF1" w:rsidRPr="00FC2DDA">
        <w:rPr>
          <w:rFonts w:ascii="Book Antiqua" w:eastAsia="Times New Roman" w:hAnsi="Book Antiqua" w:cs="Times New Roman"/>
          <w:color w:val="auto"/>
          <w:sz w:val="24"/>
          <w:szCs w:val="24"/>
          <w:vertAlign w:val="superscript"/>
        </w:rPr>
        <w:t>[84]</w:t>
      </w:r>
      <w:r w:rsidRPr="00FC2DDA">
        <w:rPr>
          <w:rFonts w:ascii="Book Antiqua" w:eastAsia="Times New Roman" w:hAnsi="Book Antiqua" w:cs="Times New Roman"/>
          <w:color w:val="auto"/>
          <w:sz w:val="24"/>
          <w:szCs w:val="24"/>
        </w:rPr>
        <w:t xml:space="preserve">. </w:t>
      </w:r>
      <w:r w:rsidR="007F65DB" w:rsidRPr="00FC2DDA">
        <w:rPr>
          <w:rFonts w:ascii="Book Antiqua" w:eastAsia="Times New Roman" w:hAnsi="Book Antiqua" w:cs="Times New Roman"/>
          <w:color w:val="auto"/>
          <w:sz w:val="24"/>
          <w:szCs w:val="24"/>
        </w:rPr>
        <w:t>Tumour</w:t>
      </w:r>
      <w:r w:rsidRPr="00FC2DDA">
        <w:rPr>
          <w:rFonts w:ascii="Book Antiqua" w:eastAsia="Times New Roman" w:hAnsi="Book Antiqua" w:cs="Times New Roman"/>
          <w:color w:val="auto"/>
          <w:sz w:val="24"/>
          <w:szCs w:val="24"/>
        </w:rPr>
        <w:t xml:space="preserve"> stiffness (TS) seemed to be higher in moderate/well differentiate HCC in comparison to poor differentiate HCC (6.5</w:t>
      </w:r>
      <w:r w:rsidR="00AF2AB9"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w:t>
      </w:r>
      <w:r w:rsidR="00AF2AB9"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 xml:space="preserve">1.2 kPa </w:t>
      </w:r>
      <w:r w:rsidRPr="00FC2DDA">
        <w:rPr>
          <w:rFonts w:ascii="Book Antiqua" w:eastAsia="Times New Roman" w:hAnsi="Book Antiqua" w:cs="Times New Roman"/>
          <w:i/>
          <w:color w:val="auto"/>
          <w:sz w:val="24"/>
          <w:szCs w:val="24"/>
        </w:rPr>
        <w:t>vs</w:t>
      </w:r>
      <w:r w:rsidRPr="00FC2DDA">
        <w:rPr>
          <w:rFonts w:ascii="Book Antiqua" w:eastAsia="Times New Roman" w:hAnsi="Book Antiqua" w:cs="Times New Roman"/>
          <w:color w:val="auto"/>
          <w:sz w:val="24"/>
          <w:szCs w:val="24"/>
        </w:rPr>
        <w:t xml:space="preserve"> 4.9</w:t>
      </w:r>
      <w:r w:rsidR="00AF2AB9"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w:t>
      </w:r>
      <w:r w:rsidR="00AF2AB9"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 xml:space="preserve">1.2 kPa, </w:t>
      </w:r>
      <w:r w:rsidRPr="00FC2DDA">
        <w:rPr>
          <w:rFonts w:ascii="Book Antiqua" w:eastAsia="Times New Roman" w:hAnsi="Book Antiqua" w:cs="Times New Roman"/>
          <w:i/>
          <w:caps/>
          <w:color w:val="auto"/>
          <w:sz w:val="24"/>
          <w:szCs w:val="24"/>
        </w:rPr>
        <w:t>p</w:t>
      </w:r>
      <w:r w:rsidR="00AF2AB9"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&lt;</w:t>
      </w:r>
      <w:r w:rsidR="00AF2AB9"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 xml:space="preserve">0.01); but at moment, no correlation is found to liver parenchyma stiffness, vascular invasion and </w:t>
      </w:r>
      <w:r w:rsidR="007F65DB" w:rsidRPr="00FC2DDA">
        <w:rPr>
          <w:rFonts w:ascii="Book Antiqua" w:eastAsia="Times New Roman" w:hAnsi="Book Antiqua" w:cs="Times New Roman"/>
          <w:color w:val="auto"/>
          <w:sz w:val="24"/>
          <w:szCs w:val="24"/>
        </w:rPr>
        <w:t>tumour</w:t>
      </w:r>
      <w:r w:rsidR="00AF2AB9" w:rsidRPr="00FC2DDA">
        <w:rPr>
          <w:rFonts w:ascii="Book Antiqua" w:eastAsia="Times New Roman" w:hAnsi="Book Antiqua" w:cs="Times New Roman"/>
          <w:color w:val="auto"/>
          <w:sz w:val="24"/>
          <w:szCs w:val="24"/>
        </w:rPr>
        <w:t xml:space="preserve"> encapsulation</w:t>
      </w:r>
      <w:r w:rsidR="00452AF1" w:rsidRPr="00FC2DDA">
        <w:rPr>
          <w:rFonts w:ascii="Book Antiqua" w:eastAsia="Times New Roman" w:hAnsi="Book Antiqua" w:cs="Times New Roman"/>
          <w:color w:val="auto"/>
          <w:sz w:val="24"/>
          <w:szCs w:val="24"/>
          <w:vertAlign w:val="superscript"/>
        </w:rPr>
        <w:t>[84]</w:t>
      </w:r>
      <w:r w:rsidR="00452AF1" w:rsidRPr="00FC2DDA">
        <w:rPr>
          <w:rFonts w:ascii="Book Antiqua" w:eastAsia="Times New Roman" w:hAnsi="Book Antiqua" w:cs="Times New Roman"/>
          <w:color w:val="auto"/>
          <w:sz w:val="24"/>
          <w:szCs w:val="24"/>
        </w:rPr>
        <w:t>.</w:t>
      </w:r>
    </w:p>
    <w:p w14:paraId="2EDD7CB1" w14:textId="169F23AE" w:rsidR="001B04E3" w:rsidRPr="00FC2DDA" w:rsidRDefault="00FB4404"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 xml:space="preserve">Another important application of MRE regards the assessment to treatment response and in particular loco-regional treatment </w:t>
      </w:r>
      <w:r w:rsidR="00D60EE5"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vertAlign w:val="superscript"/>
        </w:rPr>
        <w:t>90</w:t>
      </w:r>
      <w:r w:rsidRPr="00FC2DDA">
        <w:rPr>
          <w:rFonts w:ascii="Book Antiqua" w:eastAsia="Times New Roman" w:hAnsi="Book Antiqua" w:cs="Times New Roman"/>
          <w:color w:val="auto"/>
          <w:sz w:val="24"/>
          <w:szCs w:val="24"/>
        </w:rPr>
        <w:t>Yttrium radio-embolization (RE), trans-arterial chemoembolization (TACE), and radiofrequency ablation (RFA)</w:t>
      </w:r>
      <w:r w:rsidR="00D60EE5" w:rsidRPr="00FC2DDA">
        <w:rPr>
          <w:rFonts w:ascii="Book Antiqua" w:eastAsia="Times New Roman" w:hAnsi="Book Antiqua" w:cs="Times New Roman"/>
          <w:color w:val="auto"/>
          <w:sz w:val="24"/>
          <w:szCs w:val="24"/>
        </w:rPr>
        <w:t>]</w:t>
      </w:r>
      <w:r w:rsidR="00452AF1" w:rsidRPr="00FC2DDA">
        <w:rPr>
          <w:rFonts w:ascii="Book Antiqua" w:eastAsia="Times New Roman" w:hAnsi="Book Antiqua" w:cs="Times New Roman"/>
          <w:color w:val="auto"/>
          <w:sz w:val="24"/>
          <w:szCs w:val="24"/>
          <w:vertAlign w:val="superscript"/>
        </w:rPr>
        <w:t>[86]</w:t>
      </w:r>
      <w:r w:rsidRPr="00FC2DDA">
        <w:rPr>
          <w:rFonts w:ascii="Book Antiqua" w:eastAsia="Times New Roman" w:hAnsi="Book Antiqua" w:cs="Times New Roman"/>
          <w:color w:val="auto"/>
          <w:sz w:val="24"/>
          <w:szCs w:val="24"/>
        </w:rPr>
        <w:t>.</w:t>
      </w:r>
    </w:p>
    <w:p w14:paraId="020555F7" w14:textId="2EABDC14" w:rsidR="001B04E3" w:rsidRPr="00FC2DDA" w:rsidRDefault="00AF2AB9" w:rsidP="00AF2AB9">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In two animal studies</w:t>
      </w:r>
      <w:r w:rsidRPr="00FC2DDA">
        <w:rPr>
          <w:rFonts w:ascii="Book Antiqua" w:eastAsia="Times New Roman" w:hAnsi="Book Antiqua" w:cs="Times New Roman"/>
          <w:color w:val="auto"/>
          <w:sz w:val="24"/>
          <w:szCs w:val="24"/>
          <w:vertAlign w:val="superscript"/>
        </w:rPr>
        <w:t>[87,</w:t>
      </w:r>
      <w:r w:rsidR="00DA41A1" w:rsidRPr="00FC2DDA">
        <w:rPr>
          <w:rFonts w:ascii="Book Antiqua" w:eastAsia="Times New Roman" w:hAnsi="Book Antiqua" w:cs="Times New Roman"/>
          <w:color w:val="auto"/>
          <w:sz w:val="24"/>
          <w:szCs w:val="24"/>
          <w:vertAlign w:val="superscript"/>
        </w:rPr>
        <w:t>88]</w:t>
      </w:r>
      <w:r w:rsidR="00DA41A1" w:rsidRPr="00FC2DDA">
        <w:rPr>
          <w:rFonts w:ascii="Book Antiqua" w:eastAsia="Times New Roman" w:hAnsi="Book Antiqua" w:cs="Times New Roman"/>
          <w:color w:val="auto"/>
          <w:sz w:val="24"/>
          <w:szCs w:val="24"/>
        </w:rPr>
        <w:t xml:space="preserve"> </w:t>
      </w:r>
      <w:r w:rsidR="00FB4404" w:rsidRPr="00FC2DDA">
        <w:rPr>
          <w:rFonts w:ascii="Book Antiqua" w:eastAsia="Times New Roman" w:hAnsi="Book Antiqua" w:cs="Times New Roman"/>
          <w:color w:val="auto"/>
          <w:sz w:val="24"/>
          <w:szCs w:val="24"/>
        </w:rPr>
        <w:t>reduction in TS was associated with histologic</w:t>
      </w:r>
      <w:r w:rsidRPr="00FC2DDA">
        <w:rPr>
          <w:rFonts w:ascii="Book Antiqua" w:eastAsia="Times New Roman" w:hAnsi="Book Antiqua" w:cs="Times New Roman"/>
          <w:color w:val="auto"/>
          <w:sz w:val="24"/>
          <w:szCs w:val="24"/>
        </w:rPr>
        <w:t>ally proven central necrosis</w:t>
      </w:r>
      <w:r w:rsidR="00DA41A1" w:rsidRPr="00FC2DDA">
        <w:rPr>
          <w:rFonts w:ascii="Book Antiqua" w:eastAsia="Times New Roman" w:hAnsi="Book Antiqua" w:cs="Times New Roman"/>
          <w:color w:val="auto"/>
          <w:sz w:val="24"/>
          <w:szCs w:val="24"/>
          <w:vertAlign w:val="superscript"/>
        </w:rPr>
        <w:t>[89]</w:t>
      </w:r>
      <w:r w:rsidR="00DA41A1" w:rsidRPr="00FC2DDA">
        <w:rPr>
          <w:rFonts w:ascii="Book Antiqua" w:eastAsia="Times New Roman" w:hAnsi="Book Antiqua" w:cs="Times New Roman"/>
          <w:color w:val="auto"/>
          <w:sz w:val="24"/>
          <w:szCs w:val="24"/>
        </w:rPr>
        <w:t xml:space="preserve"> </w:t>
      </w:r>
      <w:r w:rsidR="00FB4404" w:rsidRPr="00FC2DDA">
        <w:rPr>
          <w:rFonts w:ascii="Book Antiqua" w:eastAsia="Times New Roman" w:hAnsi="Book Antiqua" w:cs="Times New Roman"/>
          <w:color w:val="auto"/>
          <w:sz w:val="24"/>
          <w:szCs w:val="24"/>
        </w:rPr>
        <w:t>and decreased cellular proliferation and mo</w:t>
      </w:r>
      <w:r w:rsidRPr="00FC2DDA">
        <w:rPr>
          <w:rFonts w:ascii="Book Antiqua" w:eastAsia="Times New Roman" w:hAnsi="Book Antiqua" w:cs="Times New Roman"/>
          <w:color w:val="auto"/>
          <w:sz w:val="24"/>
          <w:szCs w:val="24"/>
        </w:rPr>
        <w:t>derate induction of apoptosis</w:t>
      </w:r>
      <w:r w:rsidR="00DA41A1" w:rsidRPr="00FC2DDA">
        <w:rPr>
          <w:rFonts w:ascii="Book Antiqua" w:eastAsia="Times New Roman" w:hAnsi="Book Antiqua" w:cs="Times New Roman"/>
          <w:color w:val="auto"/>
          <w:sz w:val="24"/>
          <w:szCs w:val="24"/>
          <w:vertAlign w:val="superscript"/>
        </w:rPr>
        <w:t>[88]</w:t>
      </w:r>
      <w:r w:rsidR="00FB4404" w:rsidRPr="00FC2DDA">
        <w:rPr>
          <w:rFonts w:ascii="Book Antiqua" w:eastAsia="Times New Roman" w:hAnsi="Book Antiqua" w:cs="Times New Roman"/>
          <w:color w:val="auto"/>
          <w:sz w:val="24"/>
          <w:szCs w:val="24"/>
        </w:rPr>
        <w:t xml:space="preserve">. In a preliminary study on humans, MRE seems to provide early evidence of therapeutic response demonstrating that treated </w:t>
      </w:r>
      <w:r w:rsidR="007F65DB" w:rsidRPr="00FC2DDA">
        <w:rPr>
          <w:rFonts w:ascii="Book Antiqua" w:eastAsia="Times New Roman" w:hAnsi="Book Antiqua" w:cs="Times New Roman"/>
          <w:color w:val="auto"/>
          <w:sz w:val="24"/>
          <w:szCs w:val="24"/>
        </w:rPr>
        <w:t>tumours</w:t>
      </w:r>
      <w:r w:rsidR="00FB4404" w:rsidRPr="00FC2DDA">
        <w:rPr>
          <w:rFonts w:ascii="Book Antiqua" w:eastAsia="Times New Roman" w:hAnsi="Book Antiqua" w:cs="Times New Roman"/>
          <w:color w:val="auto"/>
          <w:sz w:val="24"/>
          <w:szCs w:val="24"/>
        </w:rPr>
        <w:t xml:space="preserve"> have significantly lower TS compared to untreated </w:t>
      </w:r>
      <w:r w:rsidR="007F65DB" w:rsidRPr="00FC2DDA">
        <w:rPr>
          <w:rFonts w:ascii="Book Antiqua" w:eastAsia="Times New Roman" w:hAnsi="Book Antiqua" w:cs="Times New Roman"/>
          <w:color w:val="auto"/>
          <w:sz w:val="24"/>
          <w:szCs w:val="24"/>
        </w:rPr>
        <w:t>tumours</w:t>
      </w:r>
      <w:r w:rsidR="00FB4404" w:rsidRPr="00FC2DDA">
        <w:rPr>
          <w:rFonts w:ascii="Book Antiqua" w:eastAsia="Times New Roman" w:hAnsi="Book Antiqua" w:cs="Times New Roman"/>
          <w:color w:val="auto"/>
          <w:sz w:val="24"/>
          <w:szCs w:val="24"/>
        </w:rPr>
        <w:t xml:space="preserve"> (3.9 ± 1.8 </w:t>
      </w:r>
      <w:r w:rsidRPr="00FC2DDA">
        <w:rPr>
          <w:rFonts w:ascii="Book Antiqua" w:eastAsia="Times New Roman" w:hAnsi="Book Antiqua" w:cs="Times New Roman"/>
          <w:color w:val="auto"/>
          <w:sz w:val="24"/>
          <w:szCs w:val="24"/>
        </w:rPr>
        <w:t>kPa</w:t>
      </w:r>
      <w:r w:rsidRPr="00FC2DDA">
        <w:rPr>
          <w:rFonts w:ascii="Book Antiqua" w:eastAsia="Times New Roman" w:hAnsi="Book Antiqua" w:cs="Times New Roman"/>
          <w:i/>
          <w:color w:val="auto"/>
          <w:sz w:val="24"/>
          <w:szCs w:val="24"/>
        </w:rPr>
        <w:t xml:space="preserve"> </w:t>
      </w:r>
      <w:r w:rsidR="00FB4404" w:rsidRPr="00FC2DDA">
        <w:rPr>
          <w:rFonts w:ascii="Book Antiqua" w:eastAsia="Times New Roman" w:hAnsi="Book Antiqua" w:cs="Times New Roman"/>
          <w:i/>
          <w:color w:val="auto"/>
          <w:sz w:val="24"/>
          <w:szCs w:val="24"/>
        </w:rPr>
        <w:t>vs</w:t>
      </w:r>
      <w:r w:rsidRPr="00FC2DDA">
        <w:rPr>
          <w:rFonts w:ascii="Book Antiqua" w:hAnsi="Book Antiqua" w:cs="Times New Roman" w:hint="eastAsia"/>
          <w:i/>
          <w:color w:val="auto"/>
          <w:sz w:val="24"/>
          <w:szCs w:val="24"/>
          <w:lang w:eastAsia="zh-CN"/>
        </w:rPr>
        <w:t xml:space="preserve"> </w:t>
      </w:r>
      <w:r w:rsidR="00FB4404" w:rsidRPr="00FC2DDA">
        <w:rPr>
          <w:rFonts w:ascii="Book Antiqua" w:eastAsia="Times New Roman" w:hAnsi="Book Antiqua" w:cs="Times New Roman"/>
          <w:color w:val="auto"/>
          <w:sz w:val="24"/>
          <w:szCs w:val="24"/>
        </w:rPr>
        <w:t xml:space="preserve">6.9 ± 3.4 kPa, </w:t>
      </w:r>
      <w:r w:rsidR="00FB4404" w:rsidRPr="00FC2DDA">
        <w:rPr>
          <w:rFonts w:ascii="Book Antiqua" w:eastAsia="Times New Roman" w:hAnsi="Book Antiqua" w:cs="Times New Roman"/>
          <w:i/>
          <w:caps/>
          <w:color w:val="auto"/>
          <w:sz w:val="24"/>
          <w:szCs w:val="24"/>
        </w:rPr>
        <w:t>p</w:t>
      </w:r>
      <w:r w:rsidRPr="00FC2DDA">
        <w:rPr>
          <w:rFonts w:ascii="Book Antiqua" w:hAnsi="Book Antiqua" w:cs="Times New Roman" w:hint="eastAsia"/>
          <w:color w:val="auto"/>
          <w:sz w:val="24"/>
          <w:szCs w:val="24"/>
          <w:lang w:eastAsia="zh-CN"/>
        </w:rPr>
        <w:t xml:space="preserve"> </w:t>
      </w:r>
      <w:r w:rsidR="00FB4404" w:rsidRPr="00FC2DDA">
        <w:rPr>
          <w:rFonts w:ascii="Book Antiqua" w:eastAsia="Times New Roman" w:hAnsi="Book Antiqua" w:cs="Times New Roman"/>
          <w:color w:val="auto"/>
          <w:sz w:val="24"/>
          <w:szCs w:val="24"/>
        </w:rPr>
        <w:t>=</w:t>
      </w:r>
      <w:r w:rsidRPr="00FC2DDA">
        <w:rPr>
          <w:rFonts w:ascii="Book Antiqua" w:hAnsi="Book Antiqua" w:cs="Times New Roman" w:hint="eastAsia"/>
          <w:color w:val="auto"/>
          <w:sz w:val="24"/>
          <w:szCs w:val="24"/>
          <w:lang w:eastAsia="zh-CN"/>
        </w:rPr>
        <w:t xml:space="preserve"> </w:t>
      </w:r>
      <w:r w:rsidR="00FB4404" w:rsidRPr="00FC2DDA">
        <w:rPr>
          <w:rFonts w:ascii="Book Antiqua" w:eastAsia="Times New Roman" w:hAnsi="Book Antiqua" w:cs="Times New Roman"/>
          <w:color w:val="auto"/>
          <w:sz w:val="24"/>
          <w:szCs w:val="24"/>
        </w:rPr>
        <w:t xml:space="preserve">0.006) and cirrhotic liver, while intra-tumoral </w:t>
      </w:r>
      <w:r w:rsidR="007F65DB" w:rsidRPr="00FC2DDA">
        <w:rPr>
          <w:rFonts w:ascii="Book Antiqua" w:eastAsia="Times New Roman" w:hAnsi="Book Antiqua" w:cs="Times New Roman"/>
          <w:color w:val="auto"/>
          <w:sz w:val="24"/>
          <w:szCs w:val="24"/>
        </w:rPr>
        <w:t>haemorrhage</w:t>
      </w:r>
      <w:r w:rsidR="00FB4404" w:rsidRPr="00FC2DDA">
        <w:rPr>
          <w:rFonts w:ascii="Book Antiqua" w:eastAsia="Times New Roman" w:hAnsi="Book Antiqua" w:cs="Times New Roman"/>
          <w:color w:val="auto"/>
          <w:sz w:val="24"/>
          <w:szCs w:val="24"/>
        </w:rPr>
        <w:t xml:space="preserve"> is associated with higher TS. TS seems to relate with visually assessed percentage of necrosis and ER, m</w:t>
      </w:r>
      <w:r w:rsidR="00B57390" w:rsidRPr="00FC2DDA">
        <w:rPr>
          <w:rFonts w:ascii="Book Antiqua" w:eastAsia="Times New Roman" w:hAnsi="Book Antiqua" w:cs="Times New Roman"/>
          <w:color w:val="auto"/>
          <w:sz w:val="24"/>
          <w:szCs w:val="24"/>
        </w:rPr>
        <w:t>ore in patients treated with RE</w:t>
      </w:r>
      <w:r w:rsidR="00DA41A1" w:rsidRPr="00FC2DDA">
        <w:rPr>
          <w:rFonts w:ascii="Book Antiqua" w:eastAsia="Times New Roman" w:hAnsi="Book Antiqua" w:cs="Times New Roman"/>
          <w:color w:val="auto"/>
          <w:sz w:val="24"/>
          <w:szCs w:val="24"/>
          <w:vertAlign w:val="superscript"/>
        </w:rPr>
        <w:t>[86]</w:t>
      </w:r>
      <w:r w:rsidR="00DA41A1" w:rsidRPr="00FC2DDA">
        <w:rPr>
          <w:rFonts w:ascii="Book Antiqua" w:eastAsia="Times New Roman" w:hAnsi="Book Antiqua" w:cs="Times New Roman"/>
          <w:color w:val="auto"/>
          <w:sz w:val="24"/>
          <w:szCs w:val="24"/>
        </w:rPr>
        <w:t xml:space="preserve">. </w:t>
      </w:r>
    </w:p>
    <w:p w14:paraId="21BF9908" w14:textId="5C8C6021" w:rsidR="001B04E3" w:rsidRPr="00FC2DDA" w:rsidRDefault="00FB4404"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MRE still has the limitation of hepatic iron overload, which can decrease hepatic signal intensity in gradient echo based MRE seque</w:t>
      </w:r>
      <w:r w:rsidR="00B57390" w:rsidRPr="00FC2DDA">
        <w:rPr>
          <w:rFonts w:ascii="Book Antiqua" w:eastAsia="Times New Roman" w:hAnsi="Book Antiqua" w:cs="Times New Roman"/>
          <w:color w:val="auto"/>
          <w:sz w:val="24"/>
          <w:szCs w:val="24"/>
        </w:rPr>
        <w:t>nces to unacceptably low levels</w:t>
      </w:r>
      <w:r w:rsidR="00DA41A1" w:rsidRPr="00FC2DDA">
        <w:rPr>
          <w:rFonts w:ascii="Book Antiqua" w:eastAsia="Times New Roman" w:hAnsi="Book Antiqua" w:cs="Times New Roman"/>
          <w:color w:val="auto"/>
          <w:sz w:val="24"/>
          <w:szCs w:val="24"/>
          <w:vertAlign w:val="superscript"/>
        </w:rPr>
        <w:t>[83]</w:t>
      </w:r>
      <w:r w:rsidR="00DA41A1"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On the other hand, MRE enables qualitative and quantitative assessment of TF without</w:t>
      </w:r>
      <w:r w:rsidR="00B57390" w:rsidRPr="00FC2DDA">
        <w:rPr>
          <w:rFonts w:ascii="Book Antiqua" w:eastAsia="Times New Roman" w:hAnsi="Book Antiqua" w:cs="Times New Roman"/>
          <w:color w:val="auto"/>
          <w:sz w:val="24"/>
          <w:szCs w:val="24"/>
        </w:rPr>
        <w:t xml:space="preserve"> the use of gadolinium chelates</w:t>
      </w:r>
      <w:r w:rsidR="00DA41A1" w:rsidRPr="00FC2DDA">
        <w:rPr>
          <w:rFonts w:ascii="Book Antiqua" w:eastAsia="Times New Roman" w:hAnsi="Book Antiqua" w:cs="Times New Roman"/>
          <w:color w:val="auto"/>
          <w:sz w:val="24"/>
          <w:szCs w:val="24"/>
          <w:vertAlign w:val="superscript"/>
        </w:rPr>
        <w:t>[86]</w:t>
      </w:r>
      <w:r w:rsidRPr="00FC2DDA">
        <w:rPr>
          <w:rFonts w:ascii="Book Antiqua" w:eastAsia="Times New Roman" w:hAnsi="Book Antiqua" w:cs="Times New Roman"/>
          <w:color w:val="auto"/>
          <w:sz w:val="24"/>
          <w:szCs w:val="24"/>
        </w:rPr>
        <w:t>.</w:t>
      </w:r>
    </w:p>
    <w:p w14:paraId="4E5E9981" w14:textId="026674E3" w:rsidR="001B04E3" w:rsidRPr="00FC2DDA" w:rsidRDefault="00FB4404" w:rsidP="00B57390">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 xml:space="preserve">Despite some of the limitations of MRE, it remains a promising technique not only for the evaluation of liver fibrosis but also in the spectrum of </w:t>
      </w:r>
      <w:r w:rsidR="00B57390" w:rsidRPr="00FC2DDA">
        <w:rPr>
          <w:rFonts w:ascii="Book Antiqua" w:eastAsia="Times New Roman" w:hAnsi="Book Antiqua" w:cs="Times New Roman"/>
          <w:color w:val="auto"/>
          <w:sz w:val="24"/>
          <w:szCs w:val="24"/>
        </w:rPr>
        <w:t>diagnosis and prognosis of HCC</w:t>
      </w:r>
      <w:r w:rsidR="00B57390" w:rsidRPr="00FC2DDA">
        <w:rPr>
          <w:rFonts w:ascii="Book Antiqua" w:eastAsia="Times New Roman" w:hAnsi="Book Antiqua" w:cs="Times New Roman"/>
          <w:color w:val="auto"/>
          <w:sz w:val="24"/>
          <w:szCs w:val="24"/>
          <w:vertAlign w:val="superscript"/>
        </w:rPr>
        <w:t>[83,84,</w:t>
      </w:r>
      <w:r w:rsidR="00DA41A1" w:rsidRPr="00FC2DDA">
        <w:rPr>
          <w:rFonts w:ascii="Book Antiqua" w:eastAsia="Times New Roman" w:hAnsi="Book Antiqua" w:cs="Times New Roman"/>
          <w:color w:val="auto"/>
          <w:sz w:val="24"/>
          <w:szCs w:val="24"/>
          <w:vertAlign w:val="superscript"/>
        </w:rPr>
        <w:t>86]</w:t>
      </w:r>
      <w:r w:rsidRPr="00FC2DDA">
        <w:rPr>
          <w:rFonts w:ascii="Book Antiqua" w:eastAsia="Times New Roman" w:hAnsi="Book Antiqua" w:cs="Times New Roman"/>
          <w:color w:val="auto"/>
          <w:sz w:val="24"/>
          <w:szCs w:val="24"/>
        </w:rPr>
        <w:t>.</w:t>
      </w:r>
    </w:p>
    <w:p w14:paraId="453D872A" w14:textId="77777777" w:rsidR="001B04E3" w:rsidRPr="00FC2DDA" w:rsidRDefault="001B04E3" w:rsidP="00AF2AB9">
      <w:pPr>
        <w:snapToGrid w:val="0"/>
        <w:spacing w:after="0" w:line="360" w:lineRule="auto"/>
        <w:jc w:val="both"/>
        <w:rPr>
          <w:rFonts w:ascii="Book Antiqua" w:eastAsia="Times New Roman" w:hAnsi="Book Antiqua" w:cs="Times New Roman"/>
          <w:b/>
          <w:color w:val="auto"/>
          <w:sz w:val="24"/>
          <w:szCs w:val="24"/>
        </w:rPr>
      </w:pPr>
    </w:p>
    <w:p w14:paraId="64772275" w14:textId="77777777" w:rsidR="001B04E3" w:rsidRPr="00FC2DDA" w:rsidRDefault="00FB4404"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RADIOMICS</w:t>
      </w:r>
    </w:p>
    <w:p w14:paraId="2F837D67" w14:textId="3B1E9240" w:rsidR="001B04E3" w:rsidRPr="00FC2DDA" w:rsidRDefault="00FB4404"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Radiomics represents the possibility to convert digital medical images</w:t>
      </w:r>
      <w:r w:rsidR="00B664DE"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CT, MR, or positron emission tomography</w:t>
      </w:r>
      <w:r w:rsidR="00B664DE"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images</w:t>
      </w:r>
      <w:r w:rsidR="00B664DE" w:rsidRPr="00FC2DDA">
        <w:rPr>
          <w:rFonts w:ascii="Book Antiqua" w:hAnsi="Book Antiqua" w:cs="Times New Roman" w:hint="eastAsia"/>
          <w:color w:val="auto"/>
          <w:sz w:val="24"/>
          <w:szCs w:val="24"/>
          <w:lang w:eastAsia="zh-CN"/>
        </w:rPr>
        <w:t>)</w:t>
      </w:r>
      <w:r w:rsidR="00B57390" w:rsidRPr="00FC2DDA">
        <w:rPr>
          <w:rFonts w:ascii="Book Antiqua" w:eastAsia="Times New Roman" w:hAnsi="Book Antiqua" w:cs="Times New Roman"/>
          <w:color w:val="auto"/>
          <w:sz w:val="24"/>
          <w:szCs w:val="24"/>
        </w:rPr>
        <w:t xml:space="preserve"> into high-dimensional data</w:t>
      </w:r>
      <w:r w:rsidR="00356160" w:rsidRPr="00FC2DDA">
        <w:rPr>
          <w:rFonts w:ascii="Book Antiqua" w:eastAsia="Times New Roman" w:hAnsi="Book Antiqua" w:cs="Times New Roman"/>
          <w:color w:val="auto"/>
          <w:sz w:val="24"/>
          <w:szCs w:val="24"/>
          <w:vertAlign w:val="superscript"/>
        </w:rPr>
        <w:t>[89]</w:t>
      </w:r>
      <w:r w:rsidR="00356160"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the hypothesis is that biomedical images contain information that reflects underlying pathophysiology and that these relationships can be revealed </w:t>
      </w:r>
      <w:r w:rsidRPr="00FC2DDA">
        <w:rPr>
          <w:rFonts w:ascii="Book Antiqua" w:eastAsia="Times New Roman" w:hAnsi="Book Antiqua" w:cs="Times New Roman"/>
          <w:i/>
          <w:color w:val="auto"/>
          <w:sz w:val="24"/>
          <w:szCs w:val="24"/>
        </w:rPr>
        <w:t>via</w:t>
      </w:r>
      <w:r w:rsidRPr="00FC2DDA">
        <w:rPr>
          <w:rFonts w:ascii="Book Antiqua" w:eastAsia="Times New Roman" w:hAnsi="Book Antiqua" w:cs="Times New Roman"/>
          <w:color w:val="auto"/>
          <w:sz w:val="24"/>
          <w:szCs w:val="24"/>
        </w:rPr>
        <w:t xml:space="preserve"> quantitative image analyses. MRI based </w:t>
      </w:r>
      <w:r w:rsidRPr="00FC2DDA">
        <w:rPr>
          <w:rFonts w:ascii="Book Antiqua" w:eastAsia="Times New Roman" w:hAnsi="Book Antiqua" w:cs="Times New Roman"/>
          <w:color w:val="auto"/>
          <w:sz w:val="24"/>
          <w:szCs w:val="24"/>
        </w:rPr>
        <w:lastRenderedPageBreak/>
        <w:t>radiomics signature are currently investigated in glioblastoma, breast and faringeal cancer. Nowadays there are not studies about the possibility to use radiomics in the assessment of HCC. The main works are still focus on some complex texture analysis, taking in account just few features, which represent a small and impaired part of radiomics data analysis.</w:t>
      </w:r>
    </w:p>
    <w:p w14:paraId="626EAF2F" w14:textId="67C7469B" w:rsidR="001B04E3" w:rsidRPr="00FC2DDA" w:rsidRDefault="00FB4404" w:rsidP="00B57390">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Controversial results are obtained from different studies concerning the use of texture an</w:t>
      </w:r>
      <w:r w:rsidR="00B57390" w:rsidRPr="00FC2DDA">
        <w:rPr>
          <w:rFonts w:ascii="Book Antiqua" w:eastAsia="Times New Roman" w:hAnsi="Book Antiqua" w:cs="Times New Roman"/>
          <w:color w:val="auto"/>
          <w:sz w:val="24"/>
          <w:szCs w:val="24"/>
        </w:rPr>
        <w:t>alysis in the assessment of HCC</w:t>
      </w:r>
      <w:r w:rsidR="00356160" w:rsidRPr="00FC2DDA">
        <w:rPr>
          <w:rFonts w:ascii="Book Antiqua" w:eastAsia="Times New Roman" w:hAnsi="Book Antiqua" w:cs="Times New Roman"/>
          <w:color w:val="auto"/>
          <w:sz w:val="24"/>
          <w:szCs w:val="24"/>
          <w:vertAlign w:val="superscript"/>
        </w:rPr>
        <w:t>[90-93]</w:t>
      </w:r>
      <w:r w:rsidRPr="00FC2DDA">
        <w:rPr>
          <w:rFonts w:ascii="Book Antiqua" w:eastAsia="Times New Roman" w:hAnsi="Book Antiqua" w:cs="Times New Roman"/>
          <w:color w:val="auto"/>
          <w:sz w:val="24"/>
          <w:szCs w:val="24"/>
        </w:rPr>
        <w:t xml:space="preserve">. The main problems are generate from the difference in equipment, contrast phase chosen for the analysis, type of segmentation (circular ROI </w:t>
      </w:r>
      <w:r w:rsidRPr="00FC2DDA">
        <w:rPr>
          <w:rFonts w:ascii="Book Antiqua" w:eastAsia="Times New Roman" w:hAnsi="Book Antiqua" w:cs="Times New Roman"/>
          <w:i/>
          <w:color w:val="auto"/>
          <w:sz w:val="24"/>
          <w:szCs w:val="24"/>
        </w:rPr>
        <w:t>vs</w:t>
      </w:r>
      <w:r w:rsidRPr="00FC2DDA">
        <w:rPr>
          <w:rFonts w:ascii="Book Antiqua" w:eastAsia="Times New Roman" w:hAnsi="Book Antiqua" w:cs="Times New Roman"/>
          <w:color w:val="auto"/>
          <w:sz w:val="24"/>
          <w:szCs w:val="24"/>
        </w:rPr>
        <w:t xml:space="preserve"> tumor shape ROI, slice analysis vs volumetric ROI analysis). Recently two stud</w:t>
      </w:r>
      <w:r w:rsidR="00D60EE5" w:rsidRPr="00FC2DDA">
        <w:rPr>
          <w:rFonts w:ascii="Book Antiqua" w:eastAsia="Times New Roman" w:hAnsi="Book Antiqua" w:cs="Times New Roman"/>
          <w:color w:val="auto"/>
          <w:sz w:val="24"/>
          <w:szCs w:val="24"/>
        </w:rPr>
        <w:t>ies</w:t>
      </w:r>
      <w:r w:rsidRPr="00FC2DDA">
        <w:rPr>
          <w:rFonts w:ascii="Book Antiqua" w:eastAsia="Times New Roman" w:hAnsi="Book Antiqua" w:cs="Times New Roman"/>
          <w:color w:val="auto"/>
          <w:sz w:val="24"/>
          <w:szCs w:val="24"/>
        </w:rPr>
        <w:t xml:space="preserve"> have been published on the possibility to use complex texture analysis in MRI to assess th</w:t>
      </w:r>
      <w:r w:rsidR="00B57390" w:rsidRPr="00FC2DDA">
        <w:rPr>
          <w:rFonts w:ascii="Book Antiqua" w:eastAsia="Times New Roman" w:hAnsi="Book Antiqua" w:cs="Times New Roman"/>
          <w:color w:val="auto"/>
          <w:sz w:val="24"/>
          <w:szCs w:val="24"/>
        </w:rPr>
        <w:t xml:space="preserve">e malignancy of HCC (Zhou </w:t>
      </w:r>
      <w:r w:rsidR="00B57390" w:rsidRPr="00FC2DDA">
        <w:rPr>
          <w:rFonts w:ascii="Book Antiqua" w:eastAsia="Times New Roman" w:hAnsi="Book Antiqua" w:cs="Times New Roman"/>
          <w:i/>
          <w:color w:val="auto"/>
          <w:sz w:val="24"/>
          <w:szCs w:val="24"/>
        </w:rPr>
        <w:t>et al</w:t>
      </w:r>
      <w:r w:rsidR="00356160" w:rsidRPr="00FC2DDA">
        <w:rPr>
          <w:rFonts w:ascii="Book Antiqua" w:eastAsia="Times New Roman" w:hAnsi="Book Antiqua" w:cs="Times New Roman"/>
          <w:color w:val="auto"/>
          <w:sz w:val="24"/>
          <w:szCs w:val="24"/>
          <w:vertAlign w:val="superscript"/>
        </w:rPr>
        <w:t>[94]</w:t>
      </w:r>
      <w:r w:rsidR="00356160"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or to predict the progression of hypovascular nodules (detected with gadoxetate disodium acid during hepatobiliary phase) into a hypervascular HCC </w:t>
      </w:r>
      <w:r w:rsidR="00B57390" w:rsidRPr="00FC2DDA">
        <w:rPr>
          <w:rFonts w:ascii="Book Antiqua" w:eastAsia="Times New Roman" w:hAnsi="Book Antiqua" w:cs="Times New Roman"/>
          <w:color w:val="auto"/>
          <w:sz w:val="24"/>
          <w:szCs w:val="24"/>
        </w:rPr>
        <w:t>lesions</w:t>
      </w:r>
      <w:r w:rsidR="00356160" w:rsidRPr="00FC2DDA">
        <w:rPr>
          <w:rFonts w:ascii="Book Antiqua" w:eastAsia="Times New Roman" w:hAnsi="Book Antiqua" w:cs="Times New Roman"/>
          <w:color w:val="auto"/>
          <w:sz w:val="24"/>
          <w:szCs w:val="24"/>
          <w:vertAlign w:val="superscript"/>
        </w:rPr>
        <w:t>[90]</w:t>
      </w:r>
      <w:r w:rsidRPr="00FC2DDA">
        <w:rPr>
          <w:rFonts w:ascii="Book Antiqua" w:eastAsia="Times New Roman" w:hAnsi="Book Antiqua" w:cs="Times New Roman"/>
          <w:color w:val="auto"/>
          <w:sz w:val="24"/>
          <w:szCs w:val="24"/>
        </w:rPr>
        <w:t>. In both studies volumetric region of interest (VOI) were evaluated.</w:t>
      </w:r>
    </w:p>
    <w:p w14:paraId="4B4384F3" w14:textId="29299C5F" w:rsidR="001B04E3" w:rsidRPr="00FC2DDA" w:rsidRDefault="00FB4404" w:rsidP="00B57390">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All these preliminary studies demonstrated that, among different features assessed with texture analysis some of them seem to have a better performance on specific dynamic phase (arterial or hepatobiliary) and can give useful information. In order to differentia</w:t>
      </w:r>
      <w:r w:rsidR="00B57390" w:rsidRPr="00FC2DDA">
        <w:rPr>
          <w:rFonts w:ascii="Book Antiqua" w:eastAsia="Times New Roman" w:hAnsi="Book Antiqua" w:cs="Times New Roman"/>
          <w:color w:val="auto"/>
          <w:sz w:val="24"/>
          <w:szCs w:val="24"/>
        </w:rPr>
        <w:t>te low grade and high grade HCC</w:t>
      </w:r>
      <w:r w:rsidR="00356160" w:rsidRPr="00FC2DDA">
        <w:rPr>
          <w:rFonts w:ascii="Book Antiqua" w:eastAsia="Times New Roman" w:hAnsi="Book Antiqua" w:cs="Times New Roman"/>
          <w:color w:val="auto"/>
          <w:sz w:val="24"/>
          <w:szCs w:val="24"/>
          <w:vertAlign w:val="superscript"/>
        </w:rPr>
        <w:t>[94]</w:t>
      </w:r>
      <w:r w:rsidRPr="00FC2DDA">
        <w:rPr>
          <w:rFonts w:ascii="Book Antiqua" w:eastAsia="Times New Roman" w:hAnsi="Book Antiqua" w:cs="Times New Roman"/>
          <w:color w:val="auto"/>
          <w:sz w:val="24"/>
          <w:szCs w:val="24"/>
        </w:rPr>
        <w:t xml:space="preserve">, “mean intensity value” (a histogram feature) presented significantly larger values in low-grade HCCs than in the high-grade HCCs and the values of gray-level run-length nonuniformity (GLN) were significantly smaller in low-grade HCC than </w:t>
      </w:r>
      <w:r w:rsidR="002A7BEC" w:rsidRPr="00FC2DDA">
        <w:rPr>
          <w:rFonts w:ascii="Book Antiqua" w:eastAsia="Times New Roman" w:hAnsi="Book Antiqua" w:cs="Times New Roman"/>
          <w:color w:val="auto"/>
          <w:sz w:val="24"/>
          <w:szCs w:val="24"/>
        </w:rPr>
        <w:t>in</w:t>
      </w:r>
      <w:r w:rsidRPr="00FC2DDA">
        <w:rPr>
          <w:rFonts w:ascii="Book Antiqua" w:eastAsia="Times New Roman" w:hAnsi="Book Antiqua" w:cs="Times New Roman"/>
          <w:color w:val="auto"/>
          <w:sz w:val="24"/>
          <w:szCs w:val="24"/>
        </w:rPr>
        <w:t xml:space="preserve"> high-grade HCCs.</w:t>
      </w:r>
    </w:p>
    <w:p w14:paraId="7850472D" w14:textId="641BAA40" w:rsidR="001B04E3" w:rsidRPr="00FC2DDA" w:rsidRDefault="00FB4404" w:rsidP="00B57390">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 xml:space="preserve">Moreover, in </w:t>
      </w:r>
      <w:r w:rsidR="00D60EE5" w:rsidRPr="00FC2DDA">
        <w:rPr>
          <w:rFonts w:ascii="Book Antiqua" w:eastAsia="Times New Roman" w:hAnsi="Book Antiqua" w:cs="Times New Roman"/>
          <w:color w:val="auto"/>
          <w:sz w:val="24"/>
          <w:szCs w:val="24"/>
        </w:rPr>
        <w:t>an</w:t>
      </w:r>
      <w:r w:rsidRPr="00FC2DDA">
        <w:rPr>
          <w:rFonts w:ascii="Book Antiqua" w:eastAsia="Times New Roman" w:hAnsi="Book Antiqua" w:cs="Times New Roman"/>
          <w:color w:val="auto"/>
          <w:sz w:val="24"/>
          <w:szCs w:val="24"/>
        </w:rPr>
        <w:t>other study</w:t>
      </w:r>
      <w:r w:rsidR="00D60EE5"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 xml:space="preserve">different histogram metrics showed </w:t>
      </w:r>
      <w:r w:rsidR="00D60EE5" w:rsidRPr="00FC2DDA">
        <w:rPr>
          <w:rFonts w:ascii="Book Antiqua" w:eastAsia="Times New Roman" w:hAnsi="Book Antiqua" w:cs="Times New Roman"/>
          <w:color w:val="auto"/>
          <w:sz w:val="24"/>
          <w:szCs w:val="24"/>
        </w:rPr>
        <w:t xml:space="preserve">the possibility </w:t>
      </w:r>
      <w:r w:rsidRPr="00FC2DDA">
        <w:rPr>
          <w:rFonts w:ascii="Book Antiqua" w:eastAsia="Times New Roman" w:hAnsi="Book Antiqua" w:cs="Times New Roman"/>
          <w:color w:val="auto"/>
          <w:sz w:val="24"/>
          <w:szCs w:val="24"/>
        </w:rPr>
        <w:t xml:space="preserve">to predict the progression of </w:t>
      </w:r>
      <w:r w:rsidR="00B57390" w:rsidRPr="00FC2DDA">
        <w:rPr>
          <w:rFonts w:ascii="Book Antiqua" w:eastAsia="Times New Roman" w:hAnsi="Book Antiqua" w:cs="Times New Roman"/>
          <w:color w:val="auto"/>
          <w:sz w:val="24"/>
          <w:szCs w:val="24"/>
        </w:rPr>
        <w:t>hypovascular nodule into an HCC</w:t>
      </w:r>
      <w:r w:rsidR="00356160" w:rsidRPr="00FC2DDA">
        <w:rPr>
          <w:rFonts w:ascii="Book Antiqua" w:eastAsia="Times New Roman" w:hAnsi="Book Antiqua" w:cs="Times New Roman"/>
          <w:color w:val="auto"/>
          <w:sz w:val="24"/>
          <w:szCs w:val="24"/>
          <w:vertAlign w:val="superscript"/>
        </w:rPr>
        <w:t>[90]</w:t>
      </w:r>
      <w:r w:rsidRPr="00FC2DDA">
        <w:rPr>
          <w:rFonts w:ascii="Book Antiqua" w:eastAsia="Times New Roman" w:hAnsi="Book Antiqua" w:cs="Times New Roman"/>
          <w:color w:val="auto"/>
          <w:sz w:val="24"/>
          <w:szCs w:val="24"/>
        </w:rPr>
        <w:t>, using different flip angles and volumetric region of interest.</w:t>
      </w:r>
    </w:p>
    <w:p w14:paraId="3AC76E94" w14:textId="2C2D80D7" w:rsidR="001B04E3" w:rsidRPr="00FC2DDA" w:rsidRDefault="00FB4404" w:rsidP="00B57390">
      <w:pPr>
        <w:snapToGrid w:val="0"/>
        <w:spacing w:after="0" w:line="360" w:lineRule="auto"/>
        <w:ind w:firstLineChars="100" w:firstLine="240"/>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Radiomics appears to offer a nearly limitless supply of imaging biomarkers, that could potentially aid cancer detection, diagnosis, assessment of prognosis, prediction of response to treatment, an</w:t>
      </w:r>
      <w:r w:rsidR="00B57390" w:rsidRPr="00FC2DDA">
        <w:rPr>
          <w:rFonts w:ascii="Book Antiqua" w:eastAsia="Times New Roman" w:hAnsi="Book Antiqua" w:cs="Times New Roman"/>
          <w:color w:val="auto"/>
          <w:sz w:val="24"/>
          <w:szCs w:val="24"/>
        </w:rPr>
        <w:t>d monitoring of disease status</w:t>
      </w:r>
      <w:r w:rsidR="00F75C5E" w:rsidRPr="00FC2DDA">
        <w:rPr>
          <w:rFonts w:ascii="Book Antiqua" w:eastAsia="Times New Roman" w:hAnsi="Book Antiqua" w:cs="Times New Roman"/>
          <w:color w:val="auto"/>
          <w:sz w:val="24"/>
          <w:szCs w:val="24"/>
          <w:vertAlign w:val="superscript"/>
        </w:rPr>
        <w:t>[89]</w:t>
      </w:r>
      <w:r w:rsidRPr="00FC2DDA">
        <w:rPr>
          <w:rFonts w:ascii="Book Antiqua" w:eastAsia="Times New Roman" w:hAnsi="Book Antiqua" w:cs="Times New Roman"/>
          <w:color w:val="auto"/>
          <w:sz w:val="24"/>
          <w:szCs w:val="24"/>
        </w:rPr>
        <w:t xml:space="preserve">. Further studies and validations are required among the performance of the features by themselves, their application according to the different contrast phases available during MRI sequences, and the different MRI equipment. </w:t>
      </w:r>
    </w:p>
    <w:p w14:paraId="3EF589BC" w14:textId="77777777" w:rsidR="00E246A4" w:rsidRPr="00FC2DDA" w:rsidRDefault="00E246A4" w:rsidP="00AF2AB9">
      <w:pPr>
        <w:snapToGrid w:val="0"/>
        <w:spacing w:after="0" w:line="360" w:lineRule="auto"/>
        <w:jc w:val="both"/>
        <w:rPr>
          <w:rFonts w:ascii="Book Antiqua" w:eastAsia="Times New Roman" w:hAnsi="Book Antiqua" w:cs="Times New Roman"/>
          <w:color w:val="auto"/>
          <w:sz w:val="24"/>
          <w:szCs w:val="24"/>
        </w:rPr>
      </w:pPr>
    </w:p>
    <w:p w14:paraId="084A8CD0" w14:textId="77777777" w:rsidR="001B04E3" w:rsidRPr="00FC2DDA" w:rsidRDefault="00FB4404"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CONCLUSION</w:t>
      </w:r>
    </w:p>
    <w:p w14:paraId="2F08C3CE" w14:textId="65C9660A" w:rsidR="001B04E3" w:rsidRPr="00FC2DDA" w:rsidRDefault="00FB4404" w:rsidP="00AF2AB9">
      <w:pPr>
        <w:snapToGrid w:val="0"/>
        <w:spacing w:after="0" w:line="360" w:lineRule="auto"/>
        <w:jc w:val="both"/>
        <w:rPr>
          <w:rFonts w:ascii="Book Antiqua" w:eastAsia="Times" w:hAnsi="Book Antiqua" w:cs="Times"/>
          <w:color w:val="auto"/>
          <w:sz w:val="24"/>
          <w:szCs w:val="24"/>
        </w:rPr>
      </w:pPr>
      <w:bookmarkStart w:id="88" w:name="_Hlk509044961"/>
      <w:r w:rsidRPr="00FC2DDA">
        <w:rPr>
          <w:rFonts w:ascii="Book Antiqua" w:eastAsia="Times" w:hAnsi="Book Antiqua" w:cs="Times"/>
          <w:color w:val="auto"/>
          <w:sz w:val="24"/>
          <w:szCs w:val="24"/>
        </w:rPr>
        <w:lastRenderedPageBreak/>
        <w:t xml:space="preserve">MRI of the liver </w:t>
      </w:r>
      <w:r w:rsidR="006D0C7A" w:rsidRPr="00FC2DDA">
        <w:rPr>
          <w:rFonts w:ascii="Book Antiqua" w:eastAsia="Times" w:hAnsi="Book Antiqua" w:cs="Times"/>
          <w:color w:val="auto"/>
          <w:sz w:val="24"/>
          <w:szCs w:val="24"/>
        </w:rPr>
        <w:t>represents</w:t>
      </w:r>
      <w:r w:rsidRPr="00FC2DDA">
        <w:rPr>
          <w:rFonts w:ascii="Book Antiqua" w:eastAsia="Times" w:hAnsi="Book Antiqua" w:cs="Times"/>
          <w:color w:val="auto"/>
          <w:sz w:val="24"/>
          <w:szCs w:val="24"/>
        </w:rPr>
        <w:t xml:space="preserve"> an important tool for the detection and characterization of focal liver lesions and for the evaluation of diffuse liver disease. </w:t>
      </w:r>
      <w:bookmarkEnd w:id="88"/>
      <w:r w:rsidRPr="00FC2DDA">
        <w:rPr>
          <w:rFonts w:ascii="Book Antiqua" w:eastAsia="Times" w:hAnsi="Book Antiqua" w:cs="Times"/>
          <w:color w:val="auto"/>
          <w:sz w:val="24"/>
          <w:szCs w:val="24"/>
        </w:rPr>
        <w:t xml:space="preserve">The </w:t>
      </w:r>
      <w:r w:rsidR="006D0C7A" w:rsidRPr="00FC2DDA">
        <w:rPr>
          <w:rFonts w:ascii="Book Antiqua" w:eastAsia="Times" w:hAnsi="Book Antiqua" w:cs="Times"/>
          <w:color w:val="auto"/>
          <w:sz w:val="24"/>
          <w:szCs w:val="24"/>
        </w:rPr>
        <w:t xml:space="preserve">main </w:t>
      </w:r>
      <w:r w:rsidRPr="00FC2DDA">
        <w:rPr>
          <w:rFonts w:ascii="Book Antiqua" w:eastAsia="Times" w:hAnsi="Book Antiqua" w:cs="Times"/>
          <w:color w:val="auto"/>
          <w:sz w:val="24"/>
          <w:szCs w:val="24"/>
        </w:rPr>
        <w:t xml:space="preserve">advantages of MRI </w:t>
      </w:r>
      <w:r w:rsidR="006D0C7A" w:rsidRPr="00FC2DDA">
        <w:rPr>
          <w:rFonts w:ascii="Book Antiqua" w:eastAsia="Times" w:hAnsi="Book Antiqua" w:cs="Times"/>
          <w:color w:val="auto"/>
          <w:sz w:val="24"/>
          <w:szCs w:val="24"/>
        </w:rPr>
        <w:t xml:space="preserve">relies on </w:t>
      </w:r>
      <w:r w:rsidRPr="00FC2DDA">
        <w:rPr>
          <w:rFonts w:ascii="Book Antiqua" w:eastAsia="Times" w:hAnsi="Book Antiqua" w:cs="Times"/>
          <w:color w:val="auto"/>
          <w:sz w:val="24"/>
          <w:szCs w:val="24"/>
        </w:rPr>
        <w:t xml:space="preserve">superior soft tissue contrast, </w:t>
      </w:r>
      <w:r w:rsidR="006D0C7A" w:rsidRPr="00FC2DDA">
        <w:rPr>
          <w:rFonts w:ascii="Book Antiqua" w:eastAsia="Times" w:hAnsi="Book Antiqua" w:cs="Times"/>
          <w:color w:val="auto"/>
          <w:sz w:val="24"/>
          <w:szCs w:val="24"/>
        </w:rPr>
        <w:t xml:space="preserve">absence </w:t>
      </w:r>
      <w:r w:rsidRPr="00FC2DDA">
        <w:rPr>
          <w:rFonts w:ascii="Book Antiqua" w:eastAsia="Times" w:hAnsi="Book Antiqua" w:cs="Times"/>
          <w:color w:val="auto"/>
          <w:sz w:val="24"/>
          <w:szCs w:val="24"/>
        </w:rPr>
        <w:t>of ionizing radiation and possibility of performing functional and advanced imaging techniques</w:t>
      </w:r>
      <w:r w:rsidR="001963E2" w:rsidRPr="00FC2DDA">
        <w:rPr>
          <w:rFonts w:ascii="Book Antiqua" w:eastAsia="Times" w:hAnsi="Book Antiqua" w:cs="Times"/>
          <w:color w:val="auto"/>
          <w:sz w:val="24"/>
          <w:szCs w:val="24"/>
        </w:rPr>
        <w:t xml:space="preserve">. </w:t>
      </w:r>
      <w:r w:rsidRPr="00FC2DDA">
        <w:rPr>
          <w:rFonts w:ascii="Book Antiqua" w:eastAsia="Times" w:hAnsi="Book Antiqua" w:cs="Times"/>
          <w:color w:val="auto"/>
          <w:sz w:val="24"/>
          <w:szCs w:val="24"/>
        </w:rPr>
        <w:t xml:space="preserve">Unlike conventional MR imaging sequences, which are usually reported qualitatively based on the varying brightness of tissue, functional MR-imaging techniques </w:t>
      </w:r>
      <w:r w:rsidR="001963E2" w:rsidRPr="00FC2DDA">
        <w:rPr>
          <w:rFonts w:ascii="Book Antiqua" w:eastAsia="Times" w:hAnsi="Book Antiqua" w:cs="Times"/>
          <w:color w:val="auto"/>
          <w:sz w:val="24"/>
          <w:szCs w:val="24"/>
        </w:rPr>
        <w:t>offers</w:t>
      </w:r>
      <w:r w:rsidRPr="00FC2DDA">
        <w:rPr>
          <w:rFonts w:ascii="Book Antiqua" w:eastAsia="Times" w:hAnsi="Book Antiqua" w:cs="Times"/>
          <w:color w:val="auto"/>
          <w:sz w:val="24"/>
          <w:szCs w:val="24"/>
        </w:rPr>
        <w:t xml:space="preserve"> quantitative data. </w:t>
      </w:r>
      <w:r w:rsidR="001828F2" w:rsidRPr="00FC2DDA">
        <w:rPr>
          <w:rFonts w:ascii="Book Antiqua" w:eastAsia="Times" w:hAnsi="Book Antiqua" w:cs="Times"/>
          <w:color w:val="auto"/>
          <w:sz w:val="24"/>
          <w:szCs w:val="24"/>
        </w:rPr>
        <w:t>Among</w:t>
      </w:r>
      <w:r w:rsidRPr="00FC2DDA">
        <w:rPr>
          <w:rFonts w:ascii="Book Antiqua" w:eastAsia="Times" w:hAnsi="Book Antiqua" w:cs="Times"/>
          <w:color w:val="auto"/>
          <w:sz w:val="24"/>
          <w:szCs w:val="24"/>
        </w:rPr>
        <w:t xml:space="preserve"> the </w:t>
      </w:r>
      <w:r w:rsidR="001828F2" w:rsidRPr="00FC2DDA">
        <w:rPr>
          <w:rFonts w:ascii="Book Antiqua" w:eastAsia="Times" w:hAnsi="Book Antiqua" w:cs="Times"/>
          <w:color w:val="auto"/>
          <w:sz w:val="24"/>
          <w:szCs w:val="24"/>
        </w:rPr>
        <w:t xml:space="preserve">different </w:t>
      </w:r>
      <w:r w:rsidRPr="00FC2DDA">
        <w:rPr>
          <w:rFonts w:ascii="Book Antiqua" w:eastAsia="Times" w:hAnsi="Book Antiqua" w:cs="Times"/>
          <w:color w:val="auto"/>
          <w:sz w:val="24"/>
          <w:szCs w:val="24"/>
        </w:rPr>
        <w:t>functional MR imaging techniques,</w:t>
      </w:r>
      <w:r w:rsidR="0044088E" w:rsidRPr="00FC2DDA">
        <w:rPr>
          <w:rFonts w:ascii="Book Antiqua" w:hAnsi="Book Antiqua" w:cs="Times" w:hint="eastAsia"/>
          <w:color w:val="auto"/>
          <w:sz w:val="24"/>
          <w:szCs w:val="24"/>
          <w:lang w:eastAsia="zh-CN"/>
        </w:rPr>
        <w:t xml:space="preserve"> </w:t>
      </w:r>
      <w:r w:rsidR="0044088E" w:rsidRPr="00FC2DDA">
        <w:rPr>
          <w:rFonts w:ascii="Book Antiqua" w:eastAsia="Times" w:hAnsi="Book Antiqua" w:cs="Times"/>
          <w:color w:val="auto"/>
          <w:sz w:val="24"/>
          <w:szCs w:val="24"/>
        </w:rPr>
        <w:t>DWI</w:t>
      </w:r>
      <w:r w:rsidR="00A14A68" w:rsidRPr="00FC2DDA">
        <w:rPr>
          <w:rFonts w:ascii="Book Antiqua" w:eastAsia="Times" w:hAnsi="Book Antiqua" w:cs="Times"/>
          <w:color w:val="auto"/>
          <w:sz w:val="24"/>
          <w:szCs w:val="24"/>
        </w:rPr>
        <w:t>, MR elastography, and T1-</w:t>
      </w:r>
      <w:r w:rsidRPr="00FC2DDA">
        <w:rPr>
          <w:rFonts w:ascii="Book Antiqua" w:eastAsia="Times" w:hAnsi="Book Antiqua" w:cs="Times"/>
          <w:color w:val="auto"/>
          <w:sz w:val="24"/>
          <w:szCs w:val="24"/>
        </w:rPr>
        <w:t>weighted</w:t>
      </w:r>
      <w:r w:rsidR="009934CC" w:rsidRPr="00FC2DDA">
        <w:rPr>
          <w:rFonts w:ascii="Book Antiqua" w:hAnsi="Book Antiqua" w:cs="Times" w:hint="eastAsia"/>
          <w:color w:val="auto"/>
          <w:sz w:val="24"/>
          <w:szCs w:val="24"/>
          <w:lang w:eastAsia="zh-CN"/>
        </w:rPr>
        <w:t xml:space="preserve"> </w:t>
      </w:r>
      <w:r w:rsidRPr="00FC2DDA">
        <w:rPr>
          <w:rFonts w:ascii="Book Antiqua" w:eastAsia="Times" w:hAnsi="Book Antiqua" w:cs="Times"/>
          <w:color w:val="auto"/>
          <w:sz w:val="24"/>
          <w:szCs w:val="24"/>
        </w:rPr>
        <w:t>DCE</w:t>
      </w:r>
      <w:r w:rsidR="009934CC" w:rsidRPr="00FC2DDA">
        <w:rPr>
          <w:rFonts w:ascii="Book Antiqua" w:hAnsi="Book Antiqua" w:cs="Times" w:hint="eastAsia"/>
          <w:color w:val="auto"/>
          <w:sz w:val="24"/>
          <w:szCs w:val="24"/>
          <w:lang w:eastAsia="zh-CN"/>
        </w:rPr>
        <w:t xml:space="preserve"> </w:t>
      </w:r>
      <w:r w:rsidR="00E246A4" w:rsidRPr="00FC2DDA">
        <w:rPr>
          <w:rFonts w:ascii="Book Antiqua" w:eastAsia="Times" w:hAnsi="Book Antiqua" w:cs="Times"/>
          <w:color w:val="auto"/>
          <w:sz w:val="24"/>
          <w:szCs w:val="24"/>
        </w:rPr>
        <w:t xml:space="preserve">sequences </w:t>
      </w:r>
      <w:r w:rsidRPr="00FC2DDA">
        <w:rPr>
          <w:rFonts w:ascii="Book Antiqua" w:eastAsia="Times" w:hAnsi="Book Antiqua" w:cs="Times"/>
          <w:color w:val="auto"/>
          <w:sz w:val="24"/>
          <w:szCs w:val="24"/>
        </w:rPr>
        <w:t xml:space="preserve">are the most likely to find clinical use at present or in the near future in </w:t>
      </w:r>
      <w:r w:rsidR="006D0C7A" w:rsidRPr="00FC2DDA">
        <w:rPr>
          <w:rFonts w:ascii="Book Antiqua" w:eastAsia="Times" w:hAnsi="Book Antiqua" w:cs="Times"/>
          <w:color w:val="auto"/>
          <w:sz w:val="24"/>
          <w:szCs w:val="24"/>
        </w:rPr>
        <w:t xml:space="preserve">liver </w:t>
      </w:r>
      <w:r w:rsidRPr="00FC2DDA">
        <w:rPr>
          <w:rFonts w:ascii="Book Antiqua" w:eastAsia="Times" w:hAnsi="Book Antiqua" w:cs="Times"/>
          <w:color w:val="auto"/>
          <w:sz w:val="24"/>
          <w:szCs w:val="24"/>
        </w:rPr>
        <w:t>imaging.</w:t>
      </w:r>
    </w:p>
    <w:p w14:paraId="7E4C912C" w14:textId="071395BA" w:rsidR="001B04E3" w:rsidRPr="00FC2DDA" w:rsidRDefault="00FB4404" w:rsidP="00B43DD5">
      <w:pPr>
        <w:snapToGrid w:val="0"/>
        <w:spacing w:after="0" w:line="360" w:lineRule="auto"/>
        <w:ind w:firstLineChars="100" w:firstLine="240"/>
        <w:jc w:val="both"/>
        <w:rPr>
          <w:rFonts w:ascii="Book Antiqua" w:eastAsia="Times" w:hAnsi="Book Antiqua" w:cs="Times"/>
          <w:color w:val="auto"/>
          <w:sz w:val="24"/>
          <w:szCs w:val="24"/>
        </w:rPr>
      </w:pPr>
      <w:r w:rsidRPr="00FC2DDA">
        <w:rPr>
          <w:rFonts w:ascii="Book Antiqua" w:eastAsia="Times" w:hAnsi="Book Antiqua" w:cs="Times"/>
          <w:color w:val="auto"/>
          <w:sz w:val="24"/>
          <w:szCs w:val="24"/>
        </w:rPr>
        <w:t xml:space="preserve">The attractions of </w:t>
      </w:r>
      <w:r w:rsidR="006D0C7A" w:rsidRPr="00FC2DDA">
        <w:rPr>
          <w:rFonts w:ascii="Book Antiqua" w:eastAsia="Times" w:hAnsi="Book Antiqua" w:cs="Times"/>
          <w:color w:val="auto"/>
          <w:sz w:val="24"/>
          <w:szCs w:val="24"/>
        </w:rPr>
        <w:t xml:space="preserve">MR </w:t>
      </w:r>
      <w:r w:rsidRPr="00FC2DDA">
        <w:rPr>
          <w:rFonts w:ascii="Book Antiqua" w:eastAsia="Times" w:hAnsi="Book Antiqua" w:cs="Times"/>
          <w:color w:val="auto"/>
          <w:sz w:val="24"/>
          <w:szCs w:val="24"/>
        </w:rPr>
        <w:t xml:space="preserve">functional imaging include the addition of qualitative and quantitative functional information to conventional anatomic sequences, into routine clinical protocols, in order to offer to the clinicians further </w:t>
      </w:r>
      <w:bookmarkStart w:id="89" w:name="_Hlk509044549"/>
      <w:r w:rsidRPr="00FC2DDA">
        <w:rPr>
          <w:rFonts w:ascii="Book Antiqua" w:eastAsia="Times" w:hAnsi="Book Antiqua" w:cs="Times"/>
          <w:color w:val="auto"/>
          <w:sz w:val="24"/>
          <w:szCs w:val="24"/>
        </w:rPr>
        <w:t xml:space="preserve">comprehensive information about the biology, </w:t>
      </w:r>
      <w:r w:rsidR="007F65DB" w:rsidRPr="00FC2DDA">
        <w:rPr>
          <w:rFonts w:ascii="Book Antiqua" w:eastAsia="Times" w:hAnsi="Book Antiqua" w:cs="Times"/>
          <w:color w:val="auto"/>
          <w:sz w:val="24"/>
          <w:szCs w:val="24"/>
        </w:rPr>
        <w:t>behaviour</w:t>
      </w:r>
      <w:r w:rsidRPr="00FC2DDA">
        <w:rPr>
          <w:rFonts w:ascii="Book Antiqua" w:eastAsia="Times" w:hAnsi="Book Antiqua" w:cs="Times"/>
          <w:color w:val="auto"/>
          <w:sz w:val="24"/>
          <w:szCs w:val="24"/>
        </w:rPr>
        <w:t xml:space="preserve"> and prognosis about HCC lesions.</w:t>
      </w:r>
      <w:bookmarkEnd w:id="89"/>
    </w:p>
    <w:p w14:paraId="36975AAB" w14:textId="77777777" w:rsidR="001B04E3" w:rsidRPr="00FC2DDA" w:rsidRDefault="001B04E3" w:rsidP="00AF2AB9">
      <w:pPr>
        <w:snapToGrid w:val="0"/>
        <w:spacing w:after="0" w:line="360" w:lineRule="auto"/>
        <w:jc w:val="both"/>
        <w:rPr>
          <w:rFonts w:ascii="Book Antiqua" w:hAnsi="Book Antiqua" w:cs="Times New Roman"/>
          <w:color w:val="auto"/>
          <w:sz w:val="24"/>
          <w:szCs w:val="24"/>
          <w:lang w:eastAsia="zh-CN"/>
        </w:rPr>
      </w:pPr>
    </w:p>
    <w:p w14:paraId="50C059CB" w14:textId="7E41ABBD" w:rsidR="00265429" w:rsidRPr="00FC2DDA" w:rsidRDefault="00265429"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 xml:space="preserve">ACKNOWLEDGEMENT </w:t>
      </w:r>
    </w:p>
    <w:p w14:paraId="2F0C4A9C" w14:textId="667A1EE8" w:rsidR="00265429" w:rsidRPr="00FC2DDA" w:rsidRDefault="00265429" w:rsidP="00AF2AB9">
      <w:pPr>
        <w:snapToGrid w:val="0"/>
        <w:spacing w:after="0" w:line="360" w:lineRule="auto"/>
        <w:jc w:val="both"/>
        <w:rPr>
          <w:rFonts w:ascii="Book Antiqua" w:hAnsi="Book Antiqua"/>
          <w:color w:val="auto"/>
          <w:sz w:val="24"/>
          <w:szCs w:val="24"/>
        </w:rPr>
      </w:pPr>
      <w:r w:rsidRPr="00FC2DDA">
        <w:rPr>
          <w:rFonts w:ascii="Book Antiqua" w:hAnsi="Book Antiqua"/>
          <w:color w:val="auto"/>
          <w:sz w:val="24"/>
          <w:szCs w:val="24"/>
        </w:rPr>
        <w:t>We wish to thank Prof</w:t>
      </w:r>
      <w:r w:rsidR="00B43DD5" w:rsidRPr="00FC2DDA">
        <w:rPr>
          <w:rFonts w:ascii="Book Antiqua" w:hAnsi="Book Antiqua" w:hint="eastAsia"/>
          <w:color w:val="auto"/>
          <w:sz w:val="24"/>
          <w:szCs w:val="24"/>
          <w:lang w:eastAsia="zh-CN"/>
        </w:rPr>
        <w:t xml:space="preserve">essor </w:t>
      </w:r>
      <w:r w:rsidRPr="00FC2DDA">
        <w:rPr>
          <w:rFonts w:ascii="Book Antiqua" w:hAnsi="Book Antiqua"/>
          <w:color w:val="auto"/>
          <w:sz w:val="24"/>
          <w:szCs w:val="24"/>
        </w:rPr>
        <w:t>Adam Cassels for his contribution in amending and polishing the language of this manuscript.</w:t>
      </w:r>
    </w:p>
    <w:p w14:paraId="45F69B81" w14:textId="77777777" w:rsidR="00265429" w:rsidRPr="00FC2DDA" w:rsidRDefault="00265429" w:rsidP="00AF2AB9">
      <w:pPr>
        <w:snapToGrid w:val="0"/>
        <w:spacing w:after="0" w:line="360" w:lineRule="auto"/>
        <w:jc w:val="both"/>
        <w:rPr>
          <w:rFonts w:ascii="Book Antiqua" w:hAnsi="Book Antiqua"/>
          <w:color w:val="auto"/>
          <w:sz w:val="24"/>
          <w:szCs w:val="24"/>
        </w:rPr>
      </w:pPr>
    </w:p>
    <w:p w14:paraId="001A77FA" w14:textId="77777777" w:rsidR="00DA6934" w:rsidRPr="00FC2DDA" w:rsidRDefault="00DA6934" w:rsidP="00AF2AB9">
      <w:pPr>
        <w:snapToGrid w:val="0"/>
        <w:spacing w:after="0" w:line="360" w:lineRule="auto"/>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br w:type="page"/>
      </w:r>
    </w:p>
    <w:p w14:paraId="7B3B055A" w14:textId="31D62A1D" w:rsidR="00C45786" w:rsidRPr="00FC2DDA" w:rsidRDefault="00C45786"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lastRenderedPageBreak/>
        <w:t>REFERENCES</w:t>
      </w:r>
    </w:p>
    <w:p w14:paraId="0A7FE461"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1 </w:t>
      </w:r>
      <w:r w:rsidRPr="00FC2DDA">
        <w:rPr>
          <w:rFonts w:ascii="Book Antiqua" w:eastAsia="SimSun" w:hAnsi="Book Antiqua" w:cs="Times New Roman"/>
          <w:b/>
          <w:color w:val="auto"/>
          <w:kern w:val="2"/>
          <w:sz w:val="24"/>
          <w:szCs w:val="24"/>
          <w:lang w:val="en-US" w:eastAsia="zh-CN"/>
        </w:rPr>
        <w:t>Ferlay J</w:t>
      </w:r>
      <w:r w:rsidRPr="00FC2DDA">
        <w:rPr>
          <w:rFonts w:ascii="Book Antiqua" w:eastAsia="SimSun" w:hAnsi="Book Antiqua" w:cs="Times New Roman"/>
          <w:color w:val="auto"/>
          <w:kern w:val="2"/>
          <w:sz w:val="24"/>
          <w:szCs w:val="24"/>
          <w:lang w:val="en-US" w:eastAsia="zh-CN"/>
        </w:rPr>
        <w:t xml:space="preserve">, Soerjomataram I, Dikshit R, Eser S, Mathers C, Rebelo M, Parkin DM, Forman D, Bray F. Cancer incidence and mortality worldwide: sources, methods and major patterns in GLOBOCAN 2012. </w:t>
      </w:r>
      <w:r w:rsidRPr="00FC2DDA">
        <w:rPr>
          <w:rFonts w:ascii="Book Antiqua" w:eastAsia="SimSun" w:hAnsi="Book Antiqua" w:cs="Times New Roman"/>
          <w:i/>
          <w:color w:val="auto"/>
          <w:kern w:val="2"/>
          <w:sz w:val="24"/>
          <w:szCs w:val="24"/>
          <w:lang w:val="en-US" w:eastAsia="zh-CN"/>
        </w:rPr>
        <w:t>Int J Cancer</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136</w:t>
      </w:r>
      <w:r w:rsidRPr="00FC2DDA">
        <w:rPr>
          <w:rFonts w:ascii="Book Antiqua" w:eastAsia="SimSun" w:hAnsi="Book Antiqua" w:cs="Times New Roman"/>
          <w:color w:val="auto"/>
          <w:kern w:val="2"/>
          <w:sz w:val="24"/>
          <w:szCs w:val="24"/>
          <w:lang w:val="en-US" w:eastAsia="zh-CN"/>
        </w:rPr>
        <w:t>: E359-E386 [PMID: 25220842 DOI: 10.1002/ijc.29210]</w:t>
      </w:r>
    </w:p>
    <w:p w14:paraId="676906BF"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2 </w:t>
      </w:r>
      <w:r w:rsidRPr="00FC2DDA">
        <w:rPr>
          <w:rFonts w:ascii="Book Antiqua" w:eastAsia="SimSun" w:hAnsi="Book Antiqua" w:cs="Times New Roman"/>
          <w:b/>
          <w:color w:val="auto"/>
          <w:kern w:val="2"/>
          <w:sz w:val="24"/>
          <w:szCs w:val="24"/>
          <w:lang w:val="en-US" w:eastAsia="zh-CN"/>
        </w:rPr>
        <w:t>El-Serag HB</w:t>
      </w:r>
      <w:r w:rsidRPr="00FC2DDA">
        <w:rPr>
          <w:rFonts w:ascii="Book Antiqua" w:eastAsia="SimSun" w:hAnsi="Book Antiqua" w:cs="Times New Roman"/>
          <w:color w:val="auto"/>
          <w:kern w:val="2"/>
          <w:sz w:val="24"/>
          <w:szCs w:val="24"/>
          <w:lang w:val="en-US" w:eastAsia="zh-CN"/>
        </w:rPr>
        <w:t xml:space="preserve">, Mason AC. Rising incidence of hepatocellular carcinoma in the United States. </w:t>
      </w:r>
      <w:r w:rsidRPr="00FC2DDA">
        <w:rPr>
          <w:rFonts w:ascii="Book Antiqua" w:eastAsia="SimSun" w:hAnsi="Book Antiqua" w:cs="Times New Roman"/>
          <w:i/>
          <w:color w:val="auto"/>
          <w:kern w:val="2"/>
          <w:sz w:val="24"/>
          <w:szCs w:val="24"/>
          <w:lang w:val="en-US" w:eastAsia="zh-CN"/>
        </w:rPr>
        <w:t>N Engl J Med</w:t>
      </w:r>
      <w:r w:rsidRPr="00FC2DDA">
        <w:rPr>
          <w:rFonts w:ascii="Book Antiqua" w:eastAsia="SimSun" w:hAnsi="Book Antiqua" w:cs="Times New Roman"/>
          <w:color w:val="auto"/>
          <w:kern w:val="2"/>
          <w:sz w:val="24"/>
          <w:szCs w:val="24"/>
          <w:lang w:val="en-US" w:eastAsia="zh-CN"/>
        </w:rPr>
        <w:t xml:space="preserve"> 1999; </w:t>
      </w:r>
      <w:r w:rsidRPr="00FC2DDA">
        <w:rPr>
          <w:rFonts w:ascii="Book Antiqua" w:eastAsia="SimSun" w:hAnsi="Book Antiqua" w:cs="Times New Roman"/>
          <w:b/>
          <w:color w:val="auto"/>
          <w:kern w:val="2"/>
          <w:sz w:val="24"/>
          <w:szCs w:val="24"/>
          <w:lang w:val="en-US" w:eastAsia="zh-CN"/>
        </w:rPr>
        <w:t>340</w:t>
      </w:r>
      <w:r w:rsidRPr="00FC2DDA">
        <w:rPr>
          <w:rFonts w:ascii="Book Antiqua" w:eastAsia="SimSun" w:hAnsi="Book Antiqua" w:cs="Times New Roman"/>
          <w:color w:val="auto"/>
          <w:kern w:val="2"/>
          <w:sz w:val="24"/>
          <w:szCs w:val="24"/>
          <w:lang w:val="en-US" w:eastAsia="zh-CN"/>
        </w:rPr>
        <w:t>: 745-750 [PMID: 10072408 DOI: 10.1056/NEJM199903113401001]</w:t>
      </w:r>
    </w:p>
    <w:p w14:paraId="4334BF5A"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3 </w:t>
      </w:r>
      <w:r w:rsidRPr="00FC2DDA">
        <w:rPr>
          <w:rFonts w:ascii="Book Antiqua" w:eastAsia="SimSun" w:hAnsi="Book Antiqua" w:cs="Times New Roman"/>
          <w:b/>
          <w:color w:val="auto"/>
          <w:kern w:val="2"/>
          <w:sz w:val="24"/>
          <w:szCs w:val="24"/>
          <w:lang w:val="en-US" w:eastAsia="zh-CN"/>
        </w:rPr>
        <w:t>Sangiovanni A</w:t>
      </w:r>
      <w:r w:rsidRPr="00FC2DDA">
        <w:rPr>
          <w:rFonts w:ascii="Book Antiqua" w:eastAsia="SimSun" w:hAnsi="Book Antiqua" w:cs="Times New Roman"/>
          <w:color w:val="auto"/>
          <w:kern w:val="2"/>
          <w:sz w:val="24"/>
          <w:szCs w:val="24"/>
          <w:lang w:val="en-US" w:eastAsia="zh-CN"/>
        </w:rPr>
        <w:t xml:space="preserve">, Prati GM, Fasani P, Ronchi G, Romeo R, Manini M, Del Ninno E, Morabito A, Colombo M. The natural history of compensated cirrhosis due to hepatitis C virus: A 17-year cohort study of 214 patients. </w:t>
      </w:r>
      <w:r w:rsidRPr="00FC2DDA">
        <w:rPr>
          <w:rFonts w:ascii="Book Antiqua" w:eastAsia="SimSun" w:hAnsi="Book Antiqua" w:cs="Times New Roman"/>
          <w:i/>
          <w:color w:val="auto"/>
          <w:kern w:val="2"/>
          <w:sz w:val="24"/>
          <w:szCs w:val="24"/>
          <w:lang w:val="en-US" w:eastAsia="zh-CN"/>
        </w:rPr>
        <w:t>Hepatology</w:t>
      </w:r>
      <w:r w:rsidRPr="00FC2DDA">
        <w:rPr>
          <w:rFonts w:ascii="Book Antiqua" w:eastAsia="SimSun" w:hAnsi="Book Antiqua" w:cs="Times New Roman"/>
          <w:color w:val="auto"/>
          <w:kern w:val="2"/>
          <w:sz w:val="24"/>
          <w:szCs w:val="24"/>
          <w:lang w:val="en-US" w:eastAsia="zh-CN"/>
        </w:rPr>
        <w:t xml:space="preserve"> 2006; </w:t>
      </w:r>
      <w:r w:rsidRPr="00FC2DDA">
        <w:rPr>
          <w:rFonts w:ascii="Book Antiqua" w:eastAsia="SimSun" w:hAnsi="Book Antiqua" w:cs="Times New Roman"/>
          <w:b/>
          <w:color w:val="auto"/>
          <w:kern w:val="2"/>
          <w:sz w:val="24"/>
          <w:szCs w:val="24"/>
          <w:lang w:val="en-US" w:eastAsia="zh-CN"/>
        </w:rPr>
        <w:t>43</w:t>
      </w:r>
      <w:r w:rsidRPr="00FC2DDA">
        <w:rPr>
          <w:rFonts w:ascii="Book Antiqua" w:eastAsia="SimSun" w:hAnsi="Book Antiqua" w:cs="Times New Roman"/>
          <w:color w:val="auto"/>
          <w:kern w:val="2"/>
          <w:sz w:val="24"/>
          <w:szCs w:val="24"/>
          <w:lang w:val="en-US" w:eastAsia="zh-CN"/>
        </w:rPr>
        <w:t>: 1303-1310 [PMID: 16729298 DOI: 10.1002/hep.21176]</w:t>
      </w:r>
    </w:p>
    <w:p w14:paraId="599DC419"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4 </w:t>
      </w:r>
      <w:r w:rsidRPr="00FC2DDA">
        <w:rPr>
          <w:rFonts w:ascii="Book Antiqua" w:eastAsia="SimSun" w:hAnsi="Book Antiqua" w:cs="Times New Roman"/>
          <w:b/>
          <w:color w:val="auto"/>
          <w:kern w:val="2"/>
          <w:sz w:val="24"/>
          <w:szCs w:val="24"/>
          <w:lang w:val="en-US" w:eastAsia="zh-CN"/>
        </w:rPr>
        <w:t>Bosch FX</w:t>
      </w:r>
      <w:r w:rsidRPr="00FC2DDA">
        <w:rPr>
          <w:rFonts w:ascii="Book Antiqua" w:eastAsia="SimSun" w:hAnsi="Book Antiqua" w:cs="Times New Roman"/>
          <w:color w:val="auto"/>
          <w:kern w:val="2"/>
          <w:sz w:val="24"/>
          <w:szCs w:val="24"/>
          <w:lang w:val="en-US" w:eastAsia="zh-CN"/>
        </w:rPr>
        <w:t xml:space="preserve">, Ribes J, Cléries R, Díaz M. Epidemiology of hepatocellular carcinoma. </w:t>
      </w:r>
      <w:r w:rsidRPr="00FC2DDA">
        <w:rPr>
          <w:rFonts w:ascii="Book Antiqua" w:eastAsia="SimSun" w:hAnsi="Book Antiqua" w:cs="Times New Roman"/>
          <w:i/>
          <w:color w:val="auto"/>
          <w:kern w:val="2"/>
          <w:sz w:val="24"/>
          <w:szCs w:val="24"/>
          <w:lang w:val="en-US" w:eastAsia="zh-CN"/>
        </w:rPr>
        <w:t>Clin Liver Dis</w:t>
      </w:r>
      <w:r w:rsidRPr="00FC2DDA">
        <w:rPr>
          <w:rFonts w:ascii="Book Antiqua" w:eastAsia="SimSun" w:hAnsi="Book Antiqua" w:cs="Times New Roman"/>
          <w:color w:val="auto"/>
          <w:kern w:val="2"/>
          <w:sz w:val="24"/>
          <w:szCs w:val="24"/>
          <w:lang w:val="en-US" w:eastAsia="zh-CN"/>
        </w:rPr>
        <w:t xml:space="preserve"> 2005; </w:t>
      </w:r>
      <w:r w:rsidRPr="00FC2DDA">
        <w:rPr>
          <w:rFonts w:ascii="Book Antiqua" w:eastAsia="SimSun" w:hAnsi="Book Antiqua" w:cs="Times New Roman"/>
          <w:b/>
          <w:color w:val="auto"/>
          <w:kern w:val="2"/>
          <w:sz w:val="24"/>
          <w:szCs w:val="24"/>
          <w:lang w:val="en-US" w:eastAsia="zh-CN"/>
        </w:rPr>
        <w:t>9</w:t>
      </w:r>
      <w:r w:rsidRPr="00FC2DDA">
        <w:rPr>
          <w:rFonts w:ascii="Book Antiqua" w:eastAsia="SimSun" w:hAnsi="Book Antiqua" w:cs="Times New Roman"/>
          <w:color w:val="auto"/>
          <w:kern w:val="2"/>
          <w:sz w:val="24"/>
          <w:szCs w:val="24"/>
          <w:lang w:val="en-US" w:eastAsia="zh-CN"/>
        </w:rPr>
        <w:t>: 191-211, v [PMID: 15831268 DOI: 10.1016/j.cld.2004.12.009]</w:t>
      </w:r>
    </w:p>
    <w:p w14:paraId="1478DC36"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5 </w:t>
      </w:r>
      <w:r w:rsidRPr="00FC2DDA">
        <w:rPr>
          <w:rFonts w:ascii="Book Antiqua" w:eastAsia="SimSun" w:hAnsi="Book Antiqua" w:cs="Times New Roman"/>
          <w:b/>
          <w:color w:val="auto"/>
          <w:kern w:val="2"/>
          <w:sz w:val="24"/>
          <w:szCs w:val="24"/>
          <w:lang w:val="en-US" w:eastAsia="zh-CN"/>
        </w:rPr>
        <w:t>Singal AK</w:t>
      </w:r>
      <w:r w:rsidRPr="00FC2DDA">
        <w:rPr>
          <w:rFonts w:ascii="Book Antiqua" w:eastAsia="SimSun" w:hAnsi="Book Antiqua" w:cs="Times New Roman"/>
          <w:color w:val="auto"/>
          <w:kern w:val="2"/>
          <w:sz w:val="24"/>
          <w:szCs w:val="24"/>
          <w:lang w:val="en-US" w:eastAsia="zh-CN"/>
        </w:rPr>
        <w:t xml:space="preserve">, Singh A, Jaganmohan S, Guturu P, Mummadi R, Kuo YF, Sood GK. Antiviral therapy reduces risk of hepatocellular carcinoma in patients with hepatitis C virus-related cirrhosis. </w:t>
      </w:r>
      <w:r w:rsidRPr="00FC2DDA">
        <w:rPr>
          <w:rFonts w:ascii="Book Antiqua" w:eastAsia="SimSun" w:hAnsi="Book Antiqua" w:cs="Times New Roman"/>
          <w:i/>
          <w:color w:val="auto"/>
          <w:kern w:val="2"/>
          <w:sz w:val="24"/>
          <w:szCs w:val="24"/>
          <w:lang w:val="en-US" w:eastAsia="zh-CN"/>
        </w:rPr>
        <w:t>Clin Gastroenterol Hepatol</w:t>
      </w:r>
      <w:r w:rsidRPr="00FC2DDA">
        <w:rPr>
          <w:rFonts w:ascii="Book Antiqua" w:eastAsia="SimSun" w:hAnsi="Book Antiqua" w:cs="Times New Roman"/>
          <w:color w:val="auto"/>
          <w:kern w:val="2"/>
          <w:sz w:val="24"/>
          <w:szCs w:val="24"/>
          <w:lang w:val="en-US" w:eastAsia="zh-CN"/>
        </w:rPr>
        <w:t xml:space="preserve"> 2010; </w:t>
      </w:r>
      <w:r w:rsidRPr="00FC2DDA">
        <w:rPr>
          <w:rFonts w:ascii="Book Antiqua" w:eastAsia="SimSun" w:hAnsi="Book Antiqua" w:cs="Times New Roman"/>
          <w:b/>
          <w:color w:val="auto"/>
          <w:kern w:val="2"/>
          <w:sz w:val="24"/>
          <w:szCs w:val="24"/>
          <w:lang w:val="en-US" w:eastAsia="zh-CN"/>
        </w:rPr>
        <w:t>8</w:t>
      </w:r>
      <w:r w:rsidRPr="00FC2DDA">
        <w:rPr>
          <w:rFonts w:ascii="Book Antiqua" w:eastAsia="SimSun" w:hAnsi="Book Antiqua" w:cs="Times New Roman"/>
          <w:color w:val="auto"/>
          <w:kern w:val="2"/>
          <w:sz w:val="24"/>
          <w:szCs w:val="24"/>
          <w:lang w:val="en-US" w:eastAsia="zh-CN"/>
        </w:rPr>
        <w:t>: 192-199 [PMID: 19879972 DOI: 10.1016/j.cgh.2009.10.026]</w:t>
      </w:r>
    </w:p>
    <w:p w14:paraId="7BA4B105"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6 </w:t>
      </w:r>
      <w:r w:rsidRPr="00FC2DDA">
        <w:rPr>
          <w:rFonts w:ascii="Book Antiqua" w:eastAsia="SimSun" w:hAnsi="Book Antiqua" w:cs="Times New Roman"/>
          <w:b/>
          <w:color w:val="auto"/>
          <w:kern w:val="2"/>
          <w:sz w:val="24"/>
          <w:szCs w:val="24"/>
          <w:lang w:val="en-US" w:eastAsia="zh-CN"/>
        </w:rPr>
        <w:t>Zanetti AR</w:t>
      </w:r>
      <w:r w:rsidRPr="00FC2DDA">
        <w:rPr>
          <w:rFonts w:ascii="Book Antiqua" w:eastAsia="SimSun" w:hAnsi="Book Antiqua" w:cs="Times New Roman"/>
          <w:color w:val="auto"/>
          <w:kern w:val="2"/>
          <w:sz w:val="24"/>
          <w:szCs w:val="24"/>
          <w:lang w:val="en-US" w:eastAsia="zh-CN"/>
        </w:rPr>
        <w:t xml:space="preserve">, Van Damme P, Shouval D. The global impact of vaccination against hepatitis B: a historical overview. </w:t>
      </w:r>
      <w:r w:rsidRPr="00FC2DDA">
        <w:rPr>
          <w:rFonts w:ascii="Book Antiqua" w:eastAsia="SimSun" w:hAnsi="Book Antiqua" w:cs="Times New Roman"/>
          <w:i/>
          <w:color w:val="auto"/>
          <w:kern w:val="2"/>
          <w:sz w:val="24"/>
          <w:szCs w:val="24"/>
          <w:lang w:val="en-US" w:eastAsia="zh-CN"/>
        </w:rPr>
        <w:t>Vaccine</w:t>
      </w:r>
      <w:r w:rsidRPr="00FC2DDA">
        <w:rPr>
          <w:rFonts w:ascii="Book Antiqua" w:eastAsia="SimSun" w:hAnsi="Book Antiqua" w:cs="Times New Roman"/>
          <w:color w:val="auto"/>
          <w:kern w:val="2"/>
          <w:sz w:val="24"/>
          <w:szCs w:val="24"/>
          <w:lang w:val="en-US" w:eastAsia="zh-CN"/>
        </w:rPr>
        <w:t xml:space="preserve"> 2008; </w:t>
      </w:r>
      <w:r w:rsidRPr="00FC2DDA">
        <w:rPr>
          <w:rFonts w:ascii="Book Antiqua" w:eastAsia="SimSun" w:hAnsi="Book Antiqua" w:cs="Times New Roman"/>
          <w:b/>
          <w:color w:val="auto"/>
          <w:kern w:val="2"/>
          <w:sz w:val="24"/>
          <w:szCs w:val="24"/>
          <w:lang w:val="en-US" w:eastAsia="zh-CN"/>
        </w:rPr>
        <w:t>26</w:t>
      </w:r>
      <w:r w:rsidRPr="00FC2DDA">
        <w:rPr>
          <w:rFonts w:ascii="Book Antiqua" w:eastAsia="SimSun" w:hAnsi="Book Antiqua" w:cs="Times New Roman"/>
          <w:color w:val="auto"/>
          <w:kern w:val="2"/>
          <w:sz w:val="24"/>
          <w:szCs w:val="24"/>
          <w:lang w:val="en-US" w:eastAsia="zh-CN"/>
        </w:rPr>
        <w:t>: 6266-6273 [PMID: 18848855 DOI: 10.1016/j.vaccine.2008.09.056]</w:t>
      </w:r>
    </w:p>
    <w:p w14:paraId="78280FDD"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7 </w:t>
      </w:r>
      <w:r w:rsidRPr="00FC2DDA">
        <w:rPr>
          <w:rFonts w:ascii="Book Antiqua" w:eastAsia="SimSun" w:hAnsi="Book Antiqua" w:cs="Times New Roman"/>
          <w:b/>
          <w:color w:val="auto"/>
          <w:kern w:val="2"/>
          <w:sz w:val="24"/>
          <w:szCs w:val="24"/>
          <w:lang w:val="en-US" w:eastAsia="zh-CN"/>
        </w:rPr>
        <w:t>Mittal S</w:t>
      </w:r>
      <w:r w:rsidRPr="00FC2DDA">
        <w:rPr>
          <w:rFonts w:ascii="Book Antiqua" w:eastAsia="SimSun" w:hAnsi="Book Antiqua" w:cs="Times New Roman"/>
          <w:color w:val="auto"/>
          <w:kern w:val="2"/>
          <w:sz w:val="24"/>
          <w:szCs w:val="24"/>
          <w:lang w:val="en-US" w:eastAsia="zh-CN"/>
        </w:rPr>
        <w:t xml:space="preserve">, El-Serag HB. Epidemiology of hepatocellular carcinoma: consider the population. </w:t>
      </w:r>
      <w:r w:rsidRPr="00FC2DDA">
        <w:rPr>
          <w:rFonts w:ascii="Book Antiqua" w:eastAsia="SimSun" w:hAnsi="Book Antiqua" w:cs="Times New Roman"/>
          <w:i/>
          <w:color w:val="auto"/>
          <w:kern w:val="2"/>
          <w:sz w:val="24"/>
          <w:szCs w:val="24"/>
          <w:lang w:val="en-US" w:eastAsia="zh-CN"/>
        </w:rPr>
        <w:t>J Clin Gastroenterol</w:t>
      </w:r>
      <w:r w:rsidRPr="00FC2DDA">
        <w:rPr>
          <w:rFonts w:ascii="Book Antiqua" w:eastAsia="SimSun" w:hAnsi="Book Antiqua" w:cs="Times New Roman"/>
          <w:color w:val="auto"/>
          <w:kern w:val="2"/>
          <w:sz w:val="24"/>
          <w:szCs w:val="24"/>
          <w:lang w:val="en-US" w:eastAsia="zh-CN"/>
        </w:rPr>
        <w:t xml:space="preserve"> 2013; </w:t>
      </w:r>
      <w:r w:rsidRPr="00FC2DDA">
        <w:rPr>
          <w:rFonts w:ascii="Book Antiqua" w:eastAsia="SimSun" w:hAnsi="Book Antiqua" w:cs="Times New Roman"/>
          <w:b/>
          <w:color w:val="auto"/>
          <w:kern w:val="2"/>
          <w:sz w:val="24"/>
          <w:szCs w:val="24"/>
          <w:lang w:val="en-US" w:eastAsia="zh-CN"/>
        </w:rPr>
        <w:t>47 Suppl</w:t>
      </w:r>
      <w:r w:rsidRPr="00FC2DDA">
        <w:rPr>
          <w:rFonts w:ascii="Book Antiqua" w:eastAsia="SimSun" w:hAnsi="Book Antiqua" w:cs="Times New Roman"/>
          <w:color w:val="auto"/>
          <w:kern w:val="2"/>
          <w:sz w:val="24"/>
          <w:szCs w:val="24"/>
          <w:lang w:val="en-US" w:eastAsia="zh-CN"/>
        </w:rPr>
        <w:t>: S2-S6 [PMID: 23632345 DOI: 10.1097/MCG.0b013e3182872f29.Epidemiology]</w:t>
      </w:r>
    </w:p>
    <w:p w14:paraId="33F585A6"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8 </w:t>
      </w:r>
      <w:r w:rsidRPr="00FC2DDA">
        <w:rPr>
          <w:rFonts w:ascii="Book Antiqua" w:eastAsia="SimSun" w:hAnsi="Book Antiqua" w:cs="Times New Roman"/>
          <w:b/>
          <w:color w:val="auto"/>
          <w:kern w:val="2"/>
          <w:sz w:val="24"/>
          <w:szCs w:val="24"/>
          <w:lang w:val="en-US" w:eastAsia="zh-CN"/>
        </w:rPr>
        <w:t>Dyson J</w:t>
      </w:r>
      <w:r w:rsidRPr="00FC2DDA">
        <w:rPr>
          <w:rFonts w:ascii="Book Antiqua" w:eastAsia="SimSun" w:hAnsi="Book Antiqua" w:cs="Times New Roman"/>
          <w:color w:val="auto"/>
          <w:kern w:val="2"/>
          <w:sz w:val="24"/>
          <w:szCs w:val="24"/>
          <w:lang w:val="en-US" w:eastAsia="zh-CN"/>
        </w:rPr>
        <w:t xml:space="preserve">, Jaques B, Chattopadyhay D, Lochan R, Graham J, Das D, Aslam T, Patanwala I, Gaggar S, Cole M, Sumpter K, Stewart S, Rose J, Hudson M, Manas D, Reeves HL. Hepatocellular cancer: the impact of obesity, type 2 diabetes and a multidisciplinary team. </w:t>
      </w:r>
      <w:r w:rsidRPr="00FC2DDA">
        <w:rPr>
          <w:rFonts w:ascii="Book Antiqua" w:eastAsia="SimSun" w:hAnsi="Book Antiqua" w:cs="Times New Roman"/>
          <w:i/>
          <w:color w:val="auto"/>
          <w:kern w:val="2"/>
          <w:sz w:val="24"/>
          <w:szCs w:val="24"/>
          <w:lang w:val="en-US" w:eastAsia="zh-CN"/>
        </w:rPr>
        <w:t>J Hepatol</w:t>
      </w:r>
      <w:r w:rsidRPr="00FC2DDA">
        <w:rPr>
          <w:rFonts w:ascii="Book Antiqua" w:eastAsia="SimSun" w:hAnsi="Book Antiqua" w:cs="Times New Roman"/>
          <w:color w:val="auto"/>
          <w:kern w:val="2"/>
          <w:sz w:val="24"/>
          <w:szCs w:val="24"/>
          <w:lang w:val="en-US" w:eastAsia="zh-CN"/>
        </w:rPr>
        <w:t xml:space="preserve"> 2014; </w:t>
      </w:r>
      <w:r w:rsidRPr="00FC2DDA">
        <w:rPr>
          <w:rFonts w:ascii="Book Antiqua" w:eastAsia="SimSun" w:hAnsi="Book Antiqua" w:cs="Times New Roman"/>
          <w:b/>
          <w:color w:val="auto"/>
          <w:kern w:val="2"/>
          <w:sz w:val="24"/>
          <w:szCs w:val="24"/>
          <w:lang w:val="en-US" w:eastAsia="zh-CN"/>
        </w:rPr>
        <w:t>60</w:t>
      </w:r>
      <w:r w:rsidRPr="00FC2DDA">
        <w:rPr>
          <w:rFonts w:ascii="Book Antiqua" w:eastAsia="SimSun" w:hAnsi="Book Antiqua" w:cs="Times New Roman"/>
          <w:color w:val="auto"/>
          <w:kern w:val="2"/>
          <w:sz w:val="24"/>
          <w:szCs w:val="24"/>
          <w:lang w:val="en-US" w:eastAsia="zh-CN"/>
        </w:rPr>
        <w:t>: 110-117 [PMID: 23978719 DOI: 10.1016/j.jhep.2013.08.011]</w:t>
      </w:r>
    </w:p>
    <w:p w14:paraId="6D150E97"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9 </w:t>
      </w:r>
      <w:r w:rsidRPr="00FC2DDA">
        <w:rPr>
          <w:rFonts w:ascii="Book Antiqua" w:eastAsia="SimSun" w:hAnsi="Book Antiqua" w:cs="Times New Roman"/>
          <w:b/>
          <w:color w:val="auto"/>
          <w:kern w:val="2"/>
          <w:sz w:val="24"/>
          <w:szCs w:val="24"/>
          <w:lang w:val="en-US" w:eastAsia="zh-CN"/>
        </w:rPr>
        <w:t>Siegel AB</w:t>
      </w:r>
      <w:r w:rsidRPr="00FC2DDA">
        <w:rPr>
          <w:rFonts w:ascii="Book Antiqua" w:eastAsia="SimSun" w:hAnsi="Book Antiqua" w:cs="Times New Roman"/>
          <w:color w:val="auto"/>
          <w:kern w:val="2"/>
          <w:sz w:val="24"/>
          <w:szCs w:val="24"/>
          <w:lang w:val="en-US" w:eastAsia="zh-CN"/>
        </w:rPr>
        <w:t xml:space="preserve">, Zhu AX. Metabolic syndrome and hepatocellular carcinoma: two growing epidemics with a potential link. </w:t>
      </w:r>
      <w:r w:rsidRPr="00FC2DDA">
        <w:rPr>
          <w:rFonts w:ascii="Book Antiqua" w:eastAsia="SimSun" w:hAnsi="Book Antiqua" w:cs="Times New Roman"/>
          <w:i/>
          <w:color w:val="auto"/>
          <w:kern w:val="2"/>
          <w:sz w:val="24"/>
          <w:szCs w:val="24"/>
          <w:lang w:val="en-US" w:eastAsia="zh-CN"/>
        </w:rPr>
        <w:t>Cancer</w:t>
      </w:r>
      <w:r w:rsidRPr="00FC2DDA">
        <w:rPr>
          <w:rFonts w:ascii="Book Antiqua" w:eastAsia="SimSun" w:hAnsi="Book Antiqua" w:cs="Times New Roman"/>
          <w:color w:val="auto"/>
          <w:kern w:val="2"/>
          <w:sz w:val="24"/>
          <w:szCs w:val="24"/>
          <w:lang w:val="en-US" w:eastAsia="zh-CN"/>
        </w:rPr>
        <w:t xml:space="preserve"> 2009; </w:t>
      </w:r>
      <w:r w:rsidRPr="00FC2DDA">
        <w:rPr>
          <w:rFonts w:ascii="Book Antiqua" w:eastAsia="SimSun" w:hAnsi="Book Antiqua" w:cs="Times New Roman"/>
          <w:b/>
          <w:color w:val="auto"/>
          <w:kern w:val="2"/>
          <w:sz w:val="24"/>
          <w:szCs w:val="24"/>
          <w:lang w:val="en-US" w:eastAsia="zh-CN"/>
        </w:rPr>
        <w:t>115</w:t>
      </w:r>
      <w:r w:rsidRPr="00FC2DDA">
        <w:rPr>
          <w:rFonts w:ascii="Book Antiqua" w:eastAsia="SimSun" w:hAnsi="Book Antiqua" w:cs="Times New Roman"/>
          <w:color w:val="auto"/>
          <w:kern w:val="2"/>
          <w:sz w:val="24"/>
          <w:szCs w:val="24"/>
          <w:lang w:val="en-US" w:eastAsia="zh-CN"/>
        </w:rPr>
        <w:t>: 5651-5661 [PMID: 19834957 DOI: 10.1002/cncr.24687]</w:t>
      </w:r>
    </w:p>
    <w:p w14:paraId="5BDD962A"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10 </w:t>
      </w:r>
      <w:r w:rsidRPr="00FC2DDA">
        <w:rPr>
          <w:rFonts w:ascii="Book Antiqua" w:eastAsia="SimSun" w:hAnsi="Book Antiqua" w:cs="Times New Roman"/>
          <w:b/>
          <w:color w:val="auto"/>
          <w:kern w:val="2"/>
          <w:sz w:val="24"/>
          <w:szCs w:val="24"/>
          <w:lang w:val="en-US" w:eastAsia="zh-CN"/>
        </w:rPr>
        <w:t>Kudo M</w:t>
      </w:r>
      <w:r w:rsidRPr="00FC2DDA">
        <w:rPr>
          <w:rFonts w:ascii="Book Antiqua" w:eastAsia="SimSun" w:hAnsi="Book Antiqua" w:cs="Times New Roman"/>
          <w:color w:val="auto"/>
          <w:kern w:val="2"/>
          <w:sz w:val="24"/>
          <w:szCs w:val="24"/>
          <w:lang w:val="en-US" w:eastAsia="zh-CN"/>
        </w:rPr>
        <w:t xml:space="preserve">. Multistep human hepatocarcinogenesis: correlation of imaging with </w:t>
      </w:r>
      <w:r w:rsidRPr="00FC2DDA">
        <w:rPr>
          <w:rFonts w:ascii="Book Antiqua" w:eastAsia="SimSun" w:hAnsi="Book Antiqua" w:cs="Times New Roman"/>
          <w:color w:val="auto"/>
          <w:kern w:val="2"/>
          <w:sz w:val="24"/>
          <w:szCs w:val="24"/>
          <w:lang w:val="en-US" w:eastAsia="zh-CN"/>
        </w:rPr>
        <w:lastRenderedPageBreak/>
        <w:t xml:space="preserve">pathology. </w:t>
      </w:r>
      <w:r w:rsidRPr="00FC2DDA">
        <w:rPr>
          <w:rFonts w:ascii="Book Antiqua" w:eastAsia="SimSun" w:hAnsi="Book Antiqua" w:cs="Times New Roman"/>
          <w:i/>
          <w:color w:val="auto"/>
          <w:kern w:val="2"/>
          <w:sz w:val="24"/>
          <w:szCs w:val="24"/>
          <w:lang w:val="en-US" w:eastAsia="zh-CN"/>
        </w:rPr>
        <w:t>J Gastroenterol</w:t>
      </w:r>
      <w:r w:rsidRPr="00FC2DDA">
        <w:rPr>
          <w:rFonts w:ascii="Book Antiqua" w:eastAsia="SimSun" w:hAnsi="Book Antiqua" w:cs="Times New Roman"/>
          <w:color w:val="auto"/>
          <w:kern w:val="2"/>
          <w:sz w:val="24"/>
          <w:szCs w:val="24"/>
          <w:lang w:val="en-US" w:eastAsia="zh-CN"/>
        </w:rPr>
        <w:t xml:space="preserve"> 2009; </w:t>
      </w:r>
      <w:r w:rsidRPr="00FC2DDA">
        <w:rPr>
          <w:rFonts w:ascii="Book Antiqua" w:eastAsia="SimSun" w:hAnsi="Book Antiqua" w:cs="Times New Roman"/>
          <w:b/>
          <w:color w:val="auto"/>
          <w:kern w:val="2"/>
          <w:sz w:val="24"/>
          <w:szCs w:val="24"/>
          <w:lang w:val="en-US" w:eastAsia="zh-CN"/>
        </w:rPr>
        <w:t>44 Suppl 19</w:t>
      </w:r>
      <w:r w:rsidRPr="00FC2DDA">
        <w:rPr>
          <w:rFonts w:ascii="Book Antiqua" w:eastAsia="SimSun" w:hAnsi="Book Antiqua" w:cs="Times New Roman"/>
          <w:color w:val="auto"/>
          <w:kern w:val="2"/>
          <w:sz w:val="24"/>
          <w:szCs w:val="24"/>
          <w:lang w:val="en-US" w:eastAsia="zh-CN"/>
        </w:rPr>
        <w:t>: 112-118 [PMID: 19148804 DOI: 10.1007/s00535-008-2274-6]</w:t>
      </w:r>
    </w:p>
    <w:p w14:paraId="5ED6A4E5"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11 </w:t>
      </w:r>
      <w:r w:rsidRPr="00FC2DDA">
        <w:rPr>
          <w:rFonts w:ascii="Book Antiqua" w:eastAsia="SimSun" w:hAnsi="Book Antiqua" w:cs="Times New Roman"/>
          <w:b/>
          <w:color w:val="auto"/>
          <w:kern w:val="2"/>
          <w:sz w:val="24"/>
          <w:szCs w:val="24"/>
          <w:lang w:val="en-US" w:eastAsia="zh-CN"/>
        </w:rPr>
        <w:t>European Association For The Study Of The Liver</w:t>
      </w:r>
      <w:r w:rsidRPr="00FC2DDA">
        <w:rPr>
          <w:rFonts w:ascii="Book Antiqua" w:eastAsia="SimSun" w:hAnsi="Book Antiqua" w:cs="Times New Roman"/>
          <w:color w:val="auto"/>
          <w:kern w:val="2"/>
          <w:sz w:val="24"/>
          <w:szCs w:val="24"/>
          <w:lang w:val="en-US" w:eastAsia="zh-CN"/>
        </w:rPr>
        <w:t xml:space="preserve">; European Organisation For Research And Treatment Of Cancer. EASL-EORTC clinical practice guidelines: management of hepatocellular carcinoma. </w:t>
      </w:r>
      <w:r w:rsidRPr="00FC2DDA">
        <w:rPr>
          <w:rFonts w:ascii="Book Antiqua" w:eastAsia="SimSun" w:hAnsi="Book Antiqua" w:cs="Times New Roman"/>
          <w:i/>
          <w:color w:val="auto"/>
          <w:kern w:val="2"/>
          <w:sz w:val="24"/>
          <w:szCs w:val="24"/>
          <w:lang w:val="en-US" w:eastAsia="zh-CN"/>
        </w:rPr>
        <w:t>J Hepatol</w:t>
      </w:r>
      <w:r w:rsidRPr="00FC2DDA">
        <w:rPr>
          <w:rFonts w:ascii="Book Antiqua" w:eastAsia="SimSun" w:hAnsi="Book Antiqua" w:cs="Times New Roman"/>
          <w:color w:val="auto"/>
          <w:kern w:val="2"/>
          <w:sz w:val="24"/>
          <w:szCs w:val="24"/>
          <w:lang w:val="en-US" w:eastAsia="zh-CN"/>
        </w:rPr>
        <w:t xml:space="preserve"> 2012; </w:t>
      </w:r>
      <w:r w:rsidRPr="00FC2DDA">
        <w:rPr>
          <w:rFonts w:ascii="Book Antiqua" w:eastAsia="SimSun" w:hAnsi="Book Antiqua" w:cs="Times New Roman"/>
          <w:b/>
          <w:color w:val="auto"/>
          <w:kern w:val="2"/>
          <w:sz w:val="24"/>
          <w:szCs w:val="24"/>
          <w:lang w:val="en-US" w:eastAsia="zh-CN"/>
        </w:rPr>
        <w:t>56</w:t>
      </w:r>
      <w:r w:rsidRPr="00FC2DDA">
        <w:rPr>
          <w:rFonts w:ascii="Book Antiqua" w:eastAsia="SimSun" w:hAnsi="Book Antiqua" w:cs="Times New Roman"/>
          <w:color w:val="auto"/>
          <w:kern w:val="2"/>
          <w:sz w:val="24"/>
          <w:szCs w:val="24"/>
          <w:lang w:val="en-US" w:eastAsia="zh-CN"/>
        </w:rPr>
        <w:t>: 908-943 [PMID: 22424438 DOI: 10.1016/j.jhep.2011.12.001]</w:t>
      </w:r>
    </w:p>
    <w:p w14:paraId="6B80C4A6"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12 </w:t>
      </w:r>
      <w:r w:rsidRPr="00FC2DDA">
        <w:rPr>
          <w:rFonts w:ascii="Book Antiqua" w:eastAsia="SimSun" w:hAnsi="Book Antiqua" w:cs="Times New Roman"/>
          <w:b/>
          <w:color w:val="auto"/>
          <w:kern w:val="2"/>
          <w:sz w:val="24"/>
          <w:szCs w:val="24"/>
          <w:lang w:val="en-US" w:eastAsia="zh-CN"/>
        </w:rPr>
        <w:t>Bruix J</w:t>
      </w:r>
      <w:r w:rsidRPr="00FC2DDA">
        <w:rPr>
          <w:rFonts w:ascii="Book Antiqua" w:eastAsia="SimSun" w:hAnsi="Book Antiqua" w:cs="Times New Roman"/>
          <w:color w:val="auto"/>
          <w:kern w:val="2"/>
          <w:sz w:val="24"/>
          <w:szCs w:val="24"/>
          <w:lang w:val="en-US" w:eastAsia="zh-CN"/>
        </w:rPr>
        <w:t xml:space="preserve">, Sherman M; American Association for the Study of Liver Diseases. Management of hepatocellular carcinoma: an update. </w:t>
      </w:r>
      <w:r w:rsidRPr="00FC2DDA">
        <w:rPr>
          <w:rFonts w:ascii="Book Antiqua" w:eastAsia="SimSun" w:hAnsi="Book Antiqua" w:cs="Times New Roman"/>
          <w:i/>
          <w:color w:val="auto"/>
          <w:kern w:val="2"/>
          <w:sz w:val="24"/>
          <w:szCs w:val="24"/>
          <w:lang w:val="en-US" w:eastAsia="zh-CN"/>
        </w:rPr>
        <w:t>Hepatology</w:t>
      </w:r>
      <w:r w:rsidRPr="00FC2DDA">
        <w:rPr>
          <w:rFonts w:ascii="Book Antiqua" w:eastAsia="SimSun" w:hAnsi="Book Antiqua" w:cs="Times New Roman"/>
          <w:color w:val="auto"/>
          <w:kern w:val="2"/>
          <w:sz w:val="24"/>
          <w:szCs w:val="24"/>
          <w:lang w:val="en-US" w:eastAsia="zh-CN"/>
        </w:rPr>
        <w:t xml:space="preserve"> 2011; </w:t>
      </w:r>
      <w:r w:rsidRPr="00FC2DDA">
        <w:rPr>
          <w:rFonts w:ascii="Book Antiqua" w:eastAsia="SimSun" w:hAnsi="Book Antiqua" w:cs="Times New Roman"/>
          <w:b/>
          <w:color w:val="auto"/>
          <w:kern w:val="2"/>
          <w:sz w:val="24"/>
          <w:szCs w:val="24"/>
          <w:lang w:val="en-US" w:eastAsia="zh-CN"/>
        </w:rPr>
        <w:t>53</w:t>
      </w:r>
      <w:r w:rsidRPr="00FC2DDA">
        <w:rPr>
          <w:rFonts w:ascii="Book Antiqua" w:eastAsia="SimSun" w:hAnsi="Book Antiqua" w:cs="Times New Roman"/>
          <w:color w:val="auto"/>
          <w:kern w:val="2"/>
          <w:sz w:val="24"/>
          <w:szCs w:val="24"/>
          <w:lang w:val="en-US" w:eastAsia="zh-CN"/>
        </w:rPr>
        <w:t>: 1020-1022 [PMID: 21374666 DOI: 10.1002/hep.24199]</w:t>
      </w:r>
    </w:p>
    <w:p w14:paraId="4604FDE1"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13 </w:t>
      </w:r>
      <w:r w:rsidRPr="00FC2DDA">
        <w:rPr>
          <w:rFonts w:ascii="Book Antiqua" w:eastAsia="SimSun" w:hAnsi="Book Antiqua" w:cs="Times New Roman"/>
          <w:b/>
          <w:color w:val="auto"/>
          <w:kern w:val="2"/>
          <w:sz w:val="24"/>
          <w:szCs w:val="24"/>
          <w:lang w:val="en-US" w:eastAsia="zh-CN"/>
        </w:rPr>
        <w:t>Colli A</w:t>
      </w:r>
      <w:r w:rsidRPr="00FC2DDA">
        <w:rPr>
          <w:rFonts w:ascii="Book Antiqua" w:eastAsia="SimSun" w:hAnsi="Book Antiqua" w:cs="Times New Roman"/>
          <w:color w:val="auto"/>
          <w:kern w:val="2"/>
          <w:sz w:val="24"/>
          <w:szCs w:val="24"/>
          <w:lang w:val="en-US" w:eastAsia="zh-CN"/>
        </w:rPr>
        <w:t xml:space="preserve">, Fraquelli M, Casazza G, Massironi S, Colucci A, Conte D, Duca P. Accuracy of ultrasonography, spiral CT, magnetic resonance, and alpha-fetoprotein in diagnosing hepatocellular carcinoma: a systematic review. </w:t>
      </w:r>
      <w:r w:rsidRPr="00FC2DDA">
        <w:rPr>
          <w:rFonts w:ascii="Book Antiqua" w:eastAsia="SimSun" w:hAnsi="Book Antiqua" w:cs="Times New Roman"/>
          <w:i/>
          <w:color w:val="auto"/>
          <w:kern w:val="2"/>
          <w:sz w:val="24"/>
          <w:szCs w:val="24"/>
          <w:lang w:val="en-US" w:eastAsia="zh-CN"/>
        </w:rPr>
        <w:t>Am J Gastroenterol</w:t>
      </w:r>
      <w:r w:rsidRPr="00FC2DDA">
        <w:rPr>
          <w:rFonts w:ascii="Book Antiqua" w:eastAsia="SimSun" w:hAnsi="Book Antiqua" w:cs="Times New Roman"/>
          <w:color w:val="auto"/>
          <w:kern w:val="2"/>
          <w:sz w:val="24"/>
          <w:szCs w:val="24"/>
          <w:lang w:val="en-US" w:eastAsia="zh-CN"/>
        </w:rPr>
        <w:t xml:space="preserve"> 2006; </w:t>
      </w:r>
      <w:r w:rsidRPr="00FC2DDA">
        <w:rPr>
          <w:rFonts w:ascii="Book Antiqua" w:eastAsia="SimSun" w:hAnsi="Book Antiqua" w:cs="Times New Roman"/>
          <w:b/>
          <w:color w:val="auto"/>
          <w:kern w:val="2"/>
          <w:sz w:val="24"/>
          <w:szCs w:val="24"/>
          <w:lang w:val="en-US" w:eastAsia="zh-CN"/>
        </w:rPr>
        <w:t>101</w:t>
      </w:r>
      <w:r w:rsidRPr="00FC2DDA">
        <w:rPr>
          <w:rFonts w:ascii="Book Antiqua" w:eastAsia="SimSun" w:hAnsi="Book Antiqua" w:cs="Times New Roman"/>
          <w:color w:val="auto"/>
          <w:kern w:val="2"/>
          <w:sz w:val="24"/>
          <w:szCs w:val="24"/>
          <w:lang w:val="en-US" w:eastAsia="zh-CN"/>
        </w:rPr>
        <w:t>: 513-523 [PMID: 16542288 DOI: 10.1111/j.1572-0241.2006.00467.x]</w:t>
      </w:r>
    </w:p>
    <w:p w14:paraId="488C7808"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14 </w:t>
      </w:r>
      <w:r w:rsidRPr="00FC2DDA">
        <w:rPr>
          <w:rFonts w:ascii="Book Antiqua" w:eastAsia="SimSun" w:hAnsi="Book Antiqua" w:cs="Times New Roman"/>
          <w:b/>
          <w:color w:val="auto"/>
          <w:kern w:val="2"/>
          <w:sz w:val="24"/>
          <w:szCs w:val="24"/>
          <w:lang w:val="en-US" w:eastAsia="zh-CN"/>
        </w:rPr>
        <w:t>Burrel M</w:t>
      </w:r>
      <w:r w:rsidRPr="00FC2DDA">
        <w:rPr>
          <w:rFonts w:ascii="Book Antiqua" w:eastAsia="SimSun" w:hAnsi="Book Antiqua" w:cs="Times New Roman"/>
          <w:color w:val="auto"/>
          <w:kern w:val="2"/>
          <w:sz w:val="24"/>
          <w:szCs w:val="24"/>
          <w:lang w:val="en-US" w:eastAsia="zh-CN"/>
        </w:rPr>
        <w:t xml:space="preserve">, Llovet JM, Ayuso C, Iglesias C, Sala M, Miquel R, Caralt T, Ayuso JR, Solé M, Sanchez M, Brú C, Bruix J; Barcelona Clínic Liver Cancer Group. MRI angiography is superior to helical CT for detection of HCC prior to liver transplantation: an explant correlation. </w:t>
      </w:r>
      <w:r w:rsidRPr="00FC2DDA">
        <w:rPr>
          <w:rFonts w:ascii="Book Antiqua" w:eastAsia="SimSun" w:hAnsi="Book Antiqua" w:cs="Times New Roman"/>
          <w:i/>
          <w:color w:val="auto"/>
          <w:kern w:val="2"/>
          <w:sz w:val="24"/>
          <w:szCs w:val="24"/>
          <w:lang w:val="en-US" w:eastAsia="zh-CN"/>
        </w:rPr>
        <w:t>Hepatology</w:t>
      </w:r>
      <w:r w:rsidRPr="00FC2DDA">
        <w:rPr>
          <w:rFonts w:ascii="Book Antiqua" w:eastAsia="SimSun" w:hAnsi="Book Antiqua" w:cs="Times New Roman"/>
          <w:color w:val="auto"/>
          <w:kern w:val="2"/>
          <w:sz w:val="24"/>
          <w:szCs w:val="24"/>
          <w:lang w:val="en-US" w:eastAsia="zh-CN"/>
        </w:rPr>
        <w:t xml:space="preserve"> 2003; </w:t>
      </w:r>
      <w:r w:rsidRPr="00FC2DDA">
        <w:rPr>
          <w:rFonts w:ascii="Book Antiqua" w:eastAsia="SimSun" w:hAnsi="Book Antiqua" w:cs="Times New Roman"/>
          <w:b/>
          <w:color w:val="auto"/>
          <w:kern w:val="2"/>
          <w:sz w:val="24"/>
          <w:szCs w:val="24"/>
          <w:lang w:val="en-US" w:eastAsia="zh-CN"/>
        </w:rPr>
        <w:t>38</w:t>
      </w:r>
      <w:r w:rsidRPr="00FC2DDA">
        <w:rPr>
          <w:rFonts w:ascii="Book Antiqua" w:eastAsia="SimSun" w:hAnsi="Book Antiqua" w:cs="Times New Roman"/>
          <w:color w:val="auto"/>
          <w:kern w:val="2"/>
          <w:sz w:val="24"/>
          <w:szCs w:val="24"/>
          <w:lang w:val="en-US" w:eastAsia="zh-CN"/>
        </w:rPr>
        <w:t>: 1034-1042 [PMID: 14512891 DOI: 10.1053/jhep.2003.50409]</w:t>
      </w:r>
    </w:p>
    <w:p w14:paraId="4FE595D5"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15 </w:t>
      </w:r>
      <w:r w:rsidRPr="00FC2DDA">
        <w:rPr>
          <w:rFonts w:ascii="Book Antiqua" w:eastAsia="SimSun" w:hAnsi="Book Antiqua" w:cs="Times New Roman"/>
          <w:b/>
          <w:color w:val="auto"/>
          <w:kern w:val="2"/>
          <w:sz w:val="24"/>
          <w:szCs w:val="24"/>
          <w:lang w:val="en-US" w:eastAsia="zh-CN"/>
        </w:rPr>
        <w:t>Kim BR</w:t>
      </w:r>
      <w:r w:rsidRPr="00FC2DDA">
        <w:rPr>
          <w:rFonts w:ascii="Book Antiqua" w:eastAsia="SimSun" w:hAnsi="Book Antiqua" w:cs="Times New Roman"/>
          <w:color w:val="auto"/>
          <w:kern w:val="2"/>
          <w:sz w:val="24"/>
          <w:szCs w:val="24"/>
          <w:lang w:val="en-US" w:eastAsia="zh-CN"/>
        </w:rPr>
        <w:t xml:space="preserve">, Lee JM, Lee DH, Yoon JH, Hur BY, Suh KS, Yi NJ, Lee KB, Han JK. Diagnostic Performance of Gadoxetic Acid-enhanced Liver MR Imaging versus Multidetector CT in the Detection of Dysplastic Nodules and Early Hepatocellular Carcinoma.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2017; </w:t>
      </w:r>
      <w:r w:rsidRPr="00FC2DDA">
        <w:rPr>
          <w:rFonts w:ascii="Book Antiqua" w:eastAsia="SimSun" w:hAnsi="Book Antiqua" w:cs="Times New Roman"/>
          <w:b/>
          <w:color w:val="auto"/>
          <w:kern w:val="2"/>
          <w:sz w:val="24"/>
          <w:szCs w:val="24"/>
          <w:lang w:val="en-US" w:eastAsia="zh-CN"/>
        </w:rPr>
        <w:t>285</w:t>
      </w:r>
      <w:r w:rsidRPr="00FC2DDA">
        <w:rPr>
          <w:rFonts w:ascii="Book Antiqua" w:eastAsia="SimSun" w:hAnsi="Book Antiqua" w:cs="Times New Roman"/>
          <w:color w:val="auto"/>
          <w:kern w:val="2"/>
          <w:sz w:val="24"/>
          <w:szCs w:val="24"/>
          <w:lang w:val="en-US" w:eastAsia="zh-CN"/>
        </w:rPr>
        <w:t>: 134-146 [PMID: 28609205 DOI: 10.1148/radiol.2017162080]</w:t>
      </w:r>
    </w:p>
    <w:p w14:paraId="35B1FECC"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16 </w:t>
      </w:r>
      <w:r w:rsidRPr="00FC2DDA">
        <w:rPr>
          <w:rFonts w:ascii="Book Antiqua" w:eastAsia="SimSun" w:hAnsi="Book Antiqua" w:cs="Times New Roman"/>
          <w:b/>
          <w:color w:val="auto"/>
          <w:kern w:val="2"/>
          <w:sz w:val="24"/>
          <w:szCs w:val="24"/>
          <w:lang w:val="en-US" w:eastAsia="zh-CN"/>
        </w:rPr>
        <w:t>Golfieri R</w:t>
      </w:r>
      <w:r w:rsidRPr="00FC2DDA">
        <w:rPr>
          <w:rFonts w:ascii="Book Antiqua" w:eastAsia="SimSun" w:hAnsi="Book Antiqua" w:cs="Times New Roman"/>
          <w:color w:val="auto"/>
          <w:kern w:val="2"/>
          <w:sz w:val="24"/>
          <w:szCs w:val="24"/>
          <w:lang w:val="en-US" w:eastAsia="zh-CN"/>
        </w:rPr>
        <w:t xml:space="preserve">, Garzillo G, Ascanio S, Renzulli M. Focal lesions in the cirrhotic liver: their pivotal role in gadoxetic acid-enhanced MRI and recognition by the Western guidelines. </w:t>
      </w:r>
      <w:r w:rsidRPr="00FC2DDA">
        <w:rPr>
          <w:rFonts w:ascii="Book Antiqua" w:eastAsia="SimSun" w:hAnsi="Book Antiqua" w:cs="Times New Roman"/>
          <w:i/>
          <w:color w:val="auto"/>
          <w:kern w:val="2"/>
          <w:sz w:val="24"/>
          <w:szCs w:val="24"/>
          <w:lang w:val="en-US" w:eastAsia="zh-CN"/>
        </w:rPr>
        <w:t>Dig Dis</w:t>
      </w:r>
      <w:r w:rsidRPr="00FC2DDA">
        <w:rPr>
          <w:rFonts w:ascii="Book Antiqua" w:eastAsia="SimSun" w:hAnsi="Book Antiqua" w:cs="Times New Roman"/>
          <w:color w:val="auto"/>
          <w:kern w:val="2"/>
          <w:sz w:val="24"/>
          <w:szCs w:val="24"/>
          <w:lang w:val="en-US" w:eastAsia="zh-CN"/>
        </w:rPr>
        <w:t xml:space="preserve"> 2014; </w:t>
      </w:r>
      <w:r w:rsidRPr="00FC2DDA">
        <w:rPr>
          <w:rFonts w:ascii="Book Antiqua" w:eastAsia="SimSun" w:hAnsi="Book Antiqua" w:cs="Times New Roman"/>
          <w:b/>
          <w:color w:val="auto"/>
          <w:kern w:val="2"/>
          <w:sz w:val="24"/>
          <w:szCs w:val="24"/>
          <w:lang w:val="en-US" w:eastAsia="zh-CN"/>
        </w:rPr>
        <w:t>32</w:t>
      </w:r>
      <w:r w:rsidRPr="00FC2DDA">
        <w:rPr>
          <w:rFonts w:ascii="Book Antiqua" w:eastAsia="SimSun" w:hAnsi="Book Antiqua" w:cs="Times New Roman"/>
          <w:color w:val="auto"/>
          <w:kern w:val="2"/>
          <w:sz w:val="24"/>
          <w:szCs w:val="24"/>
          <w:lang w:val="en-US" w:eastAsia="zh-CN"/>
        </w:rPr>
        <w:t>: 696-704 [PMID: 25376286 DOI: 10.1159/000368002]</w:t>
      </w:r>
    </w:p>
    <w:p w14:paraId="0888999A"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17 </w:t>
      </w:r>
      <w:r w:rsidRPr="00FC2DDA">
        <w:rPr>
          <w:rFonts w:ascii="Book Antiqua" w:eastAsia="SimSun" w:hAnsi="Book Antiqua" w:cs="Times New Roman"/>
          <w:b/>
          <w:color w:val="auto"/>
          <w:kern w:val="2"/>
          <w:sz w:val="24"/>
          <w:szCs w:val="24"/>
          <w:lang w:val="en-US" w:eastAsia="zh-CN"/>
        </w:rPr>
        <w:t>Park MJ</w:t>
      </w:r>
      <w:r w:rsidRPr="00FC2DDA">
        <w:rPr>
          <w:rFonts w:ascii="Book Antiqua" w:eastAsia="SimSun" w:hAnsi="Book Antiqua" w:cs="Times New Roman"/>
          <w:color w:val="auto"/>
          <w:kern w:val="2"/>
          <w:sz w:val="24"/>
          <w:szCs w:val="24"/>
          <w:lang w:val="en-US" w:eastAsia="zh-CN"/>
        </w:rPr>
        <w:t xml:space="preserve">, Kim YK, Lee MW, Lee WJ, Kim YS, Kim SH, Choi D, Rhim H. Small hepatocellular carcinomas: improved sensitivity by combining gadoxetic acid-enhanced and diffusion-weighted MR imaging patterns.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2012; </w:t>
      </w:r>
      <w:r w:rsidRPr="00FC2DDA">
        <w:rPr>
          <w:rFonts w:ascii="Book Antiqua" w:eastAsia="SimSun" w:hAnsi="Book Antiqua" w:cs="Times New Roman"/>
          <w:b/>
          <w:color w:val="auto"/>
          <w:kern w:val="2"/>
          <w:sz w:val="24"/>
          <w:szCs w:val="24"/>
          <w:lang w:val="en-US" w:eastAsia="zh-CN"/>
        </w:rPr>
        <w:t>264</w:t>
      </w:r>
      <w:r w:rsidRPr="00FC2DDA">
        <w:rPr>
          <w:rFonts w:ascii="Book Antiqua" w:eastAsia="SimSun" w:hAnsi="Book Antiqua" w:cs="Times New Roman"/>
          <w:color w:val="auto"/>
          <w:kern w:val="2"/>
          <w:sz w:val="24"/>
          <w:szCs w:val="24"/>
          <w:lang w:val="en-US" w:eastAsia="zh-CN"/>
        </w:rPr>
        <w:t>: 761-770 [PMID: 22843769 DOI: 10.1148/radiol.12112517]</w:t>
      </w:r>
    </w:p>
    <w:p w14:paraId="7B7952FA"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18 </w:t>
      </w:r>
      <w:r w:rsidRPr="00FC2DDA">
        <w:rPr>
          <w:rFonts w:ascii="Book Antiqua" w:eastAsia="SimSun" w:hAnsi="Book Antiqua" w:cs="Times New Roman"/>
          <w:b/>
          <w:color w:val="auto"/>
          <w:kern w:val="2"/>
          <w:sz w:val="24"/>
          <w:szCs w:val="24"/>
          <w:lang w:val="en-US" w:eastAsia="zh-CN"/>
        </w:rPr>
        <w:t>Xiao YD</w:t>
      </w:r>
      <w:r w:rsidRPr="00FC2DDA">
        <w:rPr>
          <w:rFonts w:ascii="Book Antiqua" w:eastAsia="SimSun" w:hAnsi="Book Antiqua" w:cs="Times New Roman"/>
          <w:color w:val="auto"/>
          <w:kern w:val="2"/>
          <w:sz w:val="24"/>
          <w:szCs w:val="24"/>
          <w:lang w:val="en-US" w:eastAsia="zh-CN"/>
        </w:rPr>
        <w:t xml:space="preserve">, Paudel R, Liu J, Ma C, Zhang ZS, Zhou SK. MRI contrast agents: Classification and application (Review). </w:t>
      </w:r>
      <w:r w:rsidRPr="00FC2DDA">
        <w:rPr>
          <w:rFonts w:ascii="Book Antiqua" w:eastAsia="SimSun" w:hAnsi="Book Antiqua" w:cs="Times New Roman"/>
          <w:i/>
          <w:color w:val="auto"/>
          <w:kern w:val="2"/>
          <w:sz w:val="24"/>
          <w:szCs w:val="24"/>
          <w:lang w:val="en-US" w:eastAsia="zh-CN"/>
        </w:rPr>
        <w:t>Int J Mol Med</w:t>
      </w:r>
      <w:r w:rsidRPr="00FC2DDA">
        <w:rPr>
          <w:rFonts w:ascii="Book Antiqua" w:eastAsia="SimSun" w:hAnsi="Book Antiqua" w:cs="Times New Roman"/>
          <w:color w:val="auto"/>
          <w:kern w:val="2"/>
          <w:sz w:val="24"/>
          <w:szCs w:val="24"/>
          <w:lang w:val="en-US" w:eastAsia="zh-CN"/>
        </w:rPr>
        <w:t xml:space="preserve"> 2016; </w:t>
      </w:r>
      <w:r w:rsidRPr="00FC2DDA">
        <w:rPr>
          <w:rFonts w:ascii="Book Antiqua" w:eastAsia="SimSun" w:hAnsi="Book Antiqua" w:cs="Times New Roman"/>
          <w:b/>
          <w:color w:val="auto"/>
          <w:kern w:val="2"/>
          <w:sz w:val="24"/>
          <w:szCs w:val="24"/>
          <w:lang w:val="en-US" w:eastAsia="zh-CN"/>
        </w:rPr>
        <w:t>38</w:t>
      </w:r>
      <w:r w:rsidRPr="00FC2DDA">
        <w:rPr>
          <w:rFonts w:ascii="Book Antiqua" w:eastAsia="SimSun" w:hAnsi="Book Antiqua" w:cs="Times New Roman"/>
          <w:color w:val="auto"/>
          <w:kern w:val="2"/>
          <w:sz w:val="24"/>
          <w:szCs w:val="24"/>
          <w:lang w:val="en-US" w:eastAsia="zh-CN"/>
        </w:rPr>
        <w:t>: 1319-1326 [PMID: 27666161 DOI: 10.3892/ijmm.2016.2744]</w:t>
      </w:r>
    </w:p>
    <w:p w14:paraId="78713D33"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19 </w:t>
      </w:r>
      <w:r w:rsidRPr="00FC2DDA">
        <w:rPr>
          <w:rFonts w:ascii="Book Antiqua" w:eastAsia="SimSun" w:hAnsi="Book Antiqua" w:cs="Times New Roman"/>
          <w:b/>
          <w:color w:val="auto"/>
          <w:kern w:val="2"/>
          <w:sz w:val="24"/>
          <w:szCs w:val="24"/>
          <w:lang w:val="en-US" w:eastAsia="zh-CN"/>
        </w:rPr>
        <w:t>Balci NC</w:t>
      </w:r>
      <w:r w:rsidRPr="00FC2DDA">
        <w:rPr>
          <w:rFonts w:ascii="Book Antiqua" w:eastAsia="SimSun" w:hAnsi="Book Antiqua" w:cs="Times New Roman"/>
          <w:color w:val="auto"/>
          <w:kern w:val="2"/>
          <w:sz w:val="24"/>
          <w:szCs w:val="24"/>
          <w:lang w:val="en-US" w:eastAsia="zh-CN"/>
        </w:rPr>
        <w:t xml:space="preserve">, Semelka RC. Contrast agents for MR imaging of the liver. </w:t>
      </w:r>
      <w:r w:rsidRPr="00FC2DDA">
        <w:rPr>
          <w:rFonts w:ascii="Book Antiqua" w:eastAsia="SimSun" w:hAnsi="Book Antiqua" w:cs="Times New Roman"/>
          <w:i/>
          <w:color w:val="auto"/>
          <w:kern w:val="2"/>
          <w:sz w:val="24"/>
          <w:szCs w:val="24"/>
          <w:lang w:val="en-US" w:eastAsia="zh-CN"/>
        </w:rPr>
        <w:t xml:space="preserve">Radiol Clin North </w:t>
      </w:r>
      <w:r w:rsidRPr="00FC2DDA">
        <w:rPr>
          <w:rFonts w:ascii="Book Antiqua" w:eastAsia="SimSun" w:hAnsi="Book Antiqua" w:cs="Times New Roman"/>
          <w:i/>
          <w:color w:val="auto"/>
          <w:kern w:val="2"/>
          <w:sz w:val="24"/>
          <w:szCs w:val="24"/>
          <w:lang w:val="en-US" w:eastAsia="zh-CN"/>
        </w:rPr>
        <w:lastRenderedPageBreak/>
        <w:t>Am</w:t>
      </w:r>
      <w:r w:rsidRPr="00FC2DDA">
        <w:rPr>
          <w:rFonts w:ascii="Book Antiqua" w:eastAsia="SimSun" w:hAnsi="Book Antiqua" w:cs="Times New Roman"/>
          <w:color w:val="auto"/>
          <w:kern w:val="2"/>
          <w:sz w:val="24"/>
          <w:szCs w:val="24"/>
          <w:lang w:val="en-US" w:eastAsia="zh-CN"/>
        </w:rPr>
        <w:t xml:space="preserve"> 2005; </w:t>
      </w:r>
      <w:r w:rsidRPr="00FC2DDA">
        <w:rPr>
          <w:rFonts w:ascii="Book Antiqua" w:eastAsia="SimSun" w:hAnsi="Book Antiqua" w:cs="Times New Roman"/>
          <w:b/>
          <w:color w:val="auto"/>
          <w:kern w:val="2"/>
          <w:sz w:val="24"/>
          <w:szCs w:val="24"/>
          <w:lang w:val="en-US" w:eastAsia="zh-CN"/>
        </w:rPr>
        <w:t>43</w:t>
      </w:r>
      <w:r w:rsidRPr="00FC2DDA">
        <w:rPr>
          <w:rFonts w:ascii="Book Antiqua" w:eastAsia="SimSun" w:hAnsi="Book Antiqua" w:cs="Times New Roman"/>
          <w:color w:val="auto"/>
          <w:kern w:val="2"/>
          <w:sz w:val="24"/>
          <w:szCs w:val="24"/>
          <w:lang w:val="en-US" w:eastAsia="zh-CN"/>
        </w:rPr>
        <w:t>: 887-898, viii [PMID: 16098345 DOI: 10.1016/j.rcl.2005.05.004]</w:t>
      </w:r>
    </w:p>
    <w:p w14:paraId="2B45BB73"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20 </w:t>
      </w:r>
      <w:r w:rsidRPr="00FC2DDA">
        <w:rPr>
          <w:rFonts w:ascii="Book Antiqua" w:eastAsia="SimSun" w:hAnsi="Book Antiqua" w:cs="Times New Roman"/>
          <w:b/>
          <w:color w:val="auto"/>
          <w:kern w:val="2"/>
          <w:sz w:val="24"/>
          <w:szCs w:val="24"/>
          <w:lang w:val="en-US" w:eastAsia="zh-CN"/>
        </w:rPr>
        <w:t>Bellin MF</w:t>
      </w:r>
      <w:r w:rsidRPr="00FC2DDA">
        <w:rPr>
          <w:rFonts w:ascii="Book Antiqua" w:eastAsia="SimSun" w:hAnsi="Book Antiqua" w:cs="Times New Roman"/>
          <w:color w:val="auto"/>
          <w:kern w:val="2"/>
          <w:sz w:val="24"/>
          <w:szCs w:val="24"/>
          <w:lang w:val="en-US" w:eastAsia="zh-CN"/>
        </w:rPr>
        <w:t xml:space="preserve">. MR contrast agents, the old and the new. </w:t>
      </w:r>
      <w:r w:rsidRPr="00FC2DDA">
        <w:rPr>
          <w:rFonts w:ascii="Book Antiqua" w:eastAsia="SimSun" w:hAnsi="Book Antiqua" w:cs="Times New Roman"/>
          <w:i/>
          <w:color w:val="auto"/>
          <w:kern w:val="2"/>
          <w:sz w:val="24"/>
          <w:szCs w:val="24"/>
          <w:lang w:val="en-US" w:eastAsia="zh-CN"/>
        </w:rPr>
        <w:t>Eur J Radiol</w:t>
      </w:r>
      <w:r w:rsidRPr="00FC2DDA">
        <w:rPr>
          <w:rFonts w:ascii="Book Antiqua" w:eastAsia="SimSun" w:hAnsi="Book Antiqua" w:cs="Times New Roman"/>
          <w:color w:val="auto"/>
          <w:kern w:val="2"/>
          <w:sz w:val="24"/>
          <w:szCs w:val="24"/>
          <w:lang w:val="en-US" w:eastAsia="zh-CN"/>
        </w:rPr>
        <w:t xml:space="preserve"> 2006; </w:t>
      </w:r>
      <w:r w:rsidRPr="00FC2DDA">
        <w:rPr>
          <w:rFonts w:ascii="Book Antiqua" w:eastAsia="SimSun" w:hAnsi="Book Antiqua" w:cs="Times New Roman"/>
          <w:b/>
          <w:color w:val="auto"/>
          <w:kern w:val="2"/>
          <w:sz w:val="24"/>
          <w:szCs w:val="24"/>
          <w:lang w:val="en-US" w:eastAsia="zh-CN"/>
        </w:rPr>
        <w:t>60</w:t>
      </w:r>
      <w:r w:rsidRPr="00FC2DDA">
        <w:rPr>
          <w:rFonts w:ascii="Book Antiqua" w:eastAsia="SimSun" w:hAnsi="Book Antiqua" w:cs="Times New Roman"/>
          <w:color w:val="auto"/>
          <w:kern w:val="2"/>
          <w:sz w:val="24"/>
          <w:szCs w:val="24"/>
          <w:lang w:val="en-US" w:eastAsia="zh-CN"/>
        </w:rPr>
        <w:t>: 314-323 [PMID: 17005349 DOI: 10.1016/j.ejrad.2006.06.021]</w:t>
      </w:r>
    </w:p>
    <w:p w14:paraId="2D34F03D"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21 </w:t>
      </w:r>
      <w:r w:rsidRPr="00FC2DDA">
        <w:rPr>
          <w:rFonts w:ascii="Book Antiqua" w:eastAsia="SimSun" w:hAnsi="Book Antiqua" w:cs="Times New Roman"/>
          <w:b/>
          <w:color w:val="auto"/>
          <w:kern w:val="2"/>
          <w:sz w:val="24"/>
          <w:szCs w:val="24"/>
          <w:lang w:val="en-US" w:eastAsia="zh-CN"/>
        </w:rPr>
        <w:t>Verloh N</w:t>
      </w:r>
      <w:r w:rsidRPr="00FC2DDA">
        <w:rPr>
          <w:rFonts w:ascii="Book Antiqua" w:eastAsia="SimSun" w:hAnsi="Book Antiqua" w:cs="Times New Roman"/>
          <w:color w:val="auto"/>
          <w:kern w:val="2"/>
          <w:sz w:val="24"/>
          <w:szCs w:val="24"/>
          <w:lang w:val="en-US" w:eastAsia="zh-CN"/>
        </w:rPr>
        <w:t xml:space="preserve">, Utpatel K, Haimerl M, Zeman F, Fellner C, Fichtner-Feigl S, Teufel A, Stroszczynski C, Evert M, Wiggermann P. Liver fibrosis and Gd-EOB-DTPA-enhanced MRI: A histopathologic correlation. </w:t>
      </w:r>
      <w:r w:rsidRPr="00FC2DDA">
        <w:rPr>
          <w:rFonts w:ascii="Book Antiqua" w:eastAsia="SimSun" w:hAnsi="Book Antiqua" w:cs="Times New Roman"/>
          <w:i/>
          <w:color w:val="auto"/>
          <w:kern w:val="2"/>
          <w:sz w:val="24"/>
          <w:szCs w:val="24"/>
          <w:lang w:val="en-US" w:eastAsia="zh-CN"/>
        </w:rPr>
        <w:t>Sci Rep</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5</w:t>
      </w:r>
      <w:r w:rsidRPr="00FC2DDA">
        <w:rPr>
          <w:rFonts w:ascii="Book Antiqua" w:eastAsia="SimSun" w:hAnsi="Book Antiqua" w:cs="Times New Roman"/>
          <w:color w:val="auto"/>
          <w:kern w:val="2"/>
          <w:sz w:val="24"/>
          <w:szCs w:val="24"/>
          <w:lang w:val="en-US" w:eastAsia="zh-CN"/>
        </w:rPr>
        <w:t>: 15408 [PMID: 26478097 DOI: 10.1038/srep15408]</w:t>
      </w:r>
    </w:p>
    <w:p w14:paraId="62F1163F"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22 </w:t>
      </w:r>
      <w:r w:rsidRPr="00FC2DDA">
        <w:rPr>
          <w:rFonts w:ascii="Book Antiqua" w:eastAsia="SimSun" w:hAnsi="Book Antiqua" w:cs="Times New Roman"/>
          <w:b/>
          <w:color w:val="auto"/>
          <w:kern w:val="2"/>
          <w:sz w:val="24"/>
          <w:szCs w:val="24"/>
          <w:lang w:val="en-US" w:eastAsia="zh-CN"/>
        </w:rPr>
        <w:t>Park HJ</w:t>
      </w:r>
      <w:r w:rsidRPr="00FC2DDA">
        <w:rPr>
          <w:rFonts w:ascii="Book Antiqua" w:eastAsia="SimSun" w:hAnsi="Book Antiqua" w:cs="Times New Roman"/>
          <w:color w:val="auto"/>
          <w:kern w:val="2"/>
          <w:sz w:val="24"/>
          <w:szCs w:val="24"/>
          <w:lang w:val="en-US" w:eastAsia="zh-CN"/>
        </w:rPr>
        <w:t xml:space="preserve">, Choi BI, Lee ES, Park SB, Lee JB. How to Differentiate Borderline Hepatic Nodules in Hepatocarcinogenesis: Emphasis on Imaging Diagnosis. </w:t>
      </w:r>
      <w:r w:rsidRPr="00FC2DDA">
        <w:rPr>
          <w:rFonts w:ascii="Book Antiqua" w:eastAsia="SimSun" w:hAnsi="Book Antiqua" w:cs="Times New Roman"/>
          <w:i/>
          <w:color w:val="auto"/>
          <w:kern w:val="2"/>
          <w:sz w:val="24"/>
          <w:szCs w:val="24"/>
          <w:lang w:val="en-US" w:eastAsia="zh-CN"/>
        </w:rPr>
        <w:t>Liver Cancer</w:t>
      </w:r>
      <w:r w:rsidRPr="00FC2DDA">
        <w:rPr>
          <w:rFonts w:ascii="Book Antiqua" w:eastAsia="SimSun" w:hAnsi="Book Antiqua" w:cs="Times New Roman"/>
          <w:color w:val="auto"/>
          <w:kern w:val="2"/>
          <w:sz w:val="24"/>
          <w:szCs w:val="24"/>
          <w:lang w:val="en-US" w:eastAsia="zh-CN"/>
        </w:rPr>
        <w:t xml:space="preserve"> 2017; </w:t>
      </w:r>
      <w:r w:rsidRPr="00FC2DDA">
        <w:rPr>
          <w:rFonts w:ascii="Book Antiqua" w:eastAsia="SimSun" w:hAnsi="Book Antiqua" w:cs="Times New Roman"/>
          <w:b/>
          <w:color w:val="auto"/>
          <w:kern w:val="2"/>
          <w:sz w:val="24"/>
          <w:szCs w:val="24"/>
          <w:lang w:val="en-US" w:eastAsia="zh-CN"/>
        </w:rPr>
        <w:t>6</w:t>
      </w:r>
      <w:r w:rsidRPr="00FC2DDA">
        <w:rPr>
          <w:rFonts w:ascii="Book Antiqua" w:eastAsia="SimSun" w:hAnsi="Book Antiqua" w:cs="Times New Roman"/>
          <w:color w:val="auto"/>
          <w:kern w:val="2"/>
          <w:sz w:val="24"/>
          <w:szCs w:val="24"/>
          <w:lang w:val="en-US" w:eastAsia="zh-CN"/>
        </w:rPr>
        <w:t>: 189-203 [PMID: 28626731 DOI: 10.1159/000455949]</w:t>
      </w:r>
    </w:p>
    <w:p w14:paraId="55EF50AB"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23 </w:t>
      </w:r>
      <w:r w:rsidRPr="00FC2DDA">
        <w:rPr>
          <w:rFonts w:ascii="Book Antiqua" w:eastAsia="SimSun" w:hAnsi="Book Antiqua" w:cs="Times New Roman"/>
          <w:b/>
          <w:color w:val="auto"/>
          <w:kern w:val="2"/>
          <w:sz w:val="24"/>
          <w:szCs w:val="24"/>
          <w:lang w:val="en-US" w:eastAsia="zh-CN"/>
        </w:rPr>
        <w:t>Marrero JA</w:t>
      </w:r>
      <w:r w:rsidRPr="00FC2DDA">
        <w:rPr>
          <w:rFonts w:ascii="Book Antiqua" w:eastAsia="SimSun" w:hAnsi="Book Antiqua" w:cs="Times New Roman"/>
          <w:color w:val="auto"/>
          <w:kern w:val="2"/>
          <w:sz w:val="24"/>
          <w:szCs w:val="24"/>
          <w:lang w:val="en-US" w:eastAsia="zh-CN"/>
        </w:rPr>
        <w:t xml:space="preserve">, Hussain HK, Nghiem HV, Umar R, Fontana RJ, Lok AS. Improving the prediction of hepatocellular carcinoma in cirrhotic patients with an arterially-enhancing liver mass. </w:t>
      </w:r>
      <w:r w:rsidRPr="00FC2DDA">
        <w:rPr>
          <w:rFonts w:ascii="Book Antiqua" w:eastAsia="SimSun" w:hAnsi="Book Antiqua" w:cs="Times New Roman"/>
          <w:i/>
          <w:color w:val="auto"/>
          <w:kern w:val="2"/>
          <w:sz w:val="24"/>
          <w:szCs w:val="24"/>
          <w:lang w:val="en-US" w:eastAsia="zh-CN"/>
        </w:rPr>
        <w:t>Liver Transpl</w:t>
      </w:r>
      <w:r w:rsidRPr="00FC2DDA">
        <w:rPr>
          <w:rFonts w:ascii="Book Antiqua" w:eastAsia="SimSun" w:hAnsi="Book Antiqua" w:cs="Times New Roman"/>
          <w:color w:val="auto"/>
          <w:kern w:val="2"/>
          <w:sz w:val="24"/>
          <w:szCs w:val="24"/>
          <w:lang w:val="en-US" w:eastAsia="zh-CN"/>
        </w:rPr>
        <w:t xml:space="preserve"> 2005; </w:t>
      </w:r>
      <w:r w:rsidRPr="00FC2DDA">
        <w:rPr>
          <w:rFonts w:ascii="Book Antiqua" w:eastAsia="SimSun" w:hAnsi="Book Antiqua" w:cs="Times New Roman"/>
          <w:b/>
          <w:color w:val="auto"/>
          <w:kern w:val="2"/>
          <w:sz w:val="24"/>
          <w:szCs w:val="24"/>
          <w:lang w:val="en-US" w:eastAsia="zh-CN"/>
        </w:rPr>
        <w:t>11</w:t>
      </w:r>
      <w:r w:rsidRPr="00FC2DDA">
        <w:rPr>
          <w:rFonts w:ascii="Book Antiqua" w:eastAsia="SimSun" w:hAnsi="Book Antiqua" w:cs="Times New Roman"/>
          <w:color w:val="auto"/>
          <w:kern w:val="2"/>
          <w:sz w:val="24"/>
          <w:szCs w:val="24"/>
          <w:lang w:val="en-US" w:eastAsia="zh-CN"/>
        </w:rPr>
        <w:t>: 281-289 [PMID: 15719410 DOI: 10.1002/lt.20357]</w:t>
      </w:r>
    </w:p>
    <w:p w14:paraId="58F68B88"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24 </w:t>
      </w:r>
      <w:r w:rsidRPr="00FC2DDA">
        <w:rPr>
          <w:rFonts w:ascii="Book Antiqua" w:eastAsia="SimSun" w:hAnsi="Book Antiqua" w:cs="Times New Roman"/>
          <w:b/>
          <w:color w:val="auto"/>
          <w:kern w:val="2"/>
          <w:sz w:val="24"/>
          <w:szCs w:val="24"/>
          <w:lang w:val="en-US" w:eastAsia="zh-CN"/>
        </w:rPr>
        <w:t>Khalili K</w:t>
      </w:r>
      <w:r w:rsidRPr="00FC2DDA">
        <w:rPr>
          <w:rFonts w:ascii="Book Antiqua" w:eastAsia="SimSun" w:hAnsi="Book Antiqua" w:cs="Times New Roman"/>
          <w:color w:val="auto"/>
          <w:kern w:val="2"/>
          <w:sz w:val="24"/>
          <w:szCs w:val="24"/>
          <w:lang w:val="en-US" w:eastAsia="zh-CN"/>
        </w:rPr>
        <w:t xml:space="preserve">, Kim TK, Jang HJ, Haider MA, Khan L, Guindi M, Sherman M. Optimization of imaging diagnosis of 1-2 cm hepatocellular carcinoma: an analysis of diagnostic performance and resource utilization. </w:t>
      </w:r>
      <w:r w:rsidRPr="00FC2DDA">
        <w:rPr>
          <w:rFonts w:ascii="Book Antiqua" w:eastAsia="SimSun" w:hAnsi="Book Antiqua" w:cs="Times New Roman"/>
          <w:i/>
          <w:color w:val="auto"/>
          <w:kern w:val="2"/>
          <w:sz w:val="24"/>
          <w:szCs w:val="24"/>
          <w:lang w:val="en-US" w:eastAsia="zh-CN"/>
        </w:rPr>
        <w:t>J Hepatol</w:t>
      </w:r>
      <w:r w:rsidRPr="00FC2DDA">
        <w:rPr>
          <w:rFonts w:ascii="Book Antiqua" w:eastAsia="SimSun" w:hAnsi="Book Antiqua" w:cs="Times New Roman"/>
          <w:color w:val="auto"/>
          <w:kern w:val="2"/>
          <w:sz w:val="24"/>
          <w:szCs w:val="24"/>
          <w:lang w:val="en-US" w:eastAsia="zh-CN"/>
        </w:rPr>
        <w:t xml:space="preserve"> 2011; </w:t>
      </w:r>
      <w:r w:rsidRPr="00FC2DDA">
        <w:rPr>
          <w:rFonts w:ascii="Book Antiqua" w:eastAsia="SimSun" w:hAnsi="Book Antiqua" w:cs="Times New Roman"/>
          <w:b/>
          <w:color w:val="auto"/>
          <w:kern w:val="2"/>
          <w:sz w:val="24"/>
          <w:szCs w:val="24"/>
          <w:lang w:val="en-US" w:eastAsia="zh-CN"/>
        </w:rPr>
        <w:t>54</w:t>
      </w:r>
      <w:r w:rsidRPr="00FC2DDA">
        <w:rPr>
          <w:rFonts w:ascii="Book Antiqua" w:eastAsia="SimSun" w:hAnsi="Book Antiqua" w:cs="Times New Roman"/>
          <w:color w:val="auto"/>
          <w:kern w:val="2"/>
          <w:sz w:val="24"/>
          <w:szCs w:val="24"/>
          <w:lang w:val="en-US" w:eastAsia="zh-CN"/>
        </w:rPr>
        <w:t>: 723-728 [PMID: 21156219 DOI: 10.1016/j.jhep.2010.07.025]</w:t>
      </w:r>
    </w:p>
    <w:p w14:paraId="0553D154"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25 </w:t>
      </w:r>
      <w:r w:rsidRPr="00FC2DDA">
        <w:rPr>
          <w:rFonts w:ascii="Book Antiqua" w:eastAsia="SimSun" w:hAnsi="Book Antiqua" w:cs="Times New Roman"/>
          <w:b/>
          <w:color w:val="auto"/>
          <w:kern w:val="2"/>
          <w:sz w:val="24"/>
          <w:szCs w:val="24"/>
          <w:lang w:val="en-US" w:eastAsia="zh-CN"/>
        </w:rPr>
        <w:t>Golfieri R</w:t>
      </w:r>
      <w:r w:rsidRPr="00FC2DDA">
        <w:rPr>
          <w:rFonts w:ascii="Book Antiqua" w:eastAsia="SimSun" w:hAnsi="Book Antiqua" w:cs="Times New Roman"/>
          <w:color w:val="auto"/>
          <w:kern w:val="2"/>
          <w:sz w:val="24"/>
          <w:szCs w:val="24"/>
          <w:lang w:val="en-US" w:eastAsia="zh-CN"/>
        </w:rPr>
        <w:t xml:space="preserve">, Renzulli M, Lucidi V, Corcioni B, Trevisani F, Bolondi L. Contribution of the hepatobiliary phase of Gd-EOB-DTPA-enhanced MRI to Dynamic MRI in the detection of hypovascular small (≤ 2 cm) HCC in cirrhosis. </w:t>
      </w:r>
      <w:r w:rsidRPr="00FC2DDA">
        <w:rPr>
          <w:rFonts w:ascii="Book Antiqua" w:eastAsia="SimSun" w:hAnsi="Book Antiqua" w:cs="Times New Roman"/>
          <w:i/>
          <w:color w:val="auto"/>
          <w:kern w:val="2"/>
          <w:sz w:val="24"/>
          <w:szCs w:val="24"/>
          <w:lang w:val="en-US" w:eastAsia="zh-CN"/>
        </w:rPr>
        <w:t>Eur Radiol</w:t>
      </w:r>
      <w:r w:rsidRPr="00FC2DDA">
        <w:rPr>
          <w:rFonts w:ascii="Book Antiqua" w:eastAsia="SimSun" w:hAnsi="Book Antiqua" w:cs="Times New Roman"/>
          <w:color w:val="auto"/>
          <w:kern w:val="2"/>
          <w:sz w:val="24"/>
          <w:szCs w:val="24"/>
          <w:lang w:val="en-US" w:eastAsia="zh-CN"/>
        </w:rPr>
        <w:t xml:space="preserve"> 2011; </w:t>
      </w:r>
      <w:r w:rsidRPr="00FC2DDA">
        <w:rPr>
          <w:rFonts w:ascii="Book Antiqua" w:eastAsia="SimSun" w:hAnsi="Book Antiqua" w:cs="Times New Roman"/>
          <w:b/>
          <w:color w:val="auto"/>
          <w:kern w:val="2"/>
          <w:sz w:val="24"/>
          <w:szCs w:val="24"/>
          <w:lang w:val="en-US" w:eastAsia="zh-CN"/>
        </w:rPr>
        <w:t>21</w:t>
      </w:r>
      <w:r w:rsidRPr="00FC2DDA">
        <w:rPr>
          <w:rFonts w:ascii="Book Antiqua" w:eastAsia="SimSun" w:hAnsi="Book Antiqua" w:cs="Times New Roman"/>
          <w:color w:val="auto"/>
          <w:kern w:val="2"/>
          <w:sz w:val="24"/>
          <w:szCs w:val="24"/>
          <w:lang w:val="en-US" w:eastAsia="zh-CN"/>
        </w:rPr>
        <w:t>: 1233-1242 [PMID: 21293864 DOI: 10.1007/s00330-010-2030-1]</w:t>
      </w:r>
    </w:p>
    <w:p w14:paraId="7B922CB9"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26 </w:t>
      </w:r>
      <w:r w:rsidRPr="00FC2DDA">
        <w:rPr>
          <w:rFonts w:ascii="Book Antiqua" w:eastAsia="SimSun" w:hAnsi="Book Antiqua" w:cs="Times New Roman"/>
          <w:b/>
          <w:color w:val="auto"/>
          <w:kern w:val="2"/>
          <w:sz w:val="24"/>
          <w:szCs w:val="24"/>
          <w:lang w:val="en-US" w:eastAsia="zh-CN"/>
        </w:rPr>
        <w:t>Kitao A</w:t>
      </w:r>
      <w:r w:rsidRPr="00FC2DDA">
        <w:rPr>
          <w:rFonts w:ascii="Book Antiqua" w:eastAsia="SimSun" w:hAnsi="Book Antiqua" w:cs="Times New Roman"/>
          <w:color w:val="auto"/>
          <w:kern w:val="2"/>
          <w:sz w:val="24"/>
          <w:szCs w:val="24"/>
          <w:lang w:val="en-US" w:eastAsia="zh-CN"/>
        </w:rPr>
        <w:t xml:space="preserve">, Matsui O, Yoneda N, Kozaka K, Shinmura R, Koda W, Kobayashi S, Gabata T, Zen Y, Yamashita T, Kaneko S, Nakanuma Y. The uptake transporter OATP8 expression decreases during multistep hepatocarcinogenesis: correlation with gadoxetic acid enhanced MR imaging. </w:t>
      </w:r>
      <w:r w:rsidRPr="00FC2DDA">
        <w:rPr>
          <w:rFonts w:ascii="Book Antiqua" w:eastAsia="SimSun" w:hAnsi="Book Antiqua" w:cs="Times New Roman"/>
          <w:i/>
          <w:color w:val="auto"/>
          <w:kern w:val="2"/>
          <w:sz w:val="24"/>
          <w:szCs w:val="24"/>
          <w:lang w:val="en-US" w:eastAsia="zh-CN"/>
        </w:rPr>
        <w:t>Eur Radiol</w:t>
      </w:r>
      <w:r w:rsidRPr="00FC2DDA">
        <w:rPr>
          <w:rFonts w:ascii="Book Antiqua" w:eastAsia="SimSun" w:hAnsi="Book Antiqua" w:cs="Times New Roman"/>
          <w:color w:val="auto"/>
          <w:kern w:val="2"/>
          <w:sz w:val="24"/>
          <w:szCs w:val="24"/>
          <w:lang w:val="en-US" w:eastAsia="zh-CN"/>
        </w:rPr>
        <w:t xml:space="preserve"> 2011; </w:t>
      </w:r>
      <w:r w:rsidRPr="00FC2DDA">
        <w:rPr>
          <w:rFonts w:ascii="Book Antiqua" w:eastAsia="SimSun" w:hAnsi="Book Antiqua" w:cs="Times New Roman"/>
          <w:b/>
          <w:color w:val="auto"/>
          <w:kern w:val="2"/>
          <w:sz w:val="24"/>
          <w:szCs w:val="24"/>
          <w:lang w:val="en-US" w:eastAsia="zh-CN"/>
        </w:rPr>
        <w:t>21</w:t>
      </w:r>
      <w:r w:rsidRPr="00FC2DDA">
        <w:rPr>
          <w:rFonts w:ascii="Book Antiqua" w:eastAsia="SimSun" w:hAnsi="Book Antiqua" w:cs="Times New Roman"/>
          <w:color w:val="auto"/>
          <w:kern w:val="2"/>
          <w:sz w:val="24"/>
          <w:szCs w:val="24"/>
          <w:lang w:val="en-US" w:eastAsia="zh-CN"/>
        </w:rPr>
        <w:t>: 2056-2066 [PMID: 21626360 DOI: 10.1007/s00330-011-2165-8]</w:t>
      </w:r>
    </w:p>
    <w:p w14:paraId="31CAB1AA"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27 </w:t>
      </w:r>
      <w:r w:rsidRPr="00FC2DDA">
        <w:rPr>
          <w:rFonts w:ascii="Book Antiqua" w:eastAsia="SimSun" w:hAnsi="Book Antiqua" w:cs="Times New Roman"/>
          <w:b/>
          <w:color w:val="auto"/>
          <w:kern w:val="2"/>
          <w:sz w:val="24"/>
          <w:szCs w:val="24"/>
          <w:lang w:val="en-US" w:eastAsia="zh-CN"/>
        </w:rPr>
        <w:t>Tsuboyama T</w:t>
      </w:r>
      <w:r w:rsidRPr="00FC2DDA">
        <w:rPr>
          <w:rFonts w:ascii="Book Antiqua" w:eastAsia="SimSun" w:hAnsi="Book Antiqua" w:cs="Times New Roman"/>
          <w:color w:val="auto"/>
          <w:kern w:val="2"/>
          <w:sz w:val="24"/>
          <w:szCs w:val="24"/>
          <w:lang w:val="en-US" w:eastAsia="zh-CN"/>
        </w:rPr>
        <w:t xml:space="preserve">, Onishi H, Kim T, Akita H, Hori M, Tatsumi M, Nakamoto A, Nagano H, Matsuura N, Wakasa K, Tomoda K. Hepatocellular carcinoma: hepatocyte-selective enhancement at gadoxetic acid-enhanced MR imaging--correlation with expression of sinusoidal and canalicular transporters and bile accumulation.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2010; </w:t>
      </w:r>
      <w:r w:rsidRPr="00FC2DDA">
        <w:rPr>
          <w:rFonts w:ascii="Book Antiqua" w:eastAsia="SimSun" w:hAnsi="Book Antiqua" w:cs="Times New Roman"/>
          <w:b/>
          <w:color w:val="auto"/>
          <w:kern w:val="2"/>
          <w:sz w:val="24"/>
          <w:szCs w:val="24"/>
          <w:lang w:val="en-US" w:eastAsia="zh-CN"/>
        </w:rPr>
        <w:t>255</w:t>
      </w:r>
      <w:r w:rsidRPr="00FC2DDA">
        <w:rPr>
          <w:rFonts w:ascii="Book Antiqua" w:eastAsia="SimSun" w:hAnsi="Book Antiqua" w:cs="Times New Roman"/>
          <w:color w:val="auto"/>
          <w:kern w:val="2"/>
          <w:sz w:val="24"/>
          <w:szCs w:val="24"/>
          <w:lang w:val="en-US" w:eastAsia="zh-CN"/>
        </w:rPr>
        <w:t>: 824-833 [PMID: 20501720 DOI: 10.1148/radiol.10091557]</w:t>
      </w:r>
    </w:p>
    <w:p w14:paraId="480E955C"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28 </w:t>
      </w:r>
      <w:r w:rsidRPr="00FC2DDA">
        <w:rPr>
          <w:rFonts w:ascii="Book Antiqua" w:eastAsia="SimSun" w:hAnsi="Book Antiqua" w:cs="Times New Roman"/>
          <w:b/>
          <w:color w:val="auto"/>
          <w:kern w:val="2"/>
          <w:sz w:val="24"/>
          <w:szCs w:val="24"/>
          <w:lang w:val="en-US" w:eastAsia="zh-CN"/>
        </w:rPr>
        <w:t>Lee YJ</w:t>
      </w:r>
      <w:r w:rsidRPr="00FC2DDA">
        <w:rPr>
          <w:rFonts w:ascii="Book Antiqua" w:eastAsia="SimSun" w:hAnsi="Book Antiqua" w:cs="Times New Roman"/>
          <w:color w:val="auto"/>
          <w:kern w:val="2"/>
          <w:sz w:val="24"/>
          <w:szCs w:val="24"/>
          <w:lang w:val="en-US" w:eastAsia="zh-CN"/>
        </w:rPr>
        <w:t xml:space="preserve">, Lee JM, Lee JS, Lee HY, Park BH, Kim YH, Han JK, Choi BI. Hepatocellular </w:t>
      </w:r>
      <w:r w:rsidRPr="00FC2DDA">
        <w:rPr>
          <w:rFonts w:ascii="Book Antiqua" w:eastAsia="SimSun" w:hAnsi="Book Antiqua" w:cs="Times New Roman"/>
          <w:color w:val="auto"/>
          <w:kern w:val="2"/>
          <w:sz w:val="24"/>
          <w:szCs w:val="24"/>
          <w:lang w:val="en-US" w:eastAsia="zh-CN"/>
        </w:rPr>
        <w:lastRenderedPageBreak/>
        <w:t xml:space="preserve">carcinoma: diagnostic performance of multidetector CT and MR imaging-a systematic review and meta-analysis.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275</w:t>
      </w:r>
      <w:r w:rsidRPr="00FC2DDA">
        <w:rPr>
          <w:rFonts w:ascii="Book Antiqua" w:eastAsia="SimSun" w:hAnsi="Book Antiqua" w:cs="Times New Roman"/>
          <w:color w:val="auto"/>
          <w:kern w:val="2"/>
          <w:sz w:val="24"/>
          <w:szCs w:val="24"/>
          <w:lang w:val="en-US" w:eastAsia="zh-CN"/>
        </w:rPr>
        <w:t>: 97-109 [PMID: 25559230 DOI: 10.1148/radiol.14140690]</w:t>
      </w:r>
    </w:p>
    <w:p w14:paraId="7284B2A6"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29 </w:t>
      </w:r>
      <w:r w:rsidRPr="00FC2DDA">
        <w:rPr>
          <w:rFonts w:ascii="Book Antiqua" w:eastAsia="SimSun" w:hAnsi="Book Antiqua" w:cs="Times New Roman"/>
          <w:b/>
          <w:color w:val="auto"/>
          <w:kern w:val="2"/>
          <w:sz w:val="24"/>
          <w:szCs w:val="24"/>
          <w:lang w:val="en-US" w:eastAsia="zh-CN"/>
        </w:rPr>
        <w:t>Lee NK</w:t>
      </w:r>
      <w:r w:rsidRPr="00FC2DDA">
        <w:rPr>
          <w:rFonts w:ascii="Book Antiqua" w:eastAsia="SimSun" w:hAnsi="Book Antiqua" w:cs="Times New Roman"/>
          <w:color w:val="auto"/>
          <w:kern w:val="2"/>
          <w:sz w:val="24"/>
          <w:szCs w:val="24"/>
          <w:lang w:val="en-US" w:eastAsia="zh-CN"/>
        </w:rPr>
        <w:t xml:space="preserve">, Kim S, Lee JW, Lee SH, Kang DH, Kim GH, Seo HI. Biliary MR imaging with Gd-EOB-DTPA and its clinical applications. </w:t>
      </w:r>
      <w:r w:rsidRPr="00FC2DDA">
        <w:rPr>
          <w:rFonts w:ascii="Book Antiqua" w:eastAsia="SimSun" w:hAnsi="Book Antiqua" w:cs="Times New Roman"/>
          <w:i/>
          <w:color w:val="auto"/>
          <w:kern w:val="2"/>
          <w:sz w:val="24"/>
          <w:szCs w:val="24"/>
          <w:lang w:val="en-US" w:eastAsia="zh-CN"/>
        </w:rPr>
        <w:t>Radiographics</w:t>
      </w:r>
      <w:r w:rsidRPr="00FC2DDA">
        <w:rPr>
          <w:rFonts w:ascii="Book Antiqua" w:eastAsia="SimSun" w:hAnsi="Book Antiqua" w:cs="Times New Roman"/>
          <w:color w:val="auto"/>
          <w:kern w:val="2"/>
          <w:sz w:val="24"/>
          <w:szCs w:val="24"/>
          <w:lang w:val="en-US" w:eastAsia="zh-CN"/>
        </w:rPr>
        <w:t xml:space="preserve"> 2009; </w:t>
      </w:r>
      <w:r w:rsidRPr="00FC2DDA">
        <w:rPr>
          <w:rFonts w:ascii="Book Antiqua" w:eastAsia="SimSun" w:hAnsi="Book Antiqua" w:cs="Times New Roman"/>
          <w:b/>
          <w:color w:val="auto"/>
          <w:kern w:val="2"/>
          <w:sz w:val="24"/>
          <w:szCs w:val="24"/>
          <w:lang w:val="en-US" w:eastAsia="zh-CN"/>
        </w:rPr>
        <w:t>29</w:t>
      </w:r>
      <w:r w:rsidRPr="00FC2DDA">
        <w:rPr>
          <w:rFonts w:ascii="Book Antiqua" w:eastAsia="SimSun" w:hAnsi="Book Antiqua" w:cs="Times New Roman"/>
          <w:color w:val="auto"/>
          <w:kern w:val="2"/>
          <w:sz w:val="24"/>
          <w:szCs w:val="24"/>
          <w:lang w:val="en-US" w:eastAsia="zh-CN"/>
        </w:rPr>
        <w:t>: 1707-1724 [PMID: 19959517 DOI: 10.1148/rg.296095501]</w:t>
      </w:r>
    </w:p>
    <w:p w14:paraId="67C68E67"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30 </w:t>
      </w:r>
      <w:r w:rsidRPr="00FC2DDA">
        <w:rPr>
          <w:rFonts w:ascii="Book Antiqua" w:eastAsia="SimSun" w:hAnsi="Book Antiqua" w:cs="Times New Roman"/>
          <w:b/>
          <w:color w:val="auto"/>
          <w:kern w:val="2"/>
          <w:sz w:val="24"/>
          <w:szCs w:val="24"/>
          <w:lang w:val="en-US" w:eastAsia="zh-CN"/>
        </w:rPr>
        <w:t>Schneider G</w:t>
      </w:r>
      <w:r w:rsidRPr="00FC2DDA">
        <w:rPr>
          <w:rFonts w:ascii="Book Antiqua" w:eastAsia="SimSun" w:hAnsi="Book Antiqua" w:cs="Times New Roman"/>
          <w:color w:val="auto"/>
          <w:kern w:val="2"/>
          <w:sz w:val="24"/>
          <w:szCs w:val="24"/>
          <w:lang w:val="en-US" w:eastAsia="zh-CN"/>
        </w:rPr>
        <w:t xml:space="preserve">, Maas R, Schultze Kool L, Rummeny E, Gehl HB, Lodemann KP, Kirchin MA. Low-dose gadobenate dimeglumine versus standard dose gadopentetate dimeglumine for contrast-enhanced magnetic resonance imaging of the liver: an intra-individual crossover comparison. </w:t>
      </w:r>
      <w:r w:rsidRPr="00FC2DDA">
        <w:rPr>
          <w:rFonts w:ascii="Book Antiqua" w:eastAsia="SimSun" w:hAnsi="Book Antiqua" w:cs="Times New Roman"/>
          <w:i/>
          <w:color w:val="auto"/>
          <w:kern w:val="2"/>
          <w:sz w:val="24"/>
          <w:szCs w:val="24"/>
          <w:lang w:val="en-US" w:eastAsia="zh-CN"/>
        </w:rPr>
        <w:t>Invest Radiol</w:t>
      </w:r>
      <w:r w:rsidRPr="00FC2DDA">
        <w:rPr>
          <w:rFonts w:ascii="Book Antiqua" w:eastAsia="SimSun" w:hAnsi="Book Antiqua" w:cs="Times New Roman"/>
          <w:color w:val="auto"/>
          <w:kern w:val="2"/>
          <w:sz w:val="24"/>
          <w:szCs w:val="24"/>
          <w:lang w:val="en-US" w:eastAsia="zh-CN"/>
        </w:rPr>
        <w:t xml:space="preserve"> 2003; </w:t>
      </w:r>
      <w:r w:rsidRPr="00FC2DDA">
        <w:rPr>
          <w:rFonts w:ascii="Book Antiqua" w:eastAsia="SimSun" w:hAnsi="Book Antiqua" w:cs="Times New Roman"/>
          <w:b/>
          <w:color w:val="auto"/>
          <w:kern w:val="2"/>
          <w:sz w:val="24"/>
          <w:szCs w:val="24"/>
          <w:lang w:val="en-US" w:eastAsia="zh-CN"/>
        </w:rPr>
        <w:t>38</w:t>
      </w:r>
      <w:r w:rsidRPr="00FC2DDA">
        <w:rPr>
          <w:rFonts w:ascii="Book Antiqua" w:eastAsia="SimSun" w:hAnsi="Book Antiqua" w:cs="Times New Roman"/>
          <w:color w:val="auto"/>
          <w:kern w:val="2"/>
          <w:sz w:val="24"/>
          <w:szCs w:val="24"/>
          <w:lang w:val="en-US" w:eastAsia="zh-CN"/>
        </w:rPr>
        <w:t>: 85-94 [PMID: 12544071 DOI: 10.1097/01.RLI.0000044931.26224.F9]</w:t>
      </w:r>
    </w:p>
    <w:p w14:paraId="4751E840"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31 </w:t>
      </w:r>
      <w:r w:rsidRPr="00FC2DDA">
        <w:rPr>
          <w:rFonts w:ascii="Book Antiqua" w:eastAsia="SimSun" w:hAnsi="Book Antiqua" w:cs="Times New Roman"/>
          <w:b/>
          <w:color w:val="auto"/>
          <w:kern w:val="2"/>
          <w:sz w:val="24"/>
          <w:szCs w:val="24"/>
          <w:lang w:val="en-US" w:eastAsia="zh-CN"/>
        </w:rPr>
        <w:t>Neri E</w:t>
      </w:r>
      <w:r w:rsidRPr="00FC2DDA">
        <w:rPr>
          <w:rFonts w:ascii="Book Antiqua" w:eastAsia="SimSun" w:hAnsi="Book Antiqua" w:cs="Times New Roman"/>
          <w:color w:val="auto"/>
          <w:kern w:val="2"/>
          <w:sz w:val="24"/>
          <w:szCs w:val="24"/>
          <w:lang w:val="en-US" w:eastAsia="zh-CN"/>
        </w:rPr>
        <w:t xml:space="preserve">, Bali MA, Ba-Ssalamah A, Boraschi P, Brancatelli G, Alves FC, Grazioli L, Helmberger T, Lee JM, Manfredi R, Martì-Bonmatì L, Matos C, Merkle EM, Op De Beeck B, Schima W, Skehan S, Vilgrain V, Zech C, Bartolozzi C. ESGAR consensus statement on liver MR imaging and clinical use of liver-specific contrast agents. </w:t>
      </w:r>
      <w:r w:rsidRPr="00FC2DDA">
        <w:rPr>
          <w:rFonts w:ascii="Book Antiqua" w:eastAsia="SimSun" w:hAnsi="Book Antiqua" w:cs="Times New Roman"/>
          <w:i/>
          <w:color w:val="auto"/>
          <w:kern w:val="2"/>
          <w:sz w:val="24"/>
          <w:szCs w:val="24"/>
          <w:lang w:val="en-US" w:eastAsia="zh-CN"/>
        </w:rPr>
        <w:t>Eur Radiol</w:t>
      </w:r>
      <w:r w:rsidRPr="00FC2DDA">
        <w:rPr>
          <w:rFonts w:ascii="Book Antiqua" w:eastAsia="SimSun" w:hAnsi="Book Antiqua" w:cs="Times New Roman"/>
          <w:color w:val="auto"/>
          <w:kern w:val="2"/>
          <w:sz w:val="24"/>
          <w:szCs w:val="24"/>
          <w:lang w:val="en-US" w:eastAsia="zh-CN"/>
        </w:rPr>
        <w:t xml:space="preserve"> 2016; </w:t>
      </w:r>
      <w:r w:rsidRPr="00FC2DDA">
        <w:rPr>
          <w:rFonts w:ascii="Book Antiqua" w:eastAsia="SimSun" w:hAnsi="Book Antiqua" w:cs="Times New Roman"/>
          <w:b/>
          <w:color w:val="auto"/>
          <w:kern w:val="2"/>
          <w:sz w:val="24"/>
          <w:szCs w:val="24"/>
          <w:lang w:val="en-US" w:eastAsia="zh-CN"/>
        </w:rPr>
        <w:t>26</w:t>
      </w:r>
      <w:r w:rsidRPr="00FC2DDA">
        <w:rPr>
          <w:rFonts w:ascii="Book Antiqua" w:eastAsia="SimSun" w:hAnsi="Book Antiqua" w:cs="Times New Roman"/>
          <w:color w:val="auto"/>
          <w:kern w:val="2"/>
          <w:sz w:val="24"/>
          <w:szCs w:val="24"/>
          <w:lang w:val="en-US" w:eastAsia="zh-CN"/>
        </w:rPr>
        <w:t>: 921-931 [PMID: 26194455 DOI: 10.1007/s00330-015-3900-3]</w:t>
      </w:r>
    </w:p>
    <w:p w14:paraId="2C47A921"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32 </w:t>
      </w:r>
      <w:r w:rsidRPr="00FC2DDA">
        <w:rPr>
          <w:rFonts w:ascii="Book Antiqua" w:eastAsia="SimSun" w:hAnsi="Book Antiqua" w:cs="Times New Roman"/>
          <w:b/>
          <w:color w:val="auto"/>
          <w:kern w:val="2"/>
          <w:sz w:val="24"/>
          <w:szCs w:val="24"/>
          <w:lang w:val="en-US" w:eastAsia="zh-CN"/>
        </w:rPr>
        <w:t>Hamm B</w:t>
      </w:r>
      <w:r w:rsidRPr="00FC2DDA">
        <w:rPr>
          <w:rFonts w:ascii="Book Antiqua" w:eastAsia="SimSun" w:hAnsi="Book Antiqua" w:cs="Times New Roman"/>
          <w:color w:val="auto"/>
          <w:kern w:val="2"/>
          <w:sz w:val="24"/>
          <w:szCs w:val="24"/>
          <w:lang w:val="en-US" w:eastAsia="zh-CN"/>
        </w:rPr>
        <w:t xml:space="preserve">, Staks T, Mühler A, Bollow M, Taupitz M, Frenzel T, Wolf KJ, Weinmann HJ, Lange L. Phase I clinical evaluation of Gd-EOB-DTPA as a hepatobiliary MR contrast agent: safety, pharmacokinetics, and MR imaging.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1995; </w:t>
      </w:r>
      <w:r w:rsidRPr="00FC2DDA">
        <w:rPr>
          <w:rFonts w:ascii="Book Antiqua" w:eastAsia="SimSun" w:hAnsi="Book Antiqua" w:cs="Times New Roman"/>
          <w:b/>
          <w:color w:val="auto"/>
          <w:kern w:val="2"/>
          <w:sz w:val="24"/>
          <w:szCs w:val="24"/>
          <w:lang w:val="en-US" w:eastAsia="zh-CN"/>
        </w:rPr>
        <w:t>195</w:t>
      </w:r>
      <w:r w:rsidRPr="00FC2DDA">
        <w:rPr>
          <w:rFonts w:ascii="Book Antiqua" w:eastAsia="SimSun" w:hAnsi="Book Antiqua" w:cs="Times New Roman"/>
          <w:color w:val="auto"/>
          <w:kern w:val="2"/>
          <w:sz w:val="24"/>
          <w:szCs w:val="24"/>
          <w:lang w:val="en-US" w:eastAsia="zh-CN"/>
        </w:rPr>
        <w:t>: 785-792 [PMID: 7754011 DOI: 10.1148/radiology.195.3.7754011]</w:t>
      </w:r>
    </w:p>
    <w:p w14:paraId="54303493"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33 </w:t>
      </w:r>
      <w:r w:rsidRPr="00FC2DDA">
        <w:rPr>
          <w:rFonts w:ascii="Book Antiqua" w:eastAsia="SimSun" w:hAnsi="Book Antiqua" w:cs="Times New Roman"/>
          <w:b/>
          <w:color w:val="auto"/>
          <w:kern w:val="2"/>
          <w:sz w:val="24"/>
          <w:szCs w:val="24"/>
          <w:lang w:val="en-US" w:eastAsia="zh-CN"/>
        </w:rPr>
        <w:t>Nakamura Y</w:t>
      </w:r>
      <w:r w:rsidRPr="00FC2DDA">
        <w:rPr>
          <w:rFonts w:ascii="Book Antiqua" w:eastAsia="SimSun" w:hAnsi="Book Antiqua" w:cs="Times New Roman"/>
          <w:color w:val="auto"/>
          <w:kern w:val="2"/>
          <w:sz w:val="24"/>
          <w:szCs w:val="24"/>
          <w:lang w:val="en-US" w:eastAsia="zh-CN"/>
        </w:rPr>
        <w:t xml:space="preserve">, Toyota N, Date S, Oda S, Namimoto T, Yamashita Y, Beppu T, Awai K. Clinical significance of the transitional phase at gadoxetate disodium-enhanced hepatic MRI for the diagnosis of hepatocellular carcinoma:  preliminary results. </w:t>
      </w:r>
      <w:r w:rsidRPr="00FC2DDA">
        <w:rPr>
          <w:rFonts w:ascii="Book Antiqua" w:eastAsia="SimSun" w:hAnsi="Book Antiqua" w:cs="Times New Roman"/>
          <w:i/>
          <w:color w:val="auto"/>
          <w:kern w:val="2"/>
          <w:sz w:val="24"/>
          <w:szCs w:val="24"/>
          <w:lang w:val="en-US" w:eastAsia="zh-CN"/>
        </w:rPr>
        <w:t>J Comput Assist Tomogr</w:t>
      </w:r>
      <w:r w:rsidRPr="00FC2DDA">
        <w:rPr>
          <w:rFonts w:ascii="Book Antiqua" w:eastAsia="SimSun" w:hAnsi="Book Antiqua" w:cs="Times New Roman"/>
          <w:color w:val="auto"/>
          <w:kern w:val="2"/>
          <w:sz w:val="24"/>
          <w:szCs w:val="24"/>
          <w:lang w:val="en-US" w:eastAsia="zh-CN"/>
        </w:rPr>
        <w:t xml:space="preserve"> 2011; </w:t>
      </w:r>
      <w:r w:rsidRPr="00FC2DDA">
        <w:rPr>
          <w:rFonts w:ascii="Book Antiqua" w:eastAsia="SimSun" w:hAnsi="Book Antiqua" w:cs="Times New Roman"/>
          <w:b/>
          <w:color w:val="auto"/>
          <w:kern w:val="2"/>
          <w:sz w:val="24"/>
          <w:szCs w:val="24"/>
          <w:lang w:val="en-US" w:eastAsia="zh-CN"/>
        </w:rPr>
        <w:t>35</w:t>
      </w:r>
      <w:r w:rsidRPr="00FC2DDA">
        <w:rPr>
          <w:rFonts w:ascii="Book Antiqua" w:eastAsia="SimSun" w:hAnsi="Book Antiqua" w:cs="Times New Roman"/>
          <w:color w:val="auto"/>
          <w:kern w:val="2"/>
          <w:sz w:val="24"/>
          <w:szCs w:val="24"/>
          <w:lang w:val="en-US" w:eastAsia="zh-CN"/>
        </w:rPr>
        <w:t>: 723-727 [PMID: 22082543 DOI: 10.1097/RCT.0b013e3182372c40]</w:t>
      </w:r>
    </w:p>
    <w:p w14:paraId="585DC038"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34 </w:t>
      </w:r>
      <w:r w:rsidRPr="00FC2DDA">
        <w:rPr>
          <w:rFonts w:ascii="Book Antiqua" w:eastAsia="SimSun" w:hAnsi="Book Antiqua" w:cs="Times New Roman"/>
          <w:b/>
          <w:color w:val="auto"/>
          <w:kern w:val="2"/>
          <w:sz w:val="24"/>
          <w:szCs w:val="24"/>
          <w:lang w:val="en-US" w:eastAsia="zh-CN"/>
        </w:rPr>
        <w:t>Chou R</w:t>
      </w:r>
      <w:r w:rsidRPr="00FC2DDA">
        <w:rPr>
          <w:rFonts w:ascii="Book Antiqua" w:eastAsia="SimSun" w:hAnsi="Book Antiqua" w:cs="Times New Roman"/>
          <w:color w:val="auto"/>
          <w:kern w:val="2"/>
          <w:sz w:val="24"/>
          <w:szCs w:val="24"/>
          <w:lang w:val="en-US" w:eastAsia="zh-CN"/>
        </w:rPr>
        <w:t xml:space="preserve">, Cuevas C, Fu R, Devine B, Wasson N, Ginsburg A, Zakher B, Pappas M, Graham E, Sullivan SD. Imaging Techniques for the Diagnosis of Hepatocellular Carcinoma: A Systematic Review and Meta-analysis. </w:t>
      </w:r>
      <w:r w:rsidRPr="00FC2DDA">
        <w:rPr>
          <w:rFonts w:ascii="Book Antiqua" w:eastAsia="SimSun" w:hAnsi="Book Antiqua" w:cs="Times New Roman"/>
          <w:i/>
          <w:color w:val="auto"/>
          <w:kern w:val="2"/>
          <w:sz w:val="24"/>
          <w:szCs w:val="24"/>
          <w:lang w:val="en-US" w:eastAsia="zh-CN"/>
        </w:rPr>
        <w:t>Ann Intern Med</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162</w:t>
      </w:r>
      <w:r w:rsidRPr="00FC2DDA">
        <w:rPr>
          <w:rFonts w:ascii="Book Antiqua" w:eastAsia="SimSun" w:hAnsi="Book Antiqua" w:cs="Times New Roman"/>
          <w:color w:val="auto"/>
          <w:kern w:val="2"/>
          <w:sz w:val="24"/>
          <w:szCs w:val="24"/>
          <w:lang w:val="en-US" w:eastAsia="zh-CN"/>
        </w:rPr>
        <w:t>: 697-711 [PMID: 25984845 DOI: 10.7326/M14-2509]</w:t>
      </w:r>
    </w:p>
    <w:p w14:paraId="1FA415DD"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35 </w:t>
      </w:r>
      <w:r w:rsidRPr="00FC2DDA">
        <w:rPr>
          <w:rFonts w:ascii="Book Antiqua" w:eastAsia="SimSun" w:hAnsi="Book Antiqua" w:cs="Times New Roman"/>
          <w:b/>
          <w:color w:val="auto"/>
          <w:kern w:val="2"/>
          <w:sz w:val="24"/>
          <w:szCs w:val="24"/>
          <w:lang w:val="en-US" w:eastAsia="zh-CN"/>
        </w:rPr>
        <w:t>Kudo M</w:t>
      </w:r>
      <w:r w:rsidRPr="00FC2DDA">
        <w:rPr>
          <w:rFonts w:ascii="Book Antiqua" w:eastAsia="SimSun" w:hAnsi="Book Antiqua" w:cs="Times New Roman"/>
          <w:color w:val="auto"/>
          <w:kern w:val="2"/>
          <w:sz w:val="24"/>
          <w:szCs w:val="24"/>
          <w:lang w:val="en-US" w:eastAsia="zh-CN"/>
        </w:rPr>
        <w:t xml:space="preserve">, Matsui O, Izumi N, Iijima H, Kadoya M, Imai Y; Liver Cancer Study Group of Japan. Surveillance and diagnostic algorithm for hepatocellular carcinoma proposed by the Liver Cancer Study Group of Japan: 2014 update. </w:t>
      </w:r>
      <w:r w:rsidRPr="00FC2DDA">
        <w:rPr>
          <w:rFonts w:ascii="Book Antiqua" w:eastAsia="SimSun" w:hAnsi="Book Antiqua" w:cs="Times New Roman"/>
          <w:i/>
          <w:color w:val="auto"/>
          <w:kern w:val="2"/>
          <w:sz w:val="24"/>
          <w:szCs w:val="24"/>
          <w:lang w:val="en-US" w:eastAsia="zh-CN"/>
        </w:rPr>
        <w:t>Oncology</w:t>
      </w:r>
      <w:r w:rsidRPr="00FC2DDA">
        <w:rPr>
          <w:rFonts w:ascii="Book Antiqua" w:eastAsia="SimSun" w:hAnsi="Book Antiqua" w:cs="Times New Roman"/>
          <w:color w:val="auto"/>
          <w:kern w:val="2"/>
          <w:sz w:val="24"/>
          <w:szCs w:val="24"/>
          <w:lang w:val="en-US" w:eastAsia="zh-CN"/>
        </w:rPr>
        <w:t xml:space="preserve"> 2014; </w:t>
      </w:r>
      <w:r w:rsidRPr="00FC2DDA">
        <w:rPr>
          <w:rFonts w:ascii="Book Antiqua" w:eastAsia="SimSun" w:hAnsi="Book Antiqua" w:cs="Times New Roman"/>
          <w:b/>
          <w:color w:val="auto"/>
          <w:kern w:val="2"/>
          <w:sz w:val="24"/>
          <w:szCs w:val="24"/>
          <w:lang w:val="en-US" w:eastAsia="zh-CN"/>
        </w:rPr>
        <w:t>87 Suppl 1</w:t>
      </w:r>
      <w:r w:rsidRPr="00FC2DDA">
        <w:rPr>
          <w:rFonts w:ascii="Book Antiqua" w:eastAsia="SimSun" w:hAnsi="Book Antiqua" w:cs="Times New Roman"/>
          <w:color w:val="auto"/>
          <w:kern w:val="2"/>
          <w:sz w:val="24"/>
          <w:szCs w:val="24"/>
          <w:lang w:val="en-US" w:eastAsia="zh-CN"/>
        </w:rPr>
        <w:t>: 7-21 [PMID: 25427729 DOI: 10.1159/000368141]</w:t>
      </w:r>
    </w:p>
    <w:p w14:paraId="74E779E0"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lastRenderedPageBreak/>
        <w:t xml:space="preserve">36 </w:t>
      </w:r>
      <w:r w:rsidRPr="00FC2DDA">
        <w:rPr>
          <w:rFonts w:ascii="Book Antiqua" w:eastAsia="SimSun" w:hAnsi="Book Antiqua" w:cs="Times New Roman"/>
          <w:b/>
          <w:color w:val="auto"/>
          <w:kern w:val="2"/>
          <w:sz w:val="24"/>
          <w:szCs w:val="24"/>
          <w:lang w:val="en-US" w:eastAsia="zh-CN"/>
        </w:rPr>
        <w:t>Motosugi U</w:t>
      </w:r>
      <w:r w:rsidRPr="00FC2DDA">
        <w:rPr>
          <w:rFonts w:ascii="Book Antiqua" w:eastAsia="SimSun" w:hAnsi="Book Antiqua" w:cs="Times New Roman"/>
          <w:color w:val="auto"/>
          <w:kern w:val="2"/>
          <w:sz w:val="24"/>
          <w:szCs w:val="24"/>
          <w:lang w:val="en-US" w:eastAsia="zh-CN"/>
        </w:rPr>
        <w:t xml:space="preserve">, Ichikawa T, Sou H, Sano K, Tominaga L, Muhi A, Araki T. Distinguishing hypervascular pseudolesions of the liver from hypervascular hepatocellular carcinomas with gadoxetic acid-enhanced MR imaging.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2010; </w:t>
      </w:r>
      <w:r w:rsidRPr="00FC2DDA">
        <w:rPr>
          <w:rFonts w:ascii="Book Antiqua" w:eastAsia="SimSun" w:hAnsi="Book Antiqua" w:cs="Times New Roman"/>
          <w:b/>
          <w:color w:val="auto"/>
          <w:kern w:val="2"/>
          <w:sz w:val="24"/>
          <w:szCs w:val="24"/>
          <w:lang w:val="en-US" w:eastAsia="zh-CN"/>
        </w:rPr>
        <w:t>256</w:t>
      </w:r>
      <w:r w:rsidRPr="00FC2DDA">
        <w:rPr>
          <w:rFonts w:ascii="Book Antiqua" w:eastAsia="SimSun" w:hAnsi="Book Antiqua" w:cs="Times New Roman"/>
          <w:color w:val="auto"/>
          <w:kern w:val="2"/>
          <w:sz w:val="24"/>
          <w:szCs w:val="24"/>
          <w:lang w:val="en-US" w:eastAsia="zh-CN"/>
        </w:rPr>
        <w:t>: 151-158 [PMID: 20574092 DOI: 10.1148/radiol.10091885]</w:t>
      </w:r>
    </w:p>
    <w:p w14:paraId="6F3B8839"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37 </w:t>
      </w:r>
      <w:r w:rsidRPr="00FC2DDA">
        <w:rPr>
          <w:rFonts w:ascii="Book Antiqua" w:eastAsia="SimSun" w:hAnsi="Book Antiqua" w:cs="Times New Roman"/>
          <w:b/>
          <w:color w:val="auto"/>
          <w:kern w:val="2"/>
          <w:sz w:val="24"/>
          <w:szCs w:val="24"/>
          <w:lang w:val="en-US" w:eastAsia="zh-CN"/>
        </w:rPr>
        <w:t>Kumada T</w:t>
      </w:r>
      <w:r w:rsidRPr="00FC2DDA">
        <w:rPr>
          <w:rFonts w:ascii="Book Antiqua" w:eastAsia="SimSun" w:hAnsi="Book Antiqua" w:cs="Times New Roman"/>
          <w:color w:val="auto"/>
          <w:kern w:val="2"/>
          <w:sz w:val="24"/>
          <w:szCs w:val="24"/>
          <w:lang w:val="en-US" w:eastAsia="zh-CN"/>
        </w:rPr>
        <w:t xml:space="preserve">, Toyoda H, Tada T, Sone Y, Fujimori M, Ogawa S, Ishikawa T. Evolution of hypointense hepatocellular nodules observed only in the hepatobiliary phase of gadoxetate disodium-enhanced MRI. </w:t>
      </w:r>
      <w:r w:rsidRPr="00FC2DDA">
        <w:rPr>
          <w:rFonts w:ascii="Book Antiqua" w:eastAsia="SimSun" w:hAnsi="Book Antiqua" w:cs="Times New Roman"/>
          <w:i/>
          <w:color w:val="auto"/>
          <w:kern w:val="2"/>
          <w:sz w:val="24"/>
          <w:szCs w:val="24"/>
          <w:lang w:val="en-US" w:eastAsia="zh-CN"/>
        </w:rPr>
        <w:t>AJR Am J Roentgenol</w:t>
      </w:r>
      <w:r w:rsidRPr="00FC2DDA">
        <w:rPr>
          <w:rFonts w:ascii="Book Antiqua" w:eastAsia="SimSun" w:hAnsi="Book Antiqua" w:cs="Times New Roman"/>
          <w:color w:val="auto"/>
          <w:kern w:val="2"/>
          <w:sz w:val="24"/>
          <w:szCs w:val="24"/>
          <w:lang w:val="en-US" w:eastAsia="zh-CN"/>
        </w:rPr>
        <w:t xml:space="preserve"> 2011; </w:t>
      </w:r>
      <w:r w:rsidRPr="00FC2DDA">
        <w:rPr>
          <w:rFonts w:ascii="Book Antiqua" w:eastAsia="SimSun" w:hAnsi="Book Antiqua" w:cs="Times New Roman"/>
          <w:b/>
          <w:color w:val="auto"/>
          <w:kern w:val="2"/>
          <w:sz w:val="24"/>
          <w:szCs w:val="24"/>
          <w:lang w:val="en-US" w:eastAsia="zh-CN"/>
        </w:rPr>
        <w:t>197</w:t>
      </w:r>
      <w:r w:rsidRPr="00FC2DDA">
        <w:rPr>
          <w:rFonts w:ascii="Book Antiqua" w:eastAsia="SimSun" w:hAnsi="Book Antiqua" w:cs="Times New Roman"/>
          <w:color w:val="auto"/>
          <w:kern w:val="2"/>
          <w:sz w:val="24"/>
          <w:szCs w:val="24"/>
          <w:lang w:val="en-US" w:eastAsia="zh-CN"/>
        </w:rPr>
        <w:t>: 58-63 [PMID: 21701011 DOI: 10.2214/AJR.10.5390]</w:t>
      </w:r>
    </w:p>
    <w:p w14:paraId="59E5EAAA"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38 </w:t>
      </w:r>
      <w:r w:rsidRPr="00FC2DDA">
        <w:rPr>
          <w:rFonts w:ascii="Book Antiqua" w:eastAsia="SimSun" w:hAnsi="Book Antiqua" w:cs="Times New Roman"/>
          <w:b/>
          <w:color w:val="auto"/>
          <w:kern w:val="2"/>
          <w:sz w:val="24"/>
          <w:szCs w:val="24"/>
          <w:lang w:val="en-US" w:eastAsia="zh-CN"/>
        </w:rPr>
        <w:t>Taouli B</w:t>
      </w:r>
      <w:r w:rsidRPr="00FC2DDA">
        <w:rPr>
          <w:rFonts w:ascii="Book Antiqua" w:eastAsia="SimSun" w:hAnsi="Book Antiqua" w:cs="Times New Roman"/>
          <w:color w:val="auto"/>
          <w:kern w:val="2"/>
          <w:sz w:val="24"/>
          <w:szCs w:val="24"/>
          <w:lang w:val="en-US" w:eastAsia="zh-CN"/>
        </w:rPr>
        <w:t xml:space="preserve">, Johnson RS, Hajdu CH, Oei MT, Merad M, Yee H, Rusinek H. Hepatocellular carcinoma: perfusion quantification with dynamic contrast-enhanced MRI. </w:t>
      </w:r>
      <w:r w:rsidRPr="00FC2DDA">
        <w:rPr>
          <w:rFonts w:ascii="Book Antiqua" w:eastAsia="SimSun" w:hAnsi="Book Antiqua" w:cs="Times New Roman"/>
          <w:i/>
          <w:color w:val="auto"/>
          <w:kern w:val="2"/>
          <w:sz w:val="24"/>
          <w:szCs w:val="24"/>
          <w:lang w:val="en-US" w:eastAsia="zh-CN"/>
        </w:rPr>
        <w:t>AJR Am J Roentgenol</w:t>
      </w:r>
      <w:r w:rsidRPr="00FC2DDA">
        <w:rPr>
          <w:rFonts w:ascii="Book Antiqua" w:eastAsia="SimSun" w:hAnsi="Book Antiqua" w:cs="Times New Roman"/>
          <w:color w:val="auto"/>
          <w:kern w:val="2"/>
          <w:sz w:val="24"/>
          <w:szCs w:val="24"/>
          <w:lang w:val="en-US" w:eastAsia="zh-CN"/>
        </w:rPr>
        <w:t xml:space="preserve"> 2013; </w:t>
      </w:r>
      <w:r w:rsidRPr="00FC2DDA">
        <w:rPr>
          <w:rFonts w:ascii="Book Antiqua" w:eastAsia="SimSun" w:hAnsi="Book Antiqua" w:cs="Times New Roman"/>
          <w:b/>
          <w:color w:val="auto"/>
          <w:kern w:val="2"/>
          <w:sz w:val="24"/>
          <w:szCs w:val="24"/>
          <w:lang w:val="en-US" w:eastAsia="zh-CN"/>
        </w:rPr>
        <w:t>201</w:t>
      </w:r>
      <w:r w:rsidRPr="00FC2DDA">
        <w:rPr>
          <w:rFonts w:ascii="Book Antiqua" w:eastAsia="SimSun" w:hAnsi="Book Antiqua" w:cs="Times New Roman"/>
          <w:color w:val="auto"/>
          <w:kern w:val="2"/>
          <w:sz w:val="24"/>
          <w:szCs w:val="24"/>
          <w:lang w:val="en-US" w:eastAsia="zh-CN"/>
        </w:rPr>
        <w:t>: 795-800 [PMID: 24059368 DOI: 10.2214/AJR.12.9798]</w:t>
      </w:r>
    </w:p>
    <w:p w14:paraId="6468749E"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39 </w:t>
      </w:r>
      <w:r w:rsidRPr="00FC2DDA">
        <w:rPr>
          <w:rFonts w:ascii="Book Antiqua" w:eastAsia="SimSun" w:hAnsi="Book Antiqua" w:cs="Times New Roman"/>
          <w:b/>
          <w:color w:val="auto"/>
          <w:kern w:val="2"/>
          <w:sz w:val="24"/>
          <w:szCs w:val="24"/>
          <w:lang w:val="en-US" w:eastAsia="zh-CN"/>
        </w:rPr>
        <w:t>Chen J</w:t>
      </w:r>
      <w:r w:rsidRPr="00FC2DDA">
        <w:rPr>
          <w:rFonts w:ascii="Book Antiqua" w:eastAsia="SimSun" w:hAnsi="Book Antiqua" w:cs="Times New Roman"/>
          <w:color w:val="auto"/>
          <w:kern w:val="2"/>
          <w:sz w:val="24"/>
          <w:szCs w:val="24"/>
          <w:lang w:val="en-US" w:eastAsia="zh-CN"/>
        </w:rPr>
        <w:t xml:space="preserve">, Chen C, Xia C, Huang Z, Zuo P, Stemmer A, Song B. Quantitative free-breathing dynamic contrast-enhanced MRI in hepatocellular carcinoma using gadoxetic acid: correlations with Ki67 proliferation status, histological grades, and microvascular density. </w:t>
      </w:r>
      <w:r w:rsidRPr="00FC2DDA">
        <w:rPr>
          <w:rFonts w:ascii="Book Antiqua" w:eastAsia="SimSun" w:hAnsi="Book Antiqua" w:cs="Times New Roman"/>
          <w:i/>
          <w:color w:val="auto"/>
          <w:kern w:val="2"/>
          <w:sz w:val="24"/>
          <w:szCs w:val="24"/>
          <w:lang w:val="en-US" w:eastAsia="zh-CN"/>
        </w:rPr>
        <w:t>Abdom Radiol (NY)</w:t>
      </w:r>
      <w:r w:rsidRPr="00FC2DDA">
        <w:rPr>
          <w:rFonts w:ascii="Book Antiqua" w:eastAsia="SimSun" w:hAnsi="Book Antiqua" w:cs="Times New Roman"/>
          <w:color w:val="auto"/>
          <w:kern w:val="2"/>
          <w:sz w:val="24"/>
          <w:szCs w:val="24"/>
          <w:lang w:val="en-US" w:eastAsia="zh-CN"/>
        </w:rPr>
        <w:t xml:space="preserve"> 2017; Epub ahead of print</w:t>
      </w:r>
      <w:r w:rsidRPr="00FC2DDA">
        <w:rPr>
          <w:rFonts w:ascii="Book Antiqua" w:eastAsia="SimSun" w:hAnsi="Book Antiqua" w:cs="Times New Roman" w:hint="eastAsia"/>
          <w:color w:val="auto"/>
          <w:kern w:val="2"/>
          <w:sz w:val="24"/>
          <w:szCs w:val="24"/>
          <w:lang w:val="en-US" w:eastAsia="zh-CN"/>
        </w:rPr>
        <w:t xml:space="preserve"> </w:t>
      </w:r>
      <w:r w:rsidRPr="00FC2DDA">
        <w:rPr>
          <w:rFonts w:ascii="Book Antiqua" w:eastAsia="SimSun" w:hAnsi="Book Antiqua" w:cs="Times New Roman"/>
          <w:color w:val="auto"/>
          <w:kern w:val="2"/>
          <w:sz w:val="24"/>
          <w:szCs w:val="24"/>
          <w:lang w:val="en-US" w:eastAsia="zh-CN"/>
        </w:rPr>
        <w:t>[PMID: 28939963 DOI: 10.1007/s00261-017-1320-3]</w:t>
      </w:r>
    </w:p>
    <w:p w14:paraId="164EAAB7"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40 </w:t>
      </w:r>
      <w:r w:rsidRPr="00FC2DDA">
        <w:rPr>
          <w:rFonts w:ascii="Book Antiqua" w:eastAsia="SimSun" w:hAnsi="Book Antiqua" w:cs="Times New Roman"/>
          <w:b/>
          <w:color w:val="auto"/>
          <w:kern w:val="2"/>
          <w:sz w:val="24"/>
          <w:szCs w:val="24"/>
          <w:lang w:val="en-US" w:eastAsia="zh-CN"/>
        </w:rPr>
        <w:t>Jajamovich GH</w:t>
      </w:r>
      <w:r w:rsidRPr="00FC2DDA">
        <w:rPr>
          <w:rFonts w:ascii="Book Antiqua" w:eastAsia="SimSun" w:hAnsi="Book Antiqua" w:cs="Times New Roman"/>
          <w:color w:val="auto"/>
          <w:kern w:val="2"/>
          <w:sz w:val="24"/>
          <w:szCs w:val="24"/>
          <w:lang w:val="en-US" w:eastAsia="zh-CN"/>
        </w:rPr>
        <w:t xml:space="preserve">, Huang W, Besa C, Li X, Afzal A, Dyvorne HA, Taouli B. DCE-MRI of hepatocellular carcinoma: perfusion quantification with Tofts model versus shutter-speed model--initial experience. </w:t>
      </w:r>
      <w:r w:rsidRPr="00FC2DDA">
        <w:rPr>
          <w:rFonts w:ascii="Book Antiqua" w:eastAsia="SimSun" w:hAnsi="Book Antiqua" w:cs="Times New Roman"/>
          <w:i/>
          <w:color w:val="auto"/>
          <w:kern w:val="2"/>
          <w:sz w:val="24"/>
          <w:szCs w:val="24"/>
          <w:lang w:val="en-US" w:eastAsia="zh-CN"/>
        </w:rPr>
        <w:t>MAGMA</w:t>
      </w:r>
      <w:r w:rsidRPr="00FC2DDA">
        <w:rPr>
          <w:rFonts w:ascii="Book Antiqua" w:eastAsia="SimSun" w:hAnsi="Book Antiqua" w:cs="Times New Roman"/>
          <w:color w:val="auto"/>
          <w:kern w:val="2"/>
          <w:sz w:val="24"/>
          <w:szCs w:val="24"/>
          <w:lang w:val="en-US" w:eastAsia="zh-CN"/>
        </w:rPr>
        <w:t xml:space="preserve"> 2016; </w:t>
      </w:r>
      <w:r w:rsidRPr="00FC2DDA">
        <w:rPr>
          <w:rFonts w:ascii="Book Antiqua" w:eastAsia="SimSun" w:hAnsi="Book Antiqua" w:cs="Times New Roman"/>
          <w:b/>
          <w:color w:val="auto"/>
          <w:kern w:val="2"/>
          <w:sz w:val="24"/>
          <w:szCs w:val="24"/>
          <w:lang w:val="en-US" w:eastAsia="zh-CN"/>
        </w:rPr>
        <w:t>29</w:t>
      </w:r>
      <w:r w:rsidRPr="00FC2DDA">
        <w:rPr>
          <w:rFonts w:ascii="Book Antiqua" w:eastAsia="SimSun" w:hAnsi="Book Antiqua" w:cs="Times New Roman"/>
          <w:color w:val="auto"/>
          <w:kern w:val="2"/>
          <w:sz w:val="24"/>
          <w:szCs w:val="24"/>
          <w:lang w:val="en-US" w:eastAsia="zh-CN"/>
        </w:rPr>
        <w:t>: 49-58 [PMID: 26646522 DOI: 10.1007/s10334-015-0513-4]</w:t>
      </w:r>
    </w:p>
    <w:p w14:paraId="62F7F5BC"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41 </w:t>
      </w:r>
      <w:r w:rsidRPr="00FC2DDA">
        <w:rPr>
          <w:rFonts w:ascii="Book Antiqua" w:eastAsia="SimSun" w:hAnsi="Book Antiqua" w:cs="Times New Roman"/>
          <w:b/>
          <w:color w:val="auto"/>
          <w:kern w:val="2"/>
          <w:sz w:val="24"/>
          <w:szCs w:val="24"/>
          <w:lang w:val="en-US" w:eastAsia="zh-CN"/>
        </w:rPr>
        <w:t>Ippolito D</w:t>
      </w:r>
      <w:r w:rsidRPr="00FC2DDA">
        <w:rPr>
          <w:rFonts w:ascii="Book Antiqua" w:eastAsia="SimSun" w:hAnsi="Book Antiqua" w:cs="Times New Roman"/>
          <w:color w:val="auto"/>
          <w:kern w:val="2"/>
          <w:sz w:val="24"/>
          <w:szCs w:val="24"/>
          <w:lang w:val="en-US" w:eastAsia="zh-CN"/>
        </w:rPr>
        <w:t xml:space="preserve">, Trattenero C, Talei Franzesi C, Casiraghi A, Lombardi S, Vacirca F, Corso R, Sironi S. Dynamic Contrast-Enhanced Magnetic Resonance Imaging With Gadolinium Ethoxybenzyl Diethylenetriamine Pentaacetic Acid for Quantitative Assessment of Vascular Effects on Hepatocellular-Carcinoma Lesions Treated by Transarterial Chemoembolization or Radiofrequency Ablation. </w:t>
      </w:r>
      <w:r w:rsidRPr="00FC2DDA">
        <w:rPr>
          <w:rFonts w:ascii="Book Antiqua" w:eastAsia="SimSun" w:hAnsi="Book Antiqua" w:cs="Times New Roman"/>
          <w:i/>
          <w:color w:val="auto"/>
          <w:kern w:val="2"/>
          <w:sz w:val="24"/>
          <w:szCs w:val="24"/>
          <w:lang w:val="en-US" w:eastAsia="zh-CN"/>
        </w:rPr>
        <w:t>J Comput Assist Tomogr</w:t>
      </w:r>
      <w:r w:rsidRPr="00FC2DDA">
        <w:rPr>
          <w:rFonts w:ascii="Book Antiqua" w:eastAsia="SimSun" w:hAnsi="Book Antiqua" w:cs="Times New Roman"/>
          <w:color w:val="auto"/>
          <w:kern w:val="2"/>
          <w:sz w:val="24"/>
          <w:szCs w:val="24"/>
          <w:lang w:val="en-US" w:eastAsia="zh-CN"/>
        </w:rPr>
        <w:t xml:space="preserve"> 2016; </w:t>
      </w:r>
      <w:r w:rsidRPr="00FC2DDA">
        <w:rPr>
          <w:rFonts w:ascii="Book Antiqua" w:eastAsia="SimSun" w:hAnsi="Book Antiqua" w:cs="Times New Roman"/>
          <w:b/>
          <w:color w:val="auto"/>
          <w:kern w:val="2"/>
          <w:sz w:val="24"/>
          <w:szCs w:val="24"/>
          <w:lang w:val="en-US" w:eastAsia="zh-CN"/>
        </w:rPr>
        <w:t>40</w:t>
      </w:r>
      <w:r w:rsidRPr="00FC2DDA">
        <w:rPr>
          <w:rFonts w:ascii="Book Antiqua" w:eastAsia="SimSun" w:hAnsi="Book Antiqua" w:cs="Times New Roman"/>
          <w:color w:val="auto"/>
          <w:kern w:val="2"/>
          <w:sz w:val="24"/>
          <w:szCs w:val="24"/>
          <w:lang w:val="en-US" w:eastAsia="zh-CN"/>
        </w:rPr>
        <w:t>: 692-700 [PMID: 27560010 DOI: 10.1097/RCT.0000000000000427]</w:t>
      </w:r>
    </w:p>
    <w:p w14:paraId="5D9B2388"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42 </w:t>
      </w:r>
      <w:r w:rsidRPr="00FC2DDA">
        <w:rPr>
          <w:rFonts w:ascii="Book Antiqua" w:eastAsia="SimSun" w:hAnsi="Book Antiqua" w:cs="Times New Roman"/>
          <w:b/>
          <w:color w:val="auto"/>
          <w:kern w:val="2"/>
          <w:sz w:val="24"/>
          <w:szCs w:val="24"/>
          <w:lang w:val="en-US" w:eastAsia="zh-CN"/>
        </w:rPr>
        <w:t>Liang PC</w:t>
      </w:r>
      <w:r w:rsidRPr="00FC2DDA">
        <w:rPr>
          <w:rFonts w:ascii="Book Antiqua" w:eastAsia="SimSun" w:hAnsi="Book Antiqua" w:cs="Times New Roman"/>
          <w:color w:val="auto"/>
          <w:kern w:val="2"/>
          <w:sz w:val="24"/>
          <w:szCs w:val="24"/>
          <w:lang w:val="en-US" w:eastAsia="zh-CN"/>
        </w:rPr>
        <w:t xml:space="preserve">, Ch'ang HJ, Hsu C, Chen LT, Shih TT, Liu TW. Perfusion parameters of dynamic contrast-enhanced magnetic resonance imaging predict outcomes of hepatocellular carcinoma receiving radiotherapy with or without thalidomide. </w:t>
      </w:r>
      <w:r w:rsidRPr="00FC2DDA">
        <w:rPr>
          <w:rFonts w:ascii="Book Antiqua" w:eastAsia="SimSun" w:hAnsi="Book Antiqua" w:cs="Times New Roman"/>
          <w:i/>
          <w:color w:val="auto"/>
          <w:kern w:val="2"/>
          <w:sz w:val="24"/>
          <w:szCs w:val="24"/>
          <w:lang w:val="en-US" w:eastAsia="zh-CN"/>
        </w:rPr>
        <w:t>Hepatol Int</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9</w:t>
      </w:r>
      <w:r w:rsidRPr="00FC2DDA">
        <w:rPr>
          <w:rFonts w:ascii="Book Antiqua" w:eastAsia="SimSun" w:hAnsi="Book Antiqua" w:cs="Times New Roman"/>
          <w:color w:val="auto"/>
          <w:kern w:val="2"/>
          <w:sz w:val="24"/>
          <w:szCs w:val="24"/>
          <w:lang w:val="en-US" w:eastAsia="zh-CN"/>
        </w:rPr>
        <w:t>: 258-268 [PMID: 25788178 DOI: 10.1007/s12072-014-9557-1].]</w:t>
      </w:r>
    </w:p>
    <w:p w14:paraId="23AF0A60"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43 </w:t>
      </w:r>
      <w:r w:rsidRPr="00FC2DDA">
        <w:rPr>
          <w:rFonts w:ascii="Book Antiqua" w:eastAsia="SimSun" w:hAnsi="Book Antiqua" w:cs="Times New Roman"/>
          <w:b/>
          <w:color w:val="auto"/>
          <w:kern w:val="2"/>
          <w:sz w:val="24"/>
          <w:szCs w:val="24"/>
          <w:lang w:val="en-US" w:eastAsia="zh-CN"/>
        </w:rPr>
        <w:t>Chen BB</w:t>
      </w:r>
      <w:r w:rsidRPr="00FC2DDA">
        <w:rPr>
          <w:rFonts w:ascii="Book Antiqua" w:eastAsia="SimSun" w:hAnsi="Book Antiqua" w:cs="Times New Roman"/>
          <w:color w:val="auto"/>
          <w:kern w:val="2"/>
          <w:sz w:val="24"/>
          <w:szCs w:val="24"/>
          <w:lang w:val="en-US" w:eastAsia="zh-CN"/>
        </w:rPr>
        <w:t xml:space="preserve">, Shih TT. DCE-MRI in hepatocellular carcinoma-clinical and therapeutic image biomarker. </w:t>
      </w:r>
      <w:r w:rsidRPr="00FC2DDA">
        <w:rPr>
          <w:rFonts w:ascii="Book Antiqua" w:eastAsia="SimSun" w:hAnsi="Book Antiqua" w:cs="Times New Roman"/>
          <w:i/>
          <w:color w:val="auto"/>
          <w:kern w:val="2"/>
          <w:sz w:val="24"/>
          <w:szCs w:val="24"/>
          <w:lang w:val="en-US" w:eastAsia="zh-CN"/>
        </w:rPr>
        <w:t>World J Gastroenterol</w:t>
      </w:r>
      <w:r w:rsidRPr="00FC2DDA">
        <w:rPr>
          <w:rFonts w:ascii="Book Antiqua" w:eastAsia="SimSun" w:hAnsi="Book Antiqua" w:cs="Times New Roman"/>
          <w:color w:val="auto"/>
          <w:kern w:val="2"/>
          <w:sz w:val="24"/>
          <w:szCs w:val="24"/>
          <w:lang w:val="en-US" w:eastAsia="zh-CN"/>
        </w:rPr>
        <w:t xml:space="preserve"> 2014; </w:t>
      </w:r>
      <w:r w:rsidRPr="00FC2DDA">
        <w:rPr>
          <w:rFonts w:ascii="Book Antiqua" w:eastAsia="SimSun" w:hAnsi="Book Antiqua" w:cs="Times New Roman"/>
          <w:b/>
          <w:color w:val="auto"/>
          <w:kern w:val="2"/>
          <w:sz w:val="24"/>
          <w:szCs w:val="24"/>
          <w:lang w:val="en-US" w:eastAsia="zh-CN"/>
        </w:rPr>
        <w:t>20</w:t>
      </w:r>
      <w:r w:rsidRPr="00FC2DDA">
        <w:rPr>
          <w:rFonts w:ascii="Book Antiqua" w:eastAsia="SimSun" w:hAnsi="Book Antiqua" w:cs="Times New Roman"/>
          <w:color w:val="auto"/>
          <w:kern w:val="2"/>
          <w:sz w:val="24"/>
          <w:szCs w:val="24"/>
          <w:lang w:val="en-US" w:eastAsia="zh-CN"/>
        </w:rPr>
        <w:t xml:space="preserve">: 3125-3134 [PMID: 24695624 DOI: </w:t>
      </w:r>
      <w:r w:rsidRPr="00FC2DDA">
        <w:rPr>
          <w:rFonts w:ascii="Book Antiqua" w:eastAsia="SimSun" w:hAnsi="Book Antiqua" w:cs="Times New Roman"/>
          <w:color w:val="auto"/>
          <w:kern w:val="2"/>
          <w:sz w:val="24"/>
          <w:szCs w:val="24"/>
          <w:lang w:val="en-US" w:eastAsia="zh-CN"/>
        </w:rPr>
        <w:lastRenderedPageBreak/>
        <w:t>10.3748/wjg.v20.i12.3125]</w:t>
      </w:r>
    </w:p>
    <w:p w14:paraId="0D2DC2EB"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44 </w:t>
      </w:r>
      <w:r w:rsidRPr="00FC2DDA">
        <w:rPr>
          <w:rFonts w:ascii="Book Antiqua" w:eastAsia="SimSun" w:hAnsi="Book Antiqua" w:cs="Times New Roman"/>
          <w:b/>
          <w:color w:val="auto"/>
          <w:kern w:val="2"/>
          <w:sz w:val="24"/>
          <w:szCs w:val="24"/>
          <w:lang w:val="en-US" w:eastAsia="zh-CN"/>
        </w:rPr>
        <w:t>Chen BB</w:t>
      </w:r>
      <w:r w:rsidRPr="00FC2DDA">
        <w:rPr>
          <w:rFonts w:ascii="Book Antiqua" w:eastAsia="SimSun" w:hAnsi="Book Antiqua" w:cs="Times New Roman"/>
          <w:color w:val="auto"/>
          <w:kern w:val="2"/>
          <w:sz w:val="24"/>
          <w:szCs w:val="24"/>
          <w:lang w:val="en-US" w:eastAsia="zh-CN"/>
        </w:rPr>
        <w:t xml:space="preserve">, Hsu CY, Yu CW, Liang PC, Hsu C, Hsu CH, Cheng AL, Shih TT. Early perfusion changes within 1 week of systemic treatment measured by dynamic contrast-enhanced MRI may predict survival in patients with advanced hepatocellular carcinoma. </w:t>
      </w:r>
      <w:r w:rsidRPr="00FC2DDA">
        <w:rPr>
          <w:rFonts w:ascii="Book Antiqua" w:eastAsia="SimSun" w:hAnsi="Book Antiqua" w:cs="Times New Roman"/>
          <w:i/>
          <w:color w:val="auto"/>
          <w:kern w:val="2"/>
          <w:sz w:val="24"/>
          <w:szCs w:val="24"/>
          <w:lang w:val="en-US" w:eastAsia="zh-CN"/>
        </w:rPr>
        <w:t>Eur Radiol</w:t>
      </w:r>
      <w:r w:rsidRPr="00FC2DDA">
        <w:rPr>
          <w:rFonts w:ascii="Book Antiqua" w:eastAsia="SimSun" w:hAnsi="Book Antiqua" w:cs="Times New Roman"/>
          <w:color w:val="auto"/>
          <w:kern w:val="2"/>
          <w:sz w:val="24"/>
          <w:szCs w:val="24"/>
          <w:lang w:val="en-US" w:eastAsia="zh-CN"/>
        </w:rPr>
        <w:t xml:space="preserve"> 2017; </w:t>
      </w:r>
      <w:r w:rsidRPr="00FC2DDA">
        <w:rPr>
          <w:rFonts w:ascii="Book Antiqua" w:eastAsia="SimSun" w:hAnsi="Book Antiqua" w:cs="Times New Roman"/>
          <w:b/>
          <w:color w:val="auto"/>
          <w:kern w:val="2"/>
          <w:sz w:val="24"/>
          <w:szCs w:val="24"/>
          <w:lang w:val="en-US" w:eastAsia="zh-CN"/>
        </w:rPr>
        <w:t>27</w:t>
      </w:r>
      <w:r w:rsidRPr="00FC2DDA">
        <w:rPr>
          <w:rFonts w:ascii="Book Antiqua" w:eastAsia="SimSun" w:hAnsi="Book Antiqua" w:cs="Times New Roman"/>
          <w:color w:val="auto"/>
          <w:kern w:val="2"/>
          <w:sz w:val="24"/>
          <w:szCs w:val="24"/>
          <w:lang w:val="en-US" w:eastAsia="zh-CN"/>
        </w:rPr>
        <w:t>: 3069-3079 [PMID: 27957638 DOI: 10.1007/s00330-016-4670-2]</w:t>
      </w:r>
    </w:p>
    <w:p w14:paraId="2F9B7422"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45 </w:t>
      </w:r>
      <w:r w:rsidRPr="00FC2DDA">
        <w:rPr>
          <w:rFonts w:ascii="Book Antiqua" w:eastAsia="SimSun" w:hAnsi="Book Antiqua" w:cs="Times New Roman"/>
          <w:b/>
          <w:color w:val="auto"/>
          <w:kern w:val="2"/>
          <w:sz w:val="24"/>
          <w:szCs w:val="24"/>
          <w:lang w:val="en-US" w:eastAsia="zh-CN"/>
        </w:rPr>
        <w:t>Chen BB</w:t>
      </w:r>
      <w:r w:rsidRPr="00FC2DDA">
        <w:rPr>
          <w:rFonts w:ascii="Book Antiqua" w:eastAsia="SimSun" w:hAnsi="Book Antiqua" w:cs="Times New Roman"/>
          <w:color w:val="auto"/>
          <w:kern w:val="2"/>
          <w:sz w:val="24"/>
          <w:szCs w:val="24"/>
          <w:lang w:val="en-US" w:eastAsia="zh-CN"/>
        </w:rPr>
        <w:t xml:space="preserve">, Hsu CY, Yu CW, Liang PC, Hsu C, Hsu CH, Cheng AL, Shih TT. Dynamic Contrast-enhanced MR Imaging of Advanced Hepatocellular Carcinoma: Comparison with the Liver Parenchyma and Correlation with the Survival of Patients Receiving Systemic Therapy.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2016; </w:t>
      </w:r>
      <w:r w:rsidRPr="00FC2DDA">
        <w:rPr>
          <w:rFonts w:ascii="Book Antiqua" w:eastAsia="SimSun" w:hAnsi="Book Antiqua" w:cs="Times New Roman"/>
          <w:b/>
          <w:color w:val="auto"/>
          <w:kern w:val="2"/>
          <w:sz w:val="24"/>
          <w:szCs w:val="24"/>
          <w:lang w:val="en-US" w:eastAsia="zh-CN"/>
        </w:rPr>
        <w:t>281</w:t>
      </w:r>
      <w:r w:rsidRPr="00FC2DDA">
        <w:rPr>
          <w:rFonts w:ascii="Book Antiqua" w:eastAsia="SimSun" w:hAnsi="Book Antiqua" w:cs="Times New Roman"/>
          <w:color w:val="auto"/>
          <w:kern w:val="2"/>
          <w:sz w:val="24"/>
          <w:szCs w:val="24"/>
          <w:lang w:val="en-US" w:eastAsia="zh-CN"/>
        </w:rPr>
        <w:t>: 454-464 [PMID: 27171020 DOI: 10.1148/radiol.2016152659]</w:t>
      </w:r>
    </w:p>
    <w:p w14:paraId="79C3101E"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46 </w:t>
      </w:r>
      <w:r w:rsidRPr="00FC2DDA">
        <w:rPr>
          <w:rFonts w:ascii="Book Antiqua" w:eastAsia="SimSun" w:hAnsi="Book Antiqua" w:cs="Times New Roman"/>
          <w:b/>
          <w:color w:val="auto"/>
          <w:kern w:val="2"/>
          <w:sz w:val="24"/>
          <w:szCs w:val="24"/>
          <w:lang w:val="en-US" w:eastAsia="zh-CN"/>
        </w:rPr>
        <w:t>Folkman J</w:t>
      </w:r>
      <w:r w:rsidRPr="00FC2DDA">
        <w:rPr>
          <w:rFonts w:ascii="Book Antiqua" w:eastAsia="SimSun" w:hAnsi="Book Antiqua" w:cs="Times New Roman"/>
          <w:color w:val="auto"/>
          <w:kern w:val="2"/>
          <w:sz w:val="24"/>
          <w:szCs w:val="24"/>
          <w:lang w:val="en-US" w:eastAsia="zh-CN"/>
        </w:rPr>
        <w:t xml:space="preserve">. Is angiogenesis an organizing principle in biology and medicine? </w:t>
      </w:r>
      <w:r w:rsidRPr="00FC2DDA">
        <w:rPr>
          <w:rFonts w:ascii="Book Antiqua" w:eastAsia="SimSun" w:hAnsi="Book Antiqua" w:cs="Times New Roman"/>
          <w:i/>
          <w:color w:val="auto"/>
          <w:kern w:val="2"/>
          <w:sz w:val="24"/>
          <w:szCs w:val="24"/>
          <w:lang w:val="en-US" w:eastAsia="zh-CN"/>
        </w:rPr>
        <w:t>J Pediatr Surg</w:t>
      </w:r>
      <w:r w:rsidRPr="00FC2DDA">
        <w:rPr>
          <w:rFonts w:ascii="Book Antiqua" w:eastAsia="SimSun" w:hAnsi="Book Antiqua" w:cs="Times New Roman"/>
          <w:color w:val="auto"/>
          <w:kern w:val="2"/>
          <w:sz w:val="24"/>
          <w:szCs w:val="24"/>
          <w:lang w:val="en-US" w:eastAsia="zh-CN"/>
        </w:rPr>
        <w:t xml:space="preserve"> 2007; </w:t>
      </w:r>
      <w:r w:rsidRPr="00FC2DDA">
        <w:rPr>
          <w:rFonts w:ascii="Book Antiqua" w:eastAsia="SimSun" w:hAnsi="Book Antiqua" w:cs="Times New Roman"/>
          <w:b/>
          <w:color w:val="auto"/>
          <w:kern w:val="2"/>
          <w:sz w:val="24"/>
          <w:szCs w:val="24"/>
          <w:lang w:val="en-US" w:eastAsia="zh-CN"/>
        </w:rPr>
        <w:t>42</w:t>
      </w:r>
      <w:r w:rsidRPr="00FC2DDA">
        <w:rPr>
          <w:rFonts w:ascii="Book Antiqua" w:eastAsia="SimSun" w:hAnsi="Book Antiqua" w:cs="Times New Roman"/>
          <w:color w:val="auto"/>
          <w:kern w:val="2"/>
          <w:sz w:val="24"/>
          <w:szCs w:val="24"/>
          <w:lang w:val="en-US" w:eastAsia="zh-CN"/>
        </w:rPr>
        <w:t>: 1-11 [PMID: 17208533 DOI: 10.1016/j.jpedsurg.2006.09.048]</w:t>
      </w:r>
    </w:p>
    <w:p w14:paraId="4B4E51F3"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47 </w:t>
      </w:r>
      <w:r w:rsidRPr="00FC2DDA">
        <w:rPr>
          <w:rFonts w:ascii="Book Antiqua" w:eastAsia="SimSun" w:hAnsi="Book Antiqua" w:cs="Times New Roman"/>
          <w:b/>
          <w:color w:val="auto"/>
          <w:kern w:val="2"/>
          <w:sz w:val="24"/>
          <w:szCs w:val="24"/>
          <w:lang w:val="en-US" w:eastAsia="zh-CN"/>
        </w:rPr>
        <w:t>De Robertis R</w:t>
      </w:r>
      <w:r w:rsidRPr="00FC2DDA">
        <w:rPr>
          <w:rFonts w:ascii="Book Antiqua" w:eastAsia="SimSun" w:hAnsi="Book Antiqua" w:cs="Times New Roman"/>
          <w:color w:val="auto"/>
          <w:kern w:val="2"/>
          <w:sz w:val="24"/>
          <w:szCs w:val="24"/>
          <w:lang w:val="en-US" w:eastAsia="zh-CN"/>
        </w:rPr>
        <w:t xml:space="preserve">, Tinazzi Martini P, Demozzi E, Puntel G, Ortolani S, Cingarlini S, Ruzzenente A, Guglielmi A, Tortora G, Bassi C, Pederzoli P, D'Onofrio M. Prognostication and response assessment in liver and pancreatic tumors: The new imaging. </w:t>
      </w:r>
      <w:r w:rsidRPr="00FC2DDA">
        <w:rPr>
          <w:rFonts w:ascii="Book Antiqua" w:eastAsia="SimSun" w:hAnsi="Book Antiqua" w:cs="Times New Roman"/>
          <w:i/>
          <w:color w:val="auto"/>
          <w:kern w:val="2"/>
          <w:sz w:val="24"/>
          <w:szCs w:val="24"/>
          <w:lang w:val="en-US" w:eastAsia="zh-CN"/>
        </w:rPr>
        <w:t>World J Gastroenterol</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21</w:t>
      </w:r>
      <w:r w:rsidRPr="00FC2DDA">
        <w:rPr>
          <w:rFonts w:ascii="Book Antiqua" w:eastAsia="SimSun" w:hAnsi="Book Antiqua" w:cs="Times New Roman"/>
          <w:color w:val="auto"/>
          <w:kern w:val="2"/>
          <w:sz w:val="24"/>
          <w:szCs w:val="24"/>
          <w:lang w:val="en-US" w:eastAsia="zh-CN"/>
        </w:rPr>
        <w:t>: 6794-6808 [PMID: 26078555 DOI: 10.3748/wjg.v21.i22.6794].]</w:t>
      </w:r>
    </w:p>
    <w:p w14:paraId="16AAA548"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48 </w:t>
      </w:r>
      <w:r w:rsidRPr="00FC2DDA">
        <w:rPr>
          <w:rFonts w:ascii="Book Antiqua" w:eastAsia="SimSun" w:hAnsi="Book Antiqua" w:cs="Times New Roman"/>
          <w:b/>
          <w:color w:val="auto"/>
          <w:kern w:val="2"/>
          <w:sz w:val="24"/>
          <w:szCs w:val="24"/>
          <w:lang w:val="en-US" w:eastAsia="zh-CN"/>
        </w:rPr>
        <w:t>Duffy AG</w:t>
      </w:r>
      <w:r w:rsidRPr="00FC2DDA">
        <w:rPr>
          <w:rFonts w:ascii="Book Antiqua" w:eastAsia="SimSun" w:hAnsi="Book Antiqua" w:cs="Times New Roman"/>
          <w:color w:val="auto"/>
          <w:kern w:val="2"/>
          <w:sz w:val="24"/>
          <w:szCs w:val="24"/>
          <w:lang w:val="en-US" w:eastAsia="zh-CN"/>
        </w:rPr>
        <w:t xml:space="preserve">, Ulahannan SV, Cao L, Rahma OE, Makarova-Rusher OV, Kleiner DE, Fioravanti S, Walker M, Carey S, Yu Y, Venkatesan AM, Turkbey B, Choyke P, Trepel J, Bollen KC, Steinberg SM, Figg WD, Greten TF. A phase II study of TRC105 in patients with hepatocellular carcinoma who have progressed on sorafenib. </w:t>
      </w:r>
      <w:r w:rsidRPr="00FC2DDA">
        <w:rPr>
          <w:rFonts w:ascii="Book Antiqua" w:eastAsia="SimSun" w:hAnsi="Book Antiqua" w:cs="Times New Roman"/>
          <w:i/>
          <w:color w:val="auto"/>
          <w:kern w:val="2"/>
          <w:sz w:val="24"/>
          <w:szCs w:val="24"/>
          <w:lang w:val="en-US" w:eastAsia="zh-CN"/>
        </w:rPr>
        <w:t>United European Gastroenterol J</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3</w:t>
      </w:r>
      <w:r w:rsidRPr="00FC2DDA">
        <w:rPr>
          <w:rFonts w:ascii="Book Antiqua" w:eastAsia="SimSun" w:hAnsi="Book Antiqua" w:cs="Times New Roman"/>
          <w:color w:val="auto"/>
          <w:kern w:val="2"/>
          <w:sz w:val="24"/>
          <w:szCs w:val="24"/>
          <w:lang w:val="en-US" w:eastAsia="zh-CN"/>
        </w:rPr>
        <w:t>: 453-461 [PMID: 26535124 DOI: 10.1177/2050640615583587].]</w:t>
      </w:r>
    </w:p>
    <w:p w14:paraId="2B937201"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49 </w:t>
      </w:r>
      <w:r w:rsidRPr="00FC2DDA">
        <w:rPr>
          <w:rFonts w:ascii="Book Antiqua" w:eastAsia="SimSun" w:hAnsi="Book Antiqua" w:cs="Times New Roman"/>
          <w:b/>
          <w:color w:val="auto"/>
          <w:kern w:val="2"/>
          <w:sz w:val="24"/>
          <w:szCs w:val="24"/>
          <w:lang w:val="en-US" w:eastAsia="zh-CN"/>
        </w:rPr>
        <w:t>O'Connor JP</w:t>
      </w:r>
      <w:r w:rsidRPr="00FC2DDA">
        <w:rPr>
          <w:rFonts w:ascii="Book Antiqua" w:eastAsia="SimSun" w:hAnsi="Book Antiqua" w:cs="Times New Roman"/>
          <w:color w:val="auto"/>
          <w:kern w:val="2"/>
          <w:sz w:val="24"/>
          <w:szCs w:val="24"/>
          <w:lang w:val="en-US" w:eastAsia="zh-CN"/>
        </w:rPr>
        <w:t xml:space="preserve">, Jackson A, Parker GJ, Roberts C, Jayson GC. Dynamic contrast-enhanced MRI in clinical trials of antivascular therapies. </w:t>
      </w:r>
      <w:r w:rsidRPr="00FC2DDA">
        <w:rPr>
          <w:rFonts w:ascii="Book Antiqua" w:eastAsia="SimSun" w:hAnsi="Book Antiqua" w:cs="Times New Roman"/>
          <w:i/>
          <w:color w:val="auto"/>
          <w:kern w:val="2"/>
          <w:sz w:val="24"/>
          <w:szCs w:val="24"/>
          <w:lang w:val="en-US" w:eastAsia="zh-CN"/>
        </w:rPr>
        <w:t>Nat Rev Clin Oncol</w:t>
      </w:r>
      <w:r w:rsidRPr="00FC2DDA">
        <w:rPr>
          <w:rFonts w:ascii="Book Antiqua" w:eastAsia="SimSun" w:hAnsi="Book Antiqua" w:cs="Times New Roman"/>
          <w:color w:val="auto"/>
          <w:kern w:val="2"/>
          <w:sz w:val="24"/>
          <w:szCs w:val="24"/>
          <w:lang w:val="en-US" w:eastAsia="zh-CN"/>
        </w:rPr>
        <w:t xml:space="preserve"> 2012; </w:t>
      </w:r>
      <w:r w:rsidRPr="00FC2DDA">
        <w:rPr>
          <w:rFonts w:ascii="Book Antiqua" w:eastAsia="SimSun" w:hAnsi="Book Antiqua" w:cs="Times New Roman"/>
          <w:b/>
          <w:color w:val="auto"/>
          <w:kern w:val="2"/>
          <w:sz w:val="24"/>
          <w:szCs w:val="24"/>
          <w:lang w:val="en-US" w:eastAsia="zh-CN"/>
        </w:rPr>
        <w:t>9</w:t>
      </w:r>
      <w:r w:rsidRPr="00FC2DDA">
        <w:rPr>
          <w:rFonts w:ascii="Book Antiqua" w:eastAsia="SimSun" w:hAnsi="Book Antiqua" w:cs="Times New Roman"/>
          <w:color w:val="auto"/>
          <w:kern w:val="2"/>
          <w:sz w:val="24"/>
          <w:szCs w:val="24"/>
          <w:lang w:val="en-US" w:eastAsia="zh-CN"/>
        </w:rPr>
        <w:t>: 167-177 [PMID: 22330689 DOI: 10.1038/nrclinonc.2012.2]</w:t>
      </w:r>
    </w:p>
    <w:p w14:paraId="528968B4"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50 </w:t>
      </w:r>
      <w:r w:rsidRPr="00FC2DDA">
        <w:rPr>
          <w:rFonts w:ascii="Book Antiqua" w:eastAsia="SimSun" w:hAnsi="Book Antiqua" w:cs="Times New Roman"/>
          <w:b/>
          <w:color w:val="auto"/>
          <w:kern w:val="2"/>
          <w:sz w:val="24"/>
          <w:szCs w:val="24"/>
          <w:lang w:val="en-US" w:eastAsia="zh-CN"/>
        </w:rPr>
        <w:t>Fischer MA</w:t>
      </w:r>
      <w:r w:rsidRPr="00FC2DDA">
        <w:rPr>
          <w:rFonts w:ascii="Book Antiqua" w:eastAsia="SimSun" w:hAnsi="Book Antiqua" w:cs="Times New Roman"/>
          <w:color w:val="auto"/>
          <w:kern w:val="2"/>
          <w:sz w:val="24"/>
          <w:szCs w:val="24"/>
          <w:lang w:val="en-US" w:eastAsia="zh-CN"/>
        </w:rPr>
        <w:t xml:space="preserve">, Kartalis N, Grigoriadis A, Loizou L, Stål P, Leidner B, Aspelin P, Brismar TB. Perfusion computed tomography for detection of hepatocellular carcinoma in patients with liver cirrhosis. </w:t>
      </w:r>
      <w:r w:rsidRPr="00FC2DDA">
        <w:rPr>
          <w:rFonts w:ascii="Book Antiqua" w:eastAsia="SimSun" w:hAnsi="Book Antiqua" w:cs="Times New Roman"/>
          <w:i/>
          <w:color w:val="auto"/>
          <w:kern w:val="2"/>
          <w:sz w:val="24"/>
          <w:szCs w:val="24"/>
          <w:lang w:val="en-US" w:eastAsia="zh-CN"/>
        </w:rPr>
        <w:t>Eur Radiol</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25</w:t>
      </w:r>
      <w:r w:rsidRPr="00FC2DDA">
        <w:rPr>
          <w:rFonts w:ascii="Book Antiqua" w:eastAsia="SimSun" w:hAnsi="Book Antiqua" w:cs="Times New Roman"/>
          <w:color w:val="auto"/>
          <w:kern w:val="2"/>
          <w:sz w:val="24"/>
          <w:szCs w:val="24"/>
          <w:lang w:val="en-US" w:eastAsia="zh-CN"/>
        </w:rPr>
        <w:t>: 3123-3132 [PMID: 25903707 DOI: 10.1007/s00330-015-3732-1]</w:t>
      </w:r>
    </w:p>
    <w:p w14:paraId="7C82A125"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51 </w:t>
      </w:r>
      <w:r w:rsidRPr="00FC2DDA">
        <w:rPr>
          <w:rFonts w:ascii="Book Antiqua" w:eastAsia="SimSun" w:hAnsi="Book Antiqua" w:cs="Times New Roman"/>
          <w:b/>
          <w:color w:val="auto"/>
          <w:kern w:val="2"/>
          <w:sz w:val="24"/>
          <w:szCs w:val="24"/>
          <w:lang w:val="en-US" w:eastAsia="zh-CN"/>
        </w:rPr>
        <w:t>Yuan Z</w:t>
      </w:r>
      <w:r w:rsidRPr="00FC2DDA">
        <w:rPr>
          <w:rFonts w:ascii="Book Antiqua" w:eastAsia="SimSun" w:hAnsi="Book Antiqua" w:cs="Times New Roman"/>
          <w:color w:val="auto"/>
          <w:kern w:val="2"/>
          <w:sz w:val="24"/>
          <w:szCs w:val="24"/>
          <w:lang w:val="en-US" w:eastAsia="zh-CN"/>
        </w:rPr>
        <w:t xml:space="preserve">, Li WT, Ye XD, Zhu HY, Peng WJ. Novel functional magnetic resonance imaging biomarkers for assessing response to therapy in hepatocellular carcinoma. </w:t>
      </w:r>
      <w:r w:rsidRPr="00FC2DDA">
        <w:rPr>
          <w:rFonts w:ascii="Book Antiqua" w:eastAsia="SimSun" w:hAnsi="Book Antiqua" w:cs="Times New Roman"/>
          <w:i/>
          <w:color w:val="auto"/>
          <w:kern w:val="2"/>
          <w:sz w:val="24"/>
          <w:szCs w:val="24"/>
          <w:lang w:val="en-US" w:eastAsia="zh-CN"/>
        </w:rPr>
        <w:t>Clin Transl Oncol</w:t>
      </w:r>
      <w:r w:rsidRPr="00FC2DDA">
        <w:rPr>
          <w:rFonts w:ascii="Book Antiqua" w:eastAsia="SimSun" w:hAnsi="Book Antiqua" w:cs="Times New Roman"/>
          <w:color w:val="auto"/>
          <w:kern w:val="2"/>
          <w:sz w:val="24"/>
          <w:szCs w:val="24"/>
          <w:lang w:val="en-US" w:eastAsia="zh-CN"/>
        </w:rPr>
        <w:t xml:space="preserve"> 2014; </w:t>
      </w:r>
      <w:r w:rsidRPr="00FC2DDA">
        <w:rPr>
          <w:rFonts w:ascii="Book Antiqua" w:eastAsia="SimSun" w:hAnsi="Book Antiqua" w:cs="Times New Roman"/>
          <w:b/>
          <w:color w:val="auto"/>
          <w:kern w:val="2"/>
          <w:sz w:val="24"/>
          <w:szCs w:val="24"/>
          <w:lang w:val="en-US" w:eastAsia="zh-CN"/>
        </w:rPr>
        <w:t>16</w:t>
      </w:r>
      <w:r w:rsidRPr="00FC2DDA">
        <w:rPr>
          <w:rFonts w:ascii="Book Antiqua" w:eastAsia="SimSun" w:hAnsi="Book Antiqua" w:cs="Times New Roman"/>
          <w:color w:val="auto"/>
          <w:kern w:val="2"/>
          <w:sz w:val="24"/>
          <w:szCs w:val="24"/>
          <w:lang w:val="en-US" w:eastAsia="zh-CN"/>
        </w:rPr>
        <w:t>: 599-605 [PMID: 24356932 DOI: 10.1007/s12094-013-1147-5]</w:t>
      </w:r>
    </w:p>
    <w:p w14:paraId="3A6D0DE4"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52 </w:t>
      </w:r>
      <w:r w:rsidRPr="00FC2DDA">
        <w:rPr>
          <w:rFonts w:ascii="Book Antiqua" w:eastAsia="SimSun" w:hAnsi="Book Antiqua" w:cs="Times New Roman"/>
          <w:b/>
          <w:color w:val="auto"/>
          <w:kern w:val="2"/>
          <w:sz w:val="24"/>
          <w:szCs w:val="24"/>
          <w:lang w:val="en-US" w:eastAsia="zh-CN"/>
        </w:rPr>
        <w:t>Lee SH</w:t>
      </w:r>
      <w:r w:rsidRPr="00FC2DDA">
        <w:rPr>
          <w:rFonts w:ascii="Book Antiqua" w:eastAsia="SimSun" w:hAnsi="Book Antiqua" w:cs="Times New Roman"/>
          <w:color w:val="auto"/>
          <w:kern w:val="2"/>
          <w:sz w:val="24"/>
          <w:szCs w:val="24"/>
          <w:lang w:val="en-US" w:eastAsia="zh-CN"/>
        </w:rPr>
        <w:t xml:space="preserve">, Hayano K, Zhu AX, Sahani DV, Yoshida H. Water-Exchange-Modified Kinetic </w:t>
      </w:r>
      <w:r w:rsidRPr="00FC2DDA">
        <w:rPr>
          <w:rFonts w:ascii="Book Antiqua" w:eastAsia="SimSun" w:hAnsi="Book Antiqua" w:cs="Times New Roman"/>
          <w:color w:val="auto"/>
          <w:kern w:val="2"/>
          <w:sz w:val="24"/>
          <w:szCs w:val="24"/>
          <w:lang w:val="en-US" w:eastAsia="zh-CN"/>
        </w:rPr>
        <w:lastRenderedPageBreak/>
        <w:t xml:space="preserve">Parameters from Dynamic Contrast-Enhanced MRI as Prognostic Biomarkers of Survival in Advanced Hepatocellular Carcinoma Treated with Antiangiogenic Monotherapy. </w:t>
      </w:r>
      <w:r w:rsidRPr="00FC2DDA">
        <w:rPr>
          <w:rFonts w:ascii="Book Antiqua" w:eastAsia="SimSun" w:hAnsi="Book Antiqua" w:cs="Times New Roman"/>
          <w:i/>
          <w:color w:val="auto"/>
          <w:kern w:val="2"/>
          <w:sz w:val="24"/>
          <w:szCs w:val="24"/>
          <w:lang w:val="en-US" w:eastAsia="zh-CN"/>
        </w:rPr>
        <w:t>PLoS One</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10</w:t>
      </w:r>
      <w:r w:rsidRPr="00FC2DDA">
        <w:rPr>
          <w:rFonts w:ascii="Book Antiqua" w:eastAsia="SimSun" w:hAnsi="Book Antiqua" w:cs="Times New Roman"/>
          <w:color w:val="auto"/>
          <w:kern w:val="2"/>
          <w:sz w:val="24"/>
          <w:szCs w:val="24"/>
          <w:lang w:val="en-US" w:eastAsia="zh-CN"/>
        </w:rPr>
        <w:t>: e0136725 [PMID: 26366997 DOI: 10.1371/journal.pone.0136725]</w:t>
      </w:r>
    </w:p>
    <w:p w14:paraId="04BAAAA4"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53 </w:t>
      </w:r>
      <w:r w:rsidRPr="00FC2DDA">
        <w:rPr>
          <w:rFonts w:ascii="Book Antiqua" w:eastAsia="SimSun" w:hAnsi="Book Antiqua" w:cs="Times New Roman"/>
          <w:b/>
          <w:color w:val="auto"/>
          <w:kern w:val="2"/>
          <w:sz w:val="24"/>
          <w:szCs w:val="24"/>
          <w:lang w:val="en-US" w:eastAsia="zh-CN"/>
        </w:rPr>
        <w:t>Lee SH</w:t>
      </w:r>
      <w:r w:rsidRPr="00FC2DDA">
        <w:rPr>
          <w:rFonts w:ascii="Book Antiqua" w:eastAsia="SimSun" w:hAnsi="Book Antiqua" w:cs="Times New Roman"/>
          <w:color w:val="auto"/>
          <w:kern w:val="2"/>
          <w:sz w:val="24"/>
          <w:szCs w:val="24"/>
          <w:lang w:val="en-US" w:eastAsia="zh-CN"/>
        </w:rPr>
        <w:t xml:space="preserve">, Hayano K, Zhu AX, Sahani DV, Yoshida H. Dynamic Contrast-Enhanced MRI Kinetic Parameters as Prognostic Biomarkers for Prediction of Survival of Patient with Advanced Hepatocellular Carcinoma: A Pilot Comparative Study. </w:t>
      </w:r>
      <w:r w:rsidRPr="00FC2DDA">
        <w:rPr>
          <w:rFonts w:ascii="Book Antiqua" w:eastAsia="SimSun" w:hAnsi="Book Antiqua" w:cs="Times New Roman"/>
          <w:i/>
          <w:color w:val="auto"/>
          <w:kern w:val="2"/>
          <w:sz w:val="24"/>
          <w:szCs w:val="24"/>
          <w:lang w:val="en-US" w:eastAsia="zh-CN"/>
        </w:rPr>
        <w:t>Acad Radiol</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22</w:t>
      </w:r>
      <w:r w:rsidRPr="00FC2DDA">
        <w:rPr>
          <w:rFonts w:ascii="Book Antiqua" w:eastAsia="SimSun" w:hAnsi="Book Antiqua" w:cs="Times New Roman"/>
          <w:color w:val="auto"/>
          <w:kern w:val="2"/>
          <w:sz w:val="24"/>
          <w:szCs w:val="24"/>
          <w:lang w:val="en-US" w:eastAsia="zh-CN"/>
        </w:rPr>
        <w:t>: 1344-1360 [PMID: 26211553 DOI: 10.1016/j.acra.2015.05.012]</w:t>
      </w:r>
    </w:p>
    <w:p w14:paraId="0830FBA5"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54 </w:t>
      </w:r>
      <w:r w:rsidRPr="00FC2DDA">
        <w:rPr>
          <w:rFonts w:ascii="Book Antiqua" w:eastAsia="SimSun" w:hAnsi="Book Antiqua" w:cs="Times New Roman"/>
          <w:b/>
          <w:color w:val="auto"/>
          <w:kern w:val="2"/>
          <w:sz w:val="24"/>
          <w:szCs w:val="24"/>
          <w:lang w:val="en-US" w:eastAsia="zh-CN"/>
        </w:rPr>
        <w:t>Donato H</w:t>
      </w:r>
      <w:r w:rsidRPr="00FC2DDA">
        <w:rPr>
          <w:rFonts w:ascii="Book Antiqua" w:eastAsia="SimSun" w:hAnsi="Book Antiqua" w:cs="Times New Roman"/>
          <w:color w:val="auto"/>
          <w:kern w:val="2"/>
          <w:sz w:val="24"/>
          <w:szCs w:val="24"/>
          <w:lang w:val="en-US" w:eastAsia="zh-CN"/>
        </w:rPr>
        <w:t xml:space="preserve">, França M, Candelária I, Caseiro-Alves F. Liver MRI: From basic protocol to advanced techniques. </w:t>
      </w:r>
      <w:r w:rsidRPr="00FC2DDA">
        <w:rPr>
          <w:rFonts w:ascii="Book Antiqua" w:eastAsia="SimSun" w:hAnsi="Book Antiqua" w:cs="Times New Roman"/>
          <w:i/>
          <w:color w:val="auto"/>
          <w:kern w:val="2"/>
          <w:sz w:val="24"/>
          <w:szCs w:val="24"/>
          <w:lang w:val="en-US" w:eastAsia="zh-CN"/>
        </w:rPr>
        <w:t>Eur J Radiol</w:t>
      </w:r>
      <w:r w:rsidRPr="00FC2DDA">
        <w:rPr>
          <w:rFonts w:ascii="Book Antiqua" w:eastAsia="SimSun" w:hAnsi="Book Antiqua" w:cs="Times New Roman"/>
          <w:color w:val="auto"/>
          <w:kern w:val="2"/>
          <w:sz w:val="24"/>
          <w:szCs w:val="24"/>
          <w:lang w:val="en-US" w:eastAsia="zh-CN"/>
        </w:rPr>
        <w:t xml:space="preserve"> 2017; </w:t>
      </w:r>
      <w:r w:rsidRPr="00FC2DDA">
        <w:rPr>
          <w:rFonts w:ascii="Book Antiqua" w:eastAsia="SimSun" w:hAnsi="Book Antiqua" w:cs="Times New Roman"/>
          <w:b/>
          <w:color w:val="auto"/>
          <w:kern w:val="2"/>
          <w:sz w:val="24"/>
          <w:szCs w:val="24"/>
          <w:lang w:val="en-US" w:eastAsia="zh-CN"/>
        </w:rPr>
        <w:t>93</w:t>
      </w:r>
      <w:r w:rsidRPr="00FC2DDA">
        <w:rPr>
          <w:rFonts w:ascii="Book Antiqua" w:eastAsia="SimSun" w:hAnsi="Book Antiqua" w:cs="Times New Roman"/>
          <w:color w:val="auto"/>
          <w:kern w:val="2"/>
          <w:sz w:val="24"/>
          <w:szCs w:val="24"/>
          <w:lang w:val="en-US" w:eastAsia="zh-CN"/>
        </w:rPr>
        <w:t>: 30-39 [PMID: 28668428 DOI: 10.1016/j.ejrad.2017.05.028]</w:t>
      </w:r>
    </w:p>
    <w:p w14:paraId="5A32A6E8"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55 </w:t>
      </w:r>
      <w:r w:rsidRPr="00FC2DDA">
        <w:rPr>
          <w:rFonts w:ascii="Book Antiqua" w:eastAsia="SimSun" w:hAnsi="Book Antiqua" w:cs="Times New Roman"/>
          <w:b/>
          <w:color w:val="auto"/>
          <w:kern w:val="2"/>
          <w:sz w:val="24"/>
          <w:szCs w:val="24"/>
          <w:lang w:val="en-US" w:eastAsia="zh-CN"/>
        </w:rPr>
        <w:t>Brix G</w:t>
      </w:r>
      <w:r w:rsidRPr="00FC2DDA">
        <w:rPr>
          <w:rFonts w:ascii="Book Antiqua" w:eastAsia="SimSun" w:hAnsi="Book Antiqua" w:cs="Times New Roman"/>
          <w:color w:val="auto"/>
          <w:kern w:val="2"/>
          <w:sz w:val="24"/>
          <w:szCs w:val="24"/>
          <w:lang w:val="en-US" w:eastAsia="zh-CN"/>
        </w:rPr>
        <w:t xml:space="preserve">, Griebel J, Kiessling F, Wenz F. Tracer kinetic modelling of tumour angiogenesis based on dynamic contrast-enhanced CT and MRI measurements. </w:t>
      </w:r>
      <w:r w:rsidRPr="00FC2DDA">
        <w:rPr>
          <w:rFonts w:ascii="Book Antiqua" w:eastAsia="SimSun" w:hAnsi="Book Antiqua" w:cs="Times New Roman"/>
          <w:i/>
          <w:color w:val="auto"/>
          <w:kern w:val="2"/>
          <w:sz w:val="24"/>
          <w:szCs w:val="24"/>
          <w:lang w:val="en-US" w:eastAsia="zh-CN"/>
        </w:rPr>
        <w:t>Eur J Nucl Med Mol Imaging</w:t>
      </w:r>
      <w:r w:rsidRPr="00FC2DDA">
        <w:rPr>
          <w:rFonts w:ascii="Book Antiqua" w:eastAsia="SimSun" w:hAnsi="Book Antiqua" w:cs="Times New Roman"/>
          <w:color w:val="auto"/>
          <w:kern w:val="2"/>
          <w:sz w:val="24"/>
          <w:szCs w:val="24"/>
          <w:lang w:val="en-US" w:eastAsia="zh-CN"/>
        </w:rPr>
        <w:t xml:space="preserve"> 2010; </w:t>
      </w:r>
      <w:r w:rsidRPr="00FC2DDA">
        <w:rPr>
          <w:rFonts w:ascii="Book Antiqua" w:eastAsia="SimSun" w:hAnsi="Book Antiqua" w:cs="Times New Roman"/>
          <w:b/>
          <w:color w:val="auto"/>
          <w:kern w:val="2"/>
          <w:sz w:val="24"/>
          <w:szCs w:val="24"/>
          <w:lang w:val="en-US" w:eastAsia="zh-CN"/>
        </w:rPr>
        <w:t>37 Suppl 1</w:t>
      </w:r>
      <w:r w:rsidRPr="00FC2DDA">
        <w:rPr>
          <w:rFonts w:ascii="Book Antiqua" w:eastAsia="SimSun" w:hAnsi="Book Antiqua" w:cs="Times New Roman"/>
          <w:color w:val="auto"/>
          <w:kern w:val="2"/>
          <w:sz w:val="24"/>
          <w:szCs w:val="24"/>
          <w:lang w:val="en-US" w:eastAsia="zh-CN"/>
        </w:rPr>
        <w:t>: S30-S51 [PMID: 20503049 DOI: 10.1007/s00259-010-1448-7]</w:t>
      </w:r>
    </w:p>
    <w:p w14:paraId="6439F46F"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56 </w:t>
      </w:r>
      <w:r w:rsidRPr="00FC2DDA">
        <w:rPr>
          <w:rFonts w:ascii="Book Antiqua" w:eastAsia="SimSun" w:hAnsi="Book Antiqua" w:cs="Times New Roman"/>
          <w:b/>
          <w:color w:val="auto"/>
          <w:kern w:val="2"/>
          <w:sz w:val="24"/>
          <w:szCs w:val="24"/>
          <w:lang w:val="en-US" w:eastAsia="zh-CN"/>
        </w:rPr>
        <w:t>Thng CH</w:t>
      </w:r>
      <w:r w:rsidRPr="00FC2DDA">
        <w:rPr>
          <w:rFonts w:ascii="Book Antiqua" w:eastAsia="SimSun" w:hAnsi="Book Antiqua" w:cs="Times New Roman"/>
          <w:color w:val="auto"/>
          <w:kern w:val="2"/>
          <w:sz w:val="24"/>
          <w:szCs w:val="24"/>
          <w:lang w:val="en-US" w:eastAsia="zh-CN"/>
        </w:rPr>
        <w:t xml:space="preserve">, Koh TS, Collins DJ, Koh DM. Perfusion magnetic resonance imaging of the liver. </w:t>
      </w:r>
      <w:r w:rsidRPr="00FC2DDA">
        <w:rPr>
          <w:rFonts w:ascii="Book Antiqua" w:eastAsia="SimSun" w:hAnsi="Book Antiqua" w:cs="Times New Roman"/>
          <w:i/>
          <w:color w:val="auto"/>
          <w:kern w:val="2"/>
          <w:sz w:val="24"/>
          <w:szCs w:val="24"/>
          <w:lang w:val="en-US" w:eastAsia="zh-CN"/>
        </w:rPr>
        <w:t>World J Gastroenterol</w:t>
      </w:r>
      <w:r w:rsidRPr="00FC2DDA">
        <w:rPr>
          <w:rFonts w:ascii="Book Antiqua" w:eastAsia="SimSun" w:hAnsi="Book Antiqua" w:cs="Times New Roman"/>
          <w:color w:val="auto"/>
          <w:kern w:val="2"/>
          <w:sz w:val="24"/>
          <w:szCs w:val="24"/>
          <w:lang w:val="en-US" w:eastAsia="zh-CN"/>
        </w:rPr>
        <w:t xml:space="preserve"> 2010; </w:t>
      </w:r>
      <w:r w:rsidRPr="00FC2DDA">
        <w:rPr>
          <w:rFonts w:ascii="Book Antiqua" w:eastAsia="SimSun" w:hAnsi="Book Antiqua" w:cs="Times New Roman"/>
          <w:b/>
          <w:color w:val="auto"/>
          <w:kern w:val="2"/>
          <w:sz w:val="24"/>
          <w:szCs w:val="24"/>
          <w:lang w:val="en-US" w:eastAsia="zh-CN"/>
        </w:rPr>
        <w:t>16</w:t>
      </w:r>
      <w:r w:rsidRPr="00FC2DDA">
        <w:rPr>
          <w:rFonts w:ascii="Book Antiqua" w:eastAsia="SimSun" w:hAnsi="Book Antiqua" w:cs="Times New Roman"/>
          <w:color w:val="auto"/>
          <w:kern w:val="2"/>
          <w:sz w:val="24"/>
          <w:szCs w:val="24"/>
          <w:lang w:val="en-US" w:eastAsia="zh-CN"/>
        </w:rPr>
        <w:t>: 1598-1609 [PMID: 20355238 DOI: 10.3748/wjg.v16.i13.1598].]</w:t>
      </w:r>
    </w:p>
    <w:p w14:paraId="1E634495"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57 </w:t>
      </w:r>
      <w:r w:rsidRPr="00FC2DDA">
        <w:rPr>
          <w:rFonts w:ascii="Book Antiqua" w:eastAsia="SimSun" w:hAnsi="Book Antiqua" w:cs="Times New Roman"/>
          <w:b/>
          <w:color w:val="auto"/>
          <w:kern w:val="2"/>
          <w:sz w:val="24"/>
          <w:szCs w:val="24"/>
          <w:lang w:val="en-US" w:eastAsia="zh-CN"/>
        </w:rPr>
        <w:t>Sourbron S</w:t>
      </w:r>
      <w:r w:rsidRPr="00FC2DDA">
        <w:rPr>
          <w:rFonts w:ascii="Book Antiqua" w:eastAsia="SimSun" w:hAnsi="Book Antiqua" w:cs="Times New Roman"/>
          <w:color w:val="auto"/>
          <w:kern w:val="2"/>
          <w:sz w:val="24"/>
          <w:szCs w:val="24"/>
          <w:lang w:val="en-US" w:eastAsia="zh-CN"/>
        </w:rPr>
        <w:t xml:space="preserve">. Technical aspects of MR perfusion. </w:t>
      </w:r>
      <w:r w:rsidRPr="00FC2DDA">
        <w:rPr>
          <w:rFonts w:ascii="Book Antiqua" w:eastAsia="SimSun" w:hAnsi="Book Antiqua" w:cs="Times New Roman"/>
          <w:i/>
          <w:color w:val="auto"/>
          <w:kern w:val="2"/>
          <w:sz w:val="24"/>
          <w:szCs w:val="24"/>
          <w:lang w:val="en-US" w:eastAsia="zh-CN"/>
        </w:rPr>
        <w:t>Eur J Radiol</w:t>
      </w:r>
      <w:r w:rsidRPr="00FC2DDA">
        <w:rPr>
          <w:rFonts w:ascii="Book Antiqua" w:eastAsia="SimSun" w:hAnsi="Book Antiqua" w:cs="Times New Roman"/>
          <w:color w:val="auto"/>
          <w:kern w:val="2"/>
          <w:sz w:val="24"/>
          <w:szCs w:val="24"/>
          <w:lang w:val="en-US" w:eastAsia="zh-CN"/>
        </w:rPr>
        <w:t xml:space="preserve"> 2010; </w:t>
      </w:r>
      <w:r w:rsidRPr="00FC2DDA">
        <w:rPr>
          <w:rFonts w:ascii="Book Antiqua" w:eastAsia="SimSun" w:hAnsi="Book Antiqua" w:cs="Times New Roman"/>
          <w:b/>
          <w:color w:val="auto"/>
          <w:kern w:val="2"/>
          <w:sz w:val="24"/>
          <w:szCs w:val="24"/>
          <w:lang w:val="en-US" w:eastAsia="zh-CN"/>
        </w:rPr>
        <w:t>76</w:t>
      </w:r>
      <w:r w:rsidRPr="00FC2DDA">
        <w:rPr>
          <w:rFonts w:ascii="Book Antiqua" w:eastAsia="SimSun" w:hAnsi="Book Antiqua" w:cs="Times New Roman"/>
          <w:color w:val="auto"/>
          <w:kern w:val="2"/>
          <w:sz w:val="24"/>
          <w:szCs w:val="24"/>
          <w:lang w:val="en-US" w:eastAsia="zh-CN"/>
        </w:rPr>
        <w:t>: 304-313 [PMID: 20363574 DOI: 10.1016/j.ejrad.2010.02.017]</w:t>
      </w:r>
    </w:p>
    <w:p w14:paraId="614ABE13"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58 </w:t>
      </w:r>
      <w:r w:rsidRPr="00FC2DDA">
        <w:rPr>
          <w:rFonts w:ascii="Book Antiqua" w:eastAsia="SimSun" w:hAnsi="Book Antiqua" w:cs="Times New Roman"/>
          <w:b/>
          <w:color w:val="auto"/>
          <w:kern w:val="2"/>
          <w:sz w:val="24"/>
          <w:szCs w:val="24"/>
          <w:lang w:val="en-US" w:eastAsia="zh-CN"/>
        </w:rPr>
        <w:t>Tofts PS</w:t>
      </w:r>
      <w:r w:rsidRPr="00FC2DDA">
        <w:rPr>
          <w:rFonts w:ascii="Book Antiqua" w:eastAsia="SimSun" w:hAnsi="Book Antiqua" w:cs="Times New Roman"/>
          <w:color w:val="auto"/>
          <w:kern w:val="2"/>
          <w:sz w:val="24"/>
          <w:szCs w:val="24"/>
          <w:lang w:val="en-US" w:eastAsia="zh-CN"/>
        </w:rPr>
        <w:t xml:space="preserve">, Wicks DA, Barker GJ. The MRI measurement of NMR and physiological parameters in tissue to study disease process. </w:t>
      </w:r>
      <w:r w:rsidRPr="00FC2DDA">
        <w:rPr>
          <w:rFonts w:ascii="Book Antiqua" w:eastAsia="SimSun" w:hAnsi="Book Antiqua" w:cs="Times New Roman"/>
          <w:i/>
          <w:color w:val="auto"/>
          <w:kern w:val="2"/>
          <w:sz w:val="24"/>
          <w:szCs w:val="24"/>
          <w:lang w:val="en-US" w:eastAsia="zh-CN"/>
        </w:rPr>
        <w:t>Prog Clin Biol Res</w:t>
      </w:r>
      <w:r w:rsidRPr="00FC2DDA">
        <w:rPr>
          <w:rFonts w:ascii="Book Antiqua" w:eastAsia="SimSun" w:hAnsi="Book Antiqua" w:cs="Times New Roman"/>
          <w:color w:val="auto"/>
          <w:kern w:val="2"/>
          <w:sz w:val="24"/>
          <w:szCs w:val="24"/>
          <w:lang w:val="en-US" w:eastAsia="zh-CN"/>
        </w:rPr>
        <w:t xml:space="preserve"> 1991; </w:t>
      </w:r>
      <w:r w:rsidRPr="00FC2DDA">
        <w:rPr>
          <w:rFonts w:ascii="Book Antiqua" w:eastAsia="SimSun" w:hAnsi="Book Antiqua" w:cs="Times New Roman"/>
          <w:b/>
          <w:color w:val="auto"/>
          <w:kern w:val="2"/>
          <w:sz w:val="24"/>
          <w:szCs w:val="24"/>
          <w:lang w:val="en-US" w:eastAsia="zh-CN"/>
        </w:rPr>
        <w:t>363</w:t>
      </w:r>
      <w:r w:rsidRPr="00FC2DDA">
        <w:rPr>
          <w:rFonts w:ascii="Book Antiqua" w:eastAsia="SimSun" w:hAnsi="Book Antiqua" w:cs="Times New Roman"/>
          <w:color w:val="auto"/>
          <w:kern w:val="2"/>
          <w:sz w:val="24"/>
          <w:szCs w:val="24"/>
          <w:lang w:val="en-US" w:eastAsia="zh-CN"/>
        </w:rPr>
        <w:t>: 313-325 [PMID: 1988983]</w:t>
      </w:r>
    </w:p>
    <w:p w14:paraId="0B6AD6B7"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59 </w:t>
      </w:r>
      <w:r w:rsidRPr="00FC2DDA">
        <w:rPr>
          <w:rFonts w:ascii="Book Antiqua" w:eastAsia="SimSun" w:hAnsi="Book Antiqua" w:cs="Times New Roman"/>
          <w:b/>
          <w:color w:val="auto"/>
          <w:kern w:val="2"/>
          <w:sz w:val="24"/>
          <w:szCs w:val="24"/>
          <w:lang w:val="en-US" w:eastAsia="zh-CN"/>
        </w:rPr>
        <w:t>Brix G</w:t>
      </w:r>
      <w:r w:rsidRPr="00FC2DDA">
        <w:rPr>
          <w:rFonts w:ascii="Book Antiqua" w:eastAsia="SimSun" w:hAnsi="Book Antiqua" w:cs="Times New Roman"/>
          <w:color w:val="auto"/>
          <w:kern w:val="2"/>
          <w:sz w:val="24"/>
          <w:szCs w:val="24"/>
          <w:lang w:val="en-US" w:eastAsia="zh-CN"/>
        </w:rPr>
        <w:t xml:space="preserve">, Semmler W, Port R, Schad LR, Layer G, Lorenz WJ. Pharmacokinetic parameters in CNS Gd-DTPA enhanced MR imaging. </w:t>
      </w:r>
      <w:r w:rsidRPr="00FC2DDA">
        <w:rPr>
          <w:rFonts w:ascii="Book Antiqua" w:eastAsia="SimSun" w:hAnsi="Book Antiqua" w:cs="Times New Roman"/>
          <w:i/>
          <w:color w:val="auto"/>
          <w:kern w:val="2"/>
          <w:sz w:val="24"/>
          <w:szCs w:val="24"/>
          <w:lang w:val="en-US" w:eastAsia="zh-CN"/>
        </w:rPr>
        <w:t>J Comput Assist Tomogr</w:t>
      </w:r>
      <w:r w:rsidRPr="00FC2DDA">
        <w:rPr>
          <w:rFonts w:ascii="Book Antiqua" w:eastAsia="SimSun" w:hAnsi="Book Antiqua" w:cs="Times New Roman"/>
          <w:color w:val="auto"/>
          <w:kern w:val="2"/>
          <w:sz w:val="24"/>
          <w:szCs w:val="24"/>
          <w:lang w:val="en-US" w:eastAsia="zh-CN"/>
        </w:rPr>
        <w:t xml:space="preserve"> 1991; </w:t>
      </w:r>
      <w:r w:rsidRPr="00FC2DDA">
        <w:rPr>
          <w:rFonts w:ascii="Book Antiqua" w:eastAsia="SimSun" w:hAnsi="Book Antiqua" w:cs="Times New Roman"/>
          <w:b/>
          <w:color w:val="auto"/>
          <w:kern w:val="2"/>
          <w:sz w:val="24"/>
          <w:szCs w:val="24"/>
          <w:lang w:val="en-US" w:eastAsia="zh-CN"/>
        </w:rPr>
        <w:t>15</w:t>
      </w:r>
      <w:r w:rsidRPr="00FC2DDA">
        <w:rPr>
          <w:rFonts w:ascii="Book Antiqua" w:eastAsia="SimSun" w:hAnsi="Book Antiqua" w:cs="Times New Roman"/>
          <w:color w:val="auto"/>
          <w:kern w:val="2"/>
          <w:sz w:val="24"/>
          <w:szCs w:val="24"/>
          <w:lang w:val="en-US" w:eastAsia="zh-CN"/>
        </w:rPr>
        <w:t>: 621-628 [PMID: 2061479]</w:t>
      </w:r>
    </w:p>
    <w:p w14:paraId="1CBBEEF8"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60 </w:t>
      </w:r>
      <w:r w:rsidRPr="00FC2DDA">
        <w:rPr>
          <w:rFonts w:ascii="Book Antiqua" w:eastAsia="SimSun" w:hAnsi="Book Antiqua" w:cs="Times New Roman"/>
          <w:b/>
          <w:color w:val="auto"/>
          <w:kern w:val="2"/>
          <w:sz w:val="24"/>
          <w:szCs w:val="24"/>
          <w:lang w:val="en-US" w:eastAsia="zh-CN"/>
        </w:rPr>
        <w:t>Larsson HB</w:t>
      </w:r>
      <w:r w:rsidRPr="00FC2DDA">
        <w:rPr>
          <w:rFonts w:ascii="Book Antiqua" w:eastAsia="SimSun" w:hAnsi="Book Antiqua" w:cs="Times New Roman"/>
          <w:color w:val="auto"/>
          <w:kern w:val="2"/>
          <w:sz w:val="24"/>
          <w:szCs w:val="24"/>
          <w:lang w:val="en-US" w:eastAsia="zh-CN"/>
        </w:rPr>
        <w:t xml:space="preserve">, Stubgaard M, Frederiksen JL, Jensen M, Henriksen O, Paulson OB. Quantitation of blood-brain barrier defect by magnetic resonance imaging and gadolinium-DTPA in patients with multiple sclerosis and brain tumors. </w:t>
      </w:r>
      <w:r w:rsidRPr="00FC2DDA">
        <w:rPr>
          <w:rFonts w:ascii="Book Antiqua" w:eastAsia="SimSun" w:hAnsi="Book Antiqua" w:cs="Times New Roman"/>
          <w:i/>
          <w:color w:val="auto"/>
          <w:kern w:val="2"/>
          <w:sz w:val="24"/>
          <w:szCs w:val="24"/>
          <w:lang w:val="en-US" w:eastAsia="zh-CN"/>
        </w:rPr>
        <w:t>Magn Reson Med</w:t>
      </w:r>
      <w:r w:rsidRPr="00FC2DDA">
        <w:rPr>
          <w:rFonts w:ascii="Book Antiqua" w:eastAsia="SimSun" w:hAnsi="Book Antiqua" w:cs="Times New Roman"/>
          <w:color w:val="auto"/>
          <w:kern w:val="2"/>
          <w:sz w:val="24"/>
          <w:szCs w:val="24"/>
          <w:lang w:val="en-US" w:eastAsia="zh-CN"/>
        </w:rPr>
        <w:t xml:space="preserve"> 1990; </w:t>
      </w:r>
      <w:r w:rsidRPr="00FC2DDA">
        <w:rPr>
          <w:rFonts w:ascii="Book Antiqua" w:eastAsia="SimSun" w:hAnsi="Book Antiqua" w:cs="Times New Roman"/>
          <w:b/>
          <w:color w:val="auto"/>
          <w:kern w:val="2"/>
          <w:sz w:val="24"/>
          <w:szCs w:val="24"/>
          <w:lang w:val="en-US" w:eastAsia="zh-CN"/>
        </w:rPr>
        <w:t>16</w:t>
      </w:r>
      <w:r w:rsidRPr="00FC2DDA">
        <w:rPr>
          <w:rFonts w:ascii="Book Antiqua" w:eastAsia="SimSun" w:hAnsi="Book Antiqua" w:cs="Times New Roman"/>
          <w:color w:val="auto"/>
          <w:kern w:val="2"/>
          <w:sz w:val="24"/>
          <w:szCs w:val="24"/>
          <w:lang w:val="en-US" w:eastAsia="zh-CN"/>
        </w:rPr>
        <w:t>: 117-131 [PMID: 2255233 DOI: 10.1002/mrm.1910160111]</w:t>
      </w:r>
    </w:p>
    <w:p w14:paraId="70CB5451"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61 </w:t>
      </w:r>
      <w:r w:rsidRPr="00FC2DDA">
        <w:rPr>
          <w:rFonts w:ascii="Book Antiqua" w:eastAsia="SimSun" w:hAnsi="Book Antiqua" w:cs="Times New Roman"/>
          <w:b/>
          <w:color w:val="auto"/>
          <w:kern w:val="2"/>
          <w:sz w:val="24"/>
          <w:szCs w:val="24"/>
          <w:lang w:val="en-US" w:eastAsia="zh-CN"/>
        </w:rPr>
        <w:t>Abdullah SS</w:t>
      </w:r>
      <w:r w:rsidRPr="00FC2DDA">
        <w:rPr>
          <w:rFonts w:ascii="Book Antiqua" w:eastAsia="SimSun" w:hAnsi="Book Antiqua" w:cs="Times New Roman"/>
          <w:color w:val="auto"/>
          <w:kern w:val="2"/>
          <w:sz w:val="24"/>
          <w:szCs w:val="24"/>
          <w:lang w:val="en-US" w:eastAsia="zh-CN"/>
        </w:rPr>
        <w:t xml:space="preserve">, Pialat JB, Wiart M, Duboeuf F, Mabrut JY, Bancel B, Rode A, Ducerf C, Baulieux J, Berthezene Y. Characterization of hepatocellular carcinoma and colorectal liver metastasis by means of perfusion MRI. </w:t>
      </w:r>
      <w:r w:rsidRPr="00FC2DDA">
        <w:rPr>
          <w:rFonts w:ascii="Book Antiqua" w:eastAsia="SimSun" w:hAnsi="Book Antiqua" w:cs="Times New Roman"/>
          <w:i/>
          <w:color w:val="auto"/>
          <w:kern w:val="2"/>
          <w:sz w:val="24"/>
          <w:szCs w:val="24"/>
          <w:lang w:val="en-US" w:eastAsia="zh-CN"/>
        </w:rPr>
        <w:t>J Magn Reson Imaging</w:t>
      </w:r>
      <w:r w:rsidRPr="00FC2DDA">
        <w:rPr>
          <w:rFonts w:ascii="Book Antiqua" w:eastAsia="SimSun" w:hAnsi="Book Antiqua" w:cs="Times New Roman"/>
          <w:color w:val="auto"/>
          <w:kern w:val="2"/>
          <w:sz w:val="24"/>
          <w:szCs w:val="24"/>
          <w:lang w:val="en-US" w:eastAsia="zh-CN"/>
        </w:rPr>
        <w:t xml:space="preserve"> 2008; </w:t>
      </w:r>
      <w:r w:rsidRPr="00FC2DDA">
        <w:rPr>
          <w:rFonts w:ascii="Book Antiqua" w:eastAsia="SimSun" w:hAnsi="Book Antiqua" w:cs="Times New Roman"/>
          <w:b/>
          <w:color w:val="auto"/>
          <w:kern w:val="2"/>
          <w:sz w:val="24"/>
          <w:szCs w:val="24"/>
          <w:lang w:val="en-US" w:eastAsia="zh-CN"/>
        </w:rPr>
        <w:t>28</w:t>
      </w:r>
      <w:r w:rsidRPr="00FC2DDA">
        <w:rPr>
          <w:rFonts w:ascii="Book Antiqua" w:eastAsia="SimSun" w:hAnsi="Book Antiqua" w:cs="Times New Roman"/>
          <w:color w:val="auto"/>
          <w:kern w:val="2"/>
          <w:sz w:val="24"/>
          <w:szCs w:val="24"/>
          <w:lang w:val="en-US" w:eastAsia="zh-CN"/>
        </w:rPr>
        <w:t>: 390-395 [PMID: 18666145 DOI: 10.1002/jmri.21429]</w:t>
      </w:r>
    </w:p>
    <w:p w14:paraId="436E986B"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lastRenderedPageBreak/>
        <w:t xml:space="preserve">62 </w:t>
      </w:r>
      <w:r w:rsidRPr="00FC2DDA">
        <w:rPr>
          <w:rFonts w:ascii="Book Antiqua" w:eastAsia="SimSun" w:hAnsi="Book Antiqua" w:cs="Times New Roman"/>
          <w:b/>
          <w:color w:val="auto"/>
          <w:kern w:val="2"/>
          <w:sz w:val="24"/>
          <w:szCs w:val="24"/>
          <w:lang w:val="en-US" w:eastAsia="zh-CN"/>
        </w:rPr>
        <w:t>Szafer A</w:t>
      </w:r>
      <w:r w:rsidRPr="00FC2DDA">
        <w:rPr>
          <w:rFonts w:ascii="Book Antiqua" w:eastAsia="SimSun" w:hAnsi="Book Antiqua" w:cs="Times New Roman"/>
          <w:color w:val="auto"/>
          <w:kern w:val="2"/>
          <w:sz w:val="24"/>
          <w:szCs w:val="24"/>
          <w:lang w:val="en-US" w:eastAsia="zh-CN"/>
        </w:rPr>
        <w:t xml:space="preserve">, Zhong J, Anderson AW, Gore JC. Diffusion-weighted imaging in tissues: theoretical models. </w:t>
      </w:r>
      <w:r w:rsidRPr="00FC2DDA">
        <w:rPr>
          <w:rFonts w:ascii="Book Antiqua" w:eastAsia="SimSun" w:hAnsi="Book Antiqua" w:cs="Times New Roman"/>
          <w:i/>
          <w:color w:val="auto"/>
          <w:kern w:val="2"/>
          <w:sz w:val="24"/>
          <w:szCs w:val="24"/>
          <w:lang w:val="en-US" w:eastAsia="zh-CN"/>
        </w:rPr>
        <w:t>NMR Biomed</w:t>
      </w:r>
      <w:r w:rsidRPr="00FC2DDA">
        <w:rPr>
          <w:rFonts w:ascii="Book Antiqua" w:eastAsia="SimSun" w:hAnsi="Book Antiqua" w:cs="Times New Roman"/>
          <w:color w:val="auto"/>
          <w:kern w:val="2"/>
          <w:sz w:val="24"/>
          <w:szCs w:val="24"/>
          <w:lang w:val="en-US" w:eastAsia="zh-CN"/>
        </w:rPr>
        <w:t xml:space="preserve"> 1995; </w:t>
      </w:r>
      <w:r w:rsidRPr="00FC2DDA">
        <w:rPr>
          <w:rFonts w:ascii="Book Antiqua" w:eastAsia="SimSun" w:hAnsi="Book Antiqua" w:cs="Times New Roman"/>
          <w:b/>
          <w:color w:val="auto"/>
          <w:kern w:val="2"/>
          <w:sz w:val="24"/>
          <w:szCs w:val="24"/>
          <w:lang w:val="en-US" w:eastAsia="zh-CN"/>
        </w:rPr>
        <w:t>8</w:t>
      </w:r>
      <w:r w:rsidRPr="00FC2DDA">
        <w:rPr>
          <w:rFonts w:ascii="Book Antiqua" w:eastAsia="SimSun" w:hAnsi="Book Antiqua" w:cs="Times New Roman"/>
          <w:color w:val="auto"/>
          <w:kern w:val="2"/>
          <w:sz w:val="24"/>
          <w:szCs w:val="24"/>
          <w:lang w:val="en-US" w:eastAsia="zh-CN"/>
        </w:rPr>
        <w:t>: 289-296 [PMID: 8739267 DOI: 10.1002/nbm.1940080704]</w:t>
      </w:r>
    </w:p>
    <w:p w14:paraId="04DA176B"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63 </w:t>
      </w:r>
      <w:r w:rsidRPr="00FC2DDA">
        <w:rPr>
          <w:rFonts w:ascii="Book Antiqua" w:eastAsia="SimSun" w:hAnsi="Book Antiqua" w:cs="Times New Roman"/>
          <w:b/>
          <w:color w:val="auto"/>
          <w:kern w:val="2"/>
          <w:sz w:val="24"/>
          <w:szCs w:val="24"/>
          <w:lang w:val="en-US" w:eastAsia="zh-CN"/>
        </w:rPr>
        <w:t>Taouli B</w:t>
      </w:r>
      <w:r w:rsidRPr="00FC2DDA">
        <w:rPr>
          <w:rFonts w:ascii="Book Antiqua" w:eastAsia="SimSun" w:hAnsi="Book Antiqua" w:cs="Times New Roman"/>
          <w:color w:val="auto"/>
          <w:kern w:val="2"/>
          <w:sz w:val="24"/>
          <w:szCs w:val="24"/>
          <w:lang w:val="en-US" w:eastAsia="zh-CN"/>
        </w:rPr>
        <w:t xml:space="preserve">, Koh DM. Diffusion-weighted MR imaging of the liver.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2010; </w:t>
      </w:r>
      <w:r w:rsidRPr="00FC2DDA">
        <w:rPr>
          <w:rFonts w:ascii="Book Antiqua" w:eastAsia="SimSun" w:hAnsi="Book Antiqua" w:cs="Times New Roman"/>
          <w:b/>
          <w:color w:val="auto"/>
          <w:kern w:val="2"/>
          <w:sz w:val="24"/>
          <w:szCs w:val="24"/>
          <w:lang w:val="en-US" w:eastAsia="zh-CN"/>
        </w:rPr>
        <w:t>254</w:t>
      </w:r>
      <w:r w:rsidRPr="00FC2DDA">
        <w:rPr>
          <w:rFonts w:ascii="Book Antiqua" w:eastAsia="SimSun" w:hAnsi="Book Antiqua" w:cs="Times New Roman"/>
          <w:color w:val="auto"/>
          <w:kern w:val="2"/>
          <w:sz w:val="24"/>
          <w:szCs w:val="24"/>
          <w:lang w:val="en-US" w:eastAsia="zh-CN"/>
        </w:rPr>
        <w:t>: 47-66 [PMID: 20032142 DOI: 10.1148/radiol.09090021]</w:t>
      </w:r>
    </w:p>
    <w:p w14:paraId="3DC10F7B"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64 </w:t>
      </w:r>
      <w:r w:rsidRPr="00FC2DDA">
        <w:rPr>
          <w:rFonts w:ascii="Book Antiqua" w:eastAsia="SimSun" w:hAnsi="Book Antiqua" w:cs="Times New Roman"/>
          <w:b/>
          <w:color w:val="auto"/>
          <w:kern w:val="2"/>
          <w:sz w:val="24"/>
          <w:szCs w:val="24"/>
          <w:lang w:val="en-US" w:eastAsia="zh-CN"/>
        </w:rPr>
        <w:t>Filipe JP</w:t>
      </w:r>
      <w:r w:rsidRPr="00FC2DDA">
        <w:rPr>
          <w:rFonts w:ascii="Book Antiqua" w:eastAsia="SimSun" w:hAnsi="Book Antiqua" w:cs="Times New Roman"/>
          <w:color w:val="auto"/>
          <w:kern w:val="2"/>
          <w:sz w:val="24"/>
          <w:szCs w:val="24"/>
          <w:lang w:val="en-US" w:eastAsia="zh-CN"/>
        </w:rPr>
        <w:t xml:space="preserve">, Curvo-Semedo L, Casalta-Lopes J, Marques MC, Caseiro-Alves F. Diffusion-weighted imaging of the liver: usefulness of ADC values in the differential diagnosis of focal lesions and effect of ROI methods on ADC measurements. </w:t>
      </w:r>
      <w:r w:rsidRPr="00FC2DDA">
        <w:rPr>
          <w:rFonts w:ascii="Book Antiqua" w:eastAsia="SimSun" w:hAnsi="Book Antiqua" w:cs="Times New Roman"/>
          <w:i/>
          <w:color w:val="auto"/>
          <w:kern w:val="2"/>
          <w:sz w:val="24"/>
          <w:szCs w:val="24"/>
          <w:lang w:val="en-US" w:eastAsia="zh-CN"/>
        </w:rPr>
        <w:t>MAGMA</w:t>
      </w:r>
      <w:r w:rsidRPr="00FC2DDA">
        <w:rPr>
          <w:rFonts w:ascii="Book Antiqua" w:eastAsia="SimSun" w:hAnsi="Book Antiqua" w:cs="Times New Roman"/>
          <w:color w:val="auto"/>
          <w:kern w:val="2"/>
          <w:sz w:val="24"/>
          <w:szCs w:val="24"/>
          <w:lang w:val="en-US" w:eastAsia="zh-CN"/>
        </w:rPr>
        <w:t xml:space="preserve"> 2013; </w:t>
      </w:r>
      <w:r w:rsidRPr="00FC2DDA">
        <w:rPr>
          <w:rFonts w:ascii="Book Antiqua" w:eastAsia="SimSun" w:hAnsi="Book Antiqua" w:cs="Times New Roman"/>
          <w:b/>
          <w:color w:val="auto"/>
          <w:kern w:val="2"/>
          <w:sz w:val="24"/>
          <w:szCs w:val="24"/>
          <w:lang w:val="en-US" w:eastAsia="zh-CN"/>
        </w:rPr>
        <w:t>26</w:t>
      </w:r>
      <w:r w:rsidRPr="00FC2DDA">
        <w:rPr>
          <w:rFonts w:ascii="Book Antiqua" w:eastAsia="SimSun" w:hAnsi="Book Antiqua" w:cs="Times New Roman"/>
          <w:color w:val="auto"/>
          <w:kern w:val="2"/>
          <w:sz w:val="24"/>
          <w:szCs w:val="24"/>
          <w:lang w:val="en-US" w:eastAsia="zh-CN"/>
        </w:rPr>
        <w:t>: 303-312 [PMID: 23053714 DOI: 10.1007/s10334-012-0348-1]</w:t>
      </w:r>
    </w:p>
    <w:p w14:paraId="327BB096"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65 </w:t>
      </w:r>
      <w:r w:rsidRPr="00FC2DDA">
        <w:rPr>
          <w:rFonts w:ascii="Book Antiqua" w:eastAsia="SimSun" w:hAnsi="Book Antiqua" w:cs="Times New Roman"/>
          <w:b/>
          <w:color w:val="auto"/>
          <w:kern w:val="2"/>
          <w:sz w:val="24"/>
          <w:szCs w:val="24"/>
          <w:lang w:val="en-US" w:eastAsia="zh-CN"/>
        </w:rPr>
        <w:t>Lim KS</w:t>
      </w:r>
      <w:r w:rsidRPr="00FC2DDA">
        <w:rPr>
          <w:rFonts w:ascii="Book Antiqua" w:eastAsia="SimSun" w:hAnsi="Book Antiqua" w:cs="Times New Roman"/>
          <w:color w:val="auto"/>
          <w:kern w:val="2"/>
          <w:sz w:val="24"/>
          <w:szCs w:val="24"/>
          <w:lang w:val="en-US" w:eastAsia="zh-CN"/>
        </w:rPr>
        <w:t xml:space="preserve">. Diffusion-weighted MRI of hepatocellular carcinoma in cirrhosis. </w:t>
      </w:r>
      <w:r w:rsidRPr="00FC2DDA">
        <w:rPr>
          <w:rFonts w:ascii="Book Antiqua" w:eastAsia="SimSun" w:hAnsi="Book Antiqua" w:cs="Times New Roman"/>
          <w:i/>
          <w:color w:val="auto"/>
          <w:kern w:val="2"/>
          <w:sz w:val="24"/>
          <w:szCs w:val="24"/>
          <w:lang w:val="en-US" w:eastAsia="zh-CN"/>
        </w:rPr>
        <w:t>Clin Radiol</w:t>
      </w:r>
      <w:r w:rsidRPr="00FC2DDA">
        <w:rPr>
          <w:rFonts w:ascii="Book Antiqua" w:eastAsia="SimSun" w:hAnsi="Book Antiqua" w:cs="Times New Roman"/>
          <w:color w:val="auto"/>
          <w:kern w:val="2"/>
          <w:sz w:val="24"/>
          <w:szCs w:val="24"/>
          <w:lang w:val="en-US" w:eastAsia="zh-CN"/>
        </w:rPr>
        <w:t xml:space="preserve"> 2014; </w:t>
      </w:r>
      <w:r w:rsidRPr="00FC2DDA">
        <w:rPr>
          <w:rFonts w:ascii="Book Antiqua" w:eastAsia="SimSun" w:hAnsi="Book Antiqua" w:cs="Times New Roman"/>
          <w:b/>
          <w:color w:val="auto"/>
          <w:kern w:val="2"/>
          <w:sz w:val="24"/>
          <w:szCs w:val="24"/>
          <w:lang w:val="en-US" w:eastAsia="zh-CN"/>
        </w:rPr>
        <w:t>69</w:t>
      </w:r>
      <w:r w:rsidRPr="00FC2DDA">
        <w:rPr>
          <w:rFonts w:ascii="Book Antiqua" w:eastAsia="SimSun" w:hAnsi="Book Antiqua" w:cs="Times New Roman"/>
          <w:color w:val="auto"/>
          <w:kern w:val="2"/>
          <w:sz w:val="24"/>
          <w:szCs w:val="24"/>
          <w:lang w:val="en-US" w:eastAsia="zh-CN"/>
        </w:rPr>
        <w:t>: 1-10 [PMID: 24034549 DOI: 10.1016/j.crad.2013.07.022]</w:t>
      </w:r>
    </w:p>
    <w:p w14:paraId="4E32283C"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66 </w:t>
      </w:r>
      <w:r w:rsidRPr="00FC2DDA">
        <w:rPr>
          <w:rFonts w:ascii="Book Antiqua" w:eastAsia="SimSun" w:hAnsi="Book Antiqua" w:cs="Times New Roman"/>
          <w:b/>
          <w:color w:val="auto"/>
          <w:kern w:val="2"/>
          <w:sz w:val="24"/>
          <w:szCs w:val="24"/>
          <w:lang w:val="en-US" w:eastAsia="zh-CN"/>
        </w:rPr>
        <w:t>Sadowski EA</w:t>
      </w:r>
      <w:r w:rsidRPr="00FC2DDA">
        <w:rPr>
          <w:rFonts w:ascii="Book Antiqua" w:eastAsia="SimSun" w:hAnsi="Book Antiqua" w:cs="Times New Roman"/>
          <w:color w:val="auto"/>
          <w:kern w:val="2"/>
          <w:sz w:val="24"/>
          <w:szCs w:val="24"/>
          <w:lang w:val="en-US" w:eastAsia="zh-CN"/>
        </w:rPr>
        <w:t xml:space="preserve">, Bennett LK, Chan MR, Wentland AL, Garrett AL, Garrett RW, Djamali A. Nephrogenic systemic fibrosis: risk factors and incidence estimation.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2007; </w:t>
      </w:r>
      <w:r w:rsidRPr="00FC2DDA">
        <w:rPr>
          <w:rFonts w:ascii="Book Antiqua" w:eastAsia="SimSun" w:hAnsi="Book Antiqua" w:cs="Times New Roman"/>
          <w:b/>
          <w:color w:val="auto"/>
          <w:kern w:val="2"/>
          <w:sz w:val="24"/>
          <w:szCs w:val="24"/>
          <w:lang w:val="en-US" w:eastAsia="zh-CN"/>
        </w:rPr>
        <w:t>243</w:t>
      </w:r>
      <w:r w:rsidRPr="00FC2DDA">
        <w:rPr>
          <w:rFonts w:ascii="Book Antiqua" w:eastAsia="SimSun" w:hAnsi="Book Antiqua" w:cs="Times New Roman"/>
          <w:color w:val="auto"/>
          <w:kern w:val="2"/>
          <w:sz w:val="24"/>
          <w:szCs w:val="24"/>
          <w:lang w:val="en-US" w:eastAsia="zh-CN"/>
        </w:rPr>
        <w:t>: 148-157 [PMID: 17267695 DOI: 10.1148/radiol.2431062144]</w:t>
      </w:r>
    </w:p>
    <w:p w14:paraId="753E530C"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67 </w:t>
      </w:r>
      <w:r w:rsidRPr="00FC2DDA">
        <w:rPr>
          <w:rFonts w:ascii="Book Antiqua" w:eastAsia="SimSun" w:hAnsi="Book Antiqua" w:cs="Times New Roman"/>
          <w:b/>
          <w:color w:val="auto"/>
          <w:kern w:val="2"/>
          <w:sz w:val="24"/>
          <w:szCs w:val="24"/>
          <w:lang w:val="en-US" w:eastAsia="zh-CN"/>
        </w:rPr>
        <w:t>Thomsen HS</w:t>
      </w:r>
      <w:r w:rsidRPr="00FC2DDA">
        <w:rPr>
          <w:rFonts w:ascii="Book Antiqua" w:eastAsia="SimSun" w:hAnsi="Book Antiqua" w:cs="Times New Roman"/>
          <w:color w:val="auto"/>
          <w:kern w:val="2"/>
          <w:sz w:val="24"/>
          <w:szCs w:val="24"/>
          <w:lang w:val="en-US" w:eastAsia="zh-CN"/>
        </w:rPr>
        <w:t xml:space="preserve">, Marckmann P, Logager VB. Update on nephrogenic systemic fibrosis. </w:t>
      </w:r>
      <w:r w:rsidRPr="00FC2DDA">
        <w:rPr>
          <w:rFonts w:ascii="Book Antiqua" w:eastAsia="SimSun" w:hAnsi="Book Antiqua" w:cs="Times New Roman"/>
          <w:i/>
          <w:color w:val="auto"/>
          <w:kern w:val="2"/>
          <w:sz w:val="24"/>
          <w:szCs w:val="24"/>
          <w:lang w:val="en-US" w:eastAsia="zh-CN"/>
        </w:rPr>
        <w:t>Magn Reson Imaging Clin N Am</w:t>
      </w:r>
      <w:r w:rsidRPr="00FC2DDA">
        <w:rPr>
          <w:rFonts w:ascii="Book Antiqua" w:eastAsia="SimSun" w:hAnsi="Book Antiqua" w:cs="Times New Roman"/>
          <w:color w:val="auto"/>
          <w:kern w:val="2"/>
          <w:sz w:val="24"/>
          <w:szCs w:val="24"/>
          <w:lang w:val="en-US" w:eastAsia="zh-CN"/>
        </w:rPr>
        <w:t xml:space="preserve"> 2008; </w:t>
      </w:r>
      <w:r w:rsidRPr="00FC2DDA">
        <w:rPr>
          <w:rFonts w:ascii="Book Antiqua" w:eastAsia="SimSun" w:hAnsi="Book Antiqua" w:cs="Times New Roman"/>
          <w:b/>
          <w:color w:val="auto"/>
          <w:kern w:val="2"/>
          <w:sz w:val="24"/>
          <w:szCs w:val="24"/>
          <w:lang w:val="en-US" w:eastAsia="zh-CN"/>
        </w:rPr>
        <w:t>16</w:t>
      </w:r>
      <w:r w:rsidRPr="00FC2DDA">
        <w:rPr>
          <w:rFonts w:ascii="Book Antiqua" w:eastAsia="SimSun" w:hAnsi="Book Antiqua" w:cs="Times New Roman"/>
          <w:color w:val="auto"/>
          <w:kern w:val="2"/>
          <w:sz w:val="24"/>
          <w:szCs w:val="24"/>
          <w:lang w:val="en-US" w:eastAsia="zh-CN"/>
        </w:rPr>
        <w:t>: 551-560, vii [PMID: 18926421 DOI: 10.1016/j.mric.2008.07.011]</w:t>
      </w:r>
    </w:p>
    <w:p w14:paraId="7304D79C"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68 </w:t>
      </w:r>
      <w:r w:rsidRPr="00FC2DDA">
        <w:rPr>
          <w:rFonts w:ascii="Book Antiqua" w:eastAsia="SimSun" w:hAnsi="Book Antiqua" w:cs="Times New Roman"/>
          <w:b/>
          <w:color w:val="auto"/>
          <w:kern w:val="2"/>
          <w:sz w:val="24"/>
          <w:szCs w:val="24"/>
          <w:lang w:val="en-US" w:eastAsia="zh-CN"/>
        </w:rPr>
        <w:t>Takayama Y</w:t>
      </w:r>
      <w:r w:rsidRPr="00FC2DDA">
        <w:rPr>
          <w:rFonts w:ascii="Book Antiqua" w:eastAsia="SimSun" w:hAnsi="Book Antiqua" w:cs="Times New Roman"/>
          <w:color w:val="auto"/>
          <w:kern w:val="2"/>
          <w:sz w:val="24"/>
          <w:szCs w:val="24"/>
          <w:lang w:val="en-US" w:eastAsia="zh-CN"/>
        </w:rPr>
        <w:t xml:space="preserve">, Nishie A, Asayama Y, Ishigami K, Kakihara D, Ushijima Y, Fujita N, Shirabe K, Takemura A, Honda H. Image quality and diagnostic performance of free-breathing diffusion-weighted imaging for hepatocellular carcinoma. </w:t>
      </w:r>
      <w:r w:rsidRPr="00FC2DDA">
        <w:rPr>
          <w:rFonts w:ascii="Book Antiqua" w:eastAsia="SimSun" w:hAnsi="Book Antiqua" w:cs="Times New Roman"/>
          <w:i/>
          <w:color w:val="auto"/>
          <w:kern w:val="2"/>
          <w:sz w:val="24"/>
          <w:szCs w:val="24"/>
          <w:lang w:val="en-US" w:eastAsia="zh-CN"/>
        </w:rPr>
        <w:t>World J Hepatol</w:t>
      </w:r>
      <w:r w:rsidRPr="00FC2DDA">
        <w:rPr>
          <w:rFonts w:ascii="Book Antiqua" w:eastAsia="SimSun" w:hAnsi="Book Antiqua" w:cs="Times New Roman"/>
          <w:color w:val="auto"/>
          <w:kern w:val="2"/>
          <w:sz w:val="24"/>
          <w:szCs w:val="24"/>
          <w:lang w:val="en-US" w:eastAsia="zh-CN"/>
        </w:rPr>
        <w:t xml:space="preserve"> 2017; </w:t>
      </w:r>
      <w:r w:rsidRPr="00FC2DDA">
        <w:rPr>
          <w:rFonts w:ascii="Book Antiqua" w:eastAsia="SimSun" w:hAnsi="Book Antiqua" w:cs="Times New Roman"/>
          <w:b/>
          <w:color w:val="auto"/>
          <w:kern w:val="2"/>
          <w:sz w:val="24"/>
          <w:szCs w:val="24"/>
          <w:lang w:val="en-US" w:eastAsia="zh-CN"/>
        </w:rPr>
        <w:t>9</w:t>
      </w:r>
      <w:r w:rsidRPr="00FC2DDA">
        <w:rPr>
          <w:rFonts w:ascii="Book Antiqua" w:eastAsia="SimSun" w:hAnsi="Book Antiqua" w:cs="Times New Roman"/>
          <w:color w:val="auto"/>
          <w:kern w:val="2"/>
          <w:sz w:val="24"/>
          <w:szCs w:val="24"/>
          <w:lang w:val="en-US" w:eastAsia="zh-CN"/>
        </w:rPr>
        <w:t>: 657-666 [PMID: 28588750 DOI: 10.4254/wjh.v9.i14.657]</w:t>
      </w:r>
    </w:p>
    <w:p w14:paraId="1BD07D3A"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69 </w:t>
      </w:r>
      <w:r w:rsidRPr="00FC2DDA">
        <w:rPr>
          <w:rFonts w:ascii="Book Antiqua" w:eastAsia="SimSun" w:hAnsi="Book Antiqua" w:cs="Times New Roman"/>
          <w:b/>
          <w:color w:val="auto"/>
          <w:kern w:val="2"/>
          <w:sz w:val="24"/>
          <w:szCs w:val="24"/>
          <w:lang w:val="en-US" w:eastAsia="zh-CN"/>
        </w:rPr>
        <w:t>Li X</w:t>
      </w:r>
      <w:r w:rsidRPr="00FC2DDA">
        <w:rPr>
          <w:rFonts w:ascii="Book Antiqua" w:eastAsia="SimSun" w:hAnsi="Book Antiqua" w:cs="Times New Roman"/>
          <w:color w:val="auto"/>
          <w:kern w:val="2"/>
          <w:sz w:val="24"/>
          <w:szCs w:val="24"/>
          <w:lang w:val="en-US" w:eastAsia="zh-CN"/>
        </w:rPr>
        <w:t xml:space="preserve">, Li C, Wang R, Ren J, Yang J, Zhang Y. Combined Application of Gadoxetic Acid Disodium-Enhanced Magnetic Resonance Imaging (MRI) and Diffusion-Weighted Imaging (DWI) in the Diagnosis of Chronic Liver Disease-Induced Hepatocellular Carcinoma: A Meta-Analysis. </w:t>
      </w:r>
      <w:r w:rsidRPr="00FC2DDA">
        <w:rPr>
          <w:rFonts w:ascii="Book Antiqua" w:eastAsia="SimSun" w:hAnsi="Book Antiqua" w:cs="Times New Roman"/>
          <w:i/>
          <w:color w:val="auto"/>
          <w:kern w:val="2"/>
          <w:sz w:val="24"/>
          <w:szCs w:val="24"/>
          <w:lang w:val="en-US" w:eastAsia="zh-CN"/>
        </w:rPr>
        <w:t>PLoS One</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10</w:t>
      </w:r>
      <w:r w:rsidRPr="00FC2DDA">
        <w:rPr>
          <w:rFonts w:ascii="Book Antiqua" w:eastAsia="SimSun" w:hAnsi="Book Antiqua" w:cs="Times New Roman"/>
          <w:color w:val="auto"/>
          <w:kern w:val="2"/>
          <w:sz w:val="24"/>
          <w:szCs w:val="24"/>
          <w:lang w:val="en-US" w:eastAsia="zh-CN"/>
        </w:rPr>
        <w:t>: e0144247 [PMID: 26629904 DOI: 10.1371/journal.pone.0144247]</w:t>
      </w:r>
    </w:p>
    <w:p w14:paraId="2860CFCC"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70 </w:t>
      </w:r>
      <w:r w:rsidRPr="00FC2DDA">
        <w:rPr>
          <w:rFonts w:ascii="Book Antiqua" w:eastAsia="SimSun" w:hAnsi="Book Antiqua" w:cs="Times New Roman"/>
          <w:b/>
          <w:color w:val="auto"/>
          <w:kern w:val="2"/>
          <w:sz w:val="24"/>
          <w:szCs w:val="24"/>
          <w:lang w:val="en-US" w:eastAsia="zh-CN"/>
        </w:rPr>
        <w:t>Inchingolo R</w:t>
      </w:r>
      <w:r w:rsidRPr="00FC2DDA">
        <w:rPr>
          <w:rFonts w:ascii="Book Antiqua" w:eastAsia="SimSun" w:hAnsi="Book Antiqua" w:cs="Times New Roman"/>
          <w:color w:val="auto"/>
          <w:kern w:val="2"/>
          <w:sz w:val="24"/>
          <w:szCs w:val="24"/>
          <w:lang w:val="en-US" w:eastAsia="zh-CN"/>
        </w:rPr>
        <w:t xml:space="preserve">, De Gaetano AM, Curione D, Ciresa M, Miele L, Pompili M, Vecchio FM, Giuliante F, Bonomo L. Role of diffusion-weighted imaging, apparent diffusion coefficient and correlation with hepatobiliary phase findings in the differentiation of hepatocellular carcinoma from dysplastic nodules in cirrhotic liver. </w:t>
      </w:r>
      <w:r w:rsidRPr="00FC2DDA">
        <w:rPr>
          <w:rFonts w:ascii="Book Antiqua" w:eastAsia="SimSun" w:hAnsi="Book Antiqua" w:cs="Times New Roman"/>
          <w:i/>
          <w:color w:val="auto"/>
          <w:kern w:val="2"/>
          <w:sz w:val="24"/>
          <w:szCs w:val="24"/>
          <w:lang w:val="en-US" w:eastAsia="zh-CN"/>
        </w:rPr>
        <w:t>Eur Radiol</w:t>
      </w:r>
      <w:r w:rsidRPr="00FC2DDA">
        <w:rPr>
          <w:rFonts w:ascii="Book Antiqua" w:eastAsia="SimSun" w:hAnsi="Book Antiqua" w:cs="Times New Roman"/>
          <w:color w:val="auto"/>
          <w:kern w:val="2"/>
          <w:sz w:val="24"/>
          <w:szCs w:val="24"/>
          <w:lang w:val="en-US" w:eastAsia="zh-CN"/>
        </w:rPr>
        <w:t xml:space="preserve"> 2015; </w:t>
      </w:r>
      <w:r w:rsidRPr="00FC2DDA">
        <w:rPr>
          <w:rFonts w:ascii="Book Antiqua" w:eastAsia="SimSun" w:hAnsi="Book Antiqua" w:cs="Times New Roman"/>
          <w:b/>
          <w:color w:val="auto"/>
          <w:kern w:val="2"/>
          <w:sz w:val="24"/>
          <w:szCs w:val="24"/>
          <w:lang w:val="en-US" w:eastAsia="zh-CN"/>
        </w:rPr>
        <w:t>25</w:t>
      </w:r>
      <w:r w:rsidRPr="00FC2DDA">
        <w:rPr>
          <w:rFonts w:ascii="Book Antiqua" w:eastAsia="SimSun" w:hAnsi="Book Antiqua" w:cs="Times New Roman"/>
          <w:color w:val="auto"/>
          <w:kern w:val="2"/>
          <w:sz w:val="24"/>
          <w:szCs w:val="24"/>
          <w:lang w:val="en-US" w:eastAsia="zh-CN"/>
        </w:rPr>
        <w:t>: 1087-1096 [PMID: 25430005 DOI: 10.1007/s00330-014-3500-7]</w:t>
      </w:r>
    </w:p>
    <w:p w14:paraId="251081A7"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71 </w:t>
      </w:r>
      <w:r w:rsidRPr="00FC2DDA">
        <w:rPr>
          <w:rFonts w:ascii="Book Antiqua" w:eastAsia="SimSun" w:hAnsi="Book Antiqua" w:cs="Times New Roman"/>
          <w:b/>
          <w:color w:val="auto"/>
          <w:kern w:val="2"/>
          <w:sz w:val="24"/>
          <w:szCs w:val="24"/>
          <w:lang w:val="en-US" w:eastAsia="zh-CN"/>
        </w:rPr>
        <w:t>Briani C</w:t>
      </w:r>
      <w:r w:rsidRPr="00FC2DDA">
        <w:rPr>
          <w:rFonts w:ascii="Book Antiqua" w:eastAsia="SimSun" w:hAnsi="Book Antiqua" w:cs="Times New Roman"/>
          <w:color w:val="auto"/>
          <w:kern w:val="2"/>
          <w:sz w:val="24"/>
          <w:szCs w:val="24"/>
          <w:lang w:val="en-US" w:eastAsia="zh-CN"/>
        </w:rPr>
        <w:t xml:space="preserve">, Di Pietropaolo M, Marignani M, Carbonetti F, Begini P, David V, Iannicelli E. </w:t>
      </w:r>
      <w:r w:rsidRPr="00FC2DDA">
        <w:rPr>
          <w:rFonts w:ascii="Book Antiqua" w:eastAsia="SimSun" w:hAnsi="Book Antiqua" w:cs="Times New Roman"/>
          <w:color w:val="auto"/>
          <w:kern w:val="2"/>
          <w:sz w:val="24"/>
          <w:szCs w:val="24"/>
          <w:lang w:val="en-US" w:eastAsia="zh-CN"/>
        </w:rPr>
        <w:lastRenderedPageBreak/>
        <w:t xml:space="preserve">Non-Hypervascular Hypointense Nodules at Gadoxetic Acid MRI: Hepatocellular Carcinoma Risk Assessment with Emphasis on the Role of Diffusion-Weighted Imaging. </w:t>
      </w:r>
      <w:r w:rsidRPr="00FC2DDA">
        <w:rPr>
          <w:rFonts w:ascii="Book Antiqua" w:eastAsia="SimSun" w:hAnsi="Book Antiqua" w:cs="Times New Roman"/>
          <w:i/>
          <w:color w:val="auto"/>
          <w:kern w:val="2"/>
          <w:sz w:val="24"/>
          <w:szCs w:val="24"/>
          <w:lang w:val="en-US" w:eastAsia="zh-CN"/>
        </w:rPr>
        <w:t>J Gastrointest Cancer</w:t>
      </w:r>
      <w:r w:rsidRPr="00FC2DDA">
        <w:rPr>
          <w:rFonts w:ascii="Book Antiqua" w:eastAsia="SimSun" w:hAnsi="Book Antiqua" w:cs="Times New Roman"/>
          <w:color w:val="auto"/>
          <w:kern w:val="2"/>
          <w:sz w:val="24"/>
          <w:szCs w:val="24"/>
          <w:lang w:val="en-US" w:eastAsia="zh-CN"/>
        </w:rPr>
        <w:t xml:space="preserve"> 2017; :  [PMID: 28547117 DOI: 10.1007/s12029-017-9952-7]</w:t>
      </w:r>
    </w:p>
    <w:p w14:paraId="054AB485"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72 </w:t>
      </w:r>
      <w:r w:rsidRPr="00FC2DDA">
        <w:rPr>
          <w:rFonts w:ascii="Book Antiqua" w:eastAsia="SimSun" w:hAnsi="Book Antiqua" w:cs="Times New Roman"/>
          <w:b/>
          <w:color w:val="auto"/>
          <w:kern w:val="2"/>
          <w:sz w:val="24"/>
          <w:szCs w:val="24"/>
          <w:lang w:val="en-US" w:eastAsia="zh-CN"/>
        </w:rPr>
        <w:t>Xu PJ</w:t>
      </w:r>
      <w:r w:rsidRPr="00FC2DDA">
        <w:rPr>
          <w:rFonts w:ascii="Book Antiqua" w:eastAsia="SimSun" w:hAnsi="Book Antiqua" w:cs="Times New Roman"/>
          <w:color w:val="auto"/>
          <w:kern w:val="2"/>
          <w:sz w:val="24"/>
          <w:szCs w:val="24"/>
          <w:lang w:val="en-US" w:eastAsia="zh-CN"/>
        </w:rPr>
        <w:t xml:space="preserve">, Yan FH, Wang JH, Lin J, Ji Y. Added value of breathhold diffusion-weighted MRI in detection of small hepatocellular carcinoma lesions compared with dynamic contrast-enhanced MRI alone using receiver operating characteristic curve analysis. </w:t>
      </w:r>
      <w:r w:rsidRPr="00FC2DDA">
        <w:rPr>
          <w:rFonts w:ascii="Book Antiqua" w:eastAsia="SimSun" w:hAnsi="Book Antiqua" w:cs="Times New Roman"/>
          <w:i/>
          <w:color w:val="auto"/>
          <w:kern w:val="2"/>
          <w:sz w:val="24"/>
          <w:szCs w:val="24"/>
          <w:lang w:val="en-US" w:eastAsia="zh-CN"/>
        </w:rPr>
        <w:t>J Magn Reson Imaging</w:t>
      </w:r>
      <w:r w:rsidRPr="00FC2DDA">
        <w:rPr>
          <w:rFonts w:ascii="Book Antiqua" w:eastAsia="SimSun" w:hAnsi="Book Antiqua" w:cs="Times New Roman"/>
          <w:color w:val="auto"/>
          <w:kern w:val="2"/>
          <w:sz w:val="24"/>
          <w:szCs w:val="24"/>
          <w:lang w:val="en-US" w:eastAsia="zh-CN"/>
        </w:rPr>
        <w:t xml:space="preserve"> 2009; </w:t>
      </w:r>
      <w:r w:rsidRPr="00FC2DDA">
        <w:rPr>
          <w:rFonts w:ascii="Book Antiqua" w:eastAsia="SimSun" w:hAnsi="Book Antiqua" w:cs="Times New Roman"/>
          <w:b/>
          <w:color w:val="auto"/>
          <w:kern w:val="2"/>
          <w:sz w:val="24"/>
          <w:szCs w:val="24"/>
          <w:lang w:val="en-US" w:eastAsia="zh-CN"/>
        </w:rPr>
        <w:t>29</w:t>
      </w:r>
      <w:r w:rsidRPr="00FC2DDA">
        <w:rPr>
          <w:rFonts w:ascii="Book Antiqua" w:eastAsia="SimSun" w:hAnsi="Book Antiqua" w:cs="Times New Roman"/>
          <w:color w:val="auto"/>
          <w:kern w:val="2"/>
          <w:sz w:val="24"/>
          <w:szCs w:val="24"/>
          <w:lang w:val="en-US" w:eastAsia="zh-CN"/>
        </w:rPr>
        <w:t>: 341-349 [PMID: 19161186 DOI: 10.1002/jmri.21650]</w:t>
      </w:r>
    </w:p>
    <w:p w14:paraId="1DFC056B"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73 </w:t>
      </w:r>
      <w:r w:rsidRPr="00FC2DDA">
        <w:rPr>
          <w:rFonts w:ascii="Book Antiqua" w:eastAsia="SimSun" w:hAnsi="Book Antiqua" w:cs="Times New Roman"/>
          <w:b/>
          <w:color w:val="auto"/>
          <w:kern w:val="2"/>
          <w:sz w:val="24"/>
          <w:szCs w:val="24"/>
          <w:lang w:val="en-US" w:eastAsia="zh-CN"/>
        </w:rPr>
        <w:t>Jiang T</w:t>
      </w:r>
      <w:r w:rsidRPr="00FC2DDA">
        <w:rPr>
          <w:rFonts w:ascii="Book Antiqua" w:eastAsia="SimSun" w:hAnsi="Book Antiqua" w:cs="Times New Roman"/>
          <w:color w:val="auto"/>
          <w:kern w:val="2"/>
          <w:sz w:val="24"/>
          <w:szCs w:val="24"/>
          <w:lang w:val="en-US" w:eastAsia="zh-CN"/>
        </w:rPr>
        <w:t xml:space="preserve">, Xu JH, Zou Y, Chen R, Peng LR, Zhou ZD, Yang M. Diffusion-weighted imaging (DWI) of hepatocellular carcinomas: a retrospective analysis of the correlation between qualitative and quantitative DWI and tumour grade. </w:t>
      </w:r>
      <w:r w:rsidRPr="00FC2DDA">
        <w:rPr>
          <w:rFonts w:ascii="Book Antiqua" w:eastAsia="SimSun" w:hAnsi="Book Antiqua" w:cs="Times New Roman"/>
          <w:i/>
          <w:color w:val="auto"/>
          <w:kern w:val="2"/>
          <w:sz w:val="24"/>
          <w:szCs w:val="24"/>
          <w:lang w:val="en-US" w:eastAsia="zh-CN"/>
        </w:rPr>
        <w:t>Clin Radiol</w:t>
      </w:r>
      <w:r w:rsidRPr="00FC2DDA">
        <w:rPr>
          <w:rFonts w:ascii="Book Antiqua" w:eastAsia="SimSun" w:hAnsi="Book Antiqua" w:cs="Times New Roman"/>
          <w:color w:val="auto"/>
          <w:kern w:val="2"/>
          <w:sz w:val="24"/>
          <w:szCs w:val="24"/>
          <w:lang w:val="en-US" w:eastAsia="zh-CN"/>
        </w:rPr>
        <w:t xml:space="preserve"> 2017; </w:t>
      </w:r>
      <w:r w:rsidRPr="00FC2DDA">
        <w:rPr>
          <w:rFonts w:ascii="Book Antiqua" w:eastAsia="SimSun" w:hAnsi="Book Antiqua" w:cs="Times New Roman"/>
          <w:b/>
          <w:color w:val="auto"/>
          <w:kern w:val="2"/>
          <w:sz w:val="24"/>
          <w:szCs w:val="24"/>
          <w:lang w:val="en-US" w:eastAsia="zh-CN"/>
        </w:rPr>
        <w:t>72</w:t>
      </w:r>
      <w:r w:rsidRPr="00FC2DDA">
        <w:rPr>
          <w:rFonts w:ascii="Book Antiqua" w:eastAsia="SimSun" w:hAnsi="Book Antiqua" w:cs="Times New Roman"/>
          <w:color w:val="auto"/>
          <w:kern w:val="2"/>
          <w:sz w:val="24"/>
          <w:szCs w:val="24"/>
          <w:lang w:val="en-US" w:eastAsia="zh-CN"/>
        </w:rPr>
        <w:t>: 465-472 [PMID: 28109531 DOI: 10.1016/j.crad.2016.12.017]</w:t>
      </w:r>
    </w:p>
    <w:p w14:paraId="6868AF10"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74 </w:t>
      </w:r>
      <w:r w:rsidRPr="00FC2DDA">
        <w:rPr>
          <w:rFonts w:ascii="Book Antiqua" w:eastAsia="SimSun" w:hAnsi="Book Antiqua" w:cs="Times New Roman"/>
          <w:b/>
          <w:color w:val="auto"/>
          <w:kern w:val="2"/>
          <w:sz w:val="24"/>
          <w:szCs w:val="24"/>
          <w:lang w:val="en-US" w:eastAsia="zh-CN"/>
        </w:rPr>
        <w:t>D'Amico F</w:t>
      </w:r>
      <w:r w:rsidRPr="00FC2DDA">
        <w:rPr>
          <w:rFonts w:ascii="Book Antiqua" w:eastAsia="SimSun" w:hAnsi="Book Antiqua" w:cs="Times New Roman"/>
          <w:color w:val="auto"/>
          <w:kern w:val="2"/>
          <w:sz w:val="24"/>
          <w:szCs w:val="24"/>
          <w:lang w:val="en-US" w:eastAsia="zh-CN"/>
        </w:rPr>
        <w:t xml:space="preserve">, Schwartz M, Vitale A, Tabrizian P, Roayaie S, Thung S, Guido M, del Rio Martin J, Schiano T, Cillo U. Predicting recurrence after liver transplantation in patients with hepatocellular carcinoma exceeding the up-to-seven criteria. </w:t>
      </w:r>
      <w:r w:rsidRPr="00FC2DDA">
        <w:rPr>
          <w:rFonts w:ascii="Book Antiqua" w:eastAsia="SimSun" w:hAnsi="Book Antiqua" w:cs="Times New Roman"/>
          <w:i/>
          <w:color w:val="auto"/>
          <w:kern w:val="2"/>
          <w:sz w:val="24"/>
          <w:szCs w:val="24"/>
          <w:lang w:val="en-US" w:eastAsia="zh-CN"/>
        </w:rPr>
        <w:t>Liver Transpl</w:t>
      </w:r>
      <w:r w:rsidRPr="00FC2DDA">
        <w:rPr>
          <w:rFonts w:ascii="Book Antiqua" w:eastAsia="SimSun" w:hAnsi="Book Antiqua" w:cs="Times New Roman"/>
          <w:color w:val="auto"/>
          <w:kern w:val="2"/>
          <w:sz w:val="24"/>
          <w:szCs w:val="24"/>
          <w:lang w:val="en-US" w:eastAsia="zh-CN"/>
        </w:rPr>
        <w:t xml:space="preserve"> 2009; </w:t>
      </w:r>
      <w:r w:rsidRPr="00FC2DDA">
        <w:rPr>
          <w:rFonts w:ascii="Book Antiqua" w:eastAsia="SimSun" w:hAnsi="Book Antiqua" w:cs="Times New Roman"/>
          <w:b/>
          <w:color w:val="auto"/>
          <w:kern w:val="2"/>
          <w:sz w:val="24"/>
          <w:szCs w:val="24"/>
          <w:lang w:val="en-US" w:eastAsia="zh-CN"/>
        </w:rPr>
        <w:t>15</w:t>
      </w:r>
      <w:r w:rsidRPr="00FC2DDA">
        <w:rPr>
          <w:rFonts w:ascii="Book Antiqua" w:eastAsia="SimSun" w:hAnsi="Book Antiqua" w:cs="Times New Roman"/>
          <w:color w:val="auto"/>
          <w:kern w:val="2"/>
          <w:sz w:val="24"/>
          <w:szCs w:val="24"/>
          <w:lang w:val="en-US" w:eastAsia="zh-CN"/>
        </w:rPr>
        <w:t>: 1278-1287 [PMID: 19790142 DOI: 10.1002/lt.21842].]</w:t>
      </w:r>
    </w:p>
    <w:p w14:paraId="1310E6CF"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75 </w:t>
      </w:r>
      <w:r w:rsidRPr="00FC2DDA">
        <w:rPr>
          <w:rFonts w:ascii="Book Antiqua" w:eastAsia="SimSun" w:hAnsi="Book Antiqua" w:cs="Times New Roman"/>
          <w:b/>
          <w:color w:val="auto"/>
          <w:kern w:val="2"/>
          <w:sz w:val="24"/>
          <w:szCs w:val="24"/>
          <w:lang w:val="en-US" w:eastAsia="zh-CN"/>
        </w:rPr>
        <w:t>Sumie S</w:t>
      </w:r>
      <w:r w:rsidRPr="00FC2DDA">
        <w:rPr>
          <w:rFonts w:ascii="Book Antiqua" w:eastAsia="SimSun" w:hAnsi="Book Antiqua" w:cs="Times New Roman"/>
          <w:color w:val="auto"/>
          <w:kern w:val="2"/>
          <w:sz w:val="24"/>
          <w:szCs w:val="24"/>
          <w:lang w:val="en-US" w:eastAsia="zh-CN"/>
        </w:rPr>
        <w:t xml:space="preserve">, Kuromatsu R, Okuda K, Ando E, Takata A, Fukushima N, Watanabe Y, Kojiro M, Sata M. Microvascular invasion in patients with hepatocellular carcinoma and its predictable clinicopathological factors. </w:t>
      </w:r>
      <w:r w:rsidRPr="00FC2DDA">
        <w:rPr>
          <w:rFonts w:ascii="Book Antiqua" w:eastAsia="SimSun" w:hAnsi="Book Antiqua" w:cs="Times New Roman"/>
          <w:i/>
          <w:color w:val="auto"/>
          <w:kern w:val="2"/>
          <w:sz w:val="24"/>
          <w:szCs w:val="24"/>
          <w:lang w:val="en-US" w:eastAsia="zh-CN"/>
        </w:rPr>
        <w:t>Ann Surg Oncol</w:t>
      </w:r>
      <w:r w:rsidRPr="00FC2DDA">
        <w:rPr>
          <w:rFonts w:ascii="Book Antiqua" w:eastAsia="SimSun" w:hAnsi="Book Antiqua" w:cs="Times New Roman"/>
          <w:color w:val="auto"/>
          <w:kern w:val="2"/>
          <w:sz w:val="24"/>
          <w:szCs w:val="24"/>
          <w:lang w:val="en-US" w:eastAsia="zh-CN"/>
        </w:rPr>
        <w:t xml:space="preserve"> 2008; </w:t>
      </w:r>
      <w:r w:rsidRPr="00FC2DDA">
        <w:rPr>
          <w:rFonts w:ascii="Book Antiqua" w:eastAsia="SimSun" w:hAnsi="Book Antiqua" w:cs="Times New Roman"/>
          <w:b/>
          <w:color w:val="auto"/>
          <w:kern w:val="2"/>
          <w:sz w:val="24"/>
          <w:szCs w:val="24"/>
          <w:lang w:val="en-US" w:eastAsia="zh-CN"/>
        </w:rPr>
        <w:t>15</w:t>
      </w:r>
      <w:r w:rsidRPr="00FC2DDA">
        <w:rPr>
          <w:rFonts w:ascii="Book Antiqua" w:eastAsia="SimSun" w:hAnsi="Book Antiqua" w:cs="Times New Roman"/>
          <w:color w:val="auto"/>
          <w:kern w:val="2"/>
          <w:sz w:val="24"/>
          <w:szCs w:val="24"/>
          <w:lang w:val="en-US" w:eastAsia="zh-CN"/>
        </w:rPr>
        <w:t>: 1375-1382 [PMID: 18324443 DOI: 10.1245/s10434-008-9846-9]</w:t>
      </w:r>
    </w:p>
    <w:p w14:paraId="0A735F8E"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76 </w:t>
      </w:r>
      <w:r w:rsidRPr="00FC2DDA">
        <w:rPr>
          <w:rFonts w:ascii="Book Antiqua" w:eastAsia="SimSun" w:hAnsi="Book Antiqua" w:cs="Times New Roman"/>
          <w:b/>
          <w:color w:val="auto"/>
          <w:kern w:val="2"/>
          <w:sz w:val="24"/>
          <w:szCs w:val="24"/>
          <w:lang w:val="en-US" w:eastAsia="zh-CN"/>
        </w:rPr>
        <w:t>Yang C</w:t>
      </w:r>
      <w:r w:rsidRPr="00FC2DDA">
        <w:rPr>
          <w:rFonts w:ascii="Book Antiqua" w:eastAsia="SimSun" w:hAnsi="Book Antiqua" w:cs="Times New Roman"/>
          <w:color w:val="auto"/>
          <w:kern w:val="2"/>
          <w:sz w:val="24"/>
          <w:szCs w:val="24"/>
          <w:lang w:val="en-US" w:eastAsia="zh-CN"/>
        </w:rPr>
        <w:t xml:space="preserve">, Wang H, Sheng R, Ji Y, Rao S, Zeng M. Microvascular invasion in hepatocellular carcinoma: is it predictable with a new, preoperative application of diffusion-weighted imaging? </w:t>
      </w:r>
      <w:r w:rsidRPr="00FC2DDA">
        <w:rPr>
          <w:rFonts w:ascii="Book Antiqua" w:eastAsia="SimSun" w:hAnsi="Book Antiqua" w:cs="Times New Roman"/>
          <w:i/>
          <w:color w:val="auto"/>
          <w:kern w:val="2"/>
          <w:sz w:val="24"/>
          <w:szCs w:val="24"/>
          <w:lang w:val="en-US" w:eastAsia="zh-CN"/>
        </w:rPr>
        <w:t>Clin Imaging</w:t>
      </w:r>
      <w:r w:rsidRPr="00FC2DDA">
        <w:rPr>
          <w:rFonts w:ascii="Book Antiqua" w:eastAsia="SimSun" w:hAnsi="Book Antiqua" w:cs="Times New Roman"/>
          <w:color w:val="auto"/>
          <w:kern w:val="2"/>
          <w:sz w:val="24"/>
          <w:szCs w:val="24"/>
          <w:lang w:val="en-US" w:eastAsia="zh-CN"/>
        </w:rPr>
        <w:t xml:space="preserve"> 2017; </w:t>
      </w:r>
      <w:r w:rsidRPr="00FC2DDA">
        <w:rPr>
          <w:rFonts w:ascii="Book Antiqua" w:eastAsia="SimSun" w:hAnsi="Book Antiqua" w:cs="Times New Roman"/>
          <w:b/>
          <w:color w:val="auto"/>
          <w:kern w:val="2"/>
          <w:sz w:val="24"/>
          <w:szCs w:val="24"/>
          <w:lang w:val="en-US" w:eastAsia="zh-CN"/>
        </w:rPr>
        <w:t>41</w:t>
      </w:r>
      <w:r w:rsidRPr="00FC2DDA">
        <w:rPr>
          <w:rFonts w:ascii="Book Antiqua" w:eastAsia="SimSun" w:hAnsi="Book Antiqua" w:cs="Times New Roman"/>
          <w:color w:val="auto"/>
          <w:kern w:val="2"/>
          <w:sz w:val="24"/>
          <w:szCs w:val="24"/>
          <w:lang w:val="en-US" w:eastAsia="zh-CN"/>
        </w:rPr>
        <w:t>: 101-105 [PMID: 27840260 DOI: 10.1016/j.clinimag.2016.10.004]</w:t>
      </w:r>
    </w:p>
    <w:p w14:paraId="07258196"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77 </w:t>
      </w:r>
      <w:r w:rsidRPr="00FC2DDA">
        <w:rPr>
          <w:rFonts w:ascii="Book Antiqua" w:eastAsia="SimSun" w:hAnsi="Book Antiqua" w:cs="Times New Roman"/>
          <w:b/>
          <w:color w:val="auto"/>
          <w:kern w:val="2"/>
          <w:sz w:val="24"/>
          <w:szCs w:val="24"/>
          <w:lang w:val="en-US" w:eastAsia="zh-CN"/>
        </w:rPr>
        <w:t>Gonzalez-Guindalini FD</w:t>
      </w:r>
      <w:r w:rsidRPr="00FC2DDA">
        <w:rPr>
          <w:rFonts w:ascii="Book Antiqua" w:eastAsia="SimSun" w:hAnsi="Book Antiqua" w:cs="Times New Roman"/>
          <w:color w:val="auto"/>
          <w:kern w:val="2"/>
          <w:sz w:val="24"/>
          <w:szCs w:val="24"/>
          <w:lang w:val="en-US" w:eastAsia="zh-CN"/>
        </w:rPr>
        <w:t xml:space="preserve">, Botelho MP, Harmath CB, Sandrasegaran K, Miller FH, Salem R, Yaghmai V. Assessment of liver tumor response to therapy: role of quantitative imaging. </w:t>
      </w:r>
      <w:r w:rsidRPr="00FC2DDA">
        <w:rPr>
          <w:rFonts w:ascii="Book Antiqua" w:eastAsia="SimSun" w:hAnsi="Book Antiqua" w:cs="Times New Roman"/>
          <w:i/>
          <w:color w:val="auto"/>
          <w:kern w:val="2"/>
          <w:sz w:val="24"/>
          <w:szCs w:val="24"/>
          <w:lang w:val="en-US" w:eastAsia="zh-CN"/>
        </w:rPr>
        <w:t>Radiographics</w:t>
      </w:r>
      <w:r w:rsidRPr="00FC2DDA">
        <w:rPr>
          <w:rFonts w:ascii="Book Antiqua" w:eastAsia="SimSun" w:hAnsi="Book Antiqua" w:cs="Times New Roman"/>
          <w:color w:val="auto"/>
          <w:kern w:val="2"/>
          <w:sz w:val="24"/>
          <w:szCs w:val="24"/>
          <w:lang w:val="en-US" w:eastAsia="zh-CN"/>
        </w:rPr>
        <w:t xml:space="preserve"> 2013; </w:t>
      </w:r>
      <w:r w:rsidRPr="00FC2DDA">
        <w:rPr>
          <w:rFonts w:ascii="Book Antiqua" w:eastAsia="SimSun" w:hAnsi="Book Antiqua" w:cs="Times New Roman"/>
          <w:b/>
          <w:color w:val="auto"/>
          <w:kern w:val="2"/>
          <w:sz w:val="24"/>
          <w:szCs w:val="24"/>
          <w:lang w:val="en-US" w:eastAsia="zh-CN"/>
        </w:rPr>
        <w:t>33</w:t>
      </w:r>
      <w:r w:rsidRPr="00FC2DDA">
        <w:rPr>
          <w:rFonts w:ascii="Book Antiqua" w:eastAsia="SimSun" w:hAnsi="Book Antiqua" w:cs="Times New Roman"/>
          <w:color w:val="auto"/>
          <w:kern w:val="2"/>
          <w:sz w:val="24"/>
          <w:szCs w:val="24"/>
          <w:lang w:val="en-US" w:eastAsia="zh-CN"/>
        </w:rPr>
        <w:t>: 1781-1800 [PMID: 24108562 DOI: 10.1148/rg.336135511]</w:t>
      </w:r>
    </w:p>
    <w:p w14:paraId="44E91768"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78 </w:t>
      </w:r>
      <w:r w:rsidRPr="00FC2DDA">
        <w:rPr>
          <w:rFonts w:ascii="Book Antiqua" w:eastAsia="SimSun" w:hAnsi="Book Antiqua" w:cs="Times New Roman"/>
          <w:b/>
          <w:color w:val="auto"/>
          <w:kern w:val="2"/>
          <w:sz w:val="24"/>
          <w:szCs w:val="24"/>
          <w:lang w:val="en-US" w:eastAsia="zh-CN"/>
        </w:rPr>
        <w:t>Heijmen L</w:t>
      </w:r>
      <w:r w:rsidRPr="00FC2DDA">
        <w:rPr>
          <w:rFonts w:ascii="Book Antiqua" w:eastAsia="SimSun" w:hAnsi="Book Antiqua" w:cs="Times New Roman"/>
          <w:color w:val="auto"/>
          <w:kern w:val="2"/>
          <w:sz w:val="24"/>
          <w:szCs w:val="24"/>
          <w:lang w:val="en-US" w:eastAsia="zh-CN"/>
        </w:rPr>
        <w:t xml:space="preserve">, Ter Voert EE, Nagtegaal ID, Span P, Bussink J, Punt CJ, de Wilt JH, Sweep FC, Heerschap A, van Laarhoven HW. Diffusion-weighted MR imaging in liver metastases of colorectal cancer: reproducibility and biological validation. </w:t>
      </w:r>
      <w:r w:rsidRPr="00FC2DDA">
        <w:rPr>
          <w:rFonts w:ascii="Book Antiqua" w:eastAsia="SimSun" w:hAnsi="Book Antiqua" w:cs="Times New Roman"/>
          <w:i/>
          <w:color w:val="auto"/>
          <w:kern w:val="2"/>
          <w:sz w:val="24"/>
          <w:szCs w:val="24"/>
          <w:lang w:val="en-US" w:eastAsia="zh-CN"/>
        </w:rPr>
        <w:t>Eur Radiol</w:t>
      </w:r>
      <w:r w:rsidRPr="00FC2DDA">
        <w:rPr>
          <w:rFonts w:ascii="Book Antiqua" w:eastAsia="SimSun" w:hAnsi="Book Antiqua" w:cs="Times New Roman"/>
          <w:color w:val="auto"/>
          <w:kern w:val="2"/>
          <w:sz w:val="24"/>
          <w:szCs w:val="24"/>
          <w:lang w:val="en-US" w:eastAsia="zh-CN"/>
        </w:rPr>
        <w:t xml:space="preserve"> 2013; </w:t>
      </w:r>
      <w:r w:rsidRPr="00FC2DDA">
        <w:rPr>
          <w:rFonts w:ascii="Book Antiqua" w:eastAsia="SimSun" w:hAnsi="Book Antiqua" w:cs="Times New Roman"/>
          <w:b/>
          <w:color w:val="auto"/>
          <w:kern w:val="2"/>
          <w:sz w:val="24"/>
          <w:szCs w:val="24"/>
          <w:lang w:val="en-US" w:eastAsia="zh-CN"/>
        </w:rPr>
        <w:t>23</w:t>
      </w:r>
      <w:r w:rsidRPr="00FC2DDA">
        <w:rPr>
          <w:rFonts w:ascii="Book Antiqua" w:eastAsia="SimSun" w:hAnsi="Book Antiqua" w:cs="Times New Roman"/>
          <w:color w:val="auto"/>
          <w:kern w:val="2"/>
          <w:sz w:val="24"/>
          <w:szCs w:val="24"/>
          <w:lang w:val="en-US" w:eastAsia="zh-CN"/>
        </w:rPr>
        <w:t>: 748-756 [PMID: 23001604 DOI: 10.1007/s00330-012-2654-4]</w:t>
      </w:r>
    </w:p>
    <w:p w14:paraId="3D33C84C"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79 </w:t>
      </w:r>
      <w:r w:rsidRPr="00FC2DDA">
        <w:rPr>
          <w:rFonts w:ascii="Book Antiqua" w:eastAsia="SimSun" w:hAnsi="Book Antiqua" w:cs="Times New Roman"/>
          <w:b/>
          <w:color w:val="auto"/>
          <w:kern w:val="2"/>
          <w:sz w:val="24"/>
          <w:szCs w:val="24"/>
          <w:lang w:val="en-US" w:eastAsia="zh-CN"/>
        </w:rPr>
        <w:t>Wagner M</w:t>
      </w:r>
      <w:r w:rsidRPr="00FC2DDA">
        <w:rPr>
          <w:rFonts w:ascii="Book Antiqua" w:eastAsia="SimSun" w:hAnsi="Book Antiqua" w:cs="Times New Roman"/>
          <w:color w:val="auto"/>
          <w:kern w:val="2"/>
          <w:sz w:val="24"/>
          <w:szCs w:val="24"/>
          <w:lang w:val="en-US" w:eastAsia="zh-CN"/>
        </w:rPr>
        <w:t xml:space="preserve">, Doblas S, Daire JL, Paradis V, Haddad N, Leitão H, Garteiser P, Vilgrain V, Sinkus R, Van Beers BE. Diffusion-weighted MR imaging for the regional characterization </w:t>
      </w:r>
      <w:r w:rsidRPr="00FC2DDA">
        <w:rPr>
          <w:rFonts w:ascii="Book Antiqua" w:eastAsia="SimSun" w:hAnsi="Book Antiqua" w:cs="Times New Roman"/>
          <w:color w:val="auto"/>
          <w:kern w:val="2"/>
          <w:sz w:val="24"/>
          <w:szCs w:val="24"/>
          <w:lang w:val="en-US" w:eastAsia="zh-CN"/>
        </w:rPr>
        <w:lastRenderedPageBreak/>
        <w:t xml:space="preserve">of liver tumors.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2012; </w:t>
      </w:r>
      <w:r w:rsidRPr="00FC2DDA">
        <w:rPr>
          <w:rFonts w:ascii="Book Antiqua" w:eastAsia="SimSun" w:hAnsi="Book Antiqua" w:cs="Times New Roman"/>
          <w:b/>
          <w:color w:val="auto"/>
          <w:kern w:val="2"/>
          <w:sz w:val="24"/>
          <w:szCs w:val="24"/>
          <w:lang w:val="en-US" w:eastAsia="zh-CN"/>
        </w:rPr>
        <w:t>264</w:t>
      </w:r>
      <w:r w:rsidRPr="00FC2DDA">
        <w:rPr>
          <w:rFonts w:ascii="Book Antiqua" w:eastAsia="SimSun" w:hAnsi="Book Antiqua" w:cs="Times New Roman"/>
          <w:color w:val="auto"/>
          <w:kern w:val="2"/>
          <w:sz w:val="24"/>
          <w:szCs w:val="24"/>
          <w:lang w:val="en-US" w:eastAsia="zh-CN"/>
        </w:rPr>
        <w:t>: 464-472 [PMID: 22692032 DOI: 10.1148/radiol.12111530]</w:t>
      </w:r>
    </w:p>
    <w:p w14:paraId="0697EB72"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80 </w:t>
      </w:r>
      <w:r w:rsidRPr="00FC2DDA">
        <w:rPr>
          <w:rFonts w:ascii="Book Antiqua" w:eastAsia="SimSun" w:hAnsi="Book Antiqua" w:cs="Times New Roman"/>
          <w:b/>
          <w:color w:val="auto"/>
          <w:kern w:val="2"/>
          <w:sz w:val="24"/>
          <w:szCs w:val="24"/>
          <w:lang w:val="en-US" w:eastAsia="zh-CN"/>
        </w:rPr>
        <w:t>Schraml C</w:t>
      </w:r>
      <w:r w:rsidRPr="00FC2DDA">
        <w:rPr>
          <w:rFonts w:ascii="Book Antiqua" w:eastAsia="SimSun" w:hAnsi="Book Antiqua" w:cs="Times New Roman"/>
          <w:color w:val="auto"/>
          <w:kern w:val="2"/>
          <w:sz w:val="24"/>
          <w:szCs w:val="24"/>
          <w:lang w:val="en-US" w:eastAsia="zh-CN"/>
        </w:rPr>
        <w:t xml:space="preserve">, Schwenzer NF, Martirosian P, Bitzer M, Lauer U, Claussen CD, Horger M. Diffusion-weighted MRI of advanced hepatocellular carcinoma during sorafenib treatment: initial results. </w:t>
      </w:r>
      <w:r w:rsidRPr="00FC2DDA">
        <w:rPr>
          <w:rFonts w:ascii="Book Antiqua" w:eastAsia="SimSun" w:hAnsi="Book Antiqua" w:cs="Times New Roman"/>
          <w:i/>
          <w:color w:val="auto"/>
          <w:kern w:val="2"/>
          <w:sz w:val="24"/>
          <w:szCs w:val="24"/>
          <w:lang w:val="en-US" w:eastAsia="zh-CN"/>
        </w:rPr>
        <w:t>AJR Am J Roentgenol</w:t>
      </w:r>
      <w:r w:rsidRPr="00FC2DDA">
        <w:rPr>
          <w:rFonts w:ascii="Book Antiqua" w:eastAsia="SimSun" w:hAnsi="Book Antiqua" w:cs="Times New Roman"/>
          <w:color w:val="auto"/>
          <w:kern w:val="2"/>
          <w:sz w:val="24"/>
          <w:szCs w:val="24"/>
          <w:lang w:val="en-US" w:eastAsia="zh-CN"/>
        </w:rPr>
        <w:t xml:space="preserve"> 2009; </w:t>
      </w:r>
      <w:r w:rsidRPr="00FC2DDA">
        <w:rPr>
          <w:rFonts w:ascii="Book Antiqua" w:eastAsia="SimSun" w:hAnsi="Book Antiqua" w:cs="Times New Roman"/>
          <w:b/>
          <w:color w:val="auto"/>
          <w:kern w:val="2"/>
          <w:sz w:val="24"/>
          <w:szCs w:val="24"/>
          <w:lang w:val="en-US" w:eastAsia="zh-CN"/>
        </w:rPr>
        <w:t>193</w:t>
      </w:r>
      <w:r w:rsidRPr="00FC2DDA">
        <w:rPr>
          <w:rFonts w:ascii="Book Antiqua" w:eastAsia="SimSun" w:hAnsi="Book Antiqua" w:cs="Times New Roman"/>
          <w:color w:val="auto"/>
          <w:kern w:val="2"/>
          <w:sz w:val="24"/>
          <w:szCs w:val="24"/>
          <w:lang w:val="en-US" w:eastAsia="zh-CN"/>
        </w:rPr>
        <w:t>: W301-W307 [PMID: 19770299 DOI: 10.2214/AJR.08.2289]</w:t>
      </w:r>
    </w:p>
    <w:p w14:paraId="0D30341B"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81 </w:t>
      </w:r>
      <w:r w:rsidRPr="00FC2DDA">
        <w:rPr>
          <w:rFonts w:ascii="Book Antiqua" w:eastAsia="SimSun" w:hAnsi="Book Antiqua" w:cs="Times New Roman"/>
          <w:b/>
          <w:color w:val="auto"/>
          <w:kern w:val="2"/>
          <w:sz w:val="24"/>
          <w:szCs w:val="24"/>
          <w:lang w:val="en-US" w:eastAsia="zh-CN"/>
        </w:rPr>
        <w:t>Kamel IR</w:t>
      </w:r>
      <w:r w:rsidRPr="00FC2DDA">
        <w:rPr>
          <w:rFonts w:ascii="Book Antiqua" w:eastAsia="SimSun" w:hAnsi="Book Antiqua" w:cs="Times New Roman"/>
          <w:color w:val="auto"/>
          <w:kern w:val="2"/>
          <w:sz w:val="24"/>
          <w:szCs w:val="24"/>
          <w:lang w:val="en-US" w:eastAsia="zh-CN"/>
        </w:rPr>
        <w:t xml:space="preserve">, Reyes DK, Liapi E, Bluemke DA, Geschwind JF. Functional MR imaging assessment of tumor response after 90Y microsphere treatment in patients with unresectable hepatocellular carcinoma. </w:t>
      </w:r>
      <w:r w:rsidRPr="00FC2DDA">
        <w:rPr>
          <w:rFonts w:ascii="Book Antiqua" w:eastAsia="SimSun" w:hAnsi="Book Antiqua" w:cs="Times New Roman"/>
          <w:i/>
          <w:color w:val="auto"/>
          <w:kern w:val="2"/>
          <w:sz w:val="24"/>
          <w:szCs w:val="24"/>
          <w:lang w:val="en-US" w:eastAsia="zh-CN"/>
        </w:rPr>
        <w:t>J Vasc Interv Radiol</w:t>
      </w:r>
      <w:r w:rsidRPr="00FC2DDA">
        <w:rPr>
          <w:rFonts w:ascii="Book Antiqua" w:eastAsia="SimSun" w:hAnsi="Book Antiqua" w:cs="Times New Roman"/>
          <w:color w:val="auto"/>
          <w:kern w:val="2"/>
          <w:sz w:val="24"/>
          <w:szCs w:val="24"/>
          <w:lang w:val="en-US" w:eastAsia="zh-CN"/>
        </w:rPr>
        <w:t xml:space="preserve"> 2007; </w:t>
      </w:r>
      <w:r w:rsidRPr="00FC2DDA">
        <w:rPr>
          <w:rFonts w:ascii="Book Antiqua" w:eastAsia="SimSun" w:hAnsi="Book Antiqua" w:cs="Times New Roman"/>
          <w:b/>
          <w:color w:val="auto"/>
          <w:kern w:val="2"/>
          <w:sz w:val="24"/>
          <w:szCs w:val="24"/>
          <w:lang w:val="en-US" w:eastAsia="zh-CN"/>
        </w:rPr>
        <w:t>18</w:t>
      </w:r>
      <w:r w:rsidRPr="00FC2DDA">
        <w:rPr>
          <w:rFonts w:ascii="Book Antiqua" w:eastAsia="SimSun" w:hAnsi="Book Antiqua" w:cs="Times New Roman"/>
          <w:color w:val="auto"/>
          <w:kern w:val="2"/>
          <w:sz w:val="24"/>
          <w:szCs w:val="24"/>
          <w:lang w:val="en-US" w:eastAsia="zh-CN"/>
        </w:rPr>
        <w:t>: 49-56 [PMID: 17296704 DOI: 10.1016/j.jvir.2006.10.005]</w:t>
      </w:r>
    </w:p>
    <w:p w14:paraId="0D4BB26C"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82 </w:t>
      </w:r>
      <w:r w:rsidRPr="00FC2DDA">
        <w:rPr>
          <w:rFonts w:ascii="Book Antiqua" w:eastAsia="SimSun" w:hAnsi="Book Antiqua" w:cs="Times New Roman"/>
          <w:b/>
          <w:color w:val="auto"/>
          <w:kern w:val="2"/>
          <w:sz w:val="24"/>
          <w:szCs w:val="24"/>
          <w:lang w:val="en-US" w:eastAsia="zh-CN"/>
        </w:rPr>
        <w:t>Bonekamp S</w:t>
      </w:r>
      <w:r w:rsidRPr="00FC2DDA">
        <w:rPr>
          <w:rFonts w:ascii="Book Antiqua" w:eastAsia="SimSun" w:hAnsi="Book Antiqua" w:cs="Times New Roman"/>
          <w:color w:val="auto"/>
          <w:kern w:val="2"/>
          <w:sz w:val="24"/>
          <w:szCs w:val="24"/>
          <w:lang w:val="en-US" w:eastAsia="zh-CN"/>
        </w:rPr>
        <w:t xml:space="preserve">, Kamel I, Solga S, Clark J. Can imaging modalities diagnose and stage hepatic fibrosis and cirrhosis accurately? </w:t>
      </w:r>
      <w:r w:rsidRPr="00FC2DDA">
        <w:rPr>
          <w:rFonts w:ascii="Book Antiqua" w:eastAsia="SimSun" w:hAnsi="Book Antiqua" w:cs="Times New Roman"/>
          <w:i/>
          <w:color w:val="auto"/>
          <w:kern w:val="2"/>
          <w:sz w:val="24"/>
          <w:szCs w:val="24"/>
          <w:lang w:val="en-US" w:eastAsia="zh-CN"/>
        </w:rPr>
        <w:t>J Hepatol</w:t>
      </w:r>
      <w:r w:rsidRPr="00FC2DDA">
        <w:rPr>
          <w:rFonts w:ascii="Book Antiqua" w:eastAsia="SimSun" w:hAnsi="Book Antiqua" w:cs="Times New Roman"/>
          <w:color w:val="auto"/>
          <w:kern w:val="2"/>
          <w:sz w:val="24"/>
          <w:szCs w:val="24"/>
          <w:lang w:val="en-US" w:eastAsia="zh-CN"/>
        </w:rPr>
        <w:t xml:space="preserve"> 2009; </w:t>
      </w:r>
      <w:r w:rsidRPr="00FC2DDA">
        <w:rPr>
          <w:rFonts w:ascii="Book Antiqua" w:eastAsia="SimSun" w:hAnsi="Book Antiqua" w:cs="Times New Roman"/>
          <w:b/>
          <w:color w:val="auto"/>
          <w:kern w:val="2"/>
          <w:sz w:val="24"/>
          <w:szCs w:val="24"/>
          <w:lang w:val="en-US" w:eastAsia="zh-CN"/>
        </w:rPr>
        <w:t>50</w:t>
      </w:r>
      <w:r w:rsidRPr="00FC2DDA">
        <w:rPr>
          <w:rFonts w:ascii="Book Antiqua" w:eastAsia="SimSun" w:hAnsi="Book Antiqua" w:cs="Times New Roman"/>
          <w:color w:val="auto"/>
          <w:kern w:val="2"/>
          <w:sz w:val="24"/>
          <w:szCs w:val="24"/>
          <w:lang w:val="en-US" w:eastAsia="zh-CN"/>
        </w:rPr>
        <w:t>: 17-35 [PMID: 19022517 DOI: 10.1016/j.jhep.2008.10.016]</w:t>
      </w:r>
    </w:p>
    <w:p w14:paraId="2C089F12"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83 </w:t>
      </w:r>
      <w:r w:rsidRPr="00FC2DDA">
        <w:rPr>
          <w:rFonts w:ascii="Book Antiqua" w:eastAsia="SimSun" w:hAnsi="Book Antiqua" w:cs="Times New Roman"/>
          <w:b/>
          <w:color w:val="auto"/>
          <w:kern w:val="2"/>
          <w:sz w:val="24"/>
          <w:szCs w:val="24"/>
          <w:lang w:val="en-US" w:eastAsia="zh-CN"/>
        </w:rPr>
        <w:t>Venkatesh SK</w:t>
      </w:r>
      <w:r w:rsidRPr="00FC2DDA">
        <w:rPr>
          <w:rFonts w:ascii="Book Antiqua" w:eastAsia="SimSun" w:hAnsi="Book Antiqua" w:cs="Times New Roman"/>
          <w:color w:val="auto"/>
          <w:kern w:val="2"/>
          <w:sz w:val="24"/>
          <w:szCs w:val="24"/>
          <w:lang w:val="en-US" w:eastAsia="zh-CN"/>
        </w:rPr>
        <w:t xml:space="preserve">, Yin M, Ehman RL. Magnetic resonance elastography of liver: technique, analysis, and clinical applications. </w:t>
      </w:r>
      <w:r w:rsidRPr="00FC2DDA">
        <w:rPr>
          <w:rFonts w:ascii="Book Antiqua" w:eastAsia="SimSun" w:hAnsi="Book Antiqua" w:cs="Times New Roman"/>
          <w:i/>
          <w:color w:val="auto"/>
          <w:kern w:val="2"/>
          <w:sz w:val="24"/>
          <w:szCs w:val="24"/>
          <w:lang w:val="en-US" w:eastAsia="zh-CN"/>
        </w:rPr>
        <w:t>J Magn Reson Imaging</w:t>
      </w:r>
      <w:r w:rsidRPr="00FC2DDA">
        <w:rPr>
          <w:rFonts w:ascii="Book Antiqua" w:eastAsia="SimSun" w:hAnsi="Book Antiqua" w:cs="Times New Roman"/>
          <w:color w:val="auto"/>
          <w:kern w:val="2"/>
          <w:sz w:val="24"/>
          <w:szCs w:val="24"/>
          <w:lang w:val="en-US" w:eastAsia="zh-CN"/>
        </w:rPr>
        <w:t xml:space="preserve"> 2013; </w:t>
      </w:r>
      <w:r w:rsidRPr="00FC2DDA">
        <w:rPr>
          <w:rFonts w:ascii="Book Antiqua" w:eastAsia="SimSun" w:hAnsi="Book Antiqua" w:cs="Times New Roman"/>
          <w:b/>
          <w:color w:val="auto"/>
          <w:kern w:val="2"/>
          <w:sz w:val="24"/>
          <w:szCs w:val="24"/>
          <w:lang w:val="en-US" w:eastAsia="zh-CN"/>
        </w:rPr>
        <w:t>37</w:t>
      </w:r>
      <w:r w:rsidRPr="00FC2DDA">
        <w:rPr>
          <w:rFonts w:ascii="Book Antiqua" w:eastAsia="SimSun" w:hAnsi="Book Antiqua" w:cs="Times New Roman"/>
          <w:color w:val="auto"/>
          <w:kern w:val="2"/>
          <w:sz w:val="24"/>
          <w:szCs w:val="24"/>
          <w:lang w:val="en-US" w:eastAsia="zh-CN"/>
        </w:rPr>
        <w:t>: 544-555 [PMID: 23423795 DOI: 10.1002/jmri.23731]</w:t>
      </w:r>
    </w:p>
    <w:p w14:paraId="61CB341A"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84 </w:t>
      </w:r>
      <w:r w:rsidRPr="00FC2DDA">
        <w:rPr>
          <w:rFonts w:ascii="Book Antiqua" w:eastAsia="SimSun" w:hAnsi="Book Antiqua" w:cs="Times New Roman"/>
          <w:b/>
          <w:color w:val="auto"/>
          <w:kern w:val="2"/>
          <w:sz w:val="24"/>
          <w:szCs w:val="24"/>
          <w:lang w:val="en-US" w:eastAsia="zh-CN"/>
        </w:rPr>
        <w:t>Thompson SM</w:t>
      </w:r>
      <w:r w:rsidRPr="00FC2DDA">
        <w:rPr>
          <w:rFonts w:ascii="Book Antiqua" w:eastAsia="SimSun" w:hAnsi="Book Antiqua" w:cs="Times New Roman"/>
          <w:color w:val="auto"/>
          <w:kern w:val="2"/>
          <w:sz w:val="24"/>
          <w:szCs w:val="24"/>
          <w:lang w:val="en-US" w:eastAsia="zh-CN"/>
        </w:rPr>
        <w:t xml:space="preserve">, Wang J, Chandan VS, Glaser KJ, Roberts LR, Ehman RL, Venkatesh SK. MR elastography of hepatocellular carcinoma: Correlation of tumor stiffness with histopathology features-Preliminary findings. </w:t>
      </w:r>
      <w:r w:rsidRPr="00FC2DDA">
        <w:rPr>
          <w:rFonts w:ascii="Book Antiqua" w:eastAsia="SimSun" w:hAnsi="Book Antiqua" w:cs="Times New Roman"/>
          <w:i/>
          <w:color w:val="auto"/>
          <w:kern w:val="2"/>
          <w:sz w:val="24"/>
          <w:szCs w:val="24"/>
          <w:lang w:val="en-US" w:eastAsia="zh-CN"/>
        </w:rPr>
        <w:t>Magn Reson Imaging</w:t>
      </w:r>
      <w:r w:rsidRPr="00FC2DDA">
        <w:rPr>
          <w:rFonts w:ascii="Book Antiqua" w:eastAsia="SimSun" w:hAnsi="Book Antiqua" w:cs="Times New Roman"/>
          <w:color w:val="auto"/>
          <w:kern w:val="2"/>
          <w:sz w:val="24"/>
          <w:szCs w:val="24"/>
          <w:lang w:val="en-US" w:eastAsia="zh-CN"/>
        </w:rPr>
        <w:t xml:space="preserve"> 2017; </w:t>
      </w:r>
      <w:r w:rsidRPr="00FC2DDA">
        <w:rPr>
          <w:rFonts w:ascii="Book Antiqua" w:eastAsia="SimSun" w:hAnsi="Book Antiqua" w:cs="Times New Roman"/>
          <w:b/>
          <w:color w:val="auto"/>
          <w:kern w:val="2"/>
          <w:sz w:val="24"/>
          <w:szCs w:val="24"/>
          <w:lang w:val="en-US" w:eastAsia="zh-CN"/>
        </w:rPr>
        <w:t>37</w:t>
      </w:r>
      <w:r w:rsidRPr="00FC2DDA">
        <w:rPr>
          <w:rFonts w:ascii="Book Antiqua" w:eastAsia="SimSun" w:hAnsi="Book Antiqua" w:cs="Times New Roman"/>
          <w:color w:val="auto"/>
          <w:kern w:val="2"/>
          <w:sz w:val="24"/>
          <w:szCs w:val="24"/>
          <w:lang w:val="en-US" w:eastAsia="zh-CN"/>
        </w:rPr>
        <w:t>: 41-45 [PMID: 27845245 DOI: 10.1016/j.mri.2016.11.005]</w:t>
      </w:r>
    </w:p>
    <w:p w14:paraId="4B9ABCFC"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85 </w:t>
      </w:r>
      <w:r w:rsidRPr="00FC2DDA">
        <w:rPr>
          <w:rFonts w:ascii="Book Antiqua" w:eastAsia="SimSun" w:hAnsi="Book Antiqua" w:cs="Times New Roman"/>
          <w:b/>
          <w:color w:val="auto"/>
          <w:kern w:val="2"/>
          <w:sz w:val="24"/>
          <w:szCs w:val="24"/>
          <w:lang w:val="en-US" w:eastAsia="zh-CN"/>
        </w:rPr>
        <w:t>Hennedige TP</w:t>
      </w:r>
      <w:r w:rsidRPr="00FC2DDA">
        <w:rPr>
          <w:rFonts w:ascii="Book Antiqua" w:eastAsia="SimSun" w:hAnsi="Book Antiqua" w:cs="Times New Roman"/>
          <w:color w:val="auto"/>
          <w:kern w:val="2"/>
          <w:sz w:val="24"/>
          <w:szCs w:val="24"/>
          <w:lang w:val="en-US" w:eastAsia="zh-CN"/>
        </w:rPr>
        <w:t xml:space="preserve">, Hallinan JT, Leung FP, Teo LL, Iyer S, Wang G, Chang S, Madhavan KK, Wee A, Venkatesh SK. Comparison of magnetic resonance elastography and diffusion-weighted imaging for differentiating benign and malignant liver lesions. </w:t>
      </w:r>
      <w:r w:rsidRPr="00FC2DDA">
        <w:rPr>
          <w:rFonts w:ascii="Book Antiqua" w:eastAsia="SimSun" w:hAnsi="Book Antiqua" w:cs="Times New Roman"/>
          <w:i/>
          <w:color w:val="auto"/>
          <w:kern w:val="2"/>
          <w:sz w:val="24"/>
          <w:szCs w:val="24"/>
          <w:lang w:val="en-US" w:eastAsia="zh-CN"/>
        </w:rPr>
        <w:t>Eur Radiol</w:t>
      </w:r>
      <w:r w:rsidRPr="00FC2DDA">
        <w:rPr>
          <w:rFonts w:ascii="Book Antiqua" w:eastAsia="SimSun" w:hAnsi="Book Antiqua" w:cs="Times New Roman"/>
          <w:color w:val="auto"/>
          <w:kern w:val="2"/>
          <w:sz w:val="24"/>
          <w:szCs w:val="24"/>
          <w:lang w:val="en-US" w:eastAsia="zh-CN"/>
        </w:rPr>
        <w:t xml:space="preserve"> 2016; </w:t>
      </w:r>
      <w:r w:rsidRPr="00FC2DDA">
        <w:rPr>
          <w:rFonts w:ascii="Book Antiqua" w:eastAsia="SimSun" w:hAnsi="Book Antiqua" w:cs="Times New Roman"/>
          <w:b/>
          <w:color w:val="auto"/>
          <w:kern w:val="2"/>
          <w:sz w:val="24"/>
          <w:szCs w:val="24"/>
          <w:lang w:val="en-US" w:eastAsia="zh-CN"/>
        </w:rPr>
        <w:t>26</w:t>
      </w:r>
      <w:r w:rsidRPr="00FC2DDA">
        <w:rPr>
          <w:rFonts w:ascii="Book Antiqua" w:eastAsia="SimSun" w:hAnsi="Book Antiqua" w:cs="Times New Roman"/>
          <w:color w:val="auto"/>
          <w:kern w:val="2"/>
          <w:sz w:val="24"/>
          <w:szCs w:val="24"/>
          <w:lang w:val="en-US" w:eastAsia="zh-CN"/>
        </w:rPr>
        <w:t>: 398-406 [PMID: 26032879 DOI: 10.1007/s00330-015-3835-8]</w:t>
      </w:r>
    </w:p>
    <w:p w14:paraId="0A50ECD6"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86 </w:t>
      </w:r>
      <w:r w:rsidRPr="00FC2DDA">
        <w:rPr>
          <w:rFonts w:ascii="Book Antiqua" w:eastAsia="SimSun" w:hAnsi="Book Antiqua" w:cs="Times New Roman"/>
          <w:b/>
          <w:color w:val="auto"/>
          <w:kern w:val="2"/>
          <w:sz w:val="24"/>
          <w:szCs w:val="24"/>
          <w:lang w:val="en-US" w:eastAsia="zh-CN"/>
        </w:rPr>
        <w:t>Gordic S</w:t>
      </w:r>
      <w:r w:rsidRPr="00FC2DDA">
        <w:rPr>
          <w:rFonts w:ascii="Book Antiqua" w:eastAsia="SimSun" w:hAnsi="Book Antiqua" w:cs="Times New Roman"/>
          <w:color w:val="auto"/>
          <w:kern w:val="2"/>
          <w:sz w:val="24"/>
          <w:szCs w:val="24"/>
          <w:lang w:val="en-US" w:eastAsia="zh-CN"/>
        </w:rPr>
        <w:t xml:space="preserve">, Ayache JB, Kennedy P, Besa C, Wagner M, Bane O, Ehman RL, Kim E, Taouli B. Value of tumor stiffness measured with MR elastography for assessment of response of hepatocellular carcinoma to locoregional therapy. </w:t>
      </w:r>
      <w:r w:rsidRPr="00FC2DDA">
        <w:rPr>
          <w:rFonts w:ascii="Book Antiqua" w:eastAsia="SimSun" w:hAnsi="Book Antiqua" w:cs="Times New Roman"/>
          <w:i/>
          <w:color w:val="auto"/>
          <w:kern w:val="2"/>
          <w:sz w:val="24"/>
          <w:szCs w:val="24"/>
          <w:lang w:val="en-US" w:eastAsia="zh-CN"/>
        </w:rPr>
        <w:t>Abdom Radiol (NY)</w:t>
      </w:r>
      <w:r w:rsidRPr="00FC2DDA">
        <w:rPr>
          <w:rFonts w:ascii="Book Antiqua" w:eastAsia="SimSun" w:hAnsi="Book Antiqua" w:cs="Times New Roman"/>
          <w:color w:val="auto"/>
          <w:kern w:val="2"/>
          <w:sz w:val="24"/>
          <w:szCs w:val="24"/>
          <w:lang w:val="en-US" w:eastAsia="zh-CN"/>
        </w:rPr>
        <w:t xml:space="preserve"> 2017; </w:t>
      </w:r>
      <w:r w:rsidRPr="00FC2DDA">
        <w:rPr>
          <w:rFonts w:ascii="Book Antiqua" w:eastAsia="SimSun" w:hAnsi="Book Antiqua" w:cs="Times New Roman"/>
          <w:b/>
          <w:color w:val="auto"/>
          <w:kern w:val="2"/>
          <w:sz w:val="24"/>
          <w:szCs w:val="24"/>
          <w:lang w:val="en-US" w:eastAsia="zh-CN"/>
        </w:rPr>
        <w:t>42</w:t>
      </w:r>
      <w:r w:rsidRPr="00FC2DDA">
        <w:rPr>
          <w:rFonts w:ascii="Book Antiqua" w:eastAsia="SimSun" w:hAnsi="Book Antiqua" w:cs="Times New Roman"/>
          <w:color w:val="auto"/>
          <w:kern w:val="2"/>
          <w:sz w:val="24"/>
          <w:szCs w:val="24"/>
          <w:lang w:val="en-US" w:eastAsia="zh-CN"/>
        </w:rPr>
        <w:t>: 1685-1694 [PMID: 28154910 DOI: 10.1007/s00261-017-1066-y]</w:t>
      </w:r>
    </w:p>
    <w:p w14:paraId="5D9A86B0"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87 </w:t>
      </w:r>
      <w:r w:rsidRPr="00FC2DDA">
        <w:rPr>
          <w:rFonts w:ascii="Book Antiqua" w:eastAsia="SimSun" w:hAnsi="Book Antiqua" w:cs="Times New Roman"/>
          <w:b/>
          <w:color w:val="auto"/>
          <w:kern w:val="2"/>
          <w:sz w:val="24"/>
          <w:szCs w:val="24"/>
          <w:lang w:val="en-US" w:eastAsia="zh-CN"/>
        </w:rPr>
        <w:t>Li J</w:t>
      </w:r>
      <w:r w:rsidRPr="00FC2DDA">
        <w:rPr>
          <w:rFonts w:ascii="Book Antiqua" w:eastAsia="SimSun" w:hAnsi="Book Antiqua" w:cs="Times New Roman"/>
          <w:color w:val="auto"/>
          <w:kern w:val="2"/>
          <w:sz w:val="24"/>
          <w:szCs w:val="24"/>
          <w:lang w:val="en-US" w:eastAsia="zh-CN"/>
        </w:rPr>
        <w:t xml:space="preserve">, Jamin Y, Boult JK, Cummings C, Waterton JC, Ulloa J, Sinkus R, Bamber JC, Robinson SP. Tumour biomechanical response to the vascular disrupting agent ZD6126 in vivo assessed by magnetic resonance elastography. </w:t>
      </w:r>
      <w:r w:rsidRPr="00FC2DDA">
        <w:rPr>
          <w:rFonts w:ascii="Book Antiqua" w:eastAsia="SimSun" w:hAnsi="Book Antiqua" w:cs="Times New Roman"/>
          <w:i/>
          <w:color w:val="auto"/>
          <w:kern w:val="2"/>
          <w:sz w:val="24"/>
          <w:szCs w:val="24"/>
          <w:lang w:val="en-US" w:eastAsia="zh-CN"/>
        </w:rPr>
        <w:t>Br J Cancer</w:t>
      </w:r>
      <w:r w:rsidRPr="00FC2DDA">
        <w:rPr>
          <w:rFonts w:ascii="Book Antiqua" w:eastAsia="SimSun" w:hAnsi="Book Antiqua" w:cs="Times New Roman"/>
          <w:color w:val="auto"/>
          <w:kern w:val="2"/>
          <w:sz w:val="24"/>
          <w:szCs w:val="24"/>
          <w:lang w:val="en-US" w:eastAsia="zh-CN"/>
        </w:rPr>
        <w:t xml:space="preserve"> 2014; </w:t>
      </w:r>
      <w:r w:rsidRPr="00FC2DDA">
        <w:rPr>
          <w:rFonts w:ascii="Book Antiqua" w:eastAsia="SimSun" w:hAnsi="Book Antiqua" w:cs="Times New Roman"/>
          <w:b/>
          <w:color w:val="auto"/>
          <w:kern w:val="2"/>
          <w:sz w:val="24"/>
          <w:szCs w:val="24"/>
          <w:lang w:val="en-US" w:eastAsia="zh-CN"/>
        </w:rPr>
        <w:t>110</w:t>
      </w:r>
      <w:r w:rsidRPr="00FC2DDA">
        <w:rPr>
          <w:rFonts w:ascii="Book Antiqua" w:eastAsia="SimSun" w:hAnsi="Book Antiqua" w:cs="Times New Roman"/>
          <w:color w:val="auto"/>
          <w:kern w:val="2"/>
          <w:sz w:val="24"/>
          <w:szCs w:val="24"/>
          <w:lang w:val="en-US" w:eastAsia="zh-CN"/>
        </w:rPr>
        <w:t>: 1727-1732 [PMID: 24569471 DOI: 10.1038/bjc.2014.76]</w:t>
      </w:r>
    </w:p>
    <w:p w14:paraId="0C2DE994"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lastRenderedPageBreak/>
        <w:t xml:space="preserve">88 </w:t>
      </w:r>
      <w:r w:rsidRPr="00FC2DDA">
        <w:rPr>
          <w:rFonts w:ascii="Book Antiqua" w:eastAsia="SimSun" w:hAnsi="Book Antiqua" w:cs="Times New Roman"/>
          <w:b/>
          <w:color w:val="auto"/>
          <w:kern w:val="2"/>
          <w:sz w:val="24"/>
          <w:szCs w:val="24"/>
          <w:lang w:val="en-US" w:eastAsia="zh-CN"/>
        </w:rPr>
        <w:t>Pepin KM</w:t>
      </w:r>
      <w:r w:rsidRPr="00FC2DDA">
        <w:rPr>
          <w:rFonts w:ascii="Book Antiqua" w:eastAsia="SimSun" w:hAnsi="Book Antiqua" w:cs="Times New Roman"/>
          <w:color w:val="auto"/>
          <w:kern w:val="2"/>
          <w:sz w:val="24"/>
          <w:szCs w:val="24"/>
          <w:lang w:val="en-US" w:eastAsia="zh-CN"/>
        </w:rPr>
        <w:t xml:space="preserve">, Chen J, Glaser KJ, Mariappan YK, Reuland B, Ziesmer S, Carter R, Ansell SM, Ehman RL, McGee KP. MR elastography derived shear stiffness--a new imaging biomarker for the assessment of early tumor response to chemotherapy. </w:t>
      </w:r>
      <w:r w:rsidRPr="00FC2DDA">
        <w:rPr>
          <w:rFonts w:ascii="Book Antiqua" w:eastAsia="SimSun" w:hAnsi="Book Antiqua" w:cs="Times New Roman"/>
          <w:i/>
          <w:color w:val="auto"/>
          <w:kern w:val="2"/>
          <w:sz w:val="24"/>
          <w:szCs w:val="24"/>
          <w:lang w:val="en-US" w:eastAsia="zh-CN"/>
        </w:rPr>
        <w:t>Magn Reson Med</w:t>
      </w:r>
      <w:r w:rsidRPr="00FC2DDA">
        <w:rPr>
          <w:rFonts w:ascii="Book Antiqua" w:eastAsia="SimSun" w:hAnsi="Book Antiqua" w:cs="Times New Roman"/>
          <w:color w:val="auto"/>
          <w:kern w:val="2"/>
          <w:sz w:val="24"/>
          <w:szCs w:val="24"/>
          <w:lang w:val="en-US" w:eastAsia="zh-CN"/>
        </w:rPr>
        <w:t xml:space="preserve"> 2014; </w:t>
      </w:r>
      <w:r w:rsidRPr="00FC2DDA">
        <w:rPr>
          <w:rFonts w:ascii="Book Antiqua" w:eastAsia="SimSun" w:hAnsi="Book Antiqua" w:cs="Times New Roman"/>
          <w:b/>
          <w:color w:val="auto"/>
          <w:kern w:val="2"/>
          <w:sz w:val="24"/>
          <w:szCs w:val="24"/>
          <w:lang w:val="en-US" w:eastAsia="zh-CN"/>
        </w:rPr>
        <w:t>71</w:t>
      </w:r>
      <w:r w:rsidRPr="00FC2DDA">
        <w:rPr>
          <w:rFonts w:ascii="Book Antiqua" w:eastAsia="SimSun" w:hAnsi="Book Antiqua" w:cs="Times New Roman"/>
          <w:color w:val="auto"/>
          <w:kern w:val="2"/>
          <w:sz w:val="24"/>
          <w:szCs w:val="24"/>
          <w:lang w:val="en-US" w:eastAsia="zh-CN"/>
        </w:rPr>
        <w:t>: 1834-1840 [PMID: 23801372 DOI: 10.1002/mrm.24825]</w:t>
      </w:r>
    </w:p>
    <w:p w14:paraId="58668BDC"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89 </w:t>
      </w:r>
      <w:r w:rsidRPr="00FC2DDA">
        <w:rPr>
          <w:rFonts w:ascii="Book Antiqua" w:eastAsia="SimSun" w:hAnsi="Book Antiqua" w:cs="Times New Roman"/>
          <w:b/>
          <w:color w:val="auto"/>
          <w:kern w:val="2"/>
          <w:sz w:val="24"/>
          <w:szCs w:val="24"/>
          <w:lang w:val="en-US" w:eastAsia="zh-CN"/>
        </w:rPr>
        <w:t>Gillies RJ</w:t>
      </w:r>
      <w:r w:rsidRPr="00FC2DDA">
        <w:rPr>
          <w:rFonts w:ascii="Book Antiqua" w:eastAsia="SimSun" w:hAnsi="Book Antiqua" w:cs="Times New Roman"/>
          <w:color w:val="auto"/>
          <w:kern w:val="2"/>
          <w:sz w:val="24"/>
          <w:szCs w:val="24"/>
          <w:lang w:val="en-US" w:eastAsia="zh-CN"/>
        </w:rPr>
        <w:t xml:space="preserve">, Kinahan PE, Hricak H. Radiomics: Images Are More than Pictures, They Are Data.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2016; </w:t>
      </w:r>
      <w:r w:rsidRPr="00FC2DDA">
        <w:rPr>
          <w:rFonts w:ascii="Book Antiqua" w:eastAsia="SimSun" w:hAnsi="Book Antiqua" w:cs="Times New Roman"/>
          <w:b/>
          <w:color w:val="auto"/>
          <w:kern w:val="2"/>
          <w:sz w:val="24"/>
          <w:szCs w:val="24"/>
          <w:lang w:val="en-US" w:eastAsia="zh-CN"/>
        </w:rPr>
        <w:t>278</w:t>
      </w:r>
      <w:r w:rsidRPr="00FC2DDA">
        <w:rPr>
          <w:rFonts w:ascii="Book Antiqua" w:eastAsia="SimSun" w:hAnsi="Book Antiqua" w:cs="Times New Roman"/>
          <w:color w:val="auto"/>
          <w:kern w:val="2"/>
          <w:sz w:val="24"/>
          <w:szCs w:val="24"/>
          <w:lang w:val="en-US" w:eastAsia="zh-CN"/>
        </w:rPr>
        <w:t>: 563-577 [PMID: 26579733 DOI: 10.1148/radiol.2015151169]</w:t>
      </w:r>
    </w:p>
    <w:p w14:paraId="7110607E"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90 </w:t>
      </w:r>
      <w:r w:rsidRPr="00FC2DDA">
        <w:rPr>
          <w:rFonts w:ascii="Book Antiqua" w:eastAsia="SimSun" w:hAnsi="Book Antiqua" w:cs="Times New Roman"/>
          <w:b/>
          <w:color w:val="auto"/>
          <w:kern w:val="2"/>
          <w:sz w:val="24"/>
          <w:szCs w:val="24"/>
          <w:lang w:val="en-US" w:eastAsia="zh-CN"/>
        </w:rPr>
        <w:t>Rosenkrantz AB</w:t>
      </w:r>
      <w:r w:rsidRPr="00FC2DDA">
        <w:rPr>
          <w:rFonts w:ascii="Book Antiqua" w:eastAsia="SimSun" w:hAnsi="Book Antiqua" w:cs="Times New Roman"/>
          <w:color w:val="auto"/>
          <w:kern w:val="2"/>
          <w:sz w:val="24"/>
          <w:szCs w:val="24"/>
          <w:lang w:val="en-US" w:eastAsia="zh-CN"/>
        </w:rPr>
        <w:t xml:space="preserve">, Pinnamaneni N, Kierans AS, Ream JM. Hypovascular hepatic nodules at gadoxetic acid-enhanced MRI: whole-lesion hepatobiliary phase histogram metrics for prediction of progression to arterial-enhancing hepatocellular carcinoma. </w:t>
      </w:r>
      <w:r w:rsidRPr="00FC2DDA">
        <w:rPr>
          <w:rFonts w:ascii="Book Antiqua" w:eastAsia="SimSun" w:hAnsi="Book Antiqua" w:cs="Times New Roman"/>
          <w:i/>
          <w:color w:val="auto"/>
          <w:kern w:val="2"/>
          <w:sz w:val="24"/>
          <w:szCs w:val="24"/>
          <w:lang w:val="en-US" w:eastAsia="zh-CN"/>
        </w:rPr>
        <w:t>Abdom Radiol (NY)</w:t>
      </w:r>
      <w:r w:rsidRPr="00FC2DDA">
        <w:rPr>
          <w:rFonts w:ascii="Book Antiqua" w:eastAsia="SimSun" w:hAnsi="Book Antiqua" w:cs="Times New Roman"/>
          <w:color w:val="auto"/>
          <w:kern w:val="2"/>
          <w:sz w:val="24"/>
          <w:szCs w:val="24"/>
          <w:lang w:val="en-US" w:eastAsia="zh-CN"/>
        </w:rPr>
        <w:t xml:space="preserve"> 2016; </w:t>
      </w:r>
      <w:r w:rsidRPr="00FC2DDA">
        <w:rPr>
          <w:rFonts w:ascii="Book Antiqua" w:eastAsia="SimSun" w:hAnsi="Book Antiqua" w:cs="Times New Roman"/>
          <w:b/>
          <w:color w:val="auto"/>
          <w:kern w:val="2"/>
          <w:sz w:val="24"/>
          <w:szCs w:val="24"/>
          <w:lang w:val="en-US" w:eastAsia="zh-CN"/>
        </w:rPr>
        <w:t>41</w:t>
      </w:r>
      <w:r w:rsidRPr="00FC2DDA">
        <w:rPr>
          <w:rFonts w:ascii="Book Antiqua" w:eastAsia="SimSun" w:hAnsi="Book Antiqua" w:cs="Times New Roman"/>
          <w:color w:val="auto"/>
          <w:kern w:val="2"/>
          <w:sz w:val="24"/>
          <w:szCs w:val="24"/>
          <w:lang w:val="en-US" w:eastAsia="zh-CN"/>
        </w:rPr>
        <w:t>: 63-70 [PMID: 26830613 DOI: 10.1007/s00261-015-0610-x]</w:t>
      </w:r>
    </w:p>
    <w:p w14:paraId="1C52BF5B"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91 </w:t>
      </w:r>
      <w:r w:rsidRPr="00FC2DDA">
        <w:rPr>
          <w:rFonts w:ascii="Book Antiqua" w:eastAsia="SimSun" w:hAnsi="Book Antiqua" w:cs="Times New Roman"/>
          <w:b/>
          <w:color w:val="auto"/>
          <w:kern w:val="2"/>
          <w:sz w:val="24"/>
          <w:szCs w:val="24"/>
          <w:lang w:val="en-US" w:eastAsia="zh-CN"/>
        </w:rPr>
        <w:t>Kim YK</w:t>
      </w:r>
      <w:r w:rsidRPr="00FC2DDA">
        <w:rPr>
          <w:rFonts w:ascii="Book Antiqua" w:eastAsia="SimSun" w:hAnsi="Book Antiqua" w:cs="Times New Roman"/>
          <w:color w:val="auto"/>
          <w:kern w:val="2"/>
          <w:sz w:val="24"/>
          <w:szCs w:val="24"/>
          <w:lang w:val="en-US" w:eastAsia="zh-CN"/>
        </w:rPr>
        <w:t xml:space="preserve">, Lee WJ, Park MJ, Kim SH, Rhim H, Choi D. Hypovascular hypointense nodules on hepatobiliary phase gadoxetic acid-enhanced MR images in patients with cirrhosis: potential of DW imaging in predicting progression to hypervascular HCC.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2012; </w:t>
      </w:r>
      <w:r w:rsidRPr="00FC2DDA">
        <w:rPr>
          <w:rFonts w:ascii="Book Antiqua" w:eastAsia="SimSun" w:hAnsi="Book Antiqua" w:cs="Times New Roman"/>
          <w:b/>
          <w:color w:val="auto"/>
          <w:kern w:val="2"/>
          <w:sz w:val="24"/>
          <w:szCs w:val="24"/>
          <w:lang w:val="en-US" w:eastAsia="zh-CN"/>
        </w:rPr>
        <w:t>265</w:t>
      </w:r>
      <w:r w:rsidRPr="00FC2DDA">
        <w:rPr>
          <w:rFonts w:ascii="Book Antiqua" w:eastAsia="SimSun" w:hAnsi="Book Antiqua" w:cs="Times New Roman"/>
          <w:color w:val="auto"/>
          <w:kern w:val="2"/>
          <w:sz w:val="24"/>
          <w:szCs w:val="24"/>
          <w:lang w:val="en-US" w:eastAsia="zh-CN"/>
        </w:rPr>
        <w:t>: 104-114 [PMID: 22891358 DOI: 10.1148/radiol.12112649]</w:t>
      </w:r>
    </w:p>
    <w:p w14:paraId="2D83CA05"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92 </w:t>
      </w:r>
      <w:r w:rsidRPr="00FC2DDA">
        <w:rPr>
          <w:rFonts w:ascii="Book Antiqua" w:eastAsia="SimSun" w:hAnsi="Book Antiqua" w:cs="Times New Roman"/>
          <w:b/>
          <w:color w:val="auto"/>
          <w:kern w:val="2"/>
          <w:sz w:val="24"/>
          <w:szCs w:val="24"/>
          <w:lang w:val="en-US" w:eastAsia="zh-CN"/>
        </w:rPr>
        <w:t>Choi JW</w:t>
      </w:r>
      <w:r w:rsidRPr="00FC2DDA">
        <w:rPr>
          <w:rFonts w:ascii="Book Antiqua" w:eastAsia="SimSun" w:hAnsi="Book Antiqua" w:cs="Times New Roman"/>
          <w:color w:val="auto"/>
          <w:kern w:val="2"/>
          <w:sz w:val="24"/>
          <w:szCs w:val="24"/>
          <w:lang w:val="en-US" w:eastAsia="zh-CN"/>
        </w:rPr>
        <w:t xml:space="preserve">, Lee JM, Kim SJ, Yoon JH, Baek JH, Han JK, Choi BI. Hepatocellular carcinoma: imaging patterns on gadoxetic acid-enhanced MR Images and their value as an imaging biomarker.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2013; </w:t>
      </w:r>
      <w:r w:rsidRPr="00FC2DDA">
        <w:rPr>
          <w:rFonts w:ascii="Book Antiqua" w:eastAsia="SimSun" w:hAnsi="Book Antiqua" w:cs="Times New Roman"/>
          <w:b/>
          <w:color w:val="auto"/>
          <w:kern w:val="2"/>
          <w:sz w:val="24"/>
          <w:szCs w:val="24"/>
          <w:lang w:val="en-US" w:eastAsia="zh-CN"/>
        </w:rPr>
        <w:t>267</w:t>
      </w:r>
      <w:r w:rsidRPr="00FC2DDA">
        <w:rPr>
          <w:rFonts w:ascii="Book Antiqua" w:eastAsia="SimSun" w:hAnsi="Book Antiqua" w:cs="Times New Roman"/>
          <w:color w:val="auto"/>
          <w:kern w:val="2"/>
          <w:sz w:val="24"/>
          <w:szCs w:val="24"/>
          <w:lang w:val="en-US" w:eastAsia="zh-CN"/>
        </w:rPr>
        <w:t>: 776-786 [PMID: 23401584 DOI: 10.1148/radiol.13120775]</w:t>
      </w:r>
    </w:p>
    <w:p w14:paraId="33E9F1FE"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93 </w:t>
      </w:r>
      <w:r w:rsidRPr="00FC2DDA">
        <w:rPr>
          <w:rFonts w:ascii="Book Antiqua" w:eastAsia="SimSun" w:hAnsi="Book Antiqua" w:cs="Times New Roman"/>
          <w:b/>
          <w:color w:val="auto"/>
          <w:kern w:val="2"/>
          <w:sz w:val="24"/>
          <w:szCs w:val="24"/>
          <w:lang w:val="en-US" w:eastAsia="zh-CN"/>
        </w:rPr>
        <w:t>Kitao A</w:t>
      </w:r>
      <w:r w:rsidRPr="00FC2DDA">
        <w:rPr>
          <w:rFonts w:ascii="Book Antiqua" w:eastAsia="SimSun" w:hAnsi="Book Antiqua" w:cs="Times New Roman"/>
          <w:color w:val="auto"/>
          <w:kern w:val="2"/>
          <w:sz w:val="24"/>
          <w:szCs w:val="24"/>
          <w:lang w:val="en-US" w:eastAsia="zh-CN"/>
        </w:rPr>
        <w:t xml:space="preserve">, Matsui O, Yoneda N, Kozaka K, Kobayashi S, Koda W, Gabata T, Yamashita T, Kaneko S, Nakanuma Y, Kita R, Arii S. Hypervascular hepatocellular carcinoma: correlation between biologic features and signal intensity on gadoxetic acid-enhanced MR images. </w:t>
      </w:r>
      <w:r w:rsidRPr="00FC2DDA">
        <w:rPr>
          <w:rFonts w:ascii="Book Antiqua" w:eastAsia="SimSun" w:hAnsi="Book Antiqua" w:cs="Times New Roman"/>
          <w:i/>
          <w:color w:val="auto"/>
          <w:kern w:val="2"/>
          <w:sz w:val="24"/>
          <w:szCs w:val="24"/>
          <w:lang w:val="en-US" w:eastAsia="zh-CN"/>
        </w:rPr>
        <w:t>Radiology</w:t>
      </w:r>
      <w:r w:rsidRPr="00FC2DDA">
        <w:rPr>
          <w:rFonts w:ascii="Book Antiqua" w:eastAsia="SimSun" w:hAnsi="Book Antiqua" w:cs="Times New Roman"/>
          <w:color w:val="auto"/>
          <w:kern w:val="2"/>
          <w:sz w:val="24"/>
          <w:szCs w:val="24"/>
          <w:lang w:val="en-US" w:eastAsia="zh-CN"/>
        </w:rPr>
        <w:t xml:space="preserve"> 2012; </w:t>
      </w:r>
      <w:r w:rsidRPr="00FC2DDA">
        <w:rPr>
          <w:rFonts w:ascii="Book Antiqua" w:eastAsia="SimSun" w:hAnsi="Book Antiqua" w:cs="Times New Roman"/>
          <w:b/>
          <w:color w:val="auto"/>
          <w:kern w:val="2"/>
          <w:sz w:val="24"/>
          <w:szCs w:val="24"/>
          <w:lang w:val="en-US" w:eastAsia="zh-CN"/>
        </w:rPr>
        <w:t>265</w:t>
      </w:r>
      <w:r w:rsidRPr="00FC2DDA">
        <w:rPr>
          <w:rFonts w:ascii="Book Antiqua" w:eastAsia="SimSun" w:hAnsi="Book Antiqua" w:cs="Times New Roman"/>
          <w:color w:val="auto"/>
          <w:kern w:val="2"/>
          <w:sz w:val="24"/>
          <w:szCs w:val="24"/>
          <w:lang w:val="en-US" w:eastAsia="zh-CN"/>
        </w:rPr>
        <w:t>: 780-789 [PMID: 23175543 DOI: 10.1148/radiol.12120226]</w:t>
      </w:r>
    </w:p>
    <w:p w14:paraId="30F55E63" w14:textId="77777777" w:rsidR="007469BA" w:rsidRPr="00FC2DDA" w:rsidRDefault="007469BA" w:rsidP="007469BA">
      <w:pPr>
        <w:widowControl w:val="0"/>
        <w:pBdr>
          <w:top w:val="none" w:sz="0" w:space="0" w:color="auto"/>
          <w:left w:val="none" w:sz="0" w:space="0" w:color="auto"/>
          <w:bottom w:val="none" w:sz="0" w:space="0" w:color="auto"/>
          <w:right w:val="none" w:sz="0" w:space="0" w:color="auto"/>
          <w:between w:val="none" w:sz="0" w:space="0" w:color="auto"/>
        </w:pBdr>
        <w:snapToGrid w:val="0"/>
        <w:spacing w:after="0" w:line="360" w:lineRule="auto"/>
        <w:jc w:val="both"/>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t xml:space="preserve">94 </w:t>
      </w:r>
      <w:r w:rsidRPr="00FC2DDA">
        <w:rPr>
          <w:rFonts w:ascii="Book Antiqua" w:eastAsia="SimSun" w:hAnsi="Book Antiqua" w:cs="Times New Roman"/>
          <w:b/>
          <w:color w:val="auto"/>
          <w:kern w:val="2"/>
          <w:sz w:val="24"/>
          <w:szCs w:val="24"/>
          <w:lang w:val="en-US" w:eastAsia="zh-CN"/>
        </w:rPr>
        <w:t>Zhou W</w:t>
      </w:r>
      <w:r w:rsidRPr="00FC2DDA">
        <w:rPr>
          <w:rFonts w:ascii="Book Antiqua" w:eastAsia="SimSun" w:hAnsi="Book Antiqua" w:cs="Times New Roman"/>
          <w:color w:val="auto"/>
          <w:kern w:val="2"/>
          <w:sz w:val="24"/>
          <w:szCs w:val="24"/>
          <w:lang w:val="en-US" w:eastAsia="zh-CN"/>
        </w:rPr>
        <w:t xml:space="preserve">, Zhang L, Wang K, Chen S, Wang G, Liu Z, Liang C. Malignancy characterization of hepatocellular carcinomas based on texture analysis of contrast-enhanced MR images. </w:t>
      </w:r>
      <w:r w:rsidRPr="00FC2DDA">
        <w:rPr>
          <w:rFonts w:ascii="Book Antiqua" w:eastAsia="SimSun" w:hAnsi="Book Antiqua" w:cs="Times New Roman"/>
          <w:i/>
          <w:color w:val="auto"/>
          <w:kern w:val="2"/>
          <w:sz w:val="24"/>
          <w:szCs w:val="24"/>
          <w:lang w:val="en-US" w:eastAsia="zh-CN"/>
        </w:rPr>
        <w:t>J Magn Reson Imaging</w:t>
      </w:r>
      <w:r w:rsidRPr="00FC2DDA">
        <w:rPr>
          <w:rFonts w:ascii="Book Antiqua" w:eastAsia="SimSun" w:hAnsi="Book Antiqua" w:cs="Times New Roman"/>
          <w:color w:val="auto"/>
          <w:kern w:val="2"/>
          <w:sz w:val="24"/>
          <w:szCs w:val="24"/>
          <w:lang w:val="en-US" w:eastAsia="zh-CN"/>
        </w:rPr>
        <w:t xml:space="preserve"> 2017; </w:t>
      </w:r>
      <w:r w:rsidRPr="00FC2DDA">
        <w:rPr>
          <w:rFonts w:ascii="Book Antiqua" w:eastAsia="SimSun" w:hAnsi="Book Antiqua" w:cs="Times New Roman"/>
          <w:b/>
          <w:color w:val="auto"/>
          <w:kern w:val="2"/>
          <w:sz w:val="24"/>
          <w:szCs w:val="24"/>
          <w:lang w:val="en-US" w:eastAsia="zh-CN"/>
        </w:rPr>
        <w:t>45</w:t>
      </w:r>
      <w:r w:rsidRPr="00FC2DDA">
        <w:rPr>
          <w:rFonts w:ascii="Book Antiqua" w:eastAsia="SimSun" w:hAnsi="Book Antiqua" w:cs="Times New Roman"/>
          <w:color w:val="auto"/>
          <w:kern w:val="2"/>
          <w:sz w:val="24"/>
          <w:szCs w:val="24"/>
          <w:lang w:val="en-US" w:eastAsia="zh-CN"/>
        </w:rPr>
        <w:t>: 1476-1484 [PMID: 27626270 DOI: 10.1002/jmri.25454]</w:t>
      </w:r>
    </w:p>
    <w:p w14:paraId="5032CFE2" w14:textId="77777777" w:rsidR="007469BA" w:rsidRPr="00FC2DDA" w:rsidRDefault="007469BA" w:rsidP="007469BA">
      <w:pPr>
        <w:pBdr>
          <w:top w:val="none" w:sz="0" w:space="0" w:color="auto"/>
          <w:left w:val="none" w:sz="0" w:space="0" w:color="auto"/>
          <w:bottom w:val="none" w:sz="0" w:space="0" w:color="auto"/>
          <w:right w:val="none" w:sz="0" w:space="0" w:color="auto"/>
          <w:between w:val="none" w:sz="0" w:space="0" w:color="auto"/>
        </w:pBdr>
        <w:wordWrap w:val="0"/>
        <w:snapToGrid w:val="0"/>
        <w:spacing w:after="0" w:line="360" w:lineRule="auto"/>
        <w:jc w:val="right"/>
        <w:rPr>
          <w:rFonts w:ascii="Book Antiqua" w:eastAsia="SimSun" w:hAnsi="Book Antiqua" w:cs="Times New Roman"/>
          <w:color w:val="auto"/>
          <w:sz w:val="24"/>
          <w:szCs w:val="24"/>
          <w:lang w:val="en-US" w:eastAsia="zh-CN"/>
        </w:rPr>
      </w:pPr>
      <w:bookmarkStart w:id="90" w:name="OLE_LINK51"/>
      <w:bookmarkStart w:id="91" w:name="OLE_LINK52"/>
      <w:bookmarkStart w:id="92" w:name="OLE_LINK120"/>
      <w:bookmarkStart w:id="93" w:name="OLE_LINK148"/>
      <w:bookmarkStart w:id="94" w:name="OLE_LINK72"/>
      <w:bookmarkStart w:id="95" w:name="OLE_LINK112"/>
      <w:bookmarkStart w:id="96" w:name="OLE_LINK320"/>
      <w:bookmarkStart w:id="97" w:name="OLE_LINK387"/>
      <w:bookmarkStart w:id="98" w:name="OLE_LINK183"/>
      <w:bookmarkStart w:id="99" w:name="OLE_LINK254"/>
      <w:bookmarkStart w:id="100" w:name="OLE_LINK149"/>
      <w:bookmarkStart w:id="101" w:name="OLE_LINK225"/>
      <w:bookmarkStart w:id="102" w:name="OLE_LINK207"/>
      <w:bookmarkStart w:id="103" w:name="OLE_LINK226"/>
      <w:bookmarkStart w:id="104" w:name="OLE_LINK212"/>
      <w:bookmarkStart w:id="105" w:name="OLE_LINK250"/>
      <w:bookmarkStart w:id="106" w:name="OLE_LINK281"/>
      <w:bookmarkStart w:id="107" w:name="OLE_LINK282"/>
      <w:bookmarkStart w:id="108" w:name="OLE_LINK313"/>
      <w:bookmarkStart w:id="109" w:name="OLE_LINK304"/>
      <w:bookmarkStart w:id="110" w:name="OLE_LINK321"/>
      <w:bookmarkStart w:id="111" w:name="OLE_LINK385"/>
      <w:bookmarkStart w:id="112" w:name="OLE_LINK400"/>
      <w:bookmarkStart w:id="113" w:name="OLE_LINK346"/>
      <w:bookmarkStart w:id="114" w:name="OLE_LINK371"/>
      <w:bookmarkStart w:id="115" w:name="OLE_LINK334"/>
      <w:bookmarkStart w:id="116" w:name="OLE_LINK1830"/>
      <w:bookmarkStart w:id="117" w:name="OLE_LINK457"/>
      <w:bookmarkStart w:id="118" w:name="OLE_LINK288"/>
      <w:bookmarkStart w:id="119" w:name="OLE_LINK384"/>
      <w:bookmarkStart w:id="120" w:name="OLE_LINK379"/>
      <w:bookmarkStart w:id="121" w:name="OLE_LINK303"/>
      <w:bookmarkStart w:id="122" w:name="OLE_LINK450"/>
      <w:bookmarkStart w:id="123" w:name="OLE_LINK489"/>
      <w:bookmarkStart w:id="124" w:name="OLE_LINK535"/>
      <w:bookmarkStart w:id="125" w:name="OLE_LINK648"/>
      <w:bookmarkStart w:id="126" w:name="OLE_LINK686"/>
      <w:bookmarkStart w:id="127" w:name="OLE_LINK471"/>
      <w:bookmarkStart w:id="128" w:name="OLE_LINK462"/>
      <w:bookmarkStart w:id="129" w:name="OLE_LINK519"/>
      <w:bookmarkStart w:id="130" w:name="OLE_LINK575"/>
      <w:bookmarkStart w:id="131" w:name="OLE_LINK491"/>
      <w:bookmarkStart w:id="132" w:name="OLE_LINK532"/>
      <w:bookmarkStart w:id="133" w:name="OLE_LINK572"/>
      <w:bookmarkStart w:id="134" w:name="OLE_LINK574"/>
      <w:bookmarkStart w:id="135" w:name="OLE_LINK480"/>
      <w:bookmarkStart w:id="136" w:name="OLE_LINK567"/>
      <w:bookmarkStart w:id="137" w:name="OLE_LINK2700"/>
      <w:bookmarkStart w:id="138" w:name="OLE_LINK581"/>
      <w:bookmarkStart w:id="139" w:name="OLE_LINK639"/>
      <w:bookmarkStart w:id="140" w:name="OLE_LINK688"/>
      <w:bookmarkStart w:id="141" w:name="OLE_LINK722"/>
      <w:bookmarkStart w:id="142" w:name="OLE_LINK542"/>
      <w:bookmarkStart w:id="143" w:name="OLE_LINK589"/>
      <w:bookmarkStart w:id="144" w:name="OLE_LINK582"/>
      <w:bookmarkStart w:id="145" w:name="OLE_LINK640"/>
      <w:bookmarkStart w:id="146" w:name="OLE_LINK714"/>
      <w:bookmarkStart w:id="147" w:name="OLE_LINK593"/>
      <w:bookmarkStart w:id="148" w:name="OLE_LINK716"/>
      <w:bookmarkStart w:id="149" w:name="OLE_LINK770"/>
      <w:bookmarkStart w:id="150" w:name="OLE_LINK801"/>
      <w:bookmarkStart w:id="151" w:name="OLE_LINK660"/>
      <w:bookmarkStart w:id="152" w:name="OLE_LINK781"/>
      <w:bookmarkStart w:id="153" w:name="OLE_LINK833"/>
      <w:bookmarkStart w:id="154" w:name="OLE_LINK642"/>
      <w:bookmarkStart w:id="155" w:name="OLE_LINK700"/>
      <w:bookmarkStart w:id="156" w:name="OLE_LINK792"/>
      <w:bookmarkStart w:id="157" w:name="OLE_LINK2882"/>
      <w:bookmarkStart w:id="158" w:name="OLE_LINK836"/>
      <w:bookmarkStart w:id="159" w:name="OLE_LINK889"/>
      <w:bookmarkStart w:id="160" w:name="OLE_LINK782"/>
      <w:bookmarkStart w:id="161" w:name="OLE_LINK826"/>
      <w:bookmarkStart w:id="162" w:name="OLE_LINK865"/>
      <w:bookmarkStart w:id="163" w:name="OLE_LINK856"/>
      <w:bookmarkStart w:id="164" w:name="OLE_LINK908"/>
      <w:bookmarkStart w:id="165" w:name="OLE_LINK980"/>
      <w:bookmarkStart w:id="166" w:name="OLE_LINK1018"/>
      <w:bookmarkStart w:id="167" w:name="OLE_LINK1049"/>
      <w:bookmarkStart w:id="168" w:name="OLE_LINK1076"/>
      <w:bookmarkStart w:id="169" w:name="OLE_LINK1106"/>
      <w:bookmarkStart w:id="170" w:name="OLE_LINK891"/>
      <w:bookmarkStart w:id="171" w:name="OLE_LINK943"/>
      <w:bookmarkStart w:id="172" w:name="OLE_LINK981"/>
      <w:bookmarkStart w:id="173" w:name="OLE_LINK1030"/>
      <w:bookmarkStart w:id="174" w:name="OLE_LINK847"/>
      <w:bookmarkStart w:id="175" w:name="OLE_LINK909"/>
      <w:bookmarkStart w:id="176" w:name="OLE_LINK906"/>
      <w:bookmarkStart w:id="177" w:name="OLE_LINK992"/>
      <w:bookmarkStart w:id="178" w:name="OLE_LINK993"/>
      <w:bookmarkStart w:id="179" w:name="OLE_LINK1052"/>
      <w:bookmarkStart w:id="180" w:name="OLE_LINK946"/>
      <w:bookmarkStart w:id="181" w:name="OLE_LINK911"/>
      <w:bookmarkStart w:id="182" w:name="OLE_LINK930"/>
      <w:bookmarkStart w:id="183" w:name="OLE_LINK1059"/>
      <w:bookmarkStart w:id="184" w:name="OLE_LINK1174"/>
      <w:bookmarkStart w:id="185" w:name="OLE_LINK1137"/>
      <w:bookmarkStart w:id="186" w:name="OLE_LINK1167"/>
      <w:bookmarkStart w:id="187" w:name="OLE_LINK1200"/>
      <w:bookmarkStart w:id="188" w:name="OLE_LINK1241"/>
      <w:bookmarkStart w:id="189" w:name="OLE_LINK1288"/>
      <w:bookmarkStart w:id="190" w:name="OLE_LINK1056"/>
      <w:bookmarkStart w:id="191" w:name="OLE_LINK1158"/>
      <w:bookmarkStart w:id="192" w:name="OLE_LINK1175"/>
      <w:bookmarkStart w:id="193" w:name="OLE_LINK1074"/>
      <w:bookmarkStart w:id="194" w:name="OLE_LINK1169"/>
      <w:bookmarkStart w:id="195" w:name="OLE_LINK1053"/>
      <w:bookmarkStart w:id="196" w:name="OLE_LINK1054"/>
      <w:r w:rsidRPr="00FC2DDA">
        <w:rPr>
          <w:rFonts w:ascii="Book Antiqua" w:eastAsia="SimSun" w:hAnsi="Book Antiqua" w:cs="Times New Roman"/>
          <w:b/>
          <w:bCs/>
          <w:color w:val="auto"/>
          <w:sz w:val="24"/>
          <w:szCs w:val="24"/>
          <w:lang w:val="en-US" w:eastAsia="zh-CN"/>
        </w:rPr>
        <w:t>P-Reviewer:</w:t>
      </w:r>
      <w:r w:rsidRPr="00FC2DDA">
        <w:rPr>
          <w:rFonts w:ascii="Book Antiqua" w:eastAsia="SimSun" w:hAnsi="Book Antiqua" w:cs="Times New Roman" w:hint="eastAsia"/>
          <w:b/>
          <w:bCs/>
          <w:color w:val="auto"/>
          <w:sz w:val="24"/>
          <w:szCs w:val="24"/>
          <w:lang w:val="en-US" w:eastAsia="zh-CN"/>
        </w:rPr>
        <w:t xml:space="preserve"> </w:t>
      </w:r>
      <w:r w:rsidRPr="00FC2DDA">
        <w:rPr>
          <w:rFonts w:ascii="Book Antiqua" w:eastAsia="SimSun" w:hAnsi="Book Antiqua" w:cs="Times New Roman"/>
          <w:bCs/>
          <w:color w:val="auto"/>
          <w:sz w:val="24"/>
          <w:szCs w:val="24"/>
          <w:lang w:val="en-US" w:eastAsia="zh-CN"/>
        </w:rPr>
        <w:t>Grieco</w:t>
      </w:r>
      <w:r w:rsidRPr="00FC2DDA">
        <w:rPr>
          <w:rFonts w:ascii="Book Antiqua" w:eastAsia="SimSun" w:hAnsi="Book Antiqua" w:cs="Times New Roman" w:hint="eastAsia"/>
          <w:bCs/>
          <w:color w:val="auto"/>
          <w:sz w:val="24"/>
          <w:szCs w:val="24"/>
          <w:lang w:val="en-US" w:eastAsia="zh-CN"/>
        </w:rPr>
        <w:t xml:space="preserve"> A, </w:t>
      </w:r>
      <w:r w:rsidRPr="00FC2DDA">
        <w:rPr>
          <w:rFonts w:ascii="Book Antiqua" w:eastAsia="SimSun" w:hAnsi="Book Antiqua" w:cs="Times New Roman"/>
          <w:bCs/>
          <w:color w:val="auto"/>
          <w:sz w:val="24"/>
          <w:szCs w:val="24"/>
          <w:lang w:val="en-US" w:eastAsia="zh-CN"/>
        </w:rPr>
        <w:t>Jia</w:t>
      </w:r>
      <w:r w:rsidRPr="00FC2DDA">
        <w:rPr>
          <w:rFonts w:ascii="Book Antiqua" w:eastAsia="SimSun" w:hAnsi="Book Antiqua" w:cs="Times New Roman" w:hint="eastAsia"/>
          <w:bCs/>
          <w:color w:val="auto"/>
          <w:sz w:val="24"/>
          <w:szCs w:val="24"/>
          <w:lang w:val="en-US" w:eastAsia="zh-CN"/>
        </w:rPr>
        <w:t xml:space="preserve"> </w:t>
      </w:r>
      <w:r w:rsidRPr="00FC2DDA">
        <w:rPr>
          <w:rFonts w:ascii="Book Antiqua" w:eastAsia="SimSun" w:hAnsi="Book Antiqua" w:cs="Times New Roman"/>
          <w:bCs/>
          <w:color w:val="auto"/>
          <w:sz w:val="24"/>
          <w:szCs w:val="24"/>
          <w:lang w:val="en-US" w:eastAsia="zh-CN"/>
        </w:rPr>
        <w:t>NY</w:t>
      </w:r>
      <w:r w:rsidRPr="00FC2DDA">
        <w:rPr>
          <w:rFonts w:ascii="Book Antiqua" w:eastAsia="SimSun" w:hAnsi="Book Antiqua" w:cs="Times New Roman" w:hint="eastAsia"/>
          <w:bCs/>
          <w:color w:val="auto"/>
          <w:sz w:val="24"/>
          <w:szCs w:val="24"/>
          <w:lang w:val="en-US" w:eastAsia="zh-CN"/>
        </w:rPr>
        <w:t xml:space="preserve">, </w:t>
      </w:r>
      <w:r w:rsidRPr="00FC2DDA">
        <w:rPr>
          <w:rFonts w:ascii="Book Antiqua" w:eastAsia="SimSun" w:hAnsi="Book Antiqua" w:cs="Times New Roman"/>
          <w:bCs/>
          <w:color w:val="auto"/>
          <w:sz w:val="24"/>
          <w:szCs w:val="24"/>
          <w:lang w:val="en-US" w:eastAsia="zh-CN"/>
        </w:rPr>
        <w:t>Nah</w:t>
      </w:r>
      <w:r w:rsidRPr="00FC2DDA">
        <w:rPr>
          <w:rFonts w:ascii="Book Antiqua" w:eastAsia="SimSun" w:hAnsi="Book Antiqua" w:cs="Times New Roman" w:hint="eastAsia"/>
          <w:bCs/>
          <w:color w:val="auto"/>
          <w:sz w:val="24"/>
          <w:szCs w:val="24"/>
          <w:lang w:val="en-US" w:eastAsia="zh-CN"/>
        </w:rPr>
        <w:t xml:space="preserve"> YW, </w:t>
      </w:r>
      <w:r w:rsidRPr="00FC2DDA">
        <w:rPr>
          <w:rFonts w:ascii="Book Antiqua" w:eastAsia="SimSun" w:hAnsi="Book Antiqua" w:cs="Times New Roman"/>
          <w:bCs/>
          <w:color w:val="auto"/>
          <w:sz w:val="24"/>
          <w:szCs w:val="24"/>
          <w:lang w:val="en-US" w:eastAsia="zh-CN"/>
        </w:rPr>
        <w:t>Zhao</w:t>
      </w:r>
      <w:r w:rsidRPr="00FC2DDA">
        <w:rPr>
          <w:rFonts w:ascii="Book Antiqua" w:eastAsia="SimSun" w:hAnsi="Book Antiqua" w:cs="Times New Roman" w:hint="eastAsia"/>
          <w:bCs/>
          <w:color w:val="auto"/>
          <w:sz w:val="24"/>
          <w:szCs w:val="24"/>
          <w:lang w:val="en-US" w:eastAsia="zh-CN"/>
        </w:rPr>
        <w:t xml:space="preserve"> HT</w:t>
      </w:r>
      <w:r w:rsidRPr="00FC2DDA">
        <w:rPr>
          <w:rFonts w:ascii="Book Antiqua" w:eastAsia="SimSun" w:hAnsi="Book Antiqua" w:cs="Times New Roman" w:hint="eastAsia"/>
          <w:b/>
          <w:bCs/>
          <w:color w:val="auto"/>
          <w:sz w:val="24"/>
          <w:szCs w:val="24"/>
          <w:lang w:val="en-US" w:eastAsia="zh-CN"/>
        </w:rPr>
        <w:t xml:space="preserve"> </w:t>
      </w:r>
      <w:r w:rsidRPr="00FC2DDA">
        <w:rPr>
          <w:rFonts w:ascii="Book Antiqua" w:eastAsia="SimSun" w:hAnsi="Book Antiqua" w:cs="Times New Roman"/>
          <w:b/>
          <w:bCs/>
          <w:color w:val="auto"/>
          <w:sz w:val="24"/>
          <w:szCs w:val="24"/>
          <w:lang w:val="en-US" w:eastAsia="zh-CN"/>
        </w:rPr>
        <w:t>S-Editor:</w:t>
      </w:r>
      <w:r w:rsidRPr="00FC2DDA">
        <w:rPr>
          <w:rFonts w:ascii="Book Antiqua" w:eastAsia="SimSun" w:hAnsi="Book Antiqua" w:cs="Times New Roman" w:hint="eastAsia"/>
          <w:color w:val="auto"/>
          <w:sz w:val="24"/>
          <w:szCs w:val="24"/>
          <w:lang w:val="en-US" w:eastAsia="zh-CN"/>
        </w:rPr>
        <w:t xml:space="preserve"> Gong ZM</w:t>
      </w:r>
    </w:p>
    <w:p w14:paraId="485DFBB9" w14:textId="77777777" w:rsidR="007469BA" w:rsidRPr="00FC2DDA" w:rsidRDefault="007469BA" w:rsidP="007469BA">
      <w:pPr>
        <w:pBdr>
          <w:top w:val="none" w:sz="0" w:space="0" w:color="auto"/>
          <w:left w:val="none" w:sz="0" w:space="0" w:color="auto"/>
          <w:bottom w:val="none" w:sz="0" w:space="0" w:color="auto"/>
          <w:right w:val="none" w:sz="0" w:space="0" w:color="auto"/>
          <w:between w:val="none" w:sz="0" w:space="0" w:color="auto"/>
        </w:pBdr>
        <w:snapToGrid w:val="0"/>
        <w:spacing w:after="0" w:line="360" w:lineRule="auto"/>
        <w:jc w:val="right"/>
        <w:rPr>
          <w:rFonts w:ascii="Book Antiqua" w:eastAsia="SimSun" w:hAnsi="Book Antiqua" w:cs="Times New Roman"/>
          <w:b/>
          <w:bCs/>
          <w:color w:val="auto"/>
          <w:sz w:val="24"/>
          <w:szCs w:val="24"/>
          <w:lang w:val="en-US" w:eastAsia="zh-CN"/>
        </w:rPr>
      </w:pPr>
      <w:r w:rsidRPr="00FC2DDA">
        <w:rPr>
          <w:rFonts w:ascii="Book Antiqua" w:eastAsia="SimSun" w:hAnsi="Book Antiqua" w:cs="Times New Roman"/>
          <w:b/>
          <w:bCs/>
          <w:color w:val="auto"/>
          <w:sz w:val="24"/>
          <w:szCs w:val="24"/>
          <w:lang w:val="en-US" w:eastAsia="zh-CN"/>
        </w:rPr>
        <w:t>L-Editor:</w:t>
      </w:r>
      <w:r w:rsidRPr="00FC2DDA">
        <w:rPr>
          <w:rFonts w:ascii="Book Antiqua" w:eastAsia="SimSun" w:hAnsi="Book Antiqua" w:cs="Times New Roman"/>
          <w:color w:val="auto"/>
          <w:sz w:val="24"/>
          <w:szCs w:val="24"/>
          <w:lang w:val="en-US" w:eastAsia="zh-CN"/>
        </w:rPr>
        <w:t xml:space="preserve"> </w:t>
      </w:r>
      <w:r w:rsidRPr="00FC2DDA">
        <w:rPr>
          <w:rFonts w:ascii="Book Antiqua" w:eastAsia="SimSun" w:hAnsi="Book Antiqua" w:cs="Times New Roman"/>
          <w:b/>
          <w:bCs/>
          <w:color w:val="auto"/>
          <w:sz w:val="24"/>
          <w:szCs w:val="24"/>
          <w:lang w:val="en-US" w:eastAsia="zh-CN"/>
        </w:rPr>
        <w:t>E-Editor:</w:t>
      </w:r>
    </w:p>
    <w:p w14:paraId="588ED441" w14:textId="77777777" w:rsidR="007469BA" w:rsidRPr="00FC2DDA" w:rsidRDefault="007469BA" w:rsidP="007469BA">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after="0" w:line="360" w:lineRule="auto"/>
        <w:jc w:val="both"/>
        <w:rPr>
          <w:rFonts w:ascii="Book Antiqua" w:eastAsia="SimSun" w:hAnsi="Book Antiqua" w:cs="Helvetica"/>
          <w:b/>
          <w:color w:val="auto"/>
          <w:sz w:val="24"/>
          <w:szCs w:val="24"/>
          <w:lang w:val="en-US" w:eastAsia="zh-CN"/>
        </w:rPr>
      </w:pPr>
      <w:bookmarkStart w:id="197" w:name="OLE_LINK880"/>
      <w:bookmarkStart w:id="198" w:name="OLE_LINK881"/>
      <w:bookmarkStart w:id="199" w:name="OLE_LINK497"/>
      <w:bookmarkStart w:id="200" w:name="OLE_LINK813"/>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FC2DDA">
        <w:rPr>
          <w:rFonts w:ascii="Book Antiqua" w:eastAsia="SimSun" w:hAnsi="Book Antiqua" w:cs="Helvetica"/>
          <w:b/>
          <w:color w:val="auto"/>
          <w:sz w:val="24"/>
          <w:szCs w:val="24"/>
          <w:lang w:val="en-US" w:eastAsia="zh-CN"/>
        </w:rPr>
        <w:t xml:space="preserve">Specialty type: </w:t>
      </w:r>
      <w:r w:rsidRPr="00FC2DDA">
        <w:rPr>
          <w:rFonts w:ascii="Book Antiqua" w:eastAsia="SimSun" w:hAnsi="Book Antiqua" w:cs="Helvetica"/>
          <w:color w:val="auto"/>
          <w:sz w:val="24"/>
          <w:szCs w:val="24"/>
          <w:lang w:val="en-US" w:eastAsia="zh-CN"/>
        </w:rPr>
        <w:t>Gastroenterology and</w:t>
      </w:r>
      <w:r w:rsidRPr="00FC2DDA">
        <w:rPr>
          <w:rFonts w:ascii="Book Antiqua" w:eastAsia="SimSun" w:hAnsi="Book Antiqua" w:cs="Helvetica" w:hint="eastAsia"/>
          <w:color w:val="auto"/>
          <w:sz w:val="24"/>
          <w:szCs w:val="24"/>
          <w:lang w:val="en-US" w:eastAsia="zh-CN"/>
        </w:rPr>
        <w:t xml:space="preserve"> </w:t>
      </w:r>
      <w:r w:rsidRPr="00FC2DDA">
        <w:rPr>
          <w:rFonts w:ascii="Book Antiqua" w:eastAsia="SimSun" w:hAnsi="Book Antiqua" w:cs="Helvetica"/>
          <w:color w:val="auto"/>
          <w:sz w:val="24"/>
          <w:szCs w:val="24"/>
          <w:lang w:val="en-US" w:eastAsia="zh-CN"/>
        </w:rPr>
        <w:t>hepatology</w:t>
      </w:r>
    </w:p>
    <w:p w14:paraId="7A71989A" w14:textId="77777777" w:rsidR="007469BA" w:rsidRPr="00FC2DDA" w:rsidRDefault="007469BA" w:rsidP="007469BA">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after="0" w:line="360" w:lineRule="auto"/>
        <w:jc w:val="both"/>
        <w:rPr>
          <w:rFonts w:ascii="Book Antiqua" w:eastAsia="SimSun" w:hAnsi="Book Antiqua" w:cs="Helvetica"/>
          <w:b/>
          <w:color w:val="auto"/>
          <w:sz w:val="24"/>
          <w:szCs w:val="24"/>
          <w:lang w:val="en-US" w:eastAsia="zh-CN"/>
        </w:rPr>
      </w:pPr>
      <w:r w:rsidRPr="00FC2DDA">
        <w:rPr>
          <w:rFonts w:ascii="Book Antiqua" w:eastAsia="SimSun" w:hAnsi="Book Antiqua" w:cs="Helvetica"/>
          <w:b/>
          <w:color w:val="auto"/>
          <w:sz w:val="24"/>
          <w:szCs w:val="24"/>
          <w:lang w:val="en-US" w:eastAsia="zh-CN"/>
        </w:rPr>
        <w:t xml:space="preserve">Country of origin: </w:t>
      </w:r>
      <w:r w:rsidRPr="00FC2DDA">
        <w:rPr>
          <w:rFonts w:ascii="Book Antiqua" w:eastAsia="SimSun" w:hAnsi="Book Antiqua" w:cs="Helvetica"/>
          <w:color w:val="auto"/>
          <w:sz w:val="24"/>
          <w:szCs w:val="24"/>
          <w:lang w:val="en-CA" w:eastAsia="zh-CN"/>
        </w:rPr>
        <w:t>Italy</w:t>
      </w:r>
    </w:p>
    <w:p w14:paraId="72F847B9" w14:textId="77777777" w:rsidR="007469BA" w:rsidRPr="00FC2DDA" w:rsidRDefault="007469BA" w:rsidP="007469BA">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after="0" w:line="360" w:lineRule="auto"/>
        <w:jc w:val="both"/>
        <w:rPr>
          <w:rFonts w:ascii="Book Antiqua" w:eastAsia="SimSun" w:hAnsi="Book Antiqua" w:cs="Helvetica"/>
          <w:b/>
          <w:color w:val="auto"/>
          <w:sz w:val="24"/>
          <w:szCs w:val="24"/>
          <w:lang w:val="en-US" w:eastAsia="zh-CN"/>
        </w:rPr>
      </w:pPr>
      <w:r w:rsidRPr="00FC2DDA">
        <w:rPr>
          <w:rFonts w:ascii="Book Antiqua" w:eastAsia="SimSun" w:hAnsi="Book Antiqua" w:cs="Helvetica"/>
          <w:b/>
          <w:color w:val="auto"/>
          <w:sz w:val="24"/>
          <w:szCs w:val="24"/>
          <w:lang w:val="en-US" w:eastAsia="zh-CN"/>
        </w:rPr>
        <w:t>Peer-review report classification</w:t>
      </w:r>
    </w:p>
    <w:p w14:paraId="39E4871C" w14:textId="77777777" w:rsidR="007469BA" w:rsidRPr="00FC2DDA" w:rsidRDefault="007469BA" w:rsidP="007469BA">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after="0" w:line="360" w:lineRule="auto"/>
        <w:jc w:val="both"/>
        <w:rPr>
          <w:rFonts w:ascii="Book Antiqua" w:eastAsia="SimSun" w:hAnsi="Book Antiqua" w:cs="Helvetica"/>
          <w:color w:val="auto"/>
          <w:sz w:val="24"/>
          <w:szCs w:val="24"/>
          <w:lang w:val="en-US" w:eastAsia="zh-CN"/>
        </w:rPr>
      </w:pPr>
      <w:r w:rsidRPr="00FC2DDA">
        <w:rPr>
          <w:rFonts w:ascii="Book Antiqua" w:eastAsia="SimSun" w:hAnsi="Book Antiqua" w:cs="Helvetica"/>
          <w:color w:val="auto"/>
          <w:sz w:val="24"/>
          <w:szCs w:val="24"/>
          <w:lang w:val="en-US" w:eastAsia="zh-CN"/>
        </w:rPr>
        <w:t xml:space="preserve">Grade A (Excellent): </w:t>
      </w:r>
      <w:r w:rsidRPr="00FC2DDA">
        <w:rPr>
          <w:rFonts w:ascii="Book Antiqua" w:eastAsia="SimSun" w:hAnsi="Book Antiqua" w:cs="Helvetica" w:hint="eastAsia"/>
          <w:color w:val="auto"/>
          <w:sz w:val="24"/>
          <w:szCs w:val="24"/>
          <w:lang w:val="en-US" w:eastAsia="zh-CN"/>
        </w:rPr>
        <w:t>A</w:t>
      </w:r>
    </w:p>
    <w:p w14:paraId="0F1FFD3D" w14:textId="77777777" w:rsidR="007469BA" w:rsidRPr="00FC2DDA" w:rsidRDefault="007469BA" w:rsidP="007469BA">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after="0" w:line="360" w:lineRule="auto"/>
        <w:jc w:val="both"/>
        <w:rPr>
          <w:rFonts w:ascii="Book Antiqua" w:eastAsia="SimSun" w:hAnsi="Book Antiqua" w:cs="Helvetica"/>
          <w:color w:val="auto"/>
          <w:sz w:val="24"/>
          <w:szCs w:val="24"/>
          <w:lang w:val="en-US" w:eastAsia="zh-CN"/>
        </w:rPr>
      </w:pPr>
      <w:r w:rsidRPr="00FC2DDA">
        <w:rPr>
          <w:rFonts w:ascii="Book Antiqua" w:eastAsia="SimSun" w:hAnsi="Book Antiqua" w:cs="Helvetica"/>
          <w:color w:val="auto"/>
          <w:sz w:val="24"/>
          <w:szCs w:val="24"/>
          <w:lang w:val="en-US" w:eastAsia="zh-CN"/>
        </w:rPr>
        <w:t xml:space="preserve">Grade B (Very good): </w:t>
      </w:r>
      <w:r w:rsidRPr="00FC2DDA">
        <w:rPr>
          <w:rFonts w:ascii="Book Antiqua" w:eastAsia="SimSun" w:hAnsi="Book Antiqua" w:cs="Helvetica" w:hint="eastAsia"/>
          <w:color w:val="auto"/>
          <w:sz w:val="24"/>
          <w:szCs w:val="24"/>
          <w:lang w:val="en-US" w:eastAsia="zh-CN"/>
        </w:rPr>
        <w:t>B, B</w:t>
      </w:r>
    </w:p>
    <w:p w14:paraId="5942CC40" w14:textId="77777777" w:rsidR="007469BA" w:rsidRPr="00FC2DDA" w:rsidRDefault="007469BA" w:rsidP="007469BA">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after="0" w:line="360" w:lineRule="auto"/>
        <w:jc w:val="both"/>
        <w:rPr>
          <w:rFonts w:ascii="Book Antiqua" w:eastAsia="SimSun" w:hAnsi="Book Antiqua" w:cs="Helvetica"/>
          <w:color w:val="auto"/>
          <w:sz w:val="24"/>
          <w:szCs w:val="24"/>
          <w:lang w:val="en-US" w:eastAsia="zh-CN"/>
        </w:rPr>
      </w:pPr>
      <w:r w:rsidRPr="00FC2DDA">
        <w:rPr>
          <w:rFonts w:ascii="Book Antiqua" w:eastAsia="SimSun" w:hAnsi="Book Antiqua" w:cs="Helvetica"/>
          <w:color w:val="auto"/>
          <w:sz w:val="24"/>
          <w:szCs w:val="24"/>
          <w:lang w:val="en-US" w:eastAsia="zh-CN"/>
        </w:rPr>
        <w:lastRenderedPageBreak/>
        <w:t xml:space="preserve">Grade C (Good): </w:t>
      </w:r>
      <w:r w:rsidRPr="00FC2DDA">
        <w:rPr>
          <w:rFonts w:ascii="Book Antiqua" w:eastAsia="SimSun" w:hAnsi="Book Antiqua" w:cs="Helvetica" w:hint="eastAsia"/>
          <w:color w:val="auto"/>
          <w:sz w:val="24"/>
          <w:szCs w:val="24"/>
          <w:lang w:val="en-US" w:eastAsia="zh-CN"/>
        </w:rPr>
        <w:t>0</w:t>
      </w:r>
    </w:p>
    <w:p w14:paraId="72A28AD7" w14:textId="77777777" w:rsidR="007469BA" w:rsidRPr="00FC2DDA" w:rsidRDefault="007469BA" w:rsidP="007469BA">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after="0" w:line="360" w:lineRule="auto"/>
        <w:jc w:val="both"/>
        <w:rPr>
          <w:rFonts w:ascii="Book Antiqua" w:eastAsia="SimSun" w:hAnsi="Book Antiqua" w:cs="Helvetica"/>
          <w:color w:val="auto"/>
          <w:sz w:val="24"/>
          <w:szCs w:val="24"/>
          <w:lang w:val="en-US" w:eastAsia="zh-CN"/>
        </w:rPr>
      </w:pPr>
      <w:r w:rsidRPr="00FC2DDA">
        <w:rPr>
          <w:rFonts w:ascii="Book Antiqua" w:eastAsia="SimSun" w:hAnsi="Book Antiqua" w:cs="Helvetica"/>
          <w:color w:val="auto"/>
          <w:sz w:val="24"/>
          <w:szCs w:val="24"/>
          <w:lang w:val="en-US" w:eastAsia="zh-CN"/>
        </w:rPr>
        <w:t xml:space="preserve">Grade D (Fair): </w:t>
      </w:r>
      <w:r w:rsidRPr="00FC2DDA">
        <w:rPr>
          <w:rFonts w:ascii="Book Antiqua" w:eastAsia="SimSun" w:hAnsi="Book Antiqua" w:cs="Helvetica" w:hint="eastAsia"/>
          <w:color w:val="auto"/>
          <w:sz w:val="24"/>
          <w:szCs w:val="24"/>
          <w:lang w:val="en-US" w:eastAsia="zh-CN"/>
        </w:rPr>
        <w:t>D</w:t>
      </w:r>
    </w:p>
    <w:p w14:paraId="60B540E8" w14:textId="77777777" w:rsidR="007469BA" w:rsidRPr="00FC2DDA" w:rsidRDefault="007469BA" w:rsidP="007469BA">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after="0" w:line="360" w:lineRule="auto"/>
        <w:jc w:val="both"/>
        <w:rPr>
          <w:rFonts w:ascii="Book Antiqua" w:eastAsia="SimSun" w:hAnsi="Book Antiqua" w:cs="Helvetica"/>
          <w:color w:val="auto"/>
          <w:sz w:val="24"/>
          <w:szCs w:val="24"/>
          <w:lang w:val="en-US" w:eastAsia="zh-CN"/>
        </w:rPr>
      </w:pPr>
      <w:r w:rsidRPr="00FC2DDA">
        <w:rPr>
          <w:rFonts w:ascii="Book Antiqua" w:eastAsia="SimSun" w:hAnsi="Book Antiqua" w:cs="Helvetica"/>
          <w:color w:val="auto"/>
          <w:sz w:val="24"/>
          <w:szCs w:val="24"/>
          <w:lang w:val="en-US" w:eastAsia="zh-CN"/>
        </w:rPr>
        <w:t xml:space="preserve">Grade E (Poor): </w:t>
      </w:r>
      <w:r w:rsidRPr="00FC2DDA">
        <w:rPr>
          <w:rFonts w:ascii="Book Antiqua" w:eastAsia="SimSun" w:hAnsi="Book Antiqua" w:cs="Helvetica" w:hint="eastAsia"/>
          <w:color w:val="auto"/>
          <w:sz w:val="24"/>
          <w:szCs w:val="24"/>
          <w:lang w:val="en-US" w:eastAsia="zh-CN"/>
        </w:rPr>
        <w:t>0</w:t>
      </w:r>
      <w:bookmarkEnd w:id="197"/>
      <w:bookmarkEnd w:id="198"/>
      <w:r w:rsidRPr="00FC2DDA">
        <w:rPr>
          <w:rFonts w:ascii="Book Antiqua" w:eastAsia="SimSun" w:hAnsi="Book Antiqua" w:cs="Helvetica" w:hint="eastAsia"/>
          <w:color w:val="auto"/>
          <w:sz w:val="24"/>
          <w:szCs w:val="24"/>
          <w:lang w:val="en-US" w:eastAsia="zh-CN"/>
        </w:rPr>
        <w:t xml:space="preserve"> </w:t>
      </w:r>
    </w:p>
    <w:bookmarkEnd w:id="195"/>
    <w:bookmarkEnd w:id="196"/>
    <w:bookmarkEnd w:id="199"/>
    <w:bookmarkEnd w:id="200"/>
    <w:p w14:paraId="2D548268" w14:textId="77777777" w:rsidR="007469BA" w:rsidRPr="00FC2DDA" w:rsidRDefault="007469BA">
      <w:pPr>
        <w:rPr>
          <w:rFonts w:ascii="Book Antiqua" w:eastAsia="SimSun" w:hAnsi="Book Antiqua" w:cs="Times New Roman"/>
          <w:color w:val="auto"/>
          <w:kern w:val="2"/>
          <w:sz w:val="24"/>
          <w:szCs w:val="24"/>
          <w:lang w:val="en-US" w:eastAsia="zh-CN"/>
        </w:rPr>
      </w:pPr>
      <w:r w:rsidRPr="00FC2DDA">
        <w:rPr>
          <w:rFonts w:ascii="Book Antiqua" w:eastAsia="SimSun" w:hAnsi="Book Antiqua" w:cs="Times New Roman"/>
          <w:color w:val="auto"/>
          <w:kern w:val="2"/>
          <w:sz w:val="24"/>
          <w:szCs w:val="24"/>
          <w:lang w:val="en-US" w:eastAsia="zh-CN"/>
        </w:rPr>
        <w:br w:type="page"/>
      </w:r>
    </w:p>
    <w:p w14:paraId="18E6F850" w14:textId="0C978EF8" w:rsidR="00782C99" w:rsidRPr="00FC2DDA" w:rsidRDefault="00782C99" w:rsidP="00AF2AB9">
      <w:pPr>
        <w:widowControl w:val="0"/>
        <w:tabs>
          <w:tab w:val="left" w:pos="500"/>
        </w:tabs>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noProof/>
          <w:color w:val="auto"/>
          <w:sz w:val="24"/>
          <w:szCs w:val="24"/>
          <w:lang w:val="en-US" w:eastAsia="zh-CN"/>
        </w:rPr>
        <w:lastRenderedPageBreak/>
        <w:drawing>
          <wp:inline distT="0" distB="0" distL="0" distR="0" wp14:anchorId="4318DB29" wp14:editId="5E5FCBDE">
            <wp:extent cx="4702375" cy="4398414"/>
            <wp:effectExtent l="0" t="0" r="3175"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5 finale.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05765" cy="4401585"/>
                    </a:xfrm>
                    <a:prstGeom prst="rect">
                      <a:avLst/>
                    </a:prstGeom>
                  </pic:spPr>
                </pic:pic>
              </a:graphicData>
            </a:graphic>
          </wp:inline>
        </w:drawing>
      </w:r>
    </w:p>
    <w:p w14:paraId="3470D0CE" w14:textId="7D3883B9" w:rsidR="00782C99" w:rsidRPr="00FC2DDA" w:rsidRDefault="008A0E66" w:rsidP="00AF2AB9">
      <w:pPr>
        <w:widowControl w:val="0"/>
        <w:tabs>
          <w:tab w:val="left" w:pos="500"/>
        </w:tabs>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b/>
          <w:color w:val="auto"/>
          <w:sz w:val="24"/>
          <w:szCs w:val="24"/>
        </w:rPr>
        <w:t>Figure 1</w:t>
      </w:r>
      <w:r w:rsidR="00B43DD5" w:rsidRPr="00FC2DDA">
        <w:rPr>
          <w:rFonts w:ascii="Book Antiqua" w:hAnsi="Book Antiqua" w:cs="Times New Roman" w:hint="eastAsia"/>
          <w:b/>
          <w:color w:val="auto"/>
          <w:sz w:val="24"/>
          <w:szCs w:val="24"/>
          <w:lang w:eastAsia="zh-CN"/>
        </w:rPr>
        <w:t xml:space="preserve"> </w:t>
      </w:r>
      <w:r w:rsidRPr="00FC2DDA">
        <w:rPr>
          <w:rFonts w:ascii="Book Antiqua" w:eastAsia="Times New Roman" w:hAnsi="Book Antiqua" w:cs="Times New Roman"/>
          <w:b/>
          <w:color w:val="auto"/>
          <w:sz w:val="24"/>
          <w:szCs w:val="24"/>
        </w:rPr>
        <w:t xml:space="preserve">Schematic comparison </w:t>
      </w:r>
      <w:r w:rsidR="001013D7" w:rsidRPr="00FC2DDA">
        <w:rPr>
          <w:rFonts w:ascii="Book Antiqua" w:eastAsia="Times New Roman" w:hAnsi="Book Antiqua" w:cs="Times New Roman"/>
          <w:b/>
          <w:color w:val="auto"/>
          <w:sz w:val="24"/>
          <w:szCs w:val="24"/>
        </w:rPr>
        <w:t>b</w:t>
      </w:r>
      <w:r w:rsidRPr="00FC2DDA">
        <w:rPr>
          <w:rFonts w:ascii="Book Antiqua" w:eastAsia="Times New Roman" w:hAnsi="Book Antiqua" w:cs="Times New Roman"/>
          <w:b/>
          <w:color w:val="auto"/>
          <w:sz w:val="24"/>
          <w:szCs w:val="24"/>
        </w:rPr>
        <w:t xml:space="preserve">etween </w:t>
      </w:r>
      <w:r w:rsidR="00B43DD5" w:rsidRPr="00FC2DDA">
        <w:rPr>
          <w:rFonts w:ascii="Book Antiqua" w:eastAsia="Times New Roman" w:hAnsi="Book Antiqua" w:cs="Times New Roman"/>
          <w:b/>
          <w:color w:val="auto"/>
          <w:sz w:val="24"/>
          <w:szCs w:val="24"/>
        </w:rPr>
        <w:t>diffusion weighted</w:t>
      </w:r>
      <w:r w:rsidRPr="00FC2DDA">
        <w:rPr>
          <w:rFonts w:ascii="Book Antiqua" w:eastAsia="Times New Roman" w:hAnsi="Book Antiqua" w:cs="Times New Roman"/>
          <w:b/>
          <w:color w:val="auto"/>
          <w:sz w:val="24"/>
          <w:szCs w:val="24"/>
        </w:rPr>
        <w:t xml:space="preserve"> images (on the left) and </w:t>
      </w:r>
      <w:r w:rsidR="00B43DD5" w:rsidRPr="00FC2DDA">
        <w:rPr>
          <w:rFonts w:ascii="Book Antiqua" w:eastAsia="Times New Roman" w:hAnsi="Book Antiqua" w:cs="Times New Roman"/>
          <w:b/>
          <w:color w:val="auto"/>
          <w:sz w:val="24"/>
          <w:szCs w:val="24"/>
        </w:rPr>
        <w:t>p</w:t>
      </w:r>
      <w:r w:rsidRPr="00FC2DDA">
        <w:rPr>
          <w:rFonts w:ascii="Book Antiqua" w:eastAsia="Times New Roman" w:hAnsi="Book Antiqua" w:cs="Times New Roman"/>
          <w:b/>
          <w:color w:val="auto"/>
          <w:sz w:val="24"/>
          <w:szCs w:val="24"/>
        </w:rPr>
        <w:t xml:space="preserve">erfusion </w:t>
      </w:r>
      <w:r w:rsidR="00B43DD5" w:rsidRPr="00FC2DDA">
        <w:rPr>
          <w:rFonts w:ascii="Book Antiqua" w:eastAsia="Times New Roman" w:hAnsi="Book Antiqua" w:cs="Times New Roman"/>
          <w:b/>
          <w:color w:val="auto"/>
          <w:sz w:val="24"/>
          <w:szCs w:val="24"/>
        </w:rPr>
        <w:t>m</w:t>
      </w:r>
      <w:r w:rsidRPr="00FC2DDA">
        <w:rPr>
          <w:rFonts w:ascii="Book Antiqua" w:eastAsia="Times New Roman" w:hAnsi="Book Antiqua" w:cs="Times New Roman"/>
          <w:b/>
          <w:color w:val="auto"/>
          <w:sz w:val="24"/>
          <w:szCs w:val="24"/>
        </w:rPr>
        <w:t xml:space="preserve">aps </w:t>
      </w:r>
      <w:r w:rsidR="00F278C1" w:rsidRPr="00FC2DDA">
        <w:rPr>
          <w:rFonts w:ascii="Book Antiqua" w:eastAsia="Times New Roman" w:hAnsi="Book Antiqua" w:cs="Times New Roman"/>
          <w:b/>
          <w:color w:val="auto"/>
          <w:sz w:val="24"/>
          <w:szCs w:val="24"/>
        </w:rPr>
        <w:t xml:space="preserve">(on the right) </w:t>
      </w:r>
      <w:r w:rsidRPr="00FC2DDA">
        <w:rPr>
          <w:rFonts w:ascii="Book Antiqua" w:eastAsia="Times New Roman" w:hAnsi="Book Antiqua" w:cs="Times New Roman"/>
          <w:b/>
          <w:color w:val="auto"/>
          <w:sz w:val="24"/>
          <w:szCs w:val="24"/>
        </w:rPr>
        <w:t xml:space="preserve">showing the meaning from pathophysiological point of view of the two different functional </w:t>
      </w:r>
      <w:r w:rsidR="003532E7" w:rsidRPr="00FC2DDA">
        <w:rPr>
          <w:rFonts w:ascii="Book Antiqua" w:eastAsia="Times New Roman" w:hAnsi="Book Antiqua" w:cs="Times New Roman"/>
          <w:b/>
          <w:color w:val="auto"/>
          <w:sz w:val="24"/>
          <w:szCs w:val="24"/>
        </w:rPr>
        <w:t>magnetic resonance</w:t>
      </w:r>
      <w:r w:rsidRPr="00FC2DDA">
        <w:rPr>
          <w:rFonts w:ascii="Book Antiqua" w:eastAsia="Times New Roman" w:hAnsi="Book Antiqua" w:cs="Times New Roman"/>
          <w:b/>
          <w:color w:val="auto"/>
          <w:sz w:val="24"/>
          <w:szCs w:val="24"/>
        </w:rPr>
        <w:t xml:space="preserve"> techniques. </w:t>
      </w:r>
      <w:r w:rsidRPr="00FC2DDA">
        <w:rPr>
          <w:rFonts w:ascii="Book Antiqua" w:eastAsia="Times New Roman" w:hAnsi="Book Antiqua" w:cs="Times New Roman"/>
          <w:color w:val="auto"/>
          <w:sz w:val="24"/>
          <w:szCs w:val="24"/>
        </w:rPr>
        <w:t>The diffusion</w:t>
      </w:r>
      <w:r w:rsidR="00A50B93"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offer</w:t>
      </w:r>
      <w:r w:rsidR="00A50B93" w:rsidRPr="00FC2DDA">
        <w:rPr>
          <w:rFonts w:ascii="Book Antiqua" w:eastAsia="Times New Roman" w:hAnsi="Book Antiqua" w:cs="Times New Roman"/>
          <w:color w:val="auto"/>
          <w:sz w:val="24"/>
          <w:szCs w:val="24"/>
        </w:rPr>
        <w:t xml:space="preserve">s </w:t>
      </w:r>
      <w:r w:rsidRPr="00FC2DDA">
        <w:rPr>
          <w:rFonts w:ascii="Book Antiqua" w:eastAsia="Times New Roman" w:hAnsi="Book Antiqua" w:cs="Times New Roman"/>
          <w:color w:val="auto"/>
          <w:sz w:val="24"/>
          <w:szCs w:val="24"/>
        </w:rPr>
        <w:t>qualitative information stri</w:t>
      </w:r>
      <w:r w:rsidR="00F278C1" w:rsidRPr="00FC2DDA">
        <w:rPr>
          <w:rFonts w:ascii="Book Antiqua" w:eastAsia="Times New Roman" w:hAnsi="Book Antiqua" w:cs="Times New Roman"/>
          <w:color w:val="auto"/>
          <w:sz w:val="24"/>
          <w:szCs w:val="24"/>
        </w:rPr>
        <w:t>c</w:t>
      </w:r>
      <w:r w:rsidRPr="00FC2DDA">
        <w:rPr>
          <w:rFonts w:ascii="Book Antiqua" w:eastAsia="Times New Roman" w:hAnsi="Book Antiqua" w:cs="Times New Roman"/>
          <w:color w:val="auto"/>
          <w:sz w:val="24"/>
          <w:szCs w:val="24"/>
        </w:rPr>
        <w:t>t</w:t>
      </w:r>
      <w:r w:rsidR="00F278C1" w:rsidRPr="00FC2DDA">
        <w:rPr>
          <w:rFonts w:ascii="Book Antiqua" w:eastAsia="Times New Roman" w:hAnsi="Book Antiqua" w:cs="Times New Roman"/>
          <w:color w:val="auto"/>
          <w:sz w:val="24"/>
          <w:szCs w:val="24"/>
        </w:rPr>
        <w:t>l</w:t>
      </w:r>
      <w:r w:rsidRPr="00FC2DDA">
        <w:rPr>
          <w:rFonts w:ascii="Book Antiqua" w:eastAsia="Times New Roman" w:hAnsi="Book Antiqua" w:cs="Times New Roman"/>
          <w:color w:val="auto"/>
          <w:sz w:val="24"/>
          <w:szCs w:val="24"/>
        </w:rPr>
        <w:t>y related to tissue cellularity, while perfusion sequences offers qualitative information about tissue vascularization.</w:t>
      </w:r>
    </w:p>
    <w:p w14:paraId="5358A700" w14:textId="77777777" w:rsidR="00DA6934" w:rsidRPr="00FC2DDA" w:rsidRDefault="00DA6934" w:rsidP="00AF2AB9">
      <w:pPr>
        <w:snapToGrid w:val="0"/>
        <w:spacing w:after="0" w:line="360" w:lineRule="auto"/>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br w:type="page"/>
      </w:r>
    </w:p>
    <w:p w14:paraId="4DDC4B31" w14:textId="2998C674" w:rsidR="00EF0317" w:rsidRPr="00FC2DDA" w:rsidRDefault="00EF0317" w:rsidP="00AF2AB9">
      <w:pPr>
        <w:widowControl w:val="0"/>
        <w:tabs>
          <w:tab w:val="left" w:pos="500"/>
        </w:tabs>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noProof/>
          <w:color w:val="auto"/>
          <w:sz w:val="24"/>
          <w:szCs w:val="24"/>
          <w:lang w:val="en-US" w:eastAsia="zh-CN"/>
        </w:rPr>
        <w:lastRenderedPageBreak/>
        <w:drawing>
          <wp:inline distT="0" distB="0" distL="0" distR="0" wp14:anchorId="65020E2E" wp14:editId="1FC473B8">
            <wp:extent cx="6120130" cy="4315460"/>
            <wp:effectExtent l="0" t="0" r="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eca.jpeg"/>
                    <pic:cNvPicPr/>
                  </pic:nvPicPr>
                  <pic:blipFill>
                    <a:blip r:embed="rId20">
                      <a:extLst>
                        <a:ext uri="{28A0092B-C50C-407E-A947-70E740481C1C}">
                          <a14:useLocalDpi xmlns:a14="http://schemas.microsoft.com/office/drawing/2010/main" val="0"/>
                        </a:ext>
                      </a:extLst>
                    </a:blip>
                    <a:stretch>
                      <a:fillRect/>
                    </a:stretch>
                  </pic:blipFill>
                  <pic:spPr>
                    <a:xfrm>
                      <a:off x="0" y="0"/>
                      <a:ext cx="6120130" cy="4315460"/>
                    </a:xfrm>
                    <a:prstGeom prst="rect">
                      <a:avLst/>
                    </a:prstGeom>
                  </pic:spPr>
                </pic:pic>
              </a:graphicData>
            </a:graphic>
          </wp:inline>
        </w:drawing>
      </w:r>
    </w:p>
    <w:p w14:paraId="0556E23A" w14:textId="73189D8E" w:rsidR="00803DB9" w:rsidRPr="00FC2DDA" w:rsidRDefault="00EF0317" w:rsidP="00AF2AB9">
      <w:pPr>
        <w:snapToGrid w:val="0"/>
        <w:spacing w:after="0" w:line="360" w:lineRule="auto"/>
        <w:jc w:val="both"/>
        <w:rPr>
          <w:rFonts w:ascii="Book Antiqua" w:eastAsia="Times New Roman" w:hAnsi="Book Antiqua" w:cs="Times New Roman"/>
          <w:color w:val="auto"/>
          <w:sz w:val="24"/>
          <w:szCs w:val="24"/>
          <w:lang w:eastAsia="zh-CN"/>
        </w:rPr>
      </w:pPr>
      <w:r w:rsidRPr="00FC2DDA">
        <w:rPr>
          <w:rFonts w:ascii="Book Antiqua" w:eastAsia="Times New Roman" w:hAnsi="Book Antiqua" w:cs="Times New Roman"/>
          <w:b/>
          <w:color w:val="auto"/>
          <w:sz w:val="24"/>
          <w:szCs w:val="24"/>
        </w:rPr>
        <w:t>Figure 2</w:t>
      </w:r>
      <w:r w:rsidR="00B43DD5" w:rsidRPr="00FC2DDA">
        <w:rPr>
          <w:rFonts w:ascii="Book Antiqua" w:hAnsi="Book Antiqua" w:cs="Times New Roman" w:hint="eastAsia"/>
          <w:b/>
          <w:color w:val="auto"/>
          <w:sz w:val="24"/>
          <w:szCs w:val="24"/>
          <w:lang w:eastAsia="zh-CN"/>
        </w:rPr>
        <w:t xml:space="preserve"> </w:t>
      </w:r>
      <w:r w:rsidR="00803DB9" w:rsidRPr="00FC2DDA">
        <w:rPr>
          <w:rFonts w:ascii="Book Antiqua" w:hAnsi="Book Antiqua" w:cs="Times New Roman"/>
          <w:b/>
          <w:color w:val="auto"/>
          <w:sz w:val="24"/>
          <w:szCs w:val="24"/>
        </w:rPr>
        <w:t>Schematic</w:t>
      </w:r>
      <w:r w:rsidR="00566E1F" w:rsidRPr="00FC2DDA">
        <w:rPr>
          <w:rFonts w:ascii="Book Antiqua" w:hAnsi="Book Antiqua" w:cs="Times New Roman" w:hint="eastAsia"/>
          <w:b/>
          <w:color w:val="auto"/>
          <w:sz w:val="24"/>
          <w:szCs w:val="24"/>
          <w:lang w:eastAsia="zh-CN"/>
        </w:rPr>
        <w:t xml:space="preserve"> </w:t>
      </w:r>
      <w:r w:rsidR="00803DB9" w:rsidRPr="00FC2DDA">
        <w:rPr>
          <w:rFonts w:ascii="Book Antiqua" w:hAnsi="Book Antiqua" w:cs="Times New Roman"/>
          <w:b/>
          <w:color w:val="auto"/>
          <w:sz w:val="24"/>
          <w:szCs w:val="24"/>
        </w:rPr>
        <w:t>representation showing dynamic contrast enhanced sequences, diffusion weighted images</w:t>
      </w:r>
      <w:r w:rsidR="00AD244A" w:rsidRPr="00FC2DDA">
        <w:rPr>
          <w:rFonts w:ascii="Book Antiqua" w:hAnsi="Book Antiqua" w:cs="Times New Roman" w:hint="eastAsia"/>
          <w:b/>
          <w:color w:val="auto"/>
          <w:sz w:val="24"/>
          <w:szCs w:val="24"/>
          <w:lang w:eastAsia="zh-CN"/>
        </w:rPr>
        <w:t xml:space="preserve"> </w:t>
      </w:r>
      <w:r w:rsidR="00803DB9" w:rsidRPr="00FC2DDA">
        <w:rPr>
          <w:rFonts w:ascii="Book Antiqua" w:hAnsi="Book Antiqua" w:cs="Times New Roman"/>
          <w:b/>
          <w:color w:val="auto"/>
          <w:sz w:val="24"/>
          <w:szCs w:val="24"/>
        </w:rPr>
        <w:t>and T2-weighted features</w:t>
      </w:r>
      <w:r w:rsidR="001013D7" w:rsidRPr="00FC2DDA">
        <w:rPr>
          <w:rFonts w:ascii="Book Antiqua" w:hAnsi="Book Antiqua" w:cs="Times New Roman"/>
          <w:b/>
          <w:color w:val="auto"/>
          <w:sz w:val="24"/>
          <w:szCs w:val="24"/>
        </w:rPr>
        <w:t xml:space="preserve"> in </w:t>
      </w:r>
      <w:r w:rsidR="00803DB9" w:rsidRPr="00FC2DDA">
        <w:rPr>
          <w:rFonts w:ascii="Book Antiqua" w:hAnsi="Book Antiqua" w:cs="Times New Roman"/>
          <w:b/>
          <w:color w:val="auto"/>
          <w:sz w:val="24"/>
          <w:szCs w:val="24"/>
        </w:rPr>
        <w:t>typical, green</w:t>
      </w:r>
      <w:r w:rsidR="005D058F" w:rsidRPr="00FC2DDA">
        <w:rPr>
          <w:rFonts w:ascii="Book Antiqua" w:hAnsi="Book Antiqua" w:cs="Times New Roman" w:hint="eastAsia"/>
          <w:b/>
          <w:color w:val="auto"/>
          <w:sz w:val="24"/>
          <w:szCs w:val="24"/>
          <w:lang w:eastAsia="zh-CN"/>
        </w:rPr>
        <w:t xml:space="preserve">, </w:t>
      </w:r>
      <w:r w:rsidR="00803DB9" w:rsidRPr="00FC2DDA">
        <w:rPr>
          <w:rFonts w:ascii="Book Antiqua" w:hAnsi="Book Antiqua" w:cs="Times New Roman"/>
          <w:b/>
          <w:color w:val="auto"/>
          <w:sz w:val="24"/>
          <w:szCs w:val="24"/>
        </w:rPr>
        <w:t xml:space="preserve">and hypovascular </w:t>
      </w:r>
      <w:r w:rsidR="00566E1F" w:rsidRPr="00FC2DDA">
        <w:rPr>
          <w:rFonts w:ascii="Book Antiqua" w:hAnsi="Book Antiqua" w:cs="Times New Roman"/>
          <w:b/>
          <w:color w:val="auto"/>
          <w:sz w:val="24"/>
          <w:szCs w:val="24"/>
        </w:rPr>
        <w:t>hepatocellular carcinoma</w:t>
      </w:r>
      <w:r w:rsidR="00803DB9" w:rsidRPr="00FC2DDA">
        <w:rPr>
          <w:rFonts w:ascii="Book Antiqua" w:hAnsi="Book Antiqua" w:cs="Times New Roman"/>
          <w:b/>
          <w:color w:val="auto"/>
          <w:sz w:val="24"/>
          <w:szCs w:val="24"/>
        </w:rPr>
        <w:t>,</w:t>
      </w:r>
      <w:r w:rsidR="005D058F" w:rsidRPr="00FC2DDA">
        <w:rPr>
          <w:rFonts w:ascii="Book Antiqua" w:hAnsi="Book Antiqua" w:cs="Times New Roman" w:hint="eastAsia"/>
          <w:b/>
          <w:color w:val="auto"/>
          <w:sz w:val="24"/>
          <w:szCs w:val="24"/>
          <w:lang w:eastAsia="zh-CN"/>
        </w:rPr>
        <w:t xml:space="preserve"> </w:t>
      </w:r>
      <w:r w:rsidR="00803DB9" w:rsidRPr="00FC2DDA">
        <w:rPr>
          <w:rFonts w:ascii="Book Antiqua" w:hAnsi="Book Antiqua" w:cs="Times New Roman"/>
          <w:b/>
          <w:color w:val="auto"/>
          <w:sz w:val="24"/>
          <w:szCs w:val="24"/>
        </w:rPr>
        <w:t>comparing information from</w:t>
      </w:r>
      <w:r w:rsidR="00566E1F" w:rsidRPr="00FC2DDA">
        <w:rPr>
          <w:rFonts w:ascii="Book Antiqua" w:hAnsi="Book Antiqua" w:cs="Times New Roman" w:hint="eastAsia"/>
          <w:b/>
          <w:color w:val="auto"/>
          <w:sz w:val="24"/>
          <w:szCs w:val="24"/>
          <w:lang w:eastAsia="zh-CN"/>
        </w:rPr>
        <w:t xml:space="preserve"> </w:t>
      </w:r>
      <w:r w:rsidR="00566E1F" w:rsidRPr="00FC2DDA">
        <w:rPr>
          <w:rFonts w:ascii="Book Antiqua" w:hAnsi="Book Antiqua" w:cs="Times New Roman"/>
          <w:b/>
          <w:color w:val="auto"/>
          <w:sz w:val="24"/>
          <w:szCs w:val="24"/>
        </w:rPr>
        <w:t>extra cellular contrast agent</w:t>
      </w:r>
      <w:r w:rsidR="00566E1F" w:rsidRPr="00FC2DDA">
        <w:rPr>
          <w:rFonts w:ascii="Book Antiqua" w:hAnsi="Book Antiqua" w:cs="Times New Roman" w:hint="eastAsia"/>
          <w:b/>
          <w:color w:val="auto"/>
          <w:sz w:val="24"/>
          <w:szCs w:val="24"/>
          <w:lang w:eastAsia="zh-CN"/>
        </w:rPr>
        <w:t xml:space="preserve"> </w:t>
      </w:r>
      <w:r w:rsidR="00803DB9" w:rsidRPr="00FC2DDA">
        <w:rPr>
          <w:rFonts w:ascii="Book Antiqua" w:hAnsi="Book Antiqua" w:cs="Times New Roman"/>
          <w:b/>
          <w:color w:val="auto"/>
          <w:sz w:val="24"/>
          <w:szCs w:val="24"/>
        </w:rPr>
        <w:t>and</w:t>
      </w:r>
      <w:r w:rsidR="00566E1F" w:rsidRPr="00FC2DDA">
        <w:rPr>
          <w:rFonts w:ascii="Book Antiqua" w:hAnsi="Book Antiqua" w:cs="Times New Roman" w:hint="eastAsia"/>
          <w:b/>
          <w:color w:val="auto"/>
          <w:sz w:val="24"/>
          <w:szCs w:val="24"/>
          <w:lang w:eastAsia="zh-CN"/>
        </w:rPr>
        <w:t xml:space="preserve"> </w:t>
      </w:r>
      <w:r w:rsidR="00566E1F" w:rsidRPr="00FC2DDA">
        <w:rPr>
          <w:rFonts w:ascii="Book Antiqua" w:hAnsi="Book Antiqua" w:cs="Times New Roman"/>
          <w:b/>
          <w:color w:val="auto"/>
          <w:sz w:val="24"/>
          <w:szCs w:val="24"/>
        </w:rPr>
        <w:t>h</w:t>
      </w:r>
      <w:r w:rsidR="00803DB9" w:rsidRPr="00FC2DDA">
        <w:rPr>
          <w:rFonts w:ascii="Book Antiqua" w:hAnsi="Book Antiqua" w:cs="Times New Roman"/>
          <w:b/>
          <w:color w:val="auto"/>
          <w:sz w:val="24"/>
          <w:szCs w:val="24"/>
        </w:rPr>
        <w:t xml:space="preserve">epatoBiliary contrast </w:t>
      </w:r>
      <w:r w:rsidR="00566E1F" w:rsidRPr="00FC2DDA">
        <w:rPr>
          <w:rFonts w:ascii="Book Antiqua" w:hAnsi="Book Antiqua" w:cs="Times New Roman"/>
          <w:b/>
          <w:color w:val="auto"/>
          <w:sz w:val="24"/>
          <w:szCs w:val="24"/>
        </w:rPr>
        <w:t>agent</w:t>
      </w:r>
      <w:r w:rsidR="00803DB9" w:rsidRPr="00FC2DDA">
        <w:rPr>
          <w:rFonts w:ascii="Book Antiqua" w:hAnsi="Book Antiqua" w:cs="Times New Roman"/>
          <w:b/>
          <w:color w:val="auto"/>
          <w:sz w:val="24"/>
          <w:szCs w:val="24"/>
        </w:rPr>
        <w:t>.</w:t>
      </w:r>
      <w:r w:rsidR="00566E1F" w:rsidRPr="00FC2DDA">
        <w:rPr>
          <w:rFonts w:ascii="Book Antiqua" w:hAnsi="Book Antiqua" w:cs="Times New Roman" w:hint="eastAsia"/>
          <w:color w:val="auto"/>
          <w:sz w:val="24"/>
          <w:szCs w:val="24"/>
          <w:lang w:eastAsia="zh-CN"/>
        </w:rPr>
        <w:t xml:space="preserve"> ECA: </w:t>
      </w:r>
      <w:r w:rsidR="00566E1F" w:rsidRPr="00FC2DDA">
        <w:rPr>
          <w:rFonts w:ascii="Book Antiqua" w:hAnsi="Book Antiqua" w:cs="Times New Roman"/>
          <w:color w:val="auto"/>
          <w:sz w:val="24"/>
          <w:szCs w:val="24"/>
        </w:rPr>
        <w:t>Extra cellular contrast agent</w:t>
      </w:r>
      <w:r w:rsidR="00566E1F" w:rsidRPr="00FC2DDA">
        <w:rPr>
          <w:rFonts w:ascii="Book Antiqua" w:hAnsi="Book Antiqua" w:cs="Times New Roman" w:hint="eastAsia"/>
          <w:color w:val="auto"/>
          <w:sz w:val="24"/>
          <w:szCs w:val="24"/>
          <w:lang w:eastAsia="zh-CN"/>
        </w:rPr>
        <w:t xml:space="preserve">; HBA: </w:t>
      </w:r>
      <w:r w:rsidR="00566E1F" w:rsidRPr="00FC2DDA">
        <w:rPr>
          <w:rFonts w:ascii="Book Antiqua" w:hAnsi="Book Antiqua" w:cs="Times New Roman"/>
          <w:color w:val="auto"/>
          <w:sz w:val="24"/>
          <w:szCs w:val="24"/>
        </w:rPr>
        <w:t>Hepato</w:t>
      </w:r>
      <w:r w:rsidR="00AF5809" w:rsidRPr="00FC2DDA">
        <w:rPr>
          <w:rFonts w:ascii="Book Antiqua" w:hAnsi="Book Antiqua" w:cs="Times New Roman"/>
          <w:color w:val="auto"/>
          <w:sz w:val="24"/>
          <w:szCs w:val="24"/>
        </w:rPr>
        <w:t>b</w:t>
      </w:r>
      <w:r w:rsidR="00566E1F" w:rsidRPr="00FC2DDA">
        <w:rPr>
          <w:rFonts w:ascii="Book Antiqua" w:hAnsi="Book Antiqua" w:cs="Times New Roman"/>
          <w:color w:val="auto"/>
          <w:sz w:val="24"/>
          <w:szCs w:val="24"/>
        </w:rPr>
        <w:t>iliary contrast agent</w:t>
      </w:r>
      <w:r w:rsidR="00FE0CD4" w:rsidRPr="00FC2DDA">
        <w:rPr>
          <w:rFonts w:ascii="Book Antiqua" w:hAnsi="Book Antiqua" w:cs="Times New Roman" w:hint="eastAsia"/>
          <w:color w:val="auto"/>
          <w:sz w:val="24"/>
          <w:szCs w:val="24"/>
          <w:lang w:eastAsia="zh-CN"/>
        </w:rPr>
        <w:t xml:space="preserve">; DWI: </w:t>
      </w:r>
      <w:r w:rsidR="00FE0CD4" w:rsidRPr="00FC2DDA">
        <w:rPr>
          <w:rFonts w:ascii="Book Antiqua" w:hAnsi="Book Antiqua" w:cs="Times New Roman"/>
          <w:caps/>
          <w:color w:val="auto"/>
          <w:sz w:val="24"/>
          <w:szCs w:val="24"/>
          <w:lang w:eastAsia="zh-CN"/>
        </w:rPr>
        <w:t>d</w:t>
      </w:r>
      <w:r w:rsidR="00FE0CD4" w:rsidRPr="00FC2DDA">
        <w:rPr>
          <w:rFonts w:ascii="Book Antiqua" w:hAnsi="Book Antiqua" w:cs="Times New Roman"/>
          <w:color w:val="auto"/>
          <w:sz w:val="24"/>
          <w:szCs w:val="24"/>
          <w:lang w:eastAsia="zh-CN"/>
        </w:rPr>
        <w:t>iffusion weighted images</w:t>
      </w:r>
      <w:r w:rsidR="00FE0CD4" w:rsidRPr="00FC2DDA">
        <w:rPr>
          <w:rFonts w:ascii="Book Antiqua" w:hAnsi="Book Antiqua" w:cs="Times New Roman" w:hint="eastAsia"/>
          <w:color w:val="auto"/>
          <w:sz w:val="24"/>
          <w:szCs w:val="24"/>
          <w:lang w:eastAsia="zh-CN"/>
        </w:rPr>
        <w:t>.</w:t>
      </w:r>
    </w:p>
    <w:p w14:paraId="0CFC7D0E" w14:textId="77777777" w:rsidR="00F23569" w:rsidRPr="00FC2DDA" w:rsidRDefault="00F23569"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br w:type="page"/>
      </w:r>
    </w:p>
    <w:p w14:paraId="44A6308F" w14:textId="738AC3C5" w:rsidR="003B60ED" w:rsidRPr="00FC2DDA" w:rsidRDefault="003B60ED" w:rsidP="00AF2AB9">
      <w:pPr>
        <w:widowControl w:val="0"/>
        <w:tabs>
          <w:tab w:val="left" w:pos="500"/>
        </w:tabs>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noProof/>
          <w:color w:val="auto"/>
          <w:sz w:val="24"/>
          <w:szCs w:val="24"/>
          <w:lang w:val="en-US" w:eastAsia="zh-CN"/>
        </w:rPr>
        <w:lastRenderedPageBreak/>
        <w:drawing>
          <wp:inline distT="0" distB="0" distL="0" distR="0" wp14:anchorId="2D855175" wp14:editId="56E10218">
            <wp:extent cx="6120130" cy="4590415"/>
            <wp:effectExtent l="19050" t="19050" r="13970" b="196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perf.tif"/>
                    <pic:cNvPicPr/>
                  </pic:nvPicPr>
                  <pic:blipFill>
                    <a:blip r:embed="rId21">
                      <a:extLst>
                        <a:ext uri="{28A0092B-C50C-407E-A947-70E740481C1C}">
                          <a14:useLocalDpi xmlns:a14="http://schemas.microsoft.com/office/drawing/2010/main" val="0"/>
                        </a:ext>
                      </a:extLst>
                    </a:blip>
                    <a:stretch>
                      <a:fillRect/>
                    </a:stretch>
                  </pic:blipFill>
                  <pic:spPr>
                    <a:xfrm>
                      <a:off x="0" y="0"/>
                      <a:ext cx="6120130" cy="4590415"/>
                    </a:xfrm>
                    <a:prstGeom prst="rect">
                      <a:avLst/>
                    </a:prstGeom>
                    <a:ln w="12700" cap="sq">
                      <a:solidFill>
                        <a:srgbClr val="000000"/>
                      </a:solidFill>
                      <a:prstDash val="solid"/>
                      <a:miter lim="800000"/>
                    </a:ln>
                    <a:effectLst/>
                  </pic:spPr>
                </pic:pic>
              </a:graphicData>
            </a:graphic>
          </wp:inline>
        </w:drawing>
      </w:r>
    </w:p>
    <w:p w14:paraId="06FD078E" w14:textId="5B9955F5" w:rsidR="00DA6934" w:rsidRPr="00FC2DDA" w:rsidRDefault="00782C99" w:rsidP="00AF2AB9">
      <w:pPr>
        <w:widowControl w:val="0"/>
        <w:tabs>
          <w:tab w:val="left" w:pos="500"/>
        </w:tabs>
        <w:snapToGrid w:val="0"/>
        <w:spacing w:after="0" w:line="360" w:lineRule="auto"/>
        <w:jc w:val="both"/>
        <w:rPr>
          <w:rFonts w:ascii="Book Antiqua" w:hAnsi="Book Antiqua" w:cs="Times New Roman"/>
          <w:color w:val="auto"/>
          <w:sz w:val="24"/>
          <w:szCs w:val="24"/>
          <w:lang w:eastAsia="zh-CN"/>
        </w:rPr>
      </w:pPr>
      <w:r w:rsidRPr="00FC2DDA">
        <w:rPr>
          <w:rFonts w:ascii="Book Antiqua" w:eastAsia="Times New Roman" w:hAnsi="Book Antiqua" w:cs="Times New Roman"/>
          <w:b/>
          <w:color w:val="auto"/>
          <w:sz w:val="24"/>
          <w:szCs w:val="24"/>
        </w:rPr>
        <w:t>Fig</w:t>
      </w:r>
      <w:r w:rsidR="00934F94" w:rsidRPr="00FC2DDA">
        <w:rPr>
          <w:rFonts w:ascii="Book Antiqua" w:hAnsi="Book Antiqua" w:cs="Times New Roman" w:hint="eastAsia"/>
          <w:b/>
          <w:color w:val="auto"/>
          <w:sz w:val="24"/>
          <w:szCs w:val="24"/>
          <w:lang w:eastAsia="zh-CN"/>
        </w:rPr>
        <w:t xml:space="preserve">ure </w:t>
      </w:r>
      <w:r w:rsidR="00A50B93" w:rsidRPr="00FC2DDA">
        <w:rPr>
          <w:rFonts w:ascii="Book Antiqua" w:eastAsia="Times New Roman" w:hAnsi="Book Antiqua" w:cs="Times New Roman"/>
          <w:b/>
          <w:color w:val="auto"/>
          <w:sz w:val="24"/>
          <w:szCs w:val="24"/>
        </w:rPr>
        <w:t>3</w:t>
      </w:r>
      <w:r w:rsidR="00934F94" w:rsidRPr="00FC2DDA">
        <w:rPr>
          <w:rFonts w:ascii="Book Antiqua" w:hAnsi="Book Antiqua" w:cs="Times New Roman" w:hint="eastAsia"/>
          <w:b/>
          <w:color w:val="auto"/>
          <w:sz w:val="24"/>
          <w:szCs w:val="24"/>
          <w:lang w:eastAsia="zh-CN"/>
        </w:rPr>
        <w:t xml:space="preserve"> </w:t>
      </w:r>
      <w:r w:rsidR="00FB4404" w:rsidRPr="00FC2DDA">
        <w:rPr>
          <w:rFonts w:ascii="Book Antiqua" w:eastAsia="Times New Roman" w:hAnsi="Book Antiqua" w:cs="Times New Roman"/>
          <w:b/>
          <w:color w:val="auto"/>
          <w:sz w:val="24"/>
          <w:szCs w:val="24"/>
        </w:rPr>
        <w:t xml:space="preserve">Gd-EOB-DTPA enhanced </w:t>
      </w:r>
      <w:r w:rsidR="003532E7" w:rsidRPr="00FC2DDA">
        <w:rPr>
          <w:rFonts w:ascii="Book Antiqua" w:eastAsia="Times New Roman" w:hAnsi="Book Antiqua" w:cs="Times New Roman"/>
          <w:b/>
          <w:color w:val="auto"/>
          <w:sz w:val="24"/>
          <w:szCs w:val="24"/>
        </w:rPr>
        <w:t>magnetic resonance</w:t>
      </w:r>
      <w:r w:rsidR="003532E7" w:rsidRPr="00FC2DDA">
        <w:rPr>
          <w:rFonts w:ascii="Book Antiqua" w:hAnsi="Book Antiqua" w:cs="Times New Roman" w:hint="eastAsia"/>
          <w:b/>
          <w:color w:val="auto"/>
          <w:sz w:val="24"/>
          <w:szCs w:val="24"/>
          <w:lang w:eastAsia="zh-CN"/>
        </w:rPr>
        <w:t xml:space="preserve"> </w:t>
      </w:r>
      <w:r w:rsidR="00FB4404" w:rsidRPr="00FC2DDA">
        <w:rPr>
          <w:rFonts w:ascii="Book Antiqua" w:eastAsia="Times New Roman" w:hAnsi="Book Antiqua" w:cs="Times New Roman"/>
          <w:b/>
          <w:color w:val="auto"/>
          <w:sz w:val="24"/>
          <w:szCs w:val="24"/>
        </w:rPr>
        <w:t>images of a</w:t>
      </w:r>
      <w:r w:rsidR="006D0C7A" w:rsidRPr="00FC2DDA">
        <w:rPr>
          <w:rFonts w:ascii="Book Antiqua" w:eastAsia="Times New Roman" w:hAnsi="Book Antiqua" w:cs="Times New Roman"/>
          <w:b/>
          <w:color w:val="auto"/>
          <w:sz w:val="24"/>
          <w:szCs w:val="24"/>
        </w:rPr>
        <w:t xml:space="preserve"> </w:t>
      </w:r>
      <w:r w:rsidR="0036376C" w:rsidRPr="00FC2DDA">
        <w:rPr>
          <w:rFonts w:ascii="Book Antiqua" w:eastAsia="Times New Roman" w:hAnsi="Book Antiqua" w:cs="Times New Roman"/>
          <w:b/>
          <w:color w:val="auto"/>
          <w:sz w:val="24"/>
          <w:szCs w:val="24"/>
        </w:rPr>
        <w:t>67-year-old</w:t>
      </w:r>
      <w:r w:rsidR="00FB4404" w:rsidRPr="00FC2DDA">
        <w:rPr>
          <w:rFonts w:ascii="Book Antiqua" w:eastAsia="Times New Roman" w:hAnsi="Book Antiqua" w:cs="Times New Roman"/>
          <w:b/>
          <w:color w:val="auto"/>
          <w:sz w:val="24"/>
          <w:szCs w:val="24"/>
        </w:rPr>
        <w:t xml:space="preserve"> </w:t>
      </w:r>
      <w:r w:rsidR="006D0C7A" w:rsidRPr="00FC2DDA">
        <w:rPr>
          <w:rFonts w:ascii="Book Antiqua" w:eastAsia="Times New Roman" w:hAnsi="Book Antiqua" w:cs="Times New Roman"/>
          <w:b/>
          <w:color w:val="auto"/>
          <w:sz w:val="24"/>
          <w:szCs w:val="24"/>
        </w:rPr>
        <w:t xml:space="preserve">male </w:t>
      </w:r>
      <w:r w:rsidR="00FB4404" w:rsidRPr="00FC2DDA">
        <w:rPr>
          <w:rFonts w:ascii="Book Antiqua" w:eastAsia="Times New Roman" w:hAnsi="Book Antiqua" w:cs="Times New Roman"/>
          <w:b/>
          <w:color w:val="auto"/>
          <w:sz w:val="24"/>
          <w:szCs w:val="24"/>
        </w:rPr>
        <w:t xml:space="preserve">patient with large </w:t>
      </w:r>
      <w:r w:rsidR="00495CC6" w:rsidRPr="00FC2DDA">
        <w:rPr>
          <w:rFonts w:ascii="Book Antiqua" w:eastAsia="Times New Roman" w:hAnsi="Book Antiqua" w:cs="Times New Roman"/>
          <w:b/>
          <w:color w:val="auto"/>
          <w:sz w:val="24"/>
          <w:szCs w:val="24"/>
        </w:rPr>
        <w:t xml:space="preserve">hepatocellular carcinoma </w:t>
      </w:r>
      <w:r w:rsidR="00FB4404" w:rsidRPr="00FC2DDA">
        <w:rPr>
          <w:rFonts w:ascii="Book Antiqua" w:eastAsia="Times New Roman" w:hAnsi="Book Antiqua" w:cs="Times New Roman"/>
          <w:b/>
          <w:color w:val="auto"/>
          <w:sz w:val="24"/>
          <w:szCs w:val="24"/>
        </w:rPr>
        <w:t>lesion in the right liver lobe.</w:t>
      </w:r>
      <w:r w:rsidR="00FB4404" w:rsidRPr="00FC2DDA">
        <w:rPr>
          <w:rFonts w:ascii="Book Antiqua" w:eastAsia="Times New Roman" w:hAnsi="Book Antiqua" w:cs="Times New Roman"/>
          <w:color w:val="auto"/>
          <w:sz w:val="24"/>
          <w:szCs w:val="24"/>
        </w:rPr>
        <w:t xml:space="preserve"> Panels a-b: T1-weighted sequences “in and out of phase” demonstrate a heterogeneous mass slightly hypointense without signal drop in “out of phase” sequence. Panels c-d: T2-weighted image without and with fat saturation demonstrate a slightly hyperintense mass with a central, homogeneous hyperintense area, as per necrosis.</w:t>
      </w:r>
      <w:r w:rsidR="000875FA" w:rsidRPr="00FC2DDA">
        <w:rPr>
          <w:rFonts w:ascii="Book Antiqua" w:hAnsi="Book Antiqua" w:cs="Times New Roman" w:hint="eastAsia"/>
          <w:color w:val="auto"/>
          <w:sz w:val="24"/>
          <w:szCs w:val="24"/>
          <w:lang w:eastAsia="zh-CN"/>
        </w:rPr>
        <w:t xml:space="preserve"> </w:t>
      </w:r>
      <w:r w:rsidR="00FB4404" w:rsidRPr="00FC2DDA">
        <w:rPr>
          <w:rFonts w:ascii="Book Antiqua" w:eastAsia="Times New Roman" w:hAnsi="Book Antiqua" w:cs="Times New Roman"/>
          <w:color w:val="auto"/>
          <w:sz w:val="24"/>
          <w:szCs w:val="24"/>
        </w:rPr>
        <w:t xml:space="preserve">Panels e-h: dynamic contrast-enhanced images delineate the typical contrast behavior of </w:t>
      </w:r>
      <w:r w:rsidR="000875FA" w:rsidRPr="00FC2DDA">
        <w:rPr>
          <w:rFonts w:ascii="Book Antiqua" w:eastAsia="Times New Roman" w:hAnsi="Book Antiqua" w:cs="Times New Roman"/>
          <w:color w:val="auto"/>
          <w:sz w:val="24"/>
          <w:szCs w:val="24"/>
        </w:rPr>
        <w:t>hepatocellular carcinoma (HCC)</w:t>
      </w:r>
      <w:r w:rsidR="00FB4404" w:rsidRPr="00FC2DDA">
        <w:rPr>
          <w:rFonts w:ascii="Book Antiqua" w:eastAsia="Times New Roman" w:hAnsi="Book Antiqua" w:cs="Times New Roman"/>
          <w:color w:val="auto"/>
          <w:sz w:val="24"/>
          <w:szCs w:val="24"/>
        </w:rPr>
        <w:t>: hyperenhancement during the arterial phase (f) followed by wash-out in portal and delayed phase (g-h). In the hepatobiliary phase image 20 min</w:t>
      </w:r>
      <w:r w:rsidR="00740AD8" w:rsidRPr="00FC2DDA">
        <w:rPr>
          <w:rFonts w:ascii="Book Antiqua" w:hAnsi="Book Antiqua" w:cs="Times New Roman" w:hint="eastAsia"/>
          <w:color w:val="auto"/>
          <w:sz w:val="24"/>
          <w:szCs w:val="24"/>
          <w:lang w:eastAsia="zh-CN"/>
        </w:rPr>
        <w:t xml:space="preserve"> </w:t>
      </w:r>
      <w:r w:rsidR="00FB4404" w:rsidRPr="00FC2DDA">
        <w:rPr>
          <w:rFonts w:ascii="Book Antiqua" w:eastAsia="Times New Roman" w:hAnsi="Book Antiqua" w:cs="Times New Roman"/>
          <w:color w:val="auto"/>
          <w:sz w:val="24"/>
          <w:szCs w:val="24"/>
        </w:rPr>
        <w:t xml:space="preserve">after Gd-EOB-DTPA injection the nodule appears highly hypointense compared with the surrounding enhanced liver (panel </w:t>
      </w:r>
      <w:r w:rsidR="006D0C7A" w:rsidRPr="00FC2DDA">
        <w:rPr>
          <w:rFonts w:ascii="Book Antiqua" w:eastAsia="Times New Roman" w:hAnsi="Book Antiqua" w:cs="Times New Roman"/>
          <w:color w:val="auto"/>
          <w:sz w:val="24"/>
          <w:szCs w:val="24"/>
        </w:rPr>
        <w:t>i</w:t>
      </w:r>
      <w:r w:rsidR="00FB4404" w:rsidRPr="00FC2DDA">
        <w:rPr>
          <w:rFonts w:ascii="Book Antiqua" w:eastAsia="Times New Roman" w:hAnsi="Book Antiqua" w:cs="Times New Roman"/>
          <w:color w:val="auto"/>
          <w:sz w:val="24"/>
          <w:szCs w:val="24"/>
        </w:rPr>
        <w:t xml:space="preserve">). Panel </w:t>
      </w:r>
      <w:r w:rsidR="006D0C7A" w:rsidRPr="00FC2DDA">
        <w:rPr>
          <w:rFonts w:ascii="Book Antiqua" w:eastAsia="Times New Roman" w:hAnsi="Book Antiqua" w:cs="Times New Roman"/>
          <w:color w:val="auto"/>
          <w:sz w:val="24"/>
          <w:szCs w:val="24"/>
        </w:rPr>
        <w:t>l</w:t>
      </w:r>
      <w:r w:rsidR="00FB4404" w:rsidRPr="00FC2DDA">
        <w:rPr>
          <w:rFonts w:ascii="Book Antiqua" w:eastAsia="Times New Roman" w:hAnsi="Book Antiqua" w:cs="Times New Roman"/>
          <w:color w:val="auto"/>
          <w:sz w:val="24"/>
          <w:szCs w:val="24"/>
        </w:rPr>
        <w:t>: on the diffusion weighted image HCC lesion is hyperintense due to the restriction of water diffusion. Panel m-n: perfusion images derived from semiqu</w:t>
      </w:r>
      <w:r w:rsidR="006D0C7A" w:rsidRPr="00FC2DDA">
        <w:rPr>
          <w:rFonts w:ascii="Book Antiqua" w:eastAsia="Times New Roman" w:hAnsi="Book Antiqua" w:cs="Times New Roman"/>
          <w:color w:val="auto"/>
          <w:sz w:val="24"/>
          <w:szCs w:val="24"/>
        </w:rPr>
        <w:t>a</w:t>
      </w:r>
      <w:r w:rsidR="00FB4404" w:rsidRPr="00FC2DDA">
        <w:rPr>
          <w:rFonts w:ascii="Book Antiqua" w:eastAsia="Times New Roman" w:hAnsi="Book Antiqua" w:cs="Times New Roman"/>
          <w:color w:val="auto"/>
          <w:sz w:val="24"/>
          <w:szCs w:val="24"/>
        </w:rPr>
        <w:t>ntitative analysis (Relative Arterial Enhancement and maximum enhancement) the HCC is characterized by high vascularity intensity signals, showed as hot-spots signals.</w:t>
      </w:r>
      <w:r w:rsidR="00941B1C" w:rsidRPr="00FC2DDA">
        <w:rPr>
          <w:rFonts w:ascii="Book Antiqua" w:hAnsi="Book Antiqua" w:cs="Times New Roman" w:hint="eastAsia"/>
          <w:color w:val="auto"/>
          <w:sz w:val="24"/>
          <w:szCs w:val="24"/>
          <w:lang w:eastAsia="zh-CN"/>
        </w:rPr>
        <w:t xml:space="preserve"> </w:t>
      </w:r>
    </w:p>
    <w:p w14:paraId="50F4B88D" w14:textId="04D6E7CD" w:rsidR="003B60ED" w:rsidRPr="00FC2DDA" w:rsidRDefault="003B60ED" w:rsidP="00AF2AB9">
      <w:pPr>
        <w:widowControl w:val="0"/>
        <w:tabs>
          <w:tab w:val="left" w:pos="500"/>
        </w:tabs>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noProof/>
          <w:color w:val="auto"/>
          <w:sz w:val="24"/>
          <w:szCs w:val="24"/>
          <w:lang w:val="en-US" w:eastAsia="zh-CN"/>
        </w:rPr>
        <w:lastRenderedPageBreak/>
        <w:drawing>
          <wp:inline distT="0" distB="0" distL="0" distR="0" wp14:anchorId="43874C4F" wp14:editId="7FCB14CA">
            <wp:extent cx="6120130" cy="4590415"/>
            <wp:effectExtent l="19050" t="19050" r="13970" b="196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nodule.tif"/>
                    <pic:cNvPicPr/>
                  </pic:nvPicPr>
                  <pic:blipFill>
                    <a:blip r:embed="rId22">
                      <a:extLst>
                        <a:ext uri="{28A0092B-C50C-407E-A947-70E740481C1C}">
                          <a14:useLocalDpi xmlns:a14="http://schemas.microsoft.com/office/drawing/2010/main" val="0"/>
                        </a:ext>
                      </a:extLst>
                    </a:blip>
                    <a:stretch>
                      <a:fillRect/>
                    </a:stretch>
                  </pic:blipFill>
                  <pic:spPr>
                    <a:xfrm>
                      <a:off x="0" y="0"/>
                      <a:ext cx="6120130" cy="4590415"/>
                    </a:xfrm>
                    <a:prstGeom prst="rect">
                      <a:avLst/>
                    </a:prstGeom>
                    <a:ln w="9525" cap="sq">
                      <a:solidFill>
                        <a:srgbClr val="000000"/>
                      </a:solidFill>
                      <a:prstDash val="solid"/>
                      <a:miter lim="800000"/>
                    </a:ln>
                    <a:effectLst/>
                  </pic:spPr>
                </pic:pic>
              </a:graphicData>
            </a:graphic>
          </wp:inline>
        </w:drawing>
      </w:r>
    </w:p>
    <w:p w14:paraId="067BDA1C" w14:textId="5EFBB530" w:rsidR="001B04E3" w:rsidRPr="00FC2DDA" w:rsidRDefault="00782C99" w:rsidP="00AF2AB9">
      <w:pPr>
        <w:widowControl w:val="0"/>
        <w:tabs>
          <w:tab w:val="left" w:pos="500"/>
        </w:tabs>
        <w:snapToGrid w:val="0"/>
        <w:spacing w:after="0" w:line="360" w:lineRule="auto"/>
        <w:jc w:val="both"/>
        <w:rPr>
          <w:rFonts w:ascii="Book Antiqua" w:hAnsi="Book Antiqua" w:cs="Times New Roman"/>
          <w:color w:val="auto"/>
          <w:sz w:val="24"/>
          <w:szCs w:val="24"/>
          <w:lang w:eastAsia="zh-CN"/>
        </w:rPr>
      </w:pPr>
      <w:r w:rsidRPr="00FC2DDA">
        <w:rPr>
          <w:rFonts w:ascii="Book Antiqua" w:eastAsia="Times New Roman" w:hAnsi="Book Antiqua" w:cs="Times New Roman"/>
          <w:b/>
          <w:color w:val="auto"/>
          <w:sz w:val="24"/>
          <w:szCs w:val="24"/>
        </w:rPr>
        <w:t>Fig</w:t>
      </w:r>
      <w:r w:rsidR="008A0E66" w:rsidRPr="00FC2DDA">
        <w:rPr>
          <w:rFonts w:ascii="Book Antiqua" w:eastAsia="Times New Roman" w:hAnsi="Book Antiqua" w:cs="Times New Roman"/>
          <w:b/>
          <w:color w:val="auto"/>
          <w:sz w:val="24"/>
          <w:szCs w:val="24"/>
        </w:rPr>
        <w:t>ure</w:t>
      </w:r>
      <w:r w:rsidR="00934F94" w:rsidRPr="00FC2DDA">
        <w:rPr>
          <w:rFonts w:ascii="Book Antiqua" w:hAnsi="Book Antiqua" w:cs="Times New Roman" w:hint="eastAsia"/>
          <w:b/>
          <w:color w:val="auto"/>
          <w:sz w:val="24"/>
          <w:szCs w:val="24"/>
          <w:lang w:eastAsia="zh-CN"/>
        </w:rPr>
        <w:t xml:space="preserve"> </w:t>
      </w:r>
      <w:r w:rsidR="00A50B93" w:rsidRPr="00FC2DDA">
        <w:rPr>
          <w:rFonts w:ascii="Book Antiqua" w:eastAsia="Times New Roman" w:hAnsi="Book Antiqua" w:cs="Times New Roman"/>
          <w:b/>
          <w:color w:val="auto"/>
          <w:sz w:val="24"/>
          <w:szCs w:val="24"/>
        </w:rPr>
        <w:t>4</w:t>
      </w:r>
      <w:r w:rsidR="00934F94" w:rsidRPr="00FC2DDA">
        <w:rPr>
          <w:rFonts w:ascii="Book Antiqua" w:hAnsi="Book Antiqua" w:cs="Times New Roman" w:hint="eastAsia"/>
          <w:b/>
          <w:color w:val="auto"/>
          <w:sz w:val="24"/>
          <w:szCs w:val="24"/>
          <w:lang w:eastAsia="zh-CN"/>
        </w:rPr>
        <w:t xml:space="preserve"> </w:t>
      </w:r>
      <w:r w:rsidR="00FB4404" w:rsidRPr="00FC2DDA">
        <w:rPr>
          <w:rFonts w:ascii="Book Antiqua" w:eastAsia="Times New Roman" w:hAnsi="Book Antiqua" w:cs="Times New Roman"/>
          <w:b/>
          <w:color w:val="auto"/>
          <w:sz w:val="24"/>
          <w:szCs w:val="24"/>
        </w:rPr>
        <w:t xml:space="preserve">Gd-EOB-DTPA enhanced </w:t>
      </w:r>
      <w:r w:rsidR="003532E7" w:rsidRPr="00FC2DDA">
        <w:rPr>
          <w:rFonts w:ascii="Book Antiqua" w:eastAsia="Times New Roman" w:hAnsi="Book Antiqua" w:cs="Times New Roman"/>
          <w:b/>
          <w:color w:val="auto"/>
          <w:sz w:val="24"/>
          <w:szCs w:val="24"/>
        </w:rPr>
        <w:t>magnetic resonance</w:t>
      </w:r>
      <w:r w:rsidR="003532E7" w:rsidRPr="00FC2DDA">
        <w:rPr>
          <w:rFonts w:ascii="Book Antiqua" w:hAnsi="Book Antiqua" w:cs="Times New Roman" w:hint="eastAsia"/>
          <w:b/>
          <w:color w:val="auto"/>
          <w:sz w:val="24"/>
          <w:szCs w:val="24"/>
          <w:lang w:eastAsia="zh-CN"/>
        </w:rPr>
        <w:t xml:space="preserve"> </w:t>
      </w:r>
      <w:r w:rsidR="00FB4404" w:rsidRPr="00FC2DDA">
        <w:rPr>
          <w:rFonts w:ascii="Book Antiqua" w:eastAsia="Times New Roman" w:hAnsi="Book Antiqua" w:cs="Times New Roman"/>
          <w:b/>
          <w:color w:val="auto"/>
          <w:sz w:val="24"/>
          <w:szCs w:val="24"/>
        </w:rPr>
        <w:t>images of a</w:t>
      </w:r>
      <w:r w:rsidR="006D0C7A" w:rsidRPr="00FC2DDA">
        <w:rPr>
          <w:rFonts w:ascii="Book Antiqua" w:eastAsia="Times New Roman" w:hAnsi="Book Antiqua" w:cs="Times New Roman"/>
          <w:b/>
          <w:color w:val="auto"/>
          <w:sz w:val="24"/>
          <w:szCs w:val="24"/>
        </w:rPr>
        <w:t xml:space="preserve"> </w:t>
      </w:r>
      <w:r w:rsidR="0036376C" w:rsidRPr="00FC2DDA">
        <w:rPr>
          <w:rFonts w:ascii="Book Antiqua" w:eastAsia="Times New Roman" w:hAnsi="Book Antiqua" w:cs="Times New Roman"/>
          <w:b/>
          <w:color w:val="auto"/>
          <w:sz w:val="24"/>
          <w:szCs w:val="24"/>
        </w:rPr>
        <w:t>61-year-old</w:t>
      </w:r>
      <w:r w:rsidR="00FB4404" w:rsidRPr="00FC2DDA">
        <w:rPr>
          <w:rFonts w:ascii="Book Antiqua" w:eastAsia="Times New Roman" w:hAnsi="Book Antiqua" w:cs="Times New Roman"/>
          <w:b/>
          <w:color w:val="auto"/>
          <w:sz w:val="24"/>
          <w:szCs w:val="24"/>
        </w:rPr>
        <w:t xml:space="preserve"> patient with </w:t>
      </w:r>
      <w:r w:rsidR="003532E7" w:rsidRPr="00FC2DDA">
        <w:rPr>
          <w:rFonts w:ascii="Book Antiqua" w:eastAsia="Times New Roman" w:hAnsi="Book Antiqua" w:cs="Times New Roman"/>
          <w:b/>
          <w:color w:val="auto"/>
          <w:sz w:val="24"/>
          <w:szCs w:val="24"/>
        </w:rPr>
        <w:t>hepatocellular carcinoma</w:t>
      </w:r>
      <w:r w:rsidR="003532E7" w:rsidRPr="00FC2DDA">
        <w:rPr>
          <w:rFonts w:ascii="Book Antiqua" w:hAnsi="Book Antiqua" w:cs="Times New Roman" w:hint="eastAsia"/>
          <w:b/>
          <w:color w:val="auto"/>
          <w:sz w:val="24"/>
          <w:szCs w:val="24"/>
          <w:lang w:eastAsia="zh-CN"/>
        </w:rPr>
        <w:t xml:space="preserve"> </w:t>
      </w:r>
      <w:r w:rsidR="00FB4404" w:rsidRPr="00FC2DDA">
        <w:rPr>
          <w:rFonts w:ascii="Book Antiqua" w:eastAsia="Times New Roman" w:hAnsi="Book Antiqua" w:cs="Times New Roman"/>
          <w:b/>
          <w:color w:val="auto"/>
          <w:sz w:val="24"/>
          <w:szCs w:val="24"/>
        </w:rPr>
        <w:t>nodule in theVII segment of the liver.</w:t>
      </w:r>
      <w:r w:rsidR="00FB4404" w:rsidRPr="00FC2DDA">
        <w:rPr>
          <w:rFonts w:ascii="Book Antiqua" w:eastAsia="Times New Roman" w:hAnsi="Book Antiqua" w:cs="Times New Roman"/>
          <w:color w:val="auto"/>
          <w:sz w:val="24"/>
          <w:szCs w:val="24"/>
        </w:rPr>
        <w:t xml:space="preserve"> Panels a-b: a single nodule slightly hypointense on the T1-weighted</w:t>
      </w:r>
      <w:r w:rsidR="00FA5412" w:rsidRPr="00FC2DDA">
        <w:rPr>
          <w:rFonts w:ascii="Book Antiqua" w:hAnsi="Book Antiqua" w:cs="Times New Roman" w:hint="eastAsia"/>
          <w:color w:val="auto"/>
          <w:sz w:val="24"/>
          <w:szCs w:val="24"/>
          <w:lang w:eastAsia="zh-CN"/>
        </w:rPr>
        <w:t xml:space="preserve"> </w:t>
      </w:r>
      <w:r w:rsidR="00FB4404" w:rsidRPr="00FC2DDA">
        <w:rPr>
          <w:rFonts w:ascii="Book Antiqua" w:eastAsia="Times New Roman" w:hAnsi="Book Antiqua" w:cs="Times New Roman"/>
          <w:color w:val="auto"/>
          <w:sz w:val="24"/>
          <w:szCs w:val="24"/>
        </w:rPr>
        <w:t>”in phase” sequence (a) with a signal drop in the “out of phase” sequence, as per fat deposition.</w:t>
      </w:r>
      <w:r w:rsidR="00683F0C">
        <w:rPr>
          <w:rFonts w:ascii="Book Antiqua" w:hAnsi="Book Antiqua" w:cs="Times New Roman" w:hint="eastAsia"/>
          <w:color w:val="auto"/>
          <w:sz w:val="24"/>
          <w:szCs w:val="24"/>
          <w:lang w:eastAsia="zh-CN"/>
        </w:rPr>
        <w:t xml:space="preserve"> </w:t>
      </w:r>
      <w:r w:rsidR="00FB4404" w:rsidRPr="00FC2DDA">
        <w:rPr>
          <w:rFonts w:ascii="Book Antiqua" w:eastAsia="Times New Roman" w:hAnsi="Book Antiqua" w:cs="Times New Roman"/>
          <w:color w:val="auto"/>
          <w:sz w:val="24"/>
          <w:szCs w:val="24"/>
        </w:rPr>
        <w:t>Panels c-d: on T2-weighted image without and with fat saturation the nodule appears slightly hyperintense.</w:t>
      </w:r>
      <w:r w:rsidR="00683F0C">
        <w:rPr>
          <w:rFonts w:ascii="Book Antiqua" w:hAnsi="Book Antiqua" w:cs="Times New Roman" w:hint="eastAsia"/>
          <w:color w:val="auto"/>
          <w:sz w:val="24"/>
          <w:szCs w:val="24"/>
          <w:lang w:eastAsia="zh-CN"/>
        </w:rPr>
        <w:t xml:space="preserve"> </w:t>
      </w:r>
      <w:r w:rsidR="00FB4404" w:rsidRPr="00FC2DDA">
        <w:rPr>
          <w:rFonts w:ascii="Book Antiqua" w:eastAsia="Times New Roman" w:hAnsi="Book Antiqua" w:cs="Times New Roman"/>
          <w:color w:val="auto"/>
          <w:sz w:val="24"/>
          <w:szCs w:val="24"/>
        </w:rPr>
        <w:t xml:space="preserve">Paneles e-h: dynamic contrast-enhanced images demonstrate the typical contrast behavior of </w:t>
      </w:r>
      <w:r w:rsidR="00FC2DDA" w:rsidRPr="00FC2DDA">
        <w:rPr>
          <w:rFonts w:ascii="Book Antiqua" w:eastAsia="Times New Roman" w:hAnsi="Book Antiqua" w:cs="Times New Roman"/>
          <w:color w:val="auto"/>
          <w:sz w:val="24"/>
          <w:szCs w:val="24"/>
        </w:rPr>
        <w:t>hepatocellular carcinoma</w:t>
      </w:r>
      <w:r w:rsidR="00FB4404" w:rsidRPr="00FC2DDA">
        <w:rPr>
          <w:rFonts w:ascii="Book Antiqua" w:eastAsia="Times New Roman" w:hAnsi="Book Antiqua" w:cs="Times New Roman"/>
          <w:color w:val="auto"/>
          <w:sz w:val="24"/>
          <w:szCs w:val="24"/>
        </w:rPr>
        <w:t>: which appear hypervascular during the arterial phase (f) with wash-out in portal and delayed phase (g-h). Panel i-l: diffusion weighted image</w:t>
      </w:r>
      <w:r w:rsidR="00795617">
        <w:rPr>
          <w:rFonts w:ascii="Book Antiqua" w:hAnsi="Book Antiqua" w:cs="Times New Roman" w:hint="eastAsia"/>
          <w:color w:val="auto"/>
          <w:sz w:val="24"/>
          <w:szCs w:val="24"/>
          <w:lang w:eastAsia="zh-CN"/>
        </w:rPr>
        <w:t xml:space="preserve"> </w:t>
      </w:r>
      <w:r w:rsidR="00F97061">
        <w:rPr>
          <w:rFonts w:ascii="Book Antiqua" w:hAnsi="Book Antiqua" w:cs="Times New Roman" w:hint="eastAsia"/>
          <w:color w:val="auto"/>
          <w:sz w:val="24"/>
          <w:szCs w:val="24"/>
          <w:lang w:eastAsia="zh-CN"/>
        </w:rPr>
        <w:t xml:space="preserve">(DWI) </w:t>
      </w:r>
      <w:r w:rsidR="00FB4404" w:rsidRPr="00FC2DDA">
        <w:rPr>
          <w:rFonts w:ascii="Book Antiqua" w:eastAsia="Times New Roman" w:hAnsi="Book Antiqua" w:cs="Times New Roman"/>
          <w:color w:val="auto"/>
          <w:sz w:val="24"/>
          <w:szCs w:val="24"/>
        </w:rPr>
        <w:t>show</w:t>
      </w:r>
      <w:r w:rsidR="001410DF" w:rsidRPr="00FC2DDA">
        <w:rPr>
          <w:rFonts w:ascii="Book Antiqua" w:eastAsia="Times New Roman" w:hAnsi="Book Antiqua" w:cs="Times New Roman"/>
          <w:color w:val="auto"/>
          <w:sz w:val="24"/>
          <w:szCs w:val="24"/>
        </w:rPr>
        <w:t>s</w:t>
      </w:r>
      <w:r w:rsidR="00FB4404" w:rsidRPr="00FC2DDA">
        <w:rPr>
          <w:rFonts w:ascii="Book Antiqua" w:eastAsia="Times New Roman" w:hAnsi="Book Antiqua" w:cs="Times New Roman"/>
          <w:color w:val="auto"/>
          <w:sz w:val="24"/>
          <w:szCs w:val="24"/>
        </w:rPr>
        <w:t xml:space="preserve"> the hyperintense pattern of the lesion which appear hypointense on the relative apparent diffusion coefficient map</w:t>
      </w:r>
      <w:r w:rsidR="001567E5" w:rsidRPr="00FC2DDA">
        <w:rPr>
          <w:rFonts w:ascii="Book Antiqua" w:eastAsia="Times New Roman" w:hAnsi="Book Antiqua" w:cs="Times New Roman"/>
          <w:color w:val="auto"/>
          <w:sz w:val="24"/>
          <w:szCs w:val="24"/>
        </w:rPr>
        <w:t xml:space="preserve"> </w:t>
      </w:r>
      <w:r w:rsidR="00FB4404" w:rsidRPr="00FC2DDA">
        <w:rPr>
          <w:rFonts w:ascii="Book Antiqua" w:eastAsia="Times New Roman" w:hAnsi="Book Antiqua" w:cs="Times New Roman"/>
          <w:color w:val="auto"/>
          <w:sz w:val="24"/>
          <w:szCs w:val="24"/>
        </w:rPr>
        <w:t>(arrowhead).</w:t>
      </w:r>
      <w:r w:rsidR="001410DF" w:rsidRPr="00FC2DDA">
        <w:rPr>
          <w:rFonts w:ascii="Book Antiqua" w:eastAsia="Times New Roman" w:hAnsi="Book Antiqua" w:cs="Times New Roman"/>
          <w:color w:val="auto"/>
          <w:sz w:val="24"/>
          <w:szCs w:val="24"/>
        </w:rPr>
        <w:t xml:space="preserve"> Previously treated lesion with transarterial chemoembolization is recognizable, in panel a-e-f-g-h, at V segment</w:t>
      </w:r>
      <w:r w:rsidR="003C2F6B">
        <w:rPr>
          <w:rFonts w:ascii="Book Antiqua" w:hAnsi="Book Antiqua" w:cs="Times New Roman" w:hint="eastAsia"/>
          <w:color w:val="auto"/>
          <w:sz w:val="24"/>
          <w:szCs w:val="24"/>
          <w:lang w:eastAsia="zh-CN"/>
        </w:rPr>
        <w:t xml:space="preserve"> </w:t>
      </w:r>
      <w:r w:rsidR="001410DF" w:rsidRPr="00FC2DDA">
        <w:rPr>
          <w:rFonts w:ascii="Book Antiqua" w:eastAsia="Times New Roman" w:hAnsi="Book Antiqua" w:cs="Times New Roman"/>
          <w:color w:val="auto"/>
          <w:sz w:val="24"/>
          <w:szCs w:val="24"/>
        </w:rPr>
        <w:t>of the liver (arrow). No any restriction of signal intensity is evident on</w:t>
      </w:r>
      <w:r w:rsidR="00F97061">
        <w:rPr>
          <w:rFonts w:ascii="Book Antiqua" w:hAnsi="Book Antiqua" w:cs="Times New Roman" w:hint="eastAsia"/>
          <w:color w:val="auto"/>
          <w:sz w:val="24"/>
          <w:szCs w:val="24"/>
          <w:lang w:eastAsia="zh-CN"/>
        </w:rPr>
        <w:t xml:space="preserve"> DWI</w:t>
      </w:r>
      <w:r w:rsidR="00FA5412" w:rsidRPr="00FC2DDA">
        <w:rPr>
          <w:rFonts w:ascii="Book Antiqua" w:hAnsi="Book Antiqua" w:cs="Times New Roman" w:hint="eastAsia"/>
          <w:color w:val="auto"/>
          <w:sz w:val="24"/>
          <w:szCs w:val="24"/>
          <w:lang w:eastAsia="zh-CN"/>
        </w:rPr>
        <w:t xml:space="preserve"> </w:t>
      </w:r>
      <w:r w:rsidR="001410DF" w:rsidRPr="00FC2DDA">
        <w:rPr>
          <w:rFonts w:ascii="Book Antiqua" w:eastAsia="Times New Roman" w:hAnsi="Book Antiqua" w:cs="Times New Roman"/>
          <w:color w:val="auto"/>
          <w:sz w:val="24"/>
          <w:szCs w:val="24"/>
        </w:rPr>
        <w:t>(panel i-l).</w:t>
      </w:r>
    </w:p>
    <w:p w14:paraId="33EADE40" w14:textId="77777777" w:rsidR="00DA6934" w:rsidRPr="00FC2DDA" w:rsidRDefault="00DA6934" w:rsidP="00AF2AB9">
      <w:pPr>
        <w:snapToGrid w:val="0"/>
        <w:spacing w:after="0" w:line="360" w:lineRule="auto"/>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br w:type="page"/>
      </w:r>
    </w:p>
    <w:p w14:paraId="6AB3A130" w14:textId="1BF7C7B6" w:rsidR="00D42441" w:rsidRPr="00FC2DDA" w:rsidRDefault="001567E5" w:rsidP="00AF2AB9">
      <w:pPr>
        <w:widowControl w:val="0"/>
        <w:tabs>
          <w:tab w:val="left" w:pos="500"/>
        </w:tabs>
        <w:snapToGrid w:val="0"/>
        <w:spacing w:after="0" w:line="360" w:lineRule="auto"/>
        <w:jc w:val="both"/>
        <w:rPr>
          <w:rFonts w:ascii="Book Antiqua" w:hAnsi="Book Antiqua" w:cs="Times New Roman"/>
          <w:b/>
          <w:color w:val="auto"/>
          <w:sz w:val="24"/>
          <w:szCs w:val="24"/>
          <w:lang w:eastAsia="zh-CN"/>
        </w:rPr>
      </w:pPr>
      <w:r w:rsidRPr="00FC2DDA">
        <w:rPr>
          <w:rFonts w:ascii="Book Antiqua" w:eastAsia="Times New Roman" w:hAnsi="Book Antiqua" w:cs="Times New Roman"/>
          <w:b/>
          <w:color w:val="auto"/>
          <w:sz w:val="24"/>
          <w:szCs w:val="24"/>
        </w:rPr>
        <w:lastRenderedPageBreak/>
        <w:t>Table 1</w:t>
      </w:r>
      <w:r w:rsidR="00CE0FE0" w:rsidRPr="00FC2DDA">
        <w:rPr>
          <w:rFonts w:ascii="Book Antiqua" w:hAnsi="Book Antiqua" w:cs="Times New Roman" w:hint="eastAsia"/>
          <w:b/>
          <w:color w:val="auto"/>
          <w:sz w:val="24"/>
          <w:szCs w:val="24"/>
          <w:lang w:eastAsia="zh-CN"/>
        </w:rPr>
        <w:t xml:space="preserve"> </w:t>
      </w:r>
      <w:r w:rsidR="00D42441" w:rsidRPr="00FC2DDA">
        <w:rPr>
          <w:rFonts w:ascii="Book Antiqua" w:eastAsia="Times New Roman" w:hAnsi="Book Antiqua" w:cs="Times New Roman"/>
          <w:b/>
          <w:color w:val="auto"/>
          <w:sz w:val="24"/>
          <w:szCs w:val="24"/>
        </w:rPr>
        <w:t xml:space="preserve">Gadolinium-based </w:t>
      </w:r>
      <w:r w:rsidR="00CE0FE0" w:rsidRPr="00FC2DDA">
        <w:rPr>
          <w:rFonts w:ascii="Book Antiqua" w:eastAsia="Times New Roman" w:hAnsi="Book Antiqua" w:cs="Times New Roman"/>
          <w:b/>
          <w:color w:val="auto"/>
          <w:sz w:val="24"/>
          <w:szCs w:val="24"/>
        </w:rPr>
        <w:t>magnetic resonance imaging</w:t>
      </w:r>
      <w:r w:rsidR="00733B20" w:rsidRPr="00FC2DDA">
        <w:rPr>
          <w:rFonts w:ascii="Book Antiqua" w:eastAsia="Times New Roman" w:hAnsi="Book Antiqua" w:cs="Times New Roman"/>
          <w:b/>
          <w:color w:val="auto"/>
          <w:sz w:val="24"/>
          <w:szCs w:val="24"/>
        </w:rPr>
        <w:t xml:space="preserve"> contrast agent</w:t>
      </w:r>
    </w:p>
    <w:tbl>
      <w:tblPr>
        <w:tblStyle w:val="a"/>
        <w:tblW w:w="11148" w:type="dxa"/>
        <w:tblInd w:w="-446" w:type="dxa"/>
        <w:tblLayout w:type="fixed"/>
        <w:tblLook w:val="0400" w:firstRow="0" w:lastRow="0" w:firstColumn="0" w:lastColumn="0" w:noHBand="0" w:noVBand="1"/>
      </w:tblPr>
      <w:tblGrid>
        <w:gridCol w:w="2359"/>
        <w:gridCol w:w="1418"/>
        <w:gridCol w:w="1417"/>
        <w:gridCol w:w="1843"/>
        <w:gridCol w:w="1984"/>
        <w:gridCol w:w="2127"/>
      </w:tblGrid>
      <w:tr w:rsidR="00FC2DDA" w:rsidRPr="00FC2DDA" w14:paraId="3B6D34C8" w14:textId="77777777" w:rsidTr="009750BF">
        <w:trPr>
          <w:trHeight w:val="696"/>
        </w:trPr>
        <w:tc>
          <w:tcPr>
            <w:tcW w:w="2359" w:type="dxa"/>
            <w:tcBorders>
              <w:top w:val="single" w:sz="6" w:space="0" w:color="000000"/>
              <w:left w:val="single" w:sz="6" w:space="0" w:color="000000"/>
              <w:bottom w:val="single" w:sz="4" w:space="0" w:color="000000"/>
              <w:right w:val="single" w:sz="4" w:space="0" w:color="000000"/>
            </w:tcBorders>
            <w:shd w:val="clear" w:color="auto" w:fill="auto"/>
            <w:vAlign w:val="bottom"/>
          </w:tcPr>
          <w:p w14:paraId="0A1E42D7" w14:textId="0E57D80E" w:rsidR="001567E5" w:rsidRPr="00FC2DDA" w:rsidRDefault="001567E5" w:rsidP="00AF2AB9">
            <w:pPr>
              <w:snapToGrid w:val="0"/>
              <w:spacing w:after="0" w:line="360" w:lineRule="auto"/>
              <w:jc w:val="both"/>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C</w:t>
            </w:r>
            <w:r w:rsidR="00DA6934" w:rsidRPr="00FC2DDA">
              <w:rPr>
                <w:rFonts w:ascii="Book Antiqua" w:eastAsia="Times New Roman" w:hAnsi="Book Antiqua" w:cs="Times New Roman"/>
                <w:b/>
                <w:color w:val="auto"/>
                <w:sz w:val="24"/>
                <w:szCs w:val="24"/>
              </w:rPr>
              <w:t>ontrast agent</w:t>
            </w:r>
          </w:p>
        </w:tc>
        <w:tc>
          <w:tcPr>
            <w:tcW w:w="1418" w:type="dxa"/>
            <w:tcBorders>
              <w:top w:val="single" w:sz="6" w:space="0" w:color="000000"/>
              <w:left w:val="nil"/>
              <w:bottom w:val="single" w:sz="4" w:space="0" w:color="000000"/>
              <w:right w:val="single" w:sz="4" w:space="0" w:color="000000"/>
            </w:tcBorders>
            <w:shd w:val="clear" w:color="auto" w:fill="auto"/>
            <w:vAlign w:val="bottom"/>
          </w:tcPr>
          <w:p w14:paraId="45F6E282" w14:textId="68494DD3" w:rsidR="001567E5" w:rsidRPr="00FC2DDA" w:rsidRDefault="001567E5" w:rsidP="00204152">
            <w:pPr>
              <w:snapToGrid w:val="0"/>
              <w:spacing w:after="0" w:line="360" w:lineRule="auto"/>
              <w:jc w:val="center"/>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C</w:t>
            </w:r>
            <w:r w:rsidR="00DA6934" w:rsidRPr="00FC2DDA">
              <w:rPr>
                <w:rFonts w:ascii="Book Antiqua" w:eastAsia="Times New Roman" w:hAnsi="Book Antiqua" w:cs="Times New Roman"/>
                <w:b/>
                <w:color w:val="auto"/>
                <w:sz w:val="24"/>
                <w:szCs w:val="24"/>
              </w:rPr>
              <w:t>ategory</w:t>
            </w:r>
          </w:p>
        </w:tc>
        <w:tc>
          <w:tcPr>
            <w:tcW w:w="1417" w:type="dxa"/>
            <w:tcBorders>
              <w:top w:val="single" w:sz="6" w:space="0" w:color="000000"/>
              <w:left w:val="nil"/>
              <w:bottom w:val="single" w:sz="4" w:space="0" w:color="000000"/>
              <w:right w:val="single" w:sz="4" w:space="0" w:color="000000"/>
            </w:tcBorders>
            <w:shd w:val="clear" w:color="auto" w:fill="auto"/>
            <w:vAlign w:val="bottom"/>
          </w:tcPr>
          <w:p w14:paraId="2B5C7C1B" w14:textId="0B9C857A" w:rsidR="001567E5" w:rsidRPr="00FC2DDA" w:rsidRDefault="001567E5" w:rsidP="00204152">
            <w:pPr>
              <w:snapToGrid w:val="0"/>
              <w:spacing w:after="0" w:line="360" w:lineRule="auto"/>
              <w:jc w:val="center"/>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R</w:t>
            </w:r>
            <w:r w:rsidR="00DA6934" w:rsidRPr="00FC2DDA">
              <w:rPr>
                <w:rFonts w:ascii="Book Antiqua" w:eastAsia="Times New Roman" w:hAnsi="Book Antiqua" w:cs="Times New Roman"/>
                <w:b/>
                <w:color w:val="auto"/>
                <w:sz w:val="24"/>
                <w:szCs w:val="24"/>
              </w:rPr>
              <w:t>elaxivity</w:t>
            </w:r>
          </w:p>
        </w:tc>
        <w:tc>
          <w:tcPr>
            <w:tcW w:w="1843" w:type="dxa"/>
            <w:tcBorders>
              <w:top w:val="single" w:sz="6" w:space="0" w:color="000000"/>
              <w:left w:val="nil"/>
              <w:bottom w:val="single" w:sz="4" w:space="0" w:color="000000"/>
              <w:right w:val="single" w:sz="4" w:space="0" w:color="000000"/>
            </w:tcBorders>
            <w:shd w:val="clear" w:color="auto" w:fill="auto"/>
            <w:vAlign w:val="bottom"/>
          </w:tcPr>
          <w:p w14:paraId="1611DA59" w14:textId="75C9BF85" w:rsidR="001567E5" w:rsidRPr="00FC2DDA" w:rsidRDefault="001567E5" w:rsidP="00204152">
            <w:pPr>
              <w:snapToGrid w:val="0"/>
              <w:spacing w:after="0" w:line="360" w:lineRule="auto"/>
              <w:jc w:val="center"/>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S</w:t>
            </w:r>
            <w:r w:rsidR="00DA6934" w:rsidRPr="00FC2DDA">
              <w:rPr>
                <w:rFonts w:ascii="Book Antiqua" w:eastAsia="Times New Roman" w:hAnsi="Book Antiqua" w:cs="Times New Roman"/>
                <w:b/>
                <w:color w:val="auto"/>
                <w:sz w:val="24"/>
                <w:szCs w:val="24"/>
              </w:rPr>
              <w:t>tructure</w:t>
            </w:r>
          </w:p>
        </w:tc>
        <w:tc>
          <w:tcPr>
            <w:tcW w:w="1984" w:type="dxa"/>
            <w:tcBorders>
              <w:top w:val="single" w:sz="6" w:space="0" w:color="000000"/>
              <w:left w:val="nil"/>
              <w:bottom w:val="single" w:sz="4" w:space="0" w:color="000000"/>
              <w:right w:val="single" w:sz="4" w:space="0" w:color="000000"/>
            </w:tcBorders>
            <w:shd w:val="clear" w:color="auto" w:fill="auto"/>
            <w:vAlign w:val="bottom"/>
          </w:tcPr>
          <w:p w14:paraId="45F24732" w14:textId="4687BC11" w:rsidR="001567E5" w:rsidRPr="00FC2DDA" w:rsidRDefault="001567E5" w:rsidP="00204152">
            <w:pPr>
              <w:snapToGrid w:val="0"/>
              <w:spacing w:after="0" w:line="360" w:lineRule="auto"/>
              <w:jc w:val="center"/>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C</w:t>
            </w:r>
            <w:r w:rsidR="00DA6934" w:rsidRPr="00FC2DDA">
              <w:rPr>
                <w:rFonts w:ascii="Book Antiqua" w:eastAsia="Times New Roman" w:hAnsi="Book Antiqua" w:cs="Times New Roman"/>
                <w:b/>
                <w:color w:val="auto"/>
                <w:sz w:val="24"/>
                <w:szCs w:val="24"/>
              </w:rPr>
              <w:t>oncentration</w:t>
            </w:r>
            <w:r w:rsidRPr="00FC2DDA">
              <w:rPr>
                <w:rFonts w:ascii="Book Antiqua" w:eastAsia="Times New Roman" w:hAnsi="Book Antiqua" w:cs="Times New Roman"/>
                <w:b/>
                <w:color w:val="auto"/>
                <w:sz w:val="24"/>
                <w:szCs w:val="24"/>
              </w:rPr>
              <w:t xml:space="preserve"> (mmol/mL)</w:t>
            </w:r>
          </w:p>
        </w:tc>
        <w:tc>
          <w:tcPr>
            <w:tcW w:w="2127" w:type="dxa"/>
            <w:tcBorders>
              <w:top w:val="single" w:sz="6" w:space="0" w:color="000000"/>
              <w:left w:val="nil"/>
              <w:bottom w:val="single" w:sz="4" w:space="0" w:color="000000"/>
              <w:right w:val="single" w:sz="6" w:space="0" w:color="000000"/>
            </w:tcBorders>
            <w:shd w:val="clear" w:color="auto" w:fill="auto"/>
            <w:vAlign w:val="bottom"/>
          </w:tcPr>
          <w:p w14:paraId="7AA23236" w14:textId="1108CD92" w:rsidR="001567E5" w:rsidRPr="00FC2DDA" w:rsidRDefault="001567E5" w:rsidP="00204152">
            <w:pPr>
              <w:snapToGrid w:val="0"/>
              <w:spacing w:after="0" w:line="360" w:lineRule="auto"/>
              <w:jc w:val="center"/>
              <w:rPr>
                <w:rFonts w:ascii="Book Antiqua" w:eastAsia="Times New Roman" w:hAnsi="Book Antiqua" w:cs="Times New Roman"/>
                <w:b/>
                <w:color w:val="auto"/>
                <w:sz w:val="24"/>
                <w:szCs w:val="24"/>
              </w:rPr>
            </w:pPr>
            <w:r w:rsidRPr="00FC2DDA">
              <w:rPr>
                <w:rFonts w:ascii="Book Antiqua" w:eastAsia="Times New Roman" w:hAnsi="Book Antiqua" w:cs="Times New Roman"/>
                <w:b/>
                <w:color w:val="auto"/>
                <w:sz w:val="24"/>
                <w:szCs w:val="24"/>
              </w:rPr>
              <w:t>R</w:t>
            </w:r>
            <w:r w:rsidR="00DA6934" w:rsidRPr="00FC2DDA">
              <w:rPr>
                <w:rFonts w:ascii="Book Antiqua" w:eastAsia="Times New Roman" w:hAnsi="Book Antiqua" w:cs="Times New Roman"/>
                <w:b/>
                <w:color w:val="auto"/>
                <w:sz w:val="24"/>
                <w:szCs w:val="24"/>
              </w:rPr>
              <w:t xml:space="preserve">eccomended dosage </w:t>
            </w:r>
            <w:r w:rsidRPr="00FC2DDA">
              <w:rPr>
                <w:rFonts w:ascii="Book Antiqua" w:eastAsia="Times New Roman" w:hAnsi="Book Antiqua" w:cs="Times New Roman"/>
                <w:b/>
                <w:color w:val="auto"/>
                <w:sz w:val="24"/>
                <w:szCs w:val="24"/>
              </w:rPr>
              <w:t>(mmol/kg)</w:t>
            </w:r>
          </w:p>
        </w:tc>
      </w:tr>
      <w:tr w:rsidR="00FC2DDA" w:rsidRPr="00FC2DDA" w14:paraId="72A6791C" w14:textId="77777777" w:rsidTr="009750BF">
        <w:trPr>
          <w:trHeight w:val="320"/>
        </w:trPr>
        <w:tc>
          <w:tcPr>
            <w:tcW w:w="2359" w:type="dxa"/>
            <w:tcBorders>
              <w:top w:val="nil"/>
              <w:left w:val="single" w:sz="6" w:space="0" w:color="000000"/>
              <w:bottom w:val="single" w:sz="4" w:space="0" w:color="000000"/>
              <w:right w:val="single" w:sz="4" w:space="0" w:color="000000"/>
            </w:tcBorders>
            <w:shd w:val="clear" w:color="auto" w:fill="auto"/>
            <w:vAlign w:val="bottom"/>
          </w:tcPr>
          <w:p w14:paraId="678EBD89" w14:textId="6D533635" w:rsidR="001567E5" w:rsidRPr="00FC2DDA" w:rsidRDefault="001567E5"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Gadoterate</w:t>
            </w:r>
            <w:r w:rsidR="00782C99"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meglumine</w:t>
            </w:r>
          </w:p>
        </w:tc>
        <w:tc>
          <w:tcPr>
            <w:tcW w:w="1418" w:type="dxa"/>
            <w:tcBorders>
              <w:top w:val="nil"/>
              <w:left w:val="nil"/>
              <w:bottom w:val="single" w:sz="4" w:space="0" w:color="000000"/>
              <w:right w:val="single" w:sz="4" w:space="0" w:color="000000"/>
            </w:tcBorders>
            <w:shd w:val="clear" w:color="auto" w:fill="auto"/>
            <w:vAlign w:val="bottom"/>
          </w:tcPr>
          <w:p w14:paraId="6A0A2BA6"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ECFAs</w:t>
            </w:r>
          </w:p>
        </w:tc>
        <w:tc>
          <w:tcPr>
            <w:tcW w:w="1417" w:type="dxa"/>
            <w:tcBorders>
              <w:top w:val="nil"/>
              <w:left w:val="nil"/>
              <w:bottom w:val="single" w:sz="4" w:space="0" w:color="000000"/>
              <w:right w:val="single" w:sz="4" w:space="0" w:color="000000"/>
            </w:tcBorders>
            <w:shd w:val="clear" w:color="auto" w:fill="auto"/>
            <w:vAlign w:val="bottom"/>
          </w:tcPr>
          <w:p w14:paraId="23397B50"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Standard</w:t>
            </w:r>
          </w:p>
        </w:tc>
        <w:tc>
          <w:tcPr>
            <w:tcW w:w="1843" w:type="dxa"/>
            <w:tcBorders>
              <w:top w:val="nil"/>
              <w:left w:val="nil"/>
              <w:bottom w:val="single" w:sz="4" w:space="0" w:color="000000"/>
              <w:right w:val="single" w:sz="4" w:space="0" w:color="000000"/>
            </w:tcBorders>
            <w:shd w:val="clear" w:color="auto" w:fill="auto"/>
            <w:vAlign w:val="bottom"/>
          </w:tcPr>
          <w:p w14:paraId="6F3C7723"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macrocyclic</w:t>
            </w:r>
          </w:p>
        </w:tc>
        <w:tc>
          <w:tcPr>
            <w:tcW w:w="1984" w:type="dxa"/>
            <w:tcBorders>
              <w:top w:val="nil"/>
              <w:left w:val="nil"/>
              <w:bottom w:val="single" w:sz="4" w:space="0" w:color="000000"/>
              <w:right w:val="single" w:sz="4" w:space="0" w:color="000000"/>
            </w:tcBorders>
            <w:shd w:val="clear" w:color="auto" w:fill="auto"/>
            <w:vAlign w:val="bottom"/>
          </w:tcPr>
          <w:p w14:paraId="7DB37A10"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0.5</w:t>
            </w:r>
          </w:p>
        </w:tc>
        <w:tc>
          <w:tcPr>
            <w:tcW w:w="2127" w:type="dxa"/>
            <w:tcBorders>
              <w:top w:val="nil"/>
              <w:left w:val="nil"/>
              <w:bottom w:val="single" w:sz="4" w:space="0" w:color="000000"/>
              <w:right w:val="single" w:sz="6" w:space="0" w:color="000000"/>
            </w:tcBorders>
            <w:shd w:val="clear" w:color="auto" w:fill="auto"/>
            <w:vAlign w:val="bottom"/>
          </w:tcPr>
          <w:p w14:paraId="695EBDDB"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0.1</w:t>
            </w:r>
          </w:p>
        </w:tc>
      </w:tr>
      <w:tr w:rsidR="00FC2DDA" w:rsidRPr="00FC2DDA" w14:paraId="51426776" w14:textId="77777777" w:rsidTr="009750BF">
        <w:trPr>
          <w:trHeight w:val="320"/>
        </w:trPr>
        <w:tc>
          <w:tcPr>
            <w:tcW w:w="2359" w:type="dxa"/>
            <w:tcBorders>
              <w:top w:val="nil"/>
              <w:left w:val="single" w:sz="6" w:space="0" w:color="000000"/>
              <w:bottom w:val="single" w:sz="4" w:space="0" w:color="000000"/>
              <w:right w:val="single" w:sz="4" w:space="0" w:color="000000"/>
            </w:tcBorders>
            <w:shd w:val="clear" w:color="auto" w:fill="auto"/>
            <w:vAlign w:val="bottom"/>
          </w:tcPr>
          <w:p w14:paraId="77811F5B" w14:textId="77777777" w:rsidR="001567E5" w:rsidRPr="00FC2DDA" w:rsidRDefault="001567E5"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Gadobutrol</w:t>
            </w:r>
          </w:p>
        </w:tc>
        <w:tc>
          <w:tcPr>
            <w:tcW w:w="1418" w:type="dxa"/>
            <w:tcBorders>
              <w:top w:val="nil"/>
              <w:left w:val="nil"/>
              <w:bottom w:val="single" w:sz="4" w:space="0" w:color="000000"/>
              <w:right w:val="single" w:sz="4" w:space="0" w:color="000000"/>
            </w:tcBorders>
            <w:shd w:val="clear" w:color="auto" w:fill="auto"/>
            <w:vAlign w:val="bottom"/>
          </w:tcPr>
          <w:p w14:paraId="2F9CCD63"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ECFAs</w:t>
            </w:r>
          </w:p>
        </w:tc>
        <w:tc>
          <w:tcPr>
            <w:tcW w:w="1417" w:type="dxa"/>
            <w:tcBorders>
              <w:top w:val="nil"/>
              <w:left w:val="nil"/>
              <w:bottom w:val="single" w:sz="4" w:space="0" w:color="000000"/>
              <w:right w:val="single" w:sz="4" w:space="0" w:color="000000"/>
            </w:tcBorders>
            <w:shd w:val="clear" w:color="auto" w:fill="auto"/>
            <w:vAlign w:val="bottom"/>
          </w:tcPr>
          <w:p w14:paraId="2D801506"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Standard</w:t>
            </w:r>
          </w:p>
        </w:tc>
        <w:tc>
          <w:tcPr>
            <w:tcW w:w="1843" w:type="dxa"/>
            <w:tcBorders>
              <w:top w:val="nil"/>
              <w:left w:val="nil"/>
              <w:bottom w:val="single" w:sz="4" w:space="0" w:color="000000"/>
              <w:right w:val="single" w:sz="4" w:space="0" w:color="000000"/>
            </w:tcBorders>
            <w:shd w:val="clear" w:color="auto" w:fill="auto"/>
            <w:vAlign w:val="bottom"/>
          </w:tcPr>
          <w:p w14:paraId="25B35AA7"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macrocyclic</w:t>
            </w:r>
          </w:p>
        </w:tc>
        <w:tc>
          <w:tcPr>
            <w:tcW w:w="1984" w:type="dxa"/>
            <w:tcBorders>
              <w:top w:val="nil"/>
              <w:left w:val="nil"/>
              <w:bottom w:val="single" w:sz="4" w:space="0" w:color="000000"/>
              <w:right w:val="single" w:sz="4" w:space="0" w:color="000000"/>
            </w:tcBorders>
            <w:shd w:val="clear" w:color="auto" w:fill="auto"/>
            <w:vAlign w:val="bottom"/>
          </w:tcPr>
          <w:p w14:paraId="6CA9797B"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1.0</w:t>
            </w:r>
          </w:p>
        </w:tc>
        <w:tc>
          <w:tcPr>
            <w:tcW w:w="2127" w:type="dxa"/>
            <w:tcBorders>
              <w:top w:val="nil"/>
              <w:left w:val="nil"/>
              <w:bottom w:val="single" w:sz="4" w:space="0" w:color="000000"/>
              <w:right w:val="single" w:sz="6" w:space="0" w:color="000000"/>
            </w:tcBorders>
            <w:shd w:val="clear" w:color="auto" w:fill="auto"/>
            <w:vAlign w:val="bottom"/>
          </w:tcPr>
          <w:p w14:paraId="3CA64218"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0.1</w:t>
            </w:r>
          </w:p>
        </w:tc>
      </w:tr>
      <w:tr w:rsidR="00FC2DDA" w:rsidRPr="00FC2DDA" w14:paraId="48DA1EBC" w14:textId="77777777" w:rsidTr="009750BF">
        <w:trPr>
          <w:trHeight w:val="320"/>
        </w:trPr>
        <w:tc>
          <w:tcPr>
            <w:tcW w:w="2359" w:type="dxa"/>
            <w:tcBorders>
              <w:top w:val="nil"/>
              <w:left w:val="single" w:sz="6" w:space="0" w:color="000000"/>
              <w:bottom w:val="single" w:sz="4" w:space="0" w:color="000000"/>
              <w:right w:val="single" w:sz="4" w:space="0" w:color="000000"/>
            </w:tcBorders>
            <w:shd w:val="clear" w:color="auto" w:fill="auto"/>
            <w:vAlign w:val="bottom"/>
          </w:tcPr>
          <w:p w14:paraId="7B880469" w14:textId="77777777" w:rsidR="001567E5" w:rsidRPr="00FC2DDA" w:rsidRDefault="001567E5"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Gadoteridol</w:t>
            </w:r>
          </w:p>
        </w:tc>
        <w:tc>
          <w:tcPr>
            <w:tcW w:w="1418" w:type="dxa"/>
            <w:tcBorders>
              <w:top w:val="nil"/>
              <w:left w:val="nil"/>
              <w:bottom w:val="single" w:sz="4" w:space="0" w:color="000000"/>
              <w:right w:val="single" w:sz="4" w:space="0" w:color="000000"/>
            </w:tcBorders>
            <w:shd w:val="clear" w:color="auto" w:fill="auto"/>
            <w:vAlign w:val="bottom"/>
          </w:tcPr>
          <w:p w14:paraId="2C1E3B96"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ECFAs</w:t>
            </w:r>
          </w:p>
        </w:tc>
        <w:tc>
          <w:tcPr>
            <w:tcW w:w="1417" w:type="dxa"/>
            <w:tcBorders>
              <w:top w:val="nil"/>
              <w:left w:val="nil"/>
              <w:bottom w:val="single" w:sz="4" w:space="0" w:color="000000"/>
              <w:right w:val="single" w:sz="4" w:space="0" w:color="000000"/>
            </w:tcBorders>
            <w:shd w:val="clear" w:color="auto" w:fill="auto"/>
            <w:vAlign w:val="bottom"/>
          </w:tcPr>
          <w:p w14:paraId="1EE0C4AF"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Standard</w:t>
            </w:r>
          </w:p>
        </w:tc>
        <w:tc>
          <w:tcPr>
            <w:tcW w:w="1843" w:type="dxa"/>
            <w:tcBorders>
              <w:top w:val="nil"/>
              <w:left w:val="nil"/>
              <w:bottom w:val="single" w:sz="4" w:space="0" w:color="000000"/>
              <w:right w:val="single" w:sz="4" w:space="0" w:color="000000"/>
            </w:tcBorders>
            <w:shd w:val="clear" w:color="auto" w:fill="auto"/>
            <w:vAlign w:val="bottom"/>
          </w:tcPr>
          <w:p w14:paraId="2FE62339"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macrocyclic</w:t>
            </w:r>
          </w:p>
        </w:tc>
        <w:tc>
          <w:tcPr>
            <w:tcW w:w="1984" w:type="dxa"/>
            <w:tcBorders>
              <w:top w:val="nil"/>
              <w:left w:val="nil"/>
              <w:bottom w:val="single" w:sz="4" w:space="0" w:color="000000"/>
              <w:right w:val="single" w:sz="4" w:space="0" w:color="000000"/>
            </w:tcBorders>
            <w:shd w:val="clear" w:color="auto" w:fill="auto"/>
            <w:vAlign w:val="bottom"/>
          </w:tcPr>
          <w:p w14:paraId="2AE21DA5"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0.5</w:t>
            </w:r>
          </w:p>
        </w:tc>
        <w:tc>
          <w:tcPr>
            <w:tcW w:w="2127" w:type="dxa"/>
            <w:tcBorders>
              <w:top w:val="nil"/>
              <w:left w:val="nil"/>
              <w:bottom w:val="single" w:sz="4" w:space="0" w:color="000000"/>
              <w:right w:val="single" w:sz="6" w:space="0" w:color="000000"/>
            </w:tcBorders>
            <w:shd w:val="clear" w:color="auto" w:fill="auto"/>
            <w:vAlign w:val="bottom"/>
          </w:tcPr>
          <w:p w14:paraId="3F9817E9"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0.1</w:t>
            </w:r>
          </w:p>
        </w:tc>
      </w:tr>
      <w:tr w:rsidR="00FC2DDA" w:rsidRPr="00FC2DDA" w14:paraId="55901CB7" w14:textId="77777777" w:rsidTr="009750BF">
        <w:trPr>
          <w:trHeight w:val="320"/>
        </w:trPr>
        <w:tc>
          <w:tcPr>
            <w:tcW w:w="2359" w:type="dxa"/>
            <w:tcBorders>
              <w:top w:val="nil"/>
              <w:left w:val="single" w:sz="6" w:space="0" w:color="000000"/>
              <w:bottom w:val="single" w:sz="4" w:space="0" w:color="000000"/>
              <w:right w:val="single" w:sz="4" w:space="0" w:color="000000"/>
            </w:tcBorders>
            <w:shd w:val="clear" w:color="auto" w:fill="auto"/>
            <w:vAlign w:val="bottom"/>
          </w:tcPr>
          <w:p w14:paraId="72D9EB02" w14:textId="2C538FE8" w:rsidR="001567E5" w:rsidRPr="00FC2DDA" w:rsidRDefault="001567E5"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Gadopentetate</w:t>
            </w:r>
            <w:r w:rsidR="00782C99"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 xml:space="preserve"> dimeglumine</w:t>
            </w:r>
          </w:p>
        </w:tc>
        <w:tc>
          <w:tcPr>
            <w:tcW w:w="1418" w:type="dxa"/>
            <w:tcBorders>
              <w:top w:val="nil"/>
              <w:left w:val="nil"/>
              <w:bottom w:val="single" w:sz="4" w:space="0" w:color="000000"/>
              <w:right w:val="single" w:sz="4" w:space="0" w:color="000000"/>
            </w:tcBorders>
            <w:shd w:val="clear" w:color="auto" w:fill="auto"/>
            <w:vAlign w:val="bottom"/>
          </w:tcPr>
          <w:p w14:paraId="2D19AE54"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ECFAs</w:t>
            </w:r>
          </w:p>
        </w:tc>
        <w:tc>
          <w:tcPr>
            <w:tcW w:w="1417" w:type="dxa"/>
            <w:tcBorders>
              <w:top w:val="nil"/>
              <w:left w:val="nil"/>
              <w:bottom w:val="single" w:sz="4" w:space="0" w:color="000000"/>
              <w:right w:val="single" w:sz="4" w:space="0" w:color="000000"/>
            </w:tcBorders>
            <w:shd w:val="clear" w:color="auto" w:fill="auto"/>
            <w:vAlign w:val="bottom"/>
          </w:tcPr>
          <w:p w14:paraId="4D419712"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Standard</w:t>
            </w:r>
          </w:p>
        </w:tc>
        <w:tc>
          <w:tcPr>
            <w:tcW w:w="1843" w:type="dxa"/>
            <w:tcBorders>
              <w:top w:val="nil"/>
              <w:left w:val="nil"/>
              <w:bottom w:val="single" w:sz="4" w:space="0" w:color="000000"/>
              <w:right w:val="single" w:sz="4" w:space="0" w:color="000000"/>
            </w:tcBorders>
            <w:shd w:val="clear" w:color="auto" w:fill="auto"/>
            <w:vAlign w:val="bottom"/>
          </w:tcPr>
          <w:p w14:paraId="684D5D1C"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Linear</w:t>
            </w:r>
          </w:p>
        </w:tc>
        <w:tc>
          <w:tcPr>
            <w:tcW w:w="1984" w:type="dxa"/>
            <w:tcBorders>
              <w:top w:val="nil"/>
              <w:left w:val="nil"/>
              <w:bottom w:val="single" w:sz="4" w:space="0" w:color="000000"/>
              <w:right w:val="single" w:sz="4" w:space="0" w:color="000000"/>
            </w:tcBorders>
            <w:shd w:val="clear" w:color="auto" w:fill="auto"/>
            <w:vAlign w:val="bottom"/>
          </w:tcPr>
          <w:p w14:paraId="7AF9F7A0"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0.5</w:t>
            </w:r>
          </w:p>
        </w:tc>
        <w:tc>
          <w:tcPr>
            <w:tcW w:w="2127" w:type="dxa"/>
            <w:tcBorders>
              <w:top w:val="nil"/>
              <w:left w:val="nil"/>
              <w:bottom w:val="single" w:sz="4" w:space="0" w:color="000000"/>
              <w:right w:val="single" w:sz="6" w:space="0" w:color="000000"/>
            </w:tcBorders>
            <w:shd w:val="clear" w:color="auto" w:fill="auto"/>
            <w:vAlign w:val="bottom"/>
          </w:tcPr>
          <w:p w14:paraId="629DAA03"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0.1</w:t>
            </w:r>
          </w:p>
        </w:tc>
      </w:tr>
      <w:tr w:rsidR="00FC2DDA" w:rsidRPr="00FC2DDA" w14:paraId="5BA122DB" w14:textId="77777777" w:rsidTr="009750BF">
        <w:trPr>
          <w:trHeight w:val="320"/>
        </w:trPr>
        <w:tc>
          <w:tcPr>
            <w:tcW w:w="2359" w:type="dxa"/>
            <w:tcBorders>
              <w:top w:val="nil"/>
              <w:left w:val="single" w:sz="6" w:space="0" w:color="000000"/>
              <w:bottom w:val="single" w:sz="4" w:space="0" w:color="000000"/>
              <w:right w:val="single" w:sz="4" w:space="0" w:color="000000"/>
            </w:tcBorders>
            <w:shd w:val="clear" w:color="auto" w:fill="auto"/>
            <w:vAlign w:val="bottom"/>
          </w:tcPr>
          <w:p w14:paraId="14AA7A57" w14:textId="77777777" w:rsidR="001567E5" w:rsidRPr="00FC2DDA" w:rsidRDefault="001567E5"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Gadoversetamide</w:t>
            </w:r>
          </w:p>
        </w:tc>
        <w:tc>
          <w:tcPr>
            <w:tcW w:w="1418" w:type="dxa"/>
            <w:tcBorders>
              <w:top w:val="nil"/>
              <w:left w:val="nil"/>
              <w:bottom w:val="single" w:sz="4" w:space="0" w:color="000000"/>
              <w:right w:val="single" w:sz="4" w:space="0" w:color="000000"/>
            </w:tcBorders>
            <w:shd w:val="clear" w:color="auto" w:fill="auto"/>
            <w:vAlign w:val="bottom"/>
          </w:tcPr>
          <w:p w14:paraId="6B24179F"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ECFAs</w:t>
            </w:r>
          </w:p>
        </w:tc>
        <w:tc>
          <w:tcPr>
            <w:tcW w:w="1417" w:type="dxa"/>
            <w:tcBorders>
              <w:top w:val="nil"/>
              <w:left w:val="nil"/>
              <w:bottom w:val="single" w:sz="4" w:space="0" w:color="000000"/>
              <w:right w:val="single" w:sz="4" w:space="0" w:color="000000"/>
            </w:tcBorders>
            <w:shd w:val="clear" w:color="auto" w:fill="auto"/>
            <w:vAlign w:val="bottom"/>
          </w:tcPr>
          <w:p w14:paraId="62AB1B8E"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Standard</w:t>
            </w:r>
          </w:p>
        </w:tc>
        <w:tc>
          <w:tcPr>
            <w:tcW w:w="1843" w:type="dxa"/>
            <w:tcBorders>
              <w:top w:val="nil"/>
              <w:left w:val="nil"/>
              <w:bottom w:val="single" w:sz="4" w:space="0" w:color="000000"/>
              <w:right w:val="single" w:sz="4" w:space="0" w:color="000000"/>
            </w:tcBorders>
            <w:shd w:val="clear" w:color="auto" w:fill="auto"/>
            <w:vAlign w:val="bottom"/>
          </w:tcPr>
          <w:p w14:paraId="594D0CE6"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Linear</w:t>
            </w:r>
          </w:p>
        </w:tc>
        <w:tc>
          <w:tcPr>
            <w:tcW w:w="1984" w:type="dxa"/>
            <w:tcBorders>
              <w:top w:val="nil"/>
              <w:left w:val="nil"/>
              <w:bottom w:val="single" w:sz="4" w:space="0" w:color="000000"/>
              <w:right w:val="single" w:sz="4" w:space="0" w:color="000000"/>
            </w:tcBorders>
            <w:shd w:val="clear" w:color="auto" w:fill="auto"/>
            <w:vAlign w:val="bottom"/>
          </w:tcPr>
          <w:p w14:paraId="7BF4A61F"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0.5</w:t>
            </w:r>
          </w:p>
        </w:tc>
        <w:tc>
          <w:tcPr>
            <w:tcW w:w="2127" w:type="dxa"/>
            <w:tcBorders>
              <w:top w:val="nil"/>
              <w:left w:val="nil"/>
              <w:bottom w:val="single" w:sz="4" w:space="0" w:color="000000"/>
              <w:right w:val="single" w:sz="6" w:space="0" w:color="000000"/>
            </w:tcBorders>
            <w:shd w:val="clear" w:color="auto" w:fill="auto"/>
            <w:vAlign w:val="bottom"/>
          </w:tcPr>
          <w:p w14:paraId="7395F9E8"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0.1</w:t>
            </w:r>
          </w:p>
        </w:tc>
      </w:tr>
      <w:tr w:rsidR="00FC2DDA" w:rsidRPr="00FC2DDA" w14:paraId="277DE9F5" w14:textId="77777777" w:rsidTr="009750BF">
        <w:trPr>
          <w:trHeight w:val="320"/>
        </w:trPr>
        <w:tc>
          <w:tcPr>
            <w:tcW w:w="2359" w:type="dxa"/>
            <w:tcBorders>
              <w:top w:val="nil"/>
              <w:left w:val="single" w:sz="6" w:space="0" w:color="000000"/>
              <w:bottom w:val="single" w:sz="4" w:space="0" w:color="000000"/>
              <w:right w:val="single" w:sz="4" w:space="0" w:color="000000"/>
            </w:tcBorders>
            <w:shd w:val="clear" w:color="auto" w:fill="auto"/>
            <w:vAlign w:val="bottom"/>
          </w:tcPr>
          <w:p w14:paraId="4FC302D9" w14:textId="77777777" w:rsidR="001567E5" w:rsidRPr="00FC2DDA" w:rsidRDefault="001567E5"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Gadodiamide</w:t>
            </w:r>
          </w:p>
        </w:tc>
        <w:tc>
          <w:tcPr>
            <w:tcW w:w="1418" w:type="dxa"/>
            <w:tcBorders>
              <w:top w:val="nil"/>
              <w:left w:val="nil"/>
              <w:bottom w:val="single" w:sz="4" w:space="0" w:color="000000"/>
              <w:right w:val="single" w:sz="4" w:space="0" w:color="000000"/>
            </w:tcBorders>
            <w:shd w:val="clear" w:color="auto" w:fill="auto"/>
            <w:vAlign w:val="bottom"/>
          </w:tcPr>
          <w:p w14:paraId="07513021"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ECFAs</w:t>
            </w:r>
          </w:p>
        </w:tc>
        <w:tc>
          <w:tcPr>
            <w:tcW w:w="1417" w:type="dxa"/>
            <w:tcBorders>
              <w:top w:val="nil"/>
              <w:left w:val="nil"/>
              <w:bottom w:val="single" w:sz="4" w:space="0" w:color="000000"/>
              <w:right w:val="single" w:sz="4" w:space="0" w:color="000000"/>
            </w:tcBorders>
            <w:shd w:val="clear" w:color="auto" w:fill="auto"/>
            <w:vAlign w:val="bottom"/>
          </w:tcPr>
          <w:p w14:paraId="50B007AD"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Standard</w:t>
            </w:r>
          </w:p>
        </w:tc>
        <w:tc>
          <w:tcPr>
            <w:tcW w:w="1843" w:type="dxa"/>
            <w:tcBorders>
              <w:top w:val="nil"/>
              <w:left w:val="nil"/>
              <w:bottom w:val="single" w:sz="4" w:space="0" w:color="000000"/>
              <w:right w:val="single" w:sz="4" w:space="0" w:color="000000"/>
            </w:tcBorders>
            <w:shd w:val="clear" w:color="auto" w:fill="auto"/>
            <w:vAlign w:val="bottom"/>
          </w:tcPr>
          <w:p w14:paraId="0C235FB4"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Linear</w:t>
            </w:r>
          </w:p>
        </w:tc>
        <w:tc>
          <w:tcPr>
            <w:tcW w:w="1984" w:type="dxa"/>
            <w:tcBorders>
              <w:top w:val="nil"/>
              <w:left w:val="nil"/>
              <w:bottom w:val="single" w:sz="4" w:space="0" w:color="000000"/>
              <w:right w:val="single" w:sz="4" w:space="0" w:color="000000"/>
            </w:tcBorders>
            <w:shd w:val="clear" w:color="auto" w:fill="auto"/>
            <w:vAlign w:val="bottom"/>
          </w:tcPr>
          <w:p w14:paraId="441B266D"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0.5</w:t>
            </w:r>
          </w:p>
        </w:tc>
        <w:tc>
          <w:tcPr>
            <w:tcW w:w="2127" w:type="dxa"/>
            <w:tcBorders>
              <w:top w:val="nil"/>
              <w:left w:val="nil"/>
              <w:bottom w:val="single" w:sz="4" w:space="0" w:color="000000"/>
              <w:right w:val="single" w:sz="6" w:space="0" w:color="000000"/>
            </w:tcBorders>
            <w:shd w:val="clear" w:color="auto" w:fill="auto"/>
            <w:vAlign w:val="bottom"/>
          </w:tcPr>
          <w:p w14:paraId="609DF99D"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0.1</w:t>
            </w:r>
          </w:p>
        </w:tc>
      </w:tr>
      <w:tr w:rsidR="00FC2DDA" w:rsidRPr="00FC2DDA" w14:paraId="50ABE02C" w14:textId="77777777" w:rsidTr="009750BF">
        <w:trPr>
          <w:trHeight w:val="320"/>
        </w:trPr>
        <w:tc>
          <w:tcPr>
            <w:tcW w:w="2359" w:type="dxa"/>
            <w:tcBorders>
              <w:top w:val="nil"/>
              <w:left w:val="single" w:sz="6" w:space="0" w:color="000000"/>
              <w:bottom w:val="single" w:sz="4" w:space="0" w:color="000000"/>
              <w:right w:val="single" w:sz="4" w:space="0" w:color="000000"/>
            </w:tcBorders>
            <w:shd w:val="clear" w:color="auto" w:fill="auto"/>
            <w:vAlign w:val="bottom"/>
          </w:tcPr>
          <w:p w14:paraId="24852164" w14:textId="3B4DEBF4" w:rsidR="001567E5" w:rsidRPr="00FC2DDA" w:rsidRDefault="001567E5"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Gadofosfaset</w:t>
            </w:r>
            <w:r w:rsidR="00782C99"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trisodium</w:t>
            </w:r>
          </w:p>
        </w:tc>
        <w:tc>
          <w:tcPr>
            <w:tcW w:w="1418" w:type="dxa"/>
            <w:tcBorders>
              <w:top w:val="nil"/>
              <w:left w:val="nil"/>
              <w:bottom w:val="single" w:sz="4" w:space="0" w:color="000000"/>
              <w:right w:val="single" w:sz="4" w:space="0" w:color="000000"/>
            </w:tcBorders>
            <w:shd w:val="clear" w:color="auto" w:fill="auto"/>
            <w:vAlign w:val="bottom"/>
          </w:tcPr>
          <w:p w14:paraId="225EB473"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BPCAs</w:t>
            </w:r>
          </w:p>
        </w:tc>
        <w:tc>
          <w:tcPr>
            <w:tcW w:w="1417" w:type="dxa"/>
            <w:tcBorders>
              <w:top w:val="nil"/>
              <w:left w:val="nil"/>
              <w:bottom w:val="single" w:sz="4" w:space="0" w:color="000000"/>
              <w:right w:val="single" w:sz="4" w:space="0" w:color="000000"/>
            </w:tcBorders>
            <w:shd w:val="clear" w:color="auto" w:fill="auto"/>
            <w:vAlign w:val="bottom"/>
          </w:tcPr>
          <w:p w14:paraId="263D5F52"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High</w:t>
            </w:r>
          </w:p>
        </w:tc>
        <w:tc>
          <w:tcPr>
            <w:tcW w:w="1843" w:type="dxa"/>
            <w:tcBorders>
              <w:top w:val="nil"/>
              <w:left w:val="nil"/>
              <w:bottom w:val="single" w:sz="4" w:space="0" w:color="000000"/>
              <w:right w:val="single" w:sz="4" w:space="0" w:color="000000"/>
            </w:tcBorders>
            <w:shd w:val="clear" w:color="auto" w:fill="auto"/>
            <w:vAlign w:val="bottom"/>
          </w:tcPr>
          <w:p w14:paraId="1B7E8177"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Linear</w:t>
            </w:r>
          </w:p>
        </w:tc>
        <w:tc>
          <w:tcPr>
            <w:tcW w:w="1984" w:type="dxa"/>
            <w:tcBorders>
              <w:top w:val="nil"/>
              <w:left w:val="nil"/>
              <w:bottom w:val="single" w:sz="4" w:space="0" w:color="000000"/>
              <w:right w:val="single" w:sz="4" w:space="0" w:color="000000"/>
            </w:tcBorders>
            <w:shd w:val="clear" w:color="auto" w:fill="auto"/>
            <w:vAlign w:val="bottom"/>
          </w:tcPr>
          <w:p w14:paraId="5F39804E"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0.25</w:t>
            </w:r>
          </w:p>
        </w:tc>
        <w:tc>
          <w:tcPr>
            <w:tcW w:w="2127" w:type="dxa"/>
            <w:tcBorders>
              <w:top w:val="nil"/>
              <w:left w:val="nil"/>
              <w:bottom w:val="single" w:sz="4" w:space="0" w:color="000000"/>
              <w:right w:val="single" w:sz="6" w:space="0" w:color="000000"/>
            </w:tcBorders>
            <w:shd w:val="clear" w:color="auto" w:fill="auto"/>
            <w:vAlign w:val="bottom"/>
          </w:tcPr>
          <w:p w14:paraId="3BFC1484"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0.03</w:t>
            </w:r>
          </w:p>
        </w:tc>
      </w:tr>
      <w:tr w:rsidR="00FC2DDA" w:rsidRPr="00FC2DDA" w14:paraId="7C1DB18F" w14:textId="77777777" w:rsidTr="009750BF">
        <w:trPr>
          <w:trHeight w:val="320"/>
        </w:trPr>
        <w:tc>
          <w:tcPr>
            <w:tcW w:w="2359" w:type="dxa"/>
            <w:tcBorders>
              <w:top w:val="nil"/>
              <w:left w:val="single" w:sz="6" w:space="0" w:color="000000"/>
              <w:bottom w:val="single" w:sz="4" w:space="0" w:color="000000"/>
              <w:right w:val="single" w:sz="4" w:space="0" w:color="000000"/>
            </w:tcBorders>
            <w:shd w:val="clear" w:color="auto" w:fill="auto"/>
            <w:vAlign w:val="bottom"/>
          </w:tcPr>
          <w:p w14:paraId="6CC3D81D" w14:textId="339E1921" w:rsidR="001567E5" w:rsidRPr="00FC2DDA" w:rsidRDefault="001567E5"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Gadobenate</w:t>
            </w:r>
            <w:r w:rsidR="00782C99" w:rsidRPr="00FC2DDA">
              <w:rPr>
                <w:rFonts w:ascii="Book Antiqua" w:eastAsia="Times New Roman" w:hAnsi="Book Antiqua" w:cs="Times New Roman"/>
                <w:color w:val="auto"/>
                <w:sz w:val="24"/>
                <w:szCs w:val="24"/>
              </w:rPr>
              <w:t xml:space="preserve">- </w:t>
            </w:r>
            <w:r w:rsidRPr="00FC2DDA">
              <w:rPr>
                <w:rFonts w:ascii="Book Antiqua" w:eastAsia="Times New Roman" w:hAnsi="Book Antiqua" w:cs="Times New Roman"/>
                <w:color w:val="auto"/>
                <w:sz w:val="24"/>
                <w:szCs w:val="24"/>
              </w:rPr>
              <w:t>dimeglumine</w:t>
            </w:r>
          </w:p>
        </w:tc>
        <w:tc>
          <w:tcPr>
            <w:tcW w:w="1418" w:type="dxa"/>
            <w:tcBorders>
              <w:top w:val="nil"/>
              <w:left w:val="nil"/>
              <w:bottom w:val="single" w:sz="4" w:space="0" w:color="000000"/>
              <w:right w:val="single" w:sz="4" w:space="0" w:color="000000"/>
            </w:tcBorders>
            <w:shd w:val="clear" w:color="auto" w:fill="auto"/>
            <w:vAlign w:val="bottom"/>
          </w:tcPr>
          <w:p w14:paraId="3046D276"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HCAs</w:t>
            </w:r>
          </w:p>
        </w:tc>
        <w:tc>
          <w:tcPr>
            <w:tcW w:w="1417" w:type="dxa"/>
            <w:tcBorders>
              <w:top w:val="nil"/>
              <w:left w:val="nil"/>
              <w:bottom w:val="single" w:sz="4" w:space="0" w:color="000000"/>
              <w:right w:val="single" w:sz="4" w:space="0" w:color="000000"/>
            </w:tcBorders>
            <w:shd w:val="clear" w:color="auto" w:fill="auto"/>
            <w:vAlign w:val="bottom"/>
          </w:tcPr>
          <w:p w14:paraId="2804D182"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High</w:t>
            </w:r>
          </w:p>
        </w:tc>
        <w:tc>
          <w:tcPr>
            <w:tcW w:w="1843" w:type="dxa"/>
            <w:tcBorders>
              <w:top w:val="nil"/>
              <w:left w:val="nil"/>
              <w:bottom w:val="single" w:sz="4" w:space="0" w:color="000000"/>
              <w:right w:val="single" w:sz="4" w:space="0" w:color="000000"/>
            </w:tcBorders>
            <w:shd w:val="clear" w:color="auto" w:fill="auto"/>
            <w:vAlign w:val="bottom"/>
          </w:tcPr>
          <w:p w14:paraId="5BE63D7E"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Linear</w:t>
            </w:r>
          </w:p>
        </w:tc>
        <w:tc>
          <w:tcPr>
            <w:tcW w:w="1984" w:type="dxa"/>
            <w:tcBorders>
              <w:top w:val="nil"/>
              <w:left w:val="nil"/>
              <w:bottom w:val="single" w:sz="4" w:space="0" w:color="000000"/>
              <w:right w:val="single" w:sz="4" w:space="0" w:color="000000"/>
            </w:tcBorders>
            <w:shd w:val="clear" w:color="auto" w:fill="auto"/>
            <w:vAlign w:val="bottom"/>
          </w:tcPr>
          <w:p w14:paraId="2AD1FFBD"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0.5</w:t>
            </w:r>
          </w:p>
        </w:tc>
        <w:tc>
          <w:tcPr>
            <w:tcW w:w="2127" w:type="dxa"/>
            <w:tcBorders>
              <w:top w:val="nil"/>
              <w:left w:val="nil"/>
              <w:bottom w:val="single" w:sz="4" w:space="0" w:color="000000"/>
              <w:right w:val="single" w:sz="6" w:space="0" w:color="000000"/>
            </w:tcBorders>
            <w:shd w:val="clear" w:color="auto" w:fill="auto"/>
            <w:vAlign w:val="bottom"/>
          </w:tcPr>
          <w:p w14:paraId="554CBDE4"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0.1</w:t>
            </w:r>
          </w:p>
        </w:tc>
      </w:tr>
      <w:tr w:rsidR="00FC2DDA" w:rsidRPr="00FC2DDA" w14:paraId="77E3D3AE" w14:textId="77777777" w:rsidTr="009750BF">
        <w:trPr>
          <w:trHeight w:val="340"/>
        </w:trPr>
        <w:tc>
          <w:tcPr>
            <w:tcW w:w="2359" w:type="dxa"/>
            <w:tcBorders>
              <w:top w:val="nil"/>
              <w:left w:val="single" w:sz="6" w:space="0" w:color="000000"/>
              <w:bottom w:val="single" w:sz="6" w:space="0" w:color="000000"/>
              <w:right w:val="single" w:sz="4" w:space="0" w:color="000000"/>
            </w:tcBorders>
            <w:shd w:val="clear" w:color="auto" w:fill="auto"/>
            <w:vAlign w:val="bottom"/>
          </w:tcPr>
          <w:p w14:paraId="1A31C412" w14:textId="7B02DAB1" w:rsidR="001567E5" w:rsidRPr="00FC2DDA" w:rsidRDefault="001567E5"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Gadoxetate</w:t>
            </w:r>
            <w:r w:rsidR="00782C99" w:rsidRPr="00FC2DDA">
              <w:rPr>
                <w:rFonts w:ascii="Book Antiqua" w:eastAsia="Times New Roman" w:hAnsi="Book Antiqua" w:cs="Times New Roman"/>
                <w:color w:val="auto"/>
                <w:sz w:val="24"/>
                <w:szCs w:val="24"/>
              </w:rPr>
              <w:t>-</w:t>
            </w:r>
            <w:r w:rsidRPr="00FC2DDA">
              <w:rPr>
                <w:rFonts w:ascii="Book Antiqua" w:eastAsia="Times New Roman" w:hAnsi="Book Antiqua" w:cs="Times New Roman"/>
                <w:color w:val="auto"/>
                <w:sz w:val="24"/>
                <w:szCs w:val="24"/>
              </w:rPr>
              <w:t>disodium</w:t>
            </w:r>
          </w:p>
        </w:tc>
        <w:tc>
          <w:tcPr>
            <w:tcW w:w="1418" w:type="dxa"/>
            <w:tcBorders>
              <w:top w:val="nil"/>
              <w:left w:val="nil"/>
              <w:bottom w:val="single" w:sz="6" w:space="0" w:color="000000"/>
              <w:right w:val="single" w:sz="4" w:space="0" w:color="000000"/>
            </w:tcBorders>
            <w:shd w:val="clear" w:color="auto" w:fill="auto"/>
            <w:vAlign w:val="bottom"/>
          </w:tcPr>
          <w:p w14:paraId="023BA99B"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HCAs</w:t>
            </w:r>
          </w:p>
        </w:tc>
        <w:tc>
          <w:tcPr>
            <w:tcW w:w="1417" w:type="dxa"/>
            <w:tcBorders>
              <w:top w:val="nil"/>
              <w:left w:val="nil"/>
              <w:bottom w:val="single" w:sz="6" w:space="0" w:color="000000"/>
              <w:right w:val="single" w:sz="4" w:space="0" w:color="000000"/>
            </w:tcBorders>
            <w:shd w:val="clear" w:color="auto" w:fill="auto"/>
            <w:vAlign w:val="bottom"/>
          </w:tcPr>
          <w:p w14:paraId="45E6423A"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High</w:t>
            </w:r>
          </w:p>
        </w:tc>
        <w:tc>
          <w:tcPr>
            <w:tcW w:w="1843" w:type="dxa"/>
            <w:tcBorders>
              <w:top w:val="nil"/>
              <w:left w:val="nil"/>
              <w:bottom w:val="single" w:sz="6" w:space="0" w:color="000000"/>
              <w:right w:val="single" w:sz="4" w:space="0" w:color="000000"/>
            </w:tcBorders>
            <w:shd w:val="clear" w:color="auto" w:fill="auto"/>
            <w:vAlign w:val="bottom"/>
          </w:tcPr>
          <w:p w14:paraId="2D877747"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Linear</w:t>
            </w:r>
          </w:p>
        </w:tc>
        <w:tc>
          <w:tcPr>
            <w:tcW w:w="1984" w:type="dxa"/>
            <w:tcBorders>
              <w:top w:val="nil"/>
              <w:left w:val="nil"/>
              <w:bottom w:val="single" w:sz="6" w:space="0" w:color="000000"/>
              <w:right w:val="single" w:sz="4" w:space="0" w:color="000000"/>
            </w:tcBorders>
            <w:shd w:val="clear" w:color="auto" w:fill="auto"/>
            <w:vAlign w:val="bottom"/>
          </w:tcPr>
          <w:p w14:paraId="40F79EDB"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0.25</w:t>
            </w:r>
          </w:p>
        </w:tc>
        <w:tc>
          <w:tcPr>
            <w:tcW w:w="2127" w:type="dxa"/>
            <w:tcBorders>
              <w:top w:val="nil"/>
              <w:left w:val="nil"/>
              <w:bottom w:val="single" w:sz="6" w:space="0" w:color="000000"/>
              <w:right w:val="single" w:sz="6" w:space="0" w:color="000000"/>
            </w:tcBorders>
            <w:shd w:val="clear" w:color="auto" w:fill="auto"/>
            <w:vAlign w:val="bottom"/>
          </w:tcPr>
          <w:p w14:paraId="76961D02" w14:textId="77777777" w:rsidR="001567E5" w:rsidRPr="00FC2DDA" w:rsidRDefault="001567E5" w:rsidP="00204152">
            <w:pPr>
              <w:snapToGrid w:val="0"/>
              <w:spacing w:after="0" w:line="360" w:lineRule="auto"/>
              <w:jc w:val="center"/>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t>0.025</w:t>
            </w:r>
          </w:p>
        </w:tc>
      </w:tr>
    </w:tbl>
    <w:p w14:paraId="629E3EFE" w14:textId="5C227049" w:rsidR="00F23569" w:rsidRPr="00FC2DDA" w:rsidRDefault="009750BF" w:rsidP="00AF2AB9">
      <w:pPr>
        <w:snapToGrid w:val="0"/>
        <w:spacing w:after="0" w:line="360" w:lineRule="auto"/>
        <w:jc w:val="both"/>
        <w:rPr>
          <w:rFonts w:ascii="Book Antiqua" w:hAnsi="Book Antiqua" w:cs="Times New Roman"/>
          <w:color w:val="auto"/>
          <w:sz w:val="24"/>
          <w:szCs w:val="24"/>
          <w:lang w:eastAsia="zh-CN"/>
        </w:rPr>
      </w:pPr>
      <w:r w:rsidRPr="00FC2DDA">
        <w:rPr>
          <w:rFonts w:ascii="Book Antiqua" w:eastAsia="Times New Roman" w:hAnsi="Book Antiqua" w:cs="Times New Roman"/>
          <w:color w:val="auto"/>
          <w:sz w:val="24"/>
          <w:szCs w:val="24"/>
        </w:rPr>
        <w:t>ECFAs</w:t>
      </w:r>
      <w:r w:rsidRPr="00FC2DDA">
        <w:rPr>
          <w:rFonts w:ascii="Book Antiqua" w:hAnsi="Book Antiqua" w:cs="Times New Roman" w:hint="eastAsia"/>
          <w:color w:val="auto"/>
          <w:sz w:val="24"/>
          <w:szCs w:val="24"/>
          <w:lang w:eastAsia="zh-CN"/>
        </w:rPr>
        <w:t>:</w:t>
      </w:r>
      <w:r w:rsidRPr="00FC2DDA">
        <w:rPr>
          <w:rFonts w:ascii="Book Antiqua" w:eastAsia="Times New Roman" w:hAnsi="Book Antiqua" w:cs="Times New Roman"/>
          <w:color w:val="auto"/>
          <w:sz w:val="24"/>
          <w:szCs w:val="24"/>
        </w:rPr>
        <w:t xml:space="preserve"> Extracellular fluid agents</w:t>
      </w:r>
      <w:r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BPCAs</w:t>
      </w:r>
      <w:r w:rsidRPr="00FC2DDA">
        <w:rPr>
          <w:rFonts w:ascii="Book Antiqua" w:hAnsi="Book Antiqua" w:cs="Times New Roman" w:hint="eastAsia"/>
          <w:color w:val="auto"/>
          <w:sz w:val="24"/>
          <w:szCs w:val="24"/>
          <w:lang w:eastAsia="zh-CN"/>
        </w:rPr>
        <w:t>:</w:t>
      </w:r>
      <w:r w:rsidRPr="00FC2DDA">
        <w:rPr>
          <w:rFonts w:ascii="Book Antiqua" w:eastAsia="Times New Roman" w:hAnsi="Book Antiqua" w:cs="Times New Roman"/>
          <w:color w:val="auto"/>
          <w:sz w:val="24"/>
          <w:szCs w:val="24"/>
        </w:rPr>
        <w:t xml:space="preserve"> Blood pool agents</w:t>
      </w:r>
      <w:r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HCAs</w:t>
      </w:r>
      <w:r w:rsidRPr="00FC2DDA">
        <w:rPr>
          <w:rFonts w:ascii="Book Antiqua" w:hAnsi="Book Antiqua" w:cs="Times New Roman" w:hint="eastAsia"/>
          <w:color w:val="auto"/>
          <w:sz w:val="24"/>
          <w:szCs w:val="24"/>
          <w:lang w:eastAsia="zh-CN"/>
        </w:rPr>
        <w:t>:</w:t>
      </w:r>
      <w:r w:rsidRPr="00FC2DDA">
        <w:rPr>
          <w:rFonts w:ascii="Book Antiqua" w:eastAsia="Times New Roman" w:hAnsi="Book Antiqua" w:cs="Times New Roman"/>
          <w:color w:val="auto"/>
          <w:sz w:val="24"/>
          <w:szCs w:val="24"/>
        </w:rPr>
        <w:t xml:space="preserve"> Hepatocyte-specific contrast agents</w:t>
      </w:r>
      <w:r w:rsidRPr="00FC2DDA">
        <w:rPr>
          <w:rFonts w:ascii="Book Antiqua" w:hAnsi="Book Antiqua" w:cs="Times New Roman" w:hint="eastAsia"/>
          <w:color w:val="auto"/>
          <w:sz w:val="24"/>
          <w:szCs w:val="24"/>
          <w:lang w:eastAsia="zh-CN"/>
        </w:rPr>
        <w:t>.</w:t>
      </w:r>
    </w:p>
    <w:p w14:paraId="143EC170" w14:textId="77777777" w:rsidR="00F23569" w:rsidRPr="00FC2DDA" w:rsidRDefault="00F23569" w:rsidP="00AF2AB9">
      <w:pPr>
        <w:snapToGrid w:val="0"/>
        <w:spacing w:after="0" w:line="360" w:lineRule="auto"/>
        <w:jc w:val="both"/>
        <w:rPr>
          <w:rFonts w:ascii="Book Antiqua" w:eastAsia="Times New Roman" w:hAnsi="Book Antiqua" w:cs="Times New Roman"/>
          <w:color w:val="auto"/>
          <w:sz w:val="24"/>
          <w:szCs w:val="24"/>
        </w:rPr>
      </w:pPr>
      <w:r w:rsidRPr="00FC2DDA">
        <w:rPr>
          <w:rFonts w:ascii="Book Antiqua" w:eastAsia="Times New Roman" w:hAnsi="Book Antiqua" w:cs="Times New Roman"/>
          <w:color w:val="auto"/>
          <w:sz w:val="24"/>
          <w:szCs w:val="24"/>
        </w:rPr>
        <w:br w:type="page"/>
      </w:r>
    </w:p>
    <w:p w14:paraId="3DA804DC" w14:textId="04A687A5" w:rsidR="001567E5" w:rsidRPr="00FC2DDA" w:rsidRDefault="001567E5" w:rsidP="00AF2AB9">
      <w:pPr>
        <w:snapToGrid w:val="0"/>
        <w:spacing w:after="0" w:line="360" w:lineRule="auto"/>
        <w:jc w:val="both"/>
        <w:rPr>
          <w:rFonts w:ascii="Book Antiqua" w:hAnsi="Book Antiqua"/>
          <w:b/>
          <w:color w:val="auto"/>
          <w:sz w:val="24"/>
          <w:szCs w:val="24"/>
        </w:rPr>
      </w:pPr>
      <w:r w:rsidRPr="00FC2DDA">
        <w:rPr>
          <w:rFonts w:ascii="Book Antiqua" w:hAnsi="Book Antiqua"/>
          <w:b/>
          <w:color w:val="auto"/>
          <w:sz w:val="24"/>
          <w:szCs w:val="24"/>
        </w:rPr>
        <w:lastRenderedPageBreak/>
        <w:t>T</w:t>
      </w:r>
      <w:r w:rsidR="007E7040" w:rsidRPr="00FC2DDA">
        <w:rPr>
          <w:rFonts w:ascii="Book Antiqua" w:hAnsi="Book Antiqua"/>
          <w:b/>
          <w:color w:val="auto"/>
          <w:sz w:val="24"/>
          <w:szCs w:val="24"/>
        </w:rPr>
        <w:t xml:space="preserve">able </w:t>
      </w:r>
      <w:r w:rsidRPr="00FC2DDA">
        <w:rPr>
          <w:rFonts w:ascii="Book Antiqua" w:hAnsi="Book Antiqua"/>
          <w:b/>
          <w:color w:val="auto"/>
          <w:sz w:val="24"/>
          <w:szCs w:val="24"/>
        </w:rPr>
        <w:t>2</w:t>
      </w:r>
      <w:r w:rsidR="007E7040" w:rsidRPr="00FC2DDA">
        <w:rPr>
          <w:rFonts w:ascii="Book Antiqua" w:hAnsi="Book Antiqua"/>
          <w:b/>
          <w:color w:val="auto"/>
          <w:sz w:val="24"/>
          <w:szCs w:val="24"/>
          <w:lang w:eastAsia="zh-CN"/>
        </w:rPr>
        <w:t xml:space="preserve"> </w:t>
      </w:r>
      <w:r w:rsidR="005571C4" w:rsidRPr="00FC2DDA">
        <w:rPr>
          <w:rFonts w:ascii="Book Antiqua" w:hAnsi="Book Antiqua"/>
          <w:b/>
          <w:caps/>
          <w:color w:val="auto"/>
          <w:sz w:val="24"/>
          <w:szCs w:val="24"/>
        </w:rPr>
        <w:t>m</w:t>
      </w:r>
      <w:r w:rsidR="005571C4" w:rsidRPr="00FC2DDA">
        <w:rPr>
          <w:rFonts w:ascii="Book Antiqua" w:hAnsi="Book Antiqua"/>
          <w:b/>
          <w:color w:val="auto"/>
          <w:sz w:val="24"/>
          <w:szCs w:val="24"/>
        </w:rPr>
        <w:t>agnetic resonance imaging</w:t>
      </w:r>
      <w:r w:rsidRPr="00FC2DDA">
        <w:rPr>
          <w:rFonts w:ascii="Book Antiqua" w:hAnsi="Book Antiqua"/>
          <w:b/>
          <w:color w:val="auto"/>
          <w:sz w:val="24"/>
          <w:szCs w:val="24"/>
        </w:rPr>
        <w:t xml:space="preserve"> perfusion with </w:t>
      </w:r>
      <w:r w:rsidR="005571C4" w:rsidRPr="00FC2DDA">
        <w:rPr>
          <w:rFonts w:ascii="Book Antiqua" w:hAnsi="Book Antiqua"/>
          <w:b/>
          <w:color w:val="auto"/>
          <w:sz w:val="24"/>
          <w:szCs w:val="24"/>
        </w:rPr>
        <w:t>dynamic contrast-enhanced magnetic resonance imaging</w:t>
      </w:r>
      <w:r w:rsidRPr="00FC2DDA">
        <w:rPr>
          <w:rFonts w:ascii="Book Antiqua" w:hAnsi="Book Antiqua"/>
          <w:b/>
          <w:color w:val="auto"/>
          <w:sz w:val="24"/>
          <w:szCs w:val="24"/>
        </w:rPr>
        <w:t xml:space="preserve"> in the assessment of </w:t>
      </w:r>
      <w:r w:rsidR="005571C4" w:rsidRPr="00FC2DDA">
        <w:rPr>
          <w:rFonts w:ascii="Book Antiqua" w:hAnsi="Book Antiqua"/>
          <w:b/>
          <w:color w:val="auto"/>
          <w:sz w:val="24"/>
          <w:szCs w:val="24"/>
        </w:rPr>
        <w:t>hepatocellular carcinoma</w:t>
      </w:r>
      <w:r w:rsidR="005571C4" w:rsidRPr="00FC2DDA">
        <w:rPr>
          <w:rFonts w:ascii="Book Antiqua" w:hAnsi="Book Antiqua" w:hint="eastAsia"/>
          <w:b/>
          <w:color w:val="auto"/>
          <w:sz w:val="24"/>
          <w:szCs w:val="24"/>
          <w:lang w:eastAsia="zh-CN"/>
        </w:rPr>
        <w:t xml:space="preserve"> </w:t>
      </w:r>
      <w:r w:rsidRPr="00FC2DDA">
        <w:rPr>
          <w:rFonts w:ascii="Book Antiqua" w:hAnsi="Book Antiqua"/>
          <w:b/>
          <w:color w:val="auto"/>
          <w:sz w:val="24"/>
          <w:szCs w:val="24"/>
        </w:rPr>
        <w:t xml:space="preserve">focus on </w:t>
      </w:r>
      <w:r w:rsidR="00B304DF" w:rsidRPr="00FC2DDA">
        <w:rPr>
          <w:rFonts w:ascii="Book Antiqua" w:hAnsi="Book Antiqua"/>
          <w:b/>
          <w:color w:val="auto"/>
          <w:sz w:val="24"/>
          <w:szCs w:val="24"/>
        </w:rPr>
        <w:t>diagnosis and characterization, response to therapy</w:t>
      </w:r>
      <w:r w:rsidR="00B304DF" w:rsidRPr="00FC2DDA">
        <w:rPr>
          <w:rFonts w:ascii="Book Antiqua" w:hAnsi="Book Antiqua"/>
          <w:b/>
          <w:color w:val="auto"/>
          <w:sz w:val="24"/>
          <w:szCs w:val="24"/>
          <w:lang w:eastAsia="zh-CN"/>
        </w:rPr>
        <w:t xml:space="preserve"> </w:t>
      </w:r>
      <w:r w:rsidR="00B304DF" w:rsidRPr="00FC2DDA">
        <w:rPr>
          <w:rFonts w:ascii="Book Antiqua" w:hAnsi="Book Antiqua"/>
          <w:b/>
          <w:color w:val="auto"/>
          <w:sz w:val="24"/>
          <w:szCs w:val="24"/>
        </w:rPr>
        <w:t>and prognosis</w:t>
      </w:r>
    </w:p>
    <w:tbl>
      <w:tblPr>
        <w:tblStyle w:val="TableGrid"/>
        <w:tblW w:w="11483" w:type="dxa"/>
        <w:tblInd w:w="-743" w:type="dxa"/>
        <w:tblLook w:val="04A0" w:firstRow="1" w:lastRow="0" w:firstColumn="1" w:lastColumn="0" w:noHBand="0" w:noVBand="1"/>
      </w:tblPr>
      <w:tblGrid>
        <w:gridCol w:w="2836"/>
        <w:gridCol w:w="1417"/>
        <w:gridCol w:w="1276"/>
        <w:gridCol w:w="3193"/>
        <w:gridCol w:w="67"/>
        <w:gridCol w:w="2694"/>
      </w:tblGrid>
      <w:tr w:rsidR="00FC2DDA" w:rsidRPr="00FC2DDA" w14:paraId="310A96F3" w14:textId="77777777" w:rsidTr="000A3C0A">
        <w:tc>
          <w:tcPr>
            <w:tcW w:w="2836" w:type="dxa"/>
          </w:tcPr>
          <w:p w14:paraId="3D323755" w14:textId="26BDD770" w:rsidR="0011141F" w:rsidRPr="00FC2DDA" w:rsidRDefault="007D05C0" w:rsidP="00B304DF">
            <w:pPr>
              <w:snapToGrid w:val="0"/>
              <w:spacing w:line="360" w:lineRule="auto"/>
              <w:rPr>
                <w:rFonts w:ascii="Book Antiqua" w:eastAsiaTheme="minorEastAsia" w:hAnsi="Book Antiqua"/>
                <w:b/>
                <w:sz w:val="24"/>
                <w:szCs w:val="24"/>
                <w:lang w:eastAsia="zh-CN"/>
              </w:rPr>
            </w:pPr>
            <w:r w:rsidRPr="00FC2DDA">
              <w:rPr>
                <w:rFonts w:ascii="Book Antiqua" w:eastAsiaTheme="minorEastAsia" w:hAnsi="Book Antiqua" w:hint="eastAsia"/>
                <w:b/>
                <w:sz w:val="24"/>
                <w:szCs w:val="24"/>
                <w:lang w:eastAsia="zh-CN"/>
              </w:rPr>
              <w:t>Ref</w:t>
            </w:r>
            <w:r w:rsidR="00733B20" w:rsidRPr="00FC2DDA">
              <w:rPr>
                <w:rFonts w:ascii="Book Antiqua" w:eastAsiaTheme="minorEastAsia" w:hAnsi="Book Antiqua" w:hint="eastAsia"/>
                <w:b/>
                <w:sz w:val="24"/>
                <w:szCs w:val="24"/>
                <w:lang w:eastAsia="zh-CN"/>
              </w:rPr>
              <w:t>.</w:t>
            </w:r>
          </w:p>
        </w:tc>
        <w:tc>
          <w:tcPr>
            <w:tcW w:w="1417" w:type="dxa"/>
          </w:tcPr>
          <w:p w14:paraId="4A818A26" w14:textId="734978FB" w:rsidR="0011141F" w:rsidRPr="00FC2DDA" w:rsidRDefault="0011141F" w:rsidP="00B304DF">
            <w:pPr>
              <w:snapToGrid w:val="0"/>
              <w:spacing w:line="360" w:lineRule="auto"/>
              <w:jc w:val="center"/>
              <w:rPr>
                <w:rFonts w:ascii="Book Antiqua" w:hAnsi="Book Antiqua"/>
                <w:b/>
                <w:sz w:val="24"/>
                <w:szCs w:val="24"/>
              </w:rPr>
            </w:pPr>
            <w:r w:rsidRPr="00FC2DDA">
              <w:rPr>
                <w:rFonts w:ascii="Book Antiqua" w:hAnsi="Book Antiqua"/>
                <w:b/>
                <w:sz w:val="24"/>
                <w:szCs w:val="24"/>
              </w:rPr>
              <w:t>Year</w:t>
            </w:r>
          </w:p>
        </w:tc>
        <w:tc>
          <w:tcPr>
            <w:tcW w:w="1276" w:type="dxa"/>
          </w:tcPr>
          <w:p w14:paraId="4CA50763" w14:textId="33609F34" w:rsidR="0011141F" w:rsidRPr="00FC2DDA" w:rsidRDefault="0011141F" w:rsidP="00B304DF">
            <w:pPr>
              <w:snapToGrid w:val="0"/>
              <w:spacing w:line="360" w:lineRule="auto"/>
              <w:jc w:val="center"/>
              <w:rPr>
                <w:rFonts w:ascii="Book Antiqua" w:hAnsi="Book Antiqua"/>
                <w:b/>
                <w:sz w:val="24"/>
                <w:szCs w:val="24"/>
              </w:rPr>
            </w:pPr>
            <w:r w:rsidRPr="00FC2DDA">
              <w:rPr>
                <w:rFonts w:ascii="Book Antiqua" w:hAnsi="Book Antiqua"/>
                <w:b/>
                <w:sz w:val="24"/>
                <w:szCs w:val="24"/>
              </w:rPr>
              <w:t>Magnet (Tesla)</w:t>
            </w:r>
          </w:p>
        </w:tc>
        <w:tc>
          <w:tcPr>
            <w:tcW w:w="3193" w:type="dxa"/>
          </w:tcPr>
          <w:p w14:paraId="72192FB6" w14:textId="0B027306" w:rsidR="0011141F" w:rsidRPr="00FC2DDA" w:rsidRDefault="0011141F" w:rsidP="00B304DF">
            <w:pPr>
              <w:snapToGrid w:val="0"/>
              <w:spacing w:line="360" w:lineRule="auto"/>
              <w:jc w:val="center"/>
              <w:rPr>
                <w:rFonts w:ascii="Book Antiqua" w:hAnsi="Book Antiqua"/>
                <w:b/>
                <w:sz w:val="24"/>
                <w:szCs w:val="24"/>
              </w:rPr>
            </w:pPr>
            <w:r w:rsidRPr="00FC2DDA">
              <w:rPr>
                <w:rFonts w:ascii="Book Antiqua" w:hAnsi="Book Antiqua"/>
                <w:b/>
                <w:sz w:val="24"/>
                <w:szCs w:val="24"/>
              </w:rPr>
              <w:t>Contrast agent</w:t>
            </w:r>
          </w:p>
        </w:tc>
        <w:tc>
          <w:tcPr>
            <w:tcW w:w="2761" w:type="dxa"/>
            <w:gridSpan w:val="2"/>
          </w:tcPr>
          <w:p w14:paraId="4B4855A6" w14:textId="78036958" w:rsidR="0011141F" w:rsidRPr="00FC2DDA" w:rsidRDefault="0011141F" w:rsidP="00B304DF">
            <w:pPr>
              <w:snapToGrid w:val="0"/>
              <w:spacing w:line="360" w:lineRule="auto"/>
              <w:jc w:val="center"/>
              <w:rPr>
                <w:rFonts w:ascii="Book Antiqua" w:hAnsi="Book Antiqua"/>
                <w:b/>
                <w:sz w:val="24"/>
                <w:szCs w:val="24"/>
              </w:rPr>
            </w:pPr>
            <w:r w:rsidRPr="00FC2DDA">
              <w:rPr>
                <w:rFonts w:ascii="Book Antiqua" w:hAnsi="Book Antiqua"/>
                <w:b/>
                <w:sz w:val="24"/>
                <w:szCs w:val="24"/>
              </w:rPr>
              <w:t>Parameters</w:t>
            </w:r>
          </w:p>
        </w:tc>
      </w:tr>
      <w:tr w:rsidR="00FC2DDA" w:rsidRPr="00FC2DDA" w14:paraId="7764A00A" w14:textId="77777777" w:rsidTr="000267BC">
        <w:trPr>
          <w:gridAfter w:val="5"/>
          <w:wAfter w:w="8647" w:type="dxa"/>
        </w:trPr>
        <w:tc>
          <w:tcPr>
            <w:tcW w:w="2836" w:type="dxa"/>
          </w:tcPr>
          <w:p w14:paraId="7E4DB35A" w14:textId="5ACFC1F7" w:rsidR="00183953" w:rsidRPr="00FC2DDA" w:rsidRDefault="006D1E22" w:rsidP="00B304DF">
            <w:pPr>
              <w:snapToGrid w:val="0"/>
              <w:spacing w:line="360" w:lineRule="auto"/>
              <w:rPr>
                <w:rFonts w:ascii="Book Antiqua" w:hAnsi="Book Antiqua"/>
                <w:sz w:val="24"/>
                <w:szCs w:val="24"/>
              </w:rPr>
            </w:pPr>
            <w:r w:rsidRPr="00FC2DDA">
              <w:rPr>
                <w:rFonts w:ascii="Book Antiqua" w:hAnsi="Book Antiqua"/>
                <w:sz w:val="24"/>
                <w:szCs w:val="24"/>
              </w:rPr>
              <w:t>Diagnosis and characterization</w:t>
            </w:r>
          </w:p>
        </w:tc>
      </w:tr>
      <w:tr w:rsidR="00FC2DDA" w:rsidRPr="00FC2DDA" w14:paraId="28B57978" w14:textId="77777777" w:rsidTr="000267BC">
        <w:tc>
          <w:tcPr>
            <w:tcW w:w="2836" w:type="dxa"/>
          </w:tcPr>
          <w:p w14:paraId="7E2A8963" w14:textId="609E7AED" w:rsidR="0011141F" w:rsidRPr="00FC2DDA" w:rsidRDefault="0011141F" w:rsidP="00BC4BDE">
            <w:pPr>
              <w:snapToGrid w:val="0"/>
              <w:spacing w:line="360" w:lineRule="auto"/>
              <w:ind w:firstLineChars="100" w:firstLine="240"/>
              <w:rPr>
                <w:rFonts w:ascii="Book Antiqua" w:hAnsi="Book Antiqua"/>
                <w:sz w:val="24"/>
                <w:szCs w:val="24"/>
              </w:rPr>
            </w:pPr>
            <w:r w:rsidRPr="00FC2DDA">
              <w:rPr>
                <w:rFonts w:ascii="Book Antiqua" w:hAnsi="Book Antiqua"/>
                <w:sz w:val="24"/>
                <w:szCs w:val="24"/>
              </w:rPr>
              <w:t xml:space="preserve">Taouli </w:t>
            </w:r>
            <w:r w:rsidR="00B304DF" w:rsidRPr="00FC2DDA">
              <w:rPr>
                <w:rFonts w:ascii="Book Antiqua" w:eastAsia="Times New Roman" w:hAnsi="Book Antiqua" w:cs="Times New Roman"/>
                <w:i/>
                <w:sz w:val="24"/>
                <w:szCs w:val="24"/>
              </w:rPr>
              <w:t>et al</w:t>
            </w:r>
            <w:r w:rsidR="00B304DF" w:rsidRPr="00FC2DDA">
              <w:rPr>
                <w:rFonts w:ascii="Book Antiqua" w:eastAsia="Times New Roman" w:hAnsi="Book Antiqua" w:cs="Times New Roman"/>
                <w:sz w:val="24"/>
                <w:szCs w:val="24"/>
                <w:vertAlign w:val="superscript"/>
              </w:rPr>
              <w:t>[3</w:t>
            </w:r>
            <w:r w:rsidR="00B304DF" w:rsidRPr="00FC2DDA">
              <w:rPr>
                <w:rFonts w:ascii="Book Antiqua" w:eastAsiaTheme="minorEastAsia" w:hAnsi="Book Antiqua" w:cs="Times New Roman" w:hint="eastAsia"/>
                <w:sz w:val="24"/>
                <w:szCs w:val="24"/>
                <w:vertAlign w:val="superscript"/>
                <w:lang w:eastAsia="zh-CN"/>
              </w:rPr>
              <w:t>8</w:t>
            </w:r>
            <w:r w:rsidR="00B304DF" w:rsidRPr="00FC2DDA">
              <w:rPr>
                <w:rFonts w:ascii="Book Antiqua" w:eastAsia="Times New Roman" w:hAnsi="Book Antiqua" w:cs="Times New Roman"/>
                <w:sz w:val="24"/>
                <w:szCs w:val="24"/>
                <w:vertAlign w:val="superscript"/>
              </w:rPr>
              <w:t>]</w:t>
            </w:r>
          </w:p>
        </w:tc>
        <w:tc>
          <w:tcPr>
            <w:tcW w:w="1417" w:type="dxa"/>
          </w:tcPr>
          <w:p w14:paraId="40E5866A" w14:textId="10C7A58C" w:rsidR="0011141F" w:rsidRPr="00FC2DDA" w:rsidRDefault="0011141F" w:rsidP="00B304DF">
            <w:pPr>
              <w:snapToGrid w:val="0"/>
              <w:spacing w:line="360" w:lineRule="auto"/>
              <w:jc w:val="center"/>
              <w:rPr>
                <w:rFonts w:ascii="Book Antiqua" w:eastAsiaTheme="minorEastAsia" w:hAnsi="Book Antiqua"/>
                <w:sz w:val="24"/>
                <w:szCs w:val="24"/>
                <w:lang w:eastAsia="zh-CN"/>
              </w:rPr>
            </w:pPr>
            <w:r w:rsidRPr="00FC2DDA">
              <w:rPr>
                <w:rFonts w:ascii="Book Antiqua" w:hAnsi="Book Antiqua"/>
                <w:sz w:val="24"/>
                <w:szCs w:val="24"/>
              </w:rPr>
              <w:t>201</w:t>
            </w:r>
            <w:r w:rsidR="00B304DF" w:rsidRPr="00FC2DDA">
              <w:rPr>
                <w:rFonts w:ascii="Book Antiqua" w:eastAsiaTheme="minorEastAsia" w:hAnsi="Book Antiqua" w:hint="eastAsia"/>
                <w:sz w:val="24"/>
                <w:szCs w:val="24"/>
                <w:lang w:eastAsia="zh-CN"/>
              </w:rPr>
              <w:t>3</w:t>
            </w:r>
          </w:p>
        </w:tc>
        <w:tc>
          <w:tcPr>
            <w:tcW w:w="1276" w:type="dxa"/>
          </w:tcPr>
          <w:p w14:paraId="17944CAA"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1.5 T</w:t>
            </w:r>
          </w:p>
        </w:tc>
        <w:tc>
          <w:tcPr>
            <w:tcW w:w="3193" w:type="dxa"/>
          </w:tcPr>
          <w:p w14:paraId="2F4DE70E" w14:textId="5E080D70"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Gadobenate-dimeglumine</w:t>
            </w:r>
            <w:r w:rsidRPr="00FC2DDA">
              <w:rPr>
                <w:rFonts w:ascii="Book Antiqua" w:eastAsiaTheme="minorEastAsia" w:hAnsi="Book Antiqua" w:hint="eastAsia"/>
                <w:sz w:val="24"/>
                <w:szCs w:val="24"/>
                <w:lang w:eastAsia="zh-CN"/>
              </w:rPr>
              <w:t xml:space="preserve"> </w:t>
            </w:r>
            <w:r w:rsidRPr="00FC2DDA">
              <w:rPr>
                <w:rFonts w:ascii="Book Antiqua" w:hAnsi="Book Antiqua"/>
                <w:sz w:val="24"/>
                <w:szCs w:val="24"/>
              </w:rPr>
              <w:t>and</w:t>
            </w:r>
            <w:r w:rsidR="00B304DF" w:rsidRPr="00FC2DDA">
              <w:rPr>
                <w:rFonts w:ascii="Book Antiqua" w:eastAsiaTheme="minorEastAsia" w:hAnsi="Book Antiqua" w:hint="eastAsia"/>
                <w:sz w:val="24"/>
                <w:szCs w:val="24"/>
                <w:lang w:eastAsia="zh-CN"/>
              </w:rPr>
              <w:t xml:space="preserve"> </w:t>
            </w:r>
            <w:r w:rsidRPr="00FC2DDA">
              <w:rPr>
                <w:rFonts w:ascii="Book Antiqua" w:hAnsi="Book Antiqua"/>
                <w:sz w:val="24"/>
                <w:szCs w:val="24"/>
              </w:rPr>
              <w:t>gadopentetate-dimeglumine</w:t>
            </w:r>
          </w:p>
        </w:tc>
        <w:tc>
          <w:tcPr>
            <w:tcW w:w="2761" w:type="dxa"/>
            <w:gridSpan w:val="2"/>
          </w:tcPr>
          <w:p w14:paraId="5AA5E0FF"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AF, VF, ART, DV, MTT</w:t>
            </w:r>
          </w:p>
        </w:tc>
      </w:tr>
      <w:tr w:rsidR="00FC2DDA" w:rsidRPr="00FC2DDA" w14:paraId="6B0328E3" w14:textId="77777777" w:rsidTr="000267BC">
        <w:tc>
          <w:tcPr>
            <w:tcW w:w="2836" w:type="dxa"/>
          </w:tcPr>
          <w:p w14:paraId="3E5B918B" w14:textId="09960654" w:rsidR="0011141F" w:rsidRPr="00FC2DDA" w:rsidRDefault="00B304DF" w:rsidP="00BC4BDE">
            <w:pPr>
              <w:snapToGrid w:val="0"/>
              <w:spacing w:line="360" w:lineRule="auto"/>
              <w:ind w:firstLineChars="100" w:firstLine="240"/>
              <w:rPr>
                <w:rFonts w:ascii="Book Antiqua" w:hAnsi="Book Antiqua"/>
                <w:sz w:val="24"/>
                <w:szCs w:val="24"/>
              </w:rPr>
            </w:pPr>
            <w:r w:rsidRPr="00FC2DDA">
              <w:rPr>
                <w:rFonts w:ascii="Book Antiqua" w:eastAsia="Times New Roman" w:hAnsi="Book Antiqua" w:cs="Times New Roman"/>
                <w:sz w:val="24"/>
                <w:szCs w:val="24"/>
              </w:rPr>
              <w:t xml:space="preserve">Chen </w:t>
            </w:r>
            <w:r w:rsidRPr="00FC2DDA">
              <w:rPr>
                <w:rFonts w:ascii="Book Antiqua" w:eastAsia="Times New Roman" w:hAnsi="Book Antiqua" w:cs="Times New Roman"/>
                <w:i/>
                <w:sz w:val="24"/>
                <w:szCs w:val="24"/>
              </w:rPr>
              <w:t>et al</w:t>
            </w:r>
            <w:r w:rsidRPr="00FC2DDA">
              <w:rPr>
                <w:rFonts w:ascii="Book Antiqua" w:eastAsia="Times New Roman" w:hAnsi="Book Antiqua" w:cs="Times New Roman"/>
                <w:sz w:val="24"/>
                <w:szCs w:val="24"/>
                <w:vertAlign w:val="superscript"/>
              </w:rPr>
              <w:t>[39]</w:t>
            </w:r>
          </w:p>
        </w:tc>
        <w:tc>
          <w:tcPr>
            <w:tcW w:w="1417" w:type="dxa"/>
          </w:tcPr>
          <w:p w14:paraId="59EB5650"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2017</w:t>
            </w:r>
          </w:p>
        </w:tc>
        <w:tc>
          <w:tcPr>
            <w:tcW w:w="1276" w:type="dxa"/>
          </w:tcPr>
          <w:p w14:paraId="28CA0AB9"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3 T</w:t>
            </w:r>
          </w:p>
        </w:tc>
        <w:tc>
          <w:tcPr>
            <w:tcW w:w="3193" w:type="dxa"/>
          </w:tcPr>
          <w:p w14:paraId="6A0A36B1" w14:textId="79DC0F69"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GD-EOB-DTPA</w:t>
            </w:r>
          </w:p>
        </w:tc>
        <w:tc>
          <w:tcPr>
            <w:tcW w:w="2761" w:type="dxa"/>
            <w:gridSpan w:val="2"/>
          </w:tcPr>
          <w:p w14:paraId="24E11C30"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cs="Times New Roman"/>
                <w:sz w:val="24"/>
                <w:szCs w:val="24"/>
                <w:lang w:val="en-GB"/>
              </w:rPr>
              <w:t>Ktrans, Kep, iAUC, max-Ktrans</w:t>
            </w:r>
          </w:p>
        </w:tc>
      </w:tr>
      <w:tr w:rsidR="00FC2DDA" w:rsidRPr="00FC2DDA" w14:paraId="3B46DA1C" w14:textId="77777777" w:rsidTr="000267BC">
        <w:tc>
          <w:tcPr>
            <w:tcW w:w="2836" w:type="dxa"/>
          </w:tcPr>
          <w:p w14:paraId="2753F3C4" w14:textId="1DCD9345" w:rsidR="0011141F" w:rsidRPr="00FC2DDA" w:rsidRDefault="008F3830" w:rsidP="00BC4BDE">
            <w:pPr>
              <w:snapToGrid w:val="0"/>
              <w:spacing w:line="360" w:lineRule="auto"/>
              <w:ind w:firstLineChars="100" w:firstLine="240"/>
              <w:rPr>
                <w:rFonts w:ascii="Book Antiqua" w:hAnsi="Book Antiqua"/>
                <w:sz w:val="24"/>
                <w:szCs w:val="24"/>
              </w:rPr>
            </w:pPr>
            <w:r w:rsidRPr="00FC2DDA">
              <w:rPr>
                <w:rFonts w:ascii="Book Antiqua" w:hAnsi="Book Antiqua" w:cs="Times New Roman"/>
                <w:sz w:val="24"/>
                <w:szCs w:val="24"/>
                <w:lang w:val="en-GB"/>
              </w:rPr>
              <w:t>Jajamovich</w:t>
            </w:r>
            <w:r w:rsidR="0011141F" w:rsidRPr="00FC2DDA">
              <w:rPr>
                <w:rFonts w:ascii="Book Antiqua" w:hAnsi="Book Antiqua" w:cs="Times New Roman"/>
                <w:sz w:val="24"/>
                <w:szCs w:val="24"/>
                <w:lang w:val="en-GB"/>
              </w:rPr>
              <w:t xml:space="preserve"> </w:t>
            </w:r>
            <w:r w:rsidRPr="00FC2DDA">
              <w:rPr>
                <w:rFonts w:ascii="Book Antiqua" w:eastAsia="Times New Roman" w:hAnsi="Book Antiqua" w:cs="Times New Roman"/>
                <w:i/>
                <w:sz w:val="24"/>
                <w:szCs w:val="24"/>
              </w:rPr>
              <w:t>et al</w:t>
            </w:r>
            <w:r w:rsidRPr="00FC2DDA">
              <w:rPr>
                <w:rFonts w:ascii="Book Antiqua" w:eastAsia="Times New Roman" w:hAnsi="Book Antiqua" w:cs="Times New Roman"/>
                <w:sz w:val="24"/>
                <w:szCs w:val="24"/>
                <w:vertAlign w:val="superscript"/>
              </w:rPr>
              <w:t>[</w:t>
            </w:r>
            <w:r w:rsidRPr="00FC2DDA">
              <w:rPr>
                <w:rFonts w:ascii="Book Antiqua" w:eastAsiaTheme="minorEastAsia" w:hAnsi="Book Antiqua" w:cs="Times New Roman" w:hint="eastAsia"/>
                <w:sz w:val="24"/>
                <w:szCs w:val="24"/>
                <w:vertAlign w:val="superscript"/>
                <w:lang w:eastAsia="zh-CN"/>
              </w:rPr>
              <w:t>40</w:t>
            </w:r>
            <w:r w:rsidRPr="00FC2DDA">
              <w:rPr>
                <w:rFonts w:ascii="Book Antiqua" w:eastAsia="Times New Roman" w:hAnsi="Book Antiqua" w:cs="Times New Roman"/>
                <w:sz w:val="24"/>
                <w:szCs w:val="24"/>
                <w:vertAlign w:val="superscript"/>
              </w:rPr>
              <w:t>]</w:t>
            </w:r>
          </w:p>
        </w:tc>
        <w:tc>
          <w:tcPr>
            <w:tcW w:w="1417" w:type="dxa"/>
          </w:tcPr>
          <w:p w14:paraId="5ABB60DF" w14:textId="3910BA78" w:rsidR="0011141F" w:rsidRPr="00FC2DDA" w:rsidRDefault="0011141F" w:rsidP="008F3830">
            <w:pPr>
              <w:snapToGrid w:val="0"/>
              <w:spacing w:line="360" w:lineRule="auto"/>
              <w:jc w:val="center"/>
              <w:rPr>
                <w:rFonts w:ascii="Book Antiqua" w:eastAsiaTheme="minorEastAsia" w:hAnsi="Book Antiqua"/>
                <w:sz w:val="24"/>
                <w:szCs w:val="24"/>
                <w:lang w:eastAsia="zh-CN"/>
              </w:rPr>
            </w:pPr>
            <w:r w:rsidRPr="00FC2DDA">
              <w:rPr>
                <w:rFonts w:ascii="Book Antiqua" w:hAnsi="Book Antiqua"/>
                <w:sz w:val="24"/>
                <w:szCs w:val="24"/>
              </w:rPr>
              <w:t>201</w:t>
            </w:r>
            <w:r w:rsidR="008F3830" w:rsidRPr="00FC2DDA">
              <w:rPr>
                <w:rFonts w:ascii="Book Antiqua" w:eastAsiaTheme="minorEastAsia" w:hAnsi="Book Antiqua" w:hint="eastAsia"/>
                <w:sz w:val="24"/>
                <w:szCs w:val="24"/>
                <w:lang w:eastAsia="zh-CN"/>
              </w:rPr>
              <w:t>6</w:t>
            </w:r>
          </w:p>
        </w:tc>
        <w:tc>
          <w:tcPr>
            <w:tcW w:w="1276" w:type="dxa"/>
          </w:tcPr>
          <w:p w14:paraId="0D5D2200"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3 T</w:t>
            </w:r>
          </w:p>
        </w:tc>
        <w:tc>
          <w:tcPr>
            <w:tcW w:w="3193" w:type="dxa"/>
          </w:tcPr>
          <w:p w14:paraId="48EDFF77" w14:textId="6C4C8A15"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Gadobenate-dimeglumine</w:t>
            </w:r>
          </w:p>
        </w:tc>
        <w:tc>
          <w:tcPr>
            <w:tcW w:w="2761" w:type="dxa"/>
            <w:gridSpan w:val="2"/>
          </w:tcPr>
          <w:p w14:paraId="6D6E4B2C" w14:textId="5E328333" w:rsidR="0011141F" w:rsidRPr="00FC2DDA" w:rsidRDefault="00670831" w:rsidP="00B304DF">
            <w:pPr>
              <w:snapToGrid w:val="0"/>
              <w:spacing w:line="360" w:lineRule="auto"/>
              <w:jc w:val="center"/>
              <w:rPr>
                <w:rFonts w:ascii="Book Antiqua" w:hAnsi="Book Antiqua"/>
                <w:sz w:val="24"/>
                <w:szCs w:val="24"/>
              </w:rPr>
            </w:pPr>
            <w:r w:rsidRPr="00FC2DDA">
              <w:rPr>
                <w:rFonts w:ascii="Book Antiqua" w:hAnsi="Book Antiqua"/>
                <w:sz w:val="24"/>
                <w:szCs w:val="24"/>
              </w:rPr>
              <w:t>ART, K trans, ve, k</w:t>
            </w:r>
            <w:r w:rsidR="0011141F" w:rsidRPr="00FC2DDA">
              <w:rPr>
                <w:rFonts w:ascii="Book Antiqua" w:hAnsi="Book Antiqua"/>
                <w:sz w:val="24"/>
                <w:szCs w:val="24"/>
              </w:rPr>
              <w:t>ep, τ</w:t>
            </w:r>
          </w:p>
        </w:tc>
      </w:tr>
      <w:tr w:rsidR="00FC2DDA" w:rsidRPr="00FC2DDA" w14:paraId="6DBFCCF1" w14:textId="77777777" w:rsidTr="000267BC">
        <w:tc>
          <w:tcPr>
            <w:tcW w:w="2836" w:type="dxa"/>
          </w:tcPr>
          <w:p w14:paraId="76E1D309" w14:textId="0A3B3D37" w:rsidR="0011141F" w:rsidRPr="00FC2DDA" w:rsidRDefault="0011141F" w:rsidP="00781F7D">
            <w:pPr>
              <w:snapToGrid w:val="0"/>
              <w:spacing w:line="360" w:lineRule="auto"/>
              <w:ind w:firstLineChars="100" w:firstLine="240"/>
              <w:rPr>
                <w:rFonts w:ascii="Book Antiqua" w:hAnsi="Book Antiqua" w:cs="Times New Roman"/>
                <w:sz w:val="24"/>
                <w:szCs w:val="24"/>
                <w:lang w:val="en-GB"/>
              </w:rPr>
            </w:pPr>
            <w:r w:rsidRPr="00FC2DDA">
              <w:rPr>
                <w:rFonts w:ascii="Book Antiqua" w:hAnsi="Book Antiqua" w:cs="Times New Roman"/>
                <w:sz w:val="24"/>
                <w:szCs w:val="24"/>
                <w:lang w:val="en-GB"/>
              </w:rPr>
              <w:t xml:space="preserve">Abdullah </w:t>
            </w:r>
            <w:r w:rsidR="003F7436" w:rsidRPr="00FC2DDA">
              <w:rPr>
                <w:rFonts w:ascii="Book Antiqua" w:eastAsia="Times New Roman" w:hAnsi="Book Antiqua" w:cs="Times New Roman"/>
                <w:i/>
                <w:sz w:val="24"/>
                <w:szCs w:val="24"/>
              </w:rPr>
              <w:t>et al</w:t>
            </w:r>
            <w:r w:rsidR="003F7436" w:rsidRPr="00FC2DDA">
              <w:rPr>
                <w:rFonts w:ascii="Book Antiqua" w:eastAsia="Times New Roman" w:hAnsi="Book Antiqua" w:cs="Times New Roman"/>
                <w:sz w:val="24"/>
                <w:szCs w:val="24"/>
                <w:vertAlign w:val="superscript"/>
              </w:rPr>
              <w:t>[</w:t>
            </w:r>
            <w:r w:rsidR="003F7436" w:rsidRPr="00FC2DDA">
              <w:rPr>
                <w:rFonts w:ascii="Book Antiqua" w:eastAsiaTheme="minorEastAsia" w:hAnsi="Book Antiqua" w:cs="Times New Roman" w:hint="eastAsia"/>
                <w:sz w:val="24"/>
                <w:szCs w:val="24"/>
                <w:vertAlign w:val="superscript"/>
                <w:lang w:eastAsia="zh-CN"/>
              </w:rPr>
              <w:t>61</w:t>
            </w:r>
            <w:r w:rsidR="003F7436" w:rsidRPr="00FC2DDA">
              <w:rPr>
                <w:rFonts w:ascii="Book Antiqua" w:eastAsia="Times New Roman" w:hAnsi="Book Antiqua" w:cs="Times New Roman"/>
                <w:sz w:val="24"/>
                <w:szCs w:val="24"/>
                <w:vertAlign w:val="superscript"/>
              </w:rPr>
              <w:t>]</w:t>
            </w:r>
          </w:p>
        </w:tc>
        <w:tc>
          <w:tcPr>
            <w:tcW w:w="1417" w:type="dxa"/>
          </w:tcPr>
          <w:p w14:paraId="5069FB3A"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2008</w:t>
            </w:r>
          </w:p>
        </w:tc>
        <w:tc>
          <w:tcPr>
            <w:tcW w:w="1276" w:type="dxa"/>
          </w:tcPr>
          <w:p w14:paraId="4B712C67"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1.5 T</w:t>
            </w:r>
          </w:p>
        </w:tc>
        <w:tc>
          <w:tcPr>
            <w:tcW w:w="3193" w:type="dxa"/>
          </w:tcPr>
          <w:p w14:paraId="4FC141A9" w14:textId="53D07B94"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Gadoterate-dimeglumine</w:t>
            </w:r>
          </w:p>
        </w:tc>
        <w:tc>
          <w:tcPr>
            <w:tcW w:w="2761" w:type="dxa"/>
            <w:gridSpan w:val="2"/>
          </w:tcPr>
          <w:p w14:paraId="4400CCDB"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HPI, MTT, DV, TF, AF, PF</w:t>
            </w:r>
          </w:p>
        </w:tc>
      </w:tr>
      <w:tr w:rsidR="00FC2DDA" w:rsidRPr="00FC2DDA" w14:paraId="63D4FFAC" w14:textId="77777777" w:rsidTr="000267BC">
        <w:trPr>
          <w:gridAfter w:val="5"/>
          <w:wAfter w:w="8647" w:type="dxa"/>
        </w:trPr>
        <w:tc>
          <w:tcPr>
            <w:tcW w:w="2836" w:type="dxa"/>
          </w:tcPr>
          <w:p w14:paraId="72261C27" w14:textId="1CE1B859" w:rsidR="00183953" w:rsidRPr="00FC2DDA" w:rsidRDefault="006D1E22" w:rsidP="00B304DF">
            <w:pPr>
              <w:snapToGrid w:val="0"/>
              <w:spacing w:line="360" w:lineRule="auto"/>
              <w:rPr>
                <w:rFonts w:ascii="Book Antiqua" w:hAnsi="Book Antiqua"/>
                <w:sz w:val="24"/>
                <w:szCs w:val="24"/>
              </w:rPr>
            </w:pPr>
            <w:r w:rsidRPr="00FC2DDA">
              <w:rPr>
                <w:rFonts w:ascii="Book Antiqua" w:hAnsi="Book Antiqua"/>
                <w:sz w:val="24"/>
                <w:szCs w:val="24"/>
              </w:rPr>
              <w:t>Response to therapy</w:t>
            </w:r>
          </w:p>
        </w:tc>
      </w:tr>
      <w:tr w:rsidR="00FC2DDA" w:rsidRPr="00FC2DDA" w14:paraId="1D440147" w14:textId="77777777" w:rsidTr="000267BC">
        <w:tc>
          <w:tcPr>
            <w:tcW w:w="2836" w:type="dxa"/>
          </w:tcPr>
          <w:p w14:paraId="17803768" w14:textId="2A711401" w:rsidR="0011141F" w:rsidRPr="00FC2DDA" w:rsidRDefault="0011141F" w:rsidP="00BC4BDE">
            <w:pPr>
              <w:snapToGrid w:val="0"/>
              <w:spacing w:line="360" w:lineRule="auto"/>
              <w:ind w:firstLineChars="100" w:firstLine="240"/>
              <w:rPr>
                <w:rFonts w:ascii="Book Antiqua" w:hAnsi="Book Antiqua"/>
                <w:sz w:val="24"/>
                <w:szCs w:val="24"/>
              </w:rPr>
            </w:pPr>
            <w:r w:rsidRPr="00FC2DDA">
              <w:rPr>
                <w:rFonts w:ascii="Book Antiqua" w:hAnsi="Book Antiqua" w:cs="Times New Roman"/>
                <w:sz w:val="24"/>
                <w:szCs w:val="24"/>
                <w:lang w:val="en-GB"/>
              </w:rPr>
              <w:t xml:space="preserve">Ippolito </w:t>
            </w:r>
            <w:r w:rsidR="003F7436" w:rsidRPr="00FC2DDA">
              <w:rPr>
                <w:rFonts w:ascii="Book Antiqua" w:eastAsia="Times New Roman" w:hAnsi="Book Antiqua" w:cs="Times New Roman"/>
                <w:i/>
                <w:sz w:val="24"/>
                <w:szCs w:val="24"/>
              </w:rPr>
              <w:t>et al</w:t>
            </w:r>
            <w:r w:rsidR="003F7436" w:rsidRPr="00FC2DDA">
              <w:rPr>
                <w:rFonts w:ascii="Book Antiqua" w:eastAsia="Times New Roman" w:hAnsi="Book Antiqua" w:cs="Times New Roman"/>
                <w:sz w:val="24"/>
                <w:szCs w:val="24"/>
                <w:vertAlign w:val="superscript"/>
              </w:rPr>
              <w:t>[</w:t>
            </w:r>
            <w:r w:rsidR="003F7436" w:rsidRPr="00FC2DDA">
              <w:rPr>
                <w:rFonts w:ascii="Book Antiqua" w:eastAsiaTheme="minorEastAsia" w:hAnsi="Book Antiqua" w:cs="Times New Roman" w:hint="eastAsia"/>
                <w:sz w:val="24"/>
                <w:szCs w:val="24"/>
                <w:vertAlign w:val="superscript"/>
                <w:lang w:eastAsia="zh-CN"/>
              </w:rPr>
              <w:t>41</w:t>
            </w:r>
            <w:r w:rsidR="003F7436" w:rsidRPr="00FC2DDA">
              <w:rPr>
                <w:rFonts w:ascii="Book Antiqua" w:eastAsia="Times New Roman" w:hAnsi="Book Antiqua" w:cs="Times New Roman"/>
                <w:sz w:val="24"/>
                <w:szCs w:val="24"/>
                <w:vertAlign w:val="superscript"/>
              </w:rPr>
              <w:t>]</w:t>
            </w:r>
          </w:p>
        </w:tc>
        <w:tc>
          <w:tcPr>
            <w:tcW w:w="1417" w:type="dxa"/>
          </w:tcPr>
          <w:p w14:paraId="2CDA3CEA"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2016</w:t>
            </w:r>
          </w:p>
        </w:tc>
        <w:tc>
          <w:tcPr>
            <w:tcW w:w="1276" w:type="dxa"/>
          </w:tcPr>
          <w:p w14:paraId="31E25569"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1.5 T</w:t>
            </w:r>
          </w:p>
        </w:tc>
        <w:tc>
          <w:tcPr>
            <w:tcW w:w="3260" w:type="dxa"/>
            <w:gridSpan w:val="2"/>
          </w:tcPr>
          <w:p w14:paraId="52F36D04" w14:textId="1A710B5B"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GD-EOB-DTPA</w:t>
            </w:r>
          </w:p>
        </w:tc>
        <w:tc>
          <w:tcPr>
            <w:tcW w:w="2694" w:type="dxa"/>
          </w:tcPr>
          <w:p w14:paraId="5FAA246B"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ME, MRE, RAE, RE, RLE, RVE, TTP</w:t>
            </w:r>
          </w:p>
        </w:tc>
      </w:tr>
      <w:tr w:rsidR="00FC2DDA" w:rsidRPr="00FC2DDA" w14:paraId="28611446" w14:textId="77777777" w:rsidTr="000267BC">
        <w:tc>
          <w:tcPr>
            <w:tcW w:w="2836" w:type="dxa"/>
          </w:tcPr>
          <w:p w14:paraId="0E0A435B" w14:textId="1CFBFE5F" w:rsidR="0011141F" w:rsidRPr="00FC2DDA" w:rsidRDefault="003F7436" w:rsidP="00BC4BDE">
            <w:pPr>
              <w:snapToGrid w:val="0"/>
              <w:spacing w:line="360" w:lineRule="auto"/>
              <w:ind w:firstLineChars="100" w:firstLine="240"/>
              <w:rPr>
                <w:rFonts w:ascii="Book Antiqua" w:hAnsi="Book Antiqua"/>
                <w:sz w:val="24"/>
                <w:szCs w:val="24"/>
              </w:rPr>
            </w:pPr>
            <w:r w:rsidRPr="00FC2DDA">
              <w:rPr>
                <w:rFonts w:ascii="Book Antiqua" w:hAnsi="Book Antiqua"/>
                <w:sz w:val="24"/>
                <w:szCs w:val="24"/>
              </w:rPr>
              <w:t xml:space="preserve">Taouli </w:t>
            </w:r>
            <w:r w:rsidRPr="00FC2DDA">
              <w:rPr>
                <w:rFonts w:ascii="Book Antiqua" w:eastAsia="Times New Roman" w:hAnsi="Book Antiqua" w:cs="Times New Roman"/>
                <w:i/>
                <w:sz w:val="24"/>
                <w:szCs w:val="24"/>
              </w:rPr>
              <w:t>et al</w:t>
            </w:r>
            <w:r w:rsidRPr="00FC2DDA">
              <w:rPr>
                <w:rFonts w:ascii="Book Antiqua" w:eastAsia="Times New Roman" w:hAnsi="Book Antiqua" w:cs="Times New Roman"/>
                <w:sz w:val="24"/>
                <w:szCs w:val="24"/>
                <w:vertAlign w:val="superscript"/>
              </w:rPr>
              <w:t>[3</w:t>
            </w:r>
            <w:r w:rsidRPr="00FC2DDA">
              <w:rPr>
                <w:rFonts w:ascii="Book Antiqua" w:eastAsiaTheme="minorEastAsia" w:hAnsi="Book Antiqua" w:cs="Times New Roman" w:hint="eastAsia"/>
                <w:sz w:val="24"/>
                <w:szCs w:val="24"/>
                <w:vertAlign w:val="superscript"/>
                <w:lang w:eastAsia="zh-CN"/>
              </w:rPr>
              <w:t>8</w:t>
            </w:r>
            <w:r w:rsidRPr="00FC2DDA">
              <w:rPr>
                <w:rFonts w:ascii="Book Antiqua" w:eastAsia="Times New Roman" w:hAnsi="Book Antiqua" w:cs="Times New Roman"/>
                <w:sz w:val="24"/>
                <w:szCs w:val="24"/>
                <w:vertAlign w:val="superscript"/>
              </w:rPr>
              <w:t>]</w:t>
            </w:r>
          </w:p>
        </w:tc>
        <w:tc>
          <w:tcPr>
            <w:tcW w:w="1417" w:type="dxa"/>
          </w:tcPr>
          <w:p w14:paraId="3AC6A764" w14:textId="413AC391" w:rsidR="0011141F" w:rsidRPr="00FC2DDA" w:rsidRDefault="0011141F" w:rsidP="003F7436">
            <w:pPr>
              <w:snapToGrid w:val="0"/>
              <w:spacing w:line="360" w:lineRule="auto"/>
              <w:jc w:val="center"/>
              <w:rPr>
                <w:rFonts w:ascii="Book Antiqua" w:eastAsiaTheme="minorEastAsia" w:hAnsi="Book Antiqua"/>
                <w:sz w:val="24"/>
                <w:szCs w:val="24"/>
                <w:lang w:eastAsia="zh-CN"/>
              </w:rPr>
            </w:pPr>
            <w:r w:rsidRPr="00FC2DDA">
              <w:rPr>
                <w:rFonts w:ascii="Book Antiqua" w:hAnsi="Book Antiqua"/>
                <w:sz w:val="24"/>
                <w:szCs w:val="24"/>
              </w:rPr>
              <w:t>201</w:t>
            </w:r>
            <w:r w:rsidR="003F7436" w:rsidRPr="00FC2DDA">
              <w:rPr>
                <w:rFonts w:ascii="Book Antiqua" w:eastAsiaTheme="minorEastAsia" w:hAnsi="Book Antiqua" w:hint="eastAsia"/>
                <w:sz w:val="24"/>
                <w:szCs w:val="24"/>
                <w:lang w:eastAsia="zh-CN"/>
              </w:rPr>
              <w:t>3</w:t>
            </w:r>
          </w:p>
        </w:tc>
        <w:tc>
          <w:tcPr>
            <w:tcW w:w="1276" w:type="dxa"/>
          </w:tcPr>
          <w:p w14:paraId="7D9A0767"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1.5 T</w:t>
            </w:r>
          </w:p>
        </w:tc>
        <w:tc>
          <w:tcPr>
            <w:tcW w:w="3260" w:type="dxa"/>
            <w:gridSpan w:val="2"/>
          </w:tcPr>
          <w:p w14:paraId="191AF6BA" w14:textId="542578B5"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Gadobenate-dimeglumine and Gadopentetate-dimeglumine</w:t>
            </w:r>
          </w:p>
        </w:tc>
        <w:tc>
          <w:tcPr>
            <w:tcW w:w="2694" w:type="dxa"/>
          </w:tcPr>
          <w:p w14:paraId="3A77FE3C"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AF, VF, ART, DV, MTT</w:t>
            </w:r>
          </w:p>
        </w:tc>
      </w:tr>
      <w:tr w:rsidR="00FC2DDA" w:rsidRPr="00FC2DDA" w14:paraId="70075B9C" w14:textId="77777777" w:rsidTr="000267BC">
        <w:tc>
          <w:tcPr>
            <w:tcW w:w="2836" w:type="dxa"/>
          </w:tcPr>
          <w:p w14:paraId="30317486" w14:textId="5155FF2C" w:rsidR="0011141F" w:rsidRPr="00FC2DDA" w:rsidRDefault="00343C47" w:rsidP="00BC4BDE">
            <w:pPr>
              <w:snapToGrid w:val="0"/>
              <w:spacing w:line="360" w:lineRule="auto"/>
              <w:ind w:firstLineChars="100" w:firstLine="240"/>
              <w:rPr>
                <w:rFonts w:ascii="Book Antiqua" w:hAnsi="Book Antiqua"/>
                <w:sz w:val="24"/>
                <w:szCs w:val="24"/>
              </w:rPr>
            </w:pPr>
            <w:r w:rsidRPr="00FC2DDA">
              <w:rPr>
                <w:rFonts w:ascii="Book Antiqua" w:hAnsi="Book Antiqua" w:cs="Times New Roman"/>
                <w:sz w:val="24"/>
                <w:szCs w:val="24"/>
                <w:lang w:val="en-GB"/>
              </w:rPr>
              <w:t>Chen</w:t>
            </w:r>
            <w:r w:rsidR="0011141F" w:rsidRPr="00FC2DDA">
              <w:rPr>
                <w:rFonts w:ascii="Book Antiqua" w:hAnsi="Book Antiqua"/>
                <w:sz w:val="24"/>
                <w:szCs w:val="24"/>
              </w:rPr>
              <w:t xml:space="preserve"> </w:t>
            </w:r>
            <w:r w:rsidRPr="00FC2DDA">
              <w:rPr>
                <w:rFonts w:ascii="Book Antiqua" w:eastAsia="Times New Roman" w:hAnsi="Book Antiqua" w:cs="Times New Roman"/>
                <w:i/>
                <w:sz w:val="24"/>
                <w:szCs w:val="24"/>
              </w:rPr>
              <w:t>et al</w:t>
            </w:r>
            <w:r w:rsidRPr="00FC2DDA">
              <w:rPr>
                <w:rFonts w:ascii="Book Antiqua" w:eastAsia="Times New Roman" w:hAnsi="Book Antiqua" w:cs="Times New Roman"/>
                <w:sz w:val="24"/>
                <w:szCs w:val="24"/>
                <w:vertAlign w:val="superscript"/>
              </w:rPr>
              <w:t>[</w:t>
            </w:r>
            <w:r w:rsidRPr="00FC2DDA">
              <w:rPr>
                <w:rFonts w:ascii="Book Antiqua" w:eastAsiaTheme="minorEastAsia" w:hAnsi="Book Antiqua" w:cs="Times New Roman" w:hint="eastAsia"/>
                <w:sz w:val="24"/>
                <w:szCs w:val="24"/>
                <w:vertAlign w:val="superscript"/>
                <w:lang w:eastAsia="zh-CN"/>
              </w:rPr>
              <w:t>45</w:t>
            </w:r>
            <w:r w:rsidRPr="00FC2DDA">
              <w:rPr>
                <w:rFonts w:ascii="Book Antiqua" w:eastAsia="Times New Roman" w:hAnsi="Book Antiqua" w:cs="Times New Roman"/>
                <w:sz w:val="24"/>
                <w:szCs w:val="24"/>
                <w:vertAlign w:val="superscript"/>
              </w:rPr>
              <w:t>]</w:t>
            </w:r>
          </w:p>
        </w:tc>
        <w:tc>
          <w:tcPr>
            <w:tcW w:w="1417" w:type="dxa"/>
          </w:tcPr>
          <w:p w14:paraId="744FFE6F"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2016</w:t>
            </w:r>
          </w:p>
        </w:tc>
        <w:tc>
          <w:tcPr>
            <w:tcW w:w="1276" w:type="dxa"/>
          </w:tcPr>
          <w:p w14:paraId="3EE36DC1"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1.5 T</w:t>
            </w:r>
          </w:p>
        </w:tc>
        <w:tc>
          <w:tcPr>
            <w:tcW w:w="3260" w:type="dxa"/>
            <w:gridSpan w:val="2"/>
          </w:tcPr>
          <w:p w14:paraId="35F64999" w14:textId="2E933880"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Gadodiamide</w:t>
            </w:r>
          </w:p>
        </w:tc>
        <w:tc>
          <w:tcPr>
            <w:tcW w:w="2694" w:type="dxa"/>
          </w:tcPr>
          <w:p w14:paraId="44724D2C" w14:textId="77777777" w:rsidR="0011141F" w:rsidRPr="00FC2DDA" w:rsidRDefault="0011141F" w:rsidP="00B304DF">
            <w:pPr>
              <w:snapToGrid w:val="0"/>
              <w:spacing w:line="360" w:lineRule="auto"/>
              <w:jc w:val="center"/>
              <w:rPr>
                <w:rFonts w:ascii="Book Antiqua" w:hAnsi="Book Antiqua"/>
                <w:sz w:val="24"/>
                <w:szCs w:val="24"/>
              </w:rPr>
            </w:pPr>
            <w:r w:rsidRPr="00FC2DDA">
              <w:rPr>
                <w:rFonts w:ascii="Book Antiqua" w:hAnsi="Book Antiqua"/>
                <w:sz w:val="24"/>
                <w:szCs w:val="24"/>
              </w:rPr>
              <w:t>Peak, Slope, AUC, Ktrans, Kep, Ve</w:t>
            </w:r>
          </w:p>
        </w:tc>
      </w:tr>
      <w:tr w:rsidR="00FC2DDA" w:rsidRPr="00FC2DDA" w14:paraId="242F706F" w14:textId="77777777" w:rsidTr="000267BC">
        <w:trPr>
          <w:gridAfter w:val="5"/>
          <w:wAfter w:w="8647" w:type="dxa"/>
        </w:trPr>
        <w:tc>
          <w:tcPr>
            <w:tcW w:w="2836" w:type="dxa"/>
          </w:tcPr>
          <w:p w14:paraId="65526C93" w14:textId="0E4A57D1" w:rsidR="00183953" w:rsidRPr="00FC2DDA" w:rsidRDefault="006D1E22" w:rsidP="00B304DF">
            <w:pPr>
              <w:snapToGrid w:val="0"/>
              <w:spacing w:line="360" w:lineRule="auto"/>
              <w:rPr>
                <w:rFonts w:ascii="Book Antiqua" w:hAnsi="Book Antiqua"/>
                <w:sz w:val="24"/>
                <w:szCs w:val="24"/>
              </w:rPr>
            </w:pPr>
            <w:r w:rsidRPr="00FC2DDA">
              <w:rPr>
                <w:rFonts w:ascii="Book Antiqua" w:hAnsi="Book Antiqua"/>
                <w:sz w:val="24"/>
                <w:szCs w:val="24"/>
              </w:rPr>
              <w:t>Prognosis</w:t>
            </w:r>
          </w:p>
        </w:tc>
      </w:tr>
      <w:tr w:rsidR="00FC2DDA" w:rsidRPr="00FC2DDA" w14:paraId="5692FDC5" w14:textId="77777777" w:rsidTr="000267BC">
        <w:tc>
          <w:tcPr>
            <w:tcW w:w="2836" w:type="dxa"/>
          </w:tcPr>
          <w:p w14:paraId="4F4C108A" w14:textId="6AFF9EEF" w:rsidR="00343C47" w:rsidRPr="00FC2DDA" w:rsidRDefault="00343C47" w:rsidP="00BC4BDE">
            <w:pPr>
              <w:snapToGrid w:val="0"/>
              <w:spacing w:line="360" w:lineRule="auto"/>
              <w:ind w:firstLineChars="100" w:firstLine="240"/>
              <w:rPr>
                <w:rFonts w:ascii="Book Antiqua" w:hAnsi="Book Antiqua"/>
                <w:sz w:val="24"/>
                <w:szCs w:val="24"/>
              </w:rPr>
            </w:pPr>
            <w:r w:rsidRPr="00FC2DDA">
              <w:rPr>
                <w:rFonts w:ascii="Book Antiqua" w:hAnsi="Book Antiqua" w:cs="Times New Roman"/>
                <w:sz w:val="24"/>
                <w:szCs w:val="24"/>
                <w:lang w:val="en-GB"/>
              </w:rPr>
              <w:t>Chen</w:t>
            </w:r>
            <w:r w:rsidRPr="00FC2DDA">
              <w:rPr>
                <w:rFonts w:ascii="Book Antiqua" w:hAnsi="Book Antiqua"/>
                <w:sz w:val="24"/>
                <w:szCs w:val="24"/>
              </w:rPr>
              <w:t xml:space="preserve"> </w:t>
            </w:r>
            <w:r w:rsidRPr="00FC2DDA">
              <w:rPr>
                <w:rFonts w:ascii="Book Antiqua" w:eastAsia="Times New Roman" w:hAnsi="Book Antiqua" w:cs="Times New Roman"/>
                <w:i/>
                <w:sz w:val="24"/>
                <w:szCs w:val="24"/>
              </w:rPr>
              <w:t>et al</w:t>
            </w:r>
            <w:r w:rsidRPr="00FC2DDA">
              <w:rPr>
                <w:rFonts w:ascii="Book Antiqua" w:eastAsia="Times New Roman" w:hAnsi="Book Antiqua" w:cs="Times New Roman"/>
                <w:sz w:val="24"/>
                <w:szCs w:val="24"/>
                <w:vertAlign w:val="superscript"/>
              </w:rPr>
              <w:t>[</w:t>
            </w:r>
            <w:r w:rsidRPr="00FC2DDA">
              <w:rPr>
                <w:rFonts w:ascii="Book Antiqua" w:eastAsiaTheme="minorEastAsia" w:hAnsi="Book Antiqua" w:cs="Times New Roman" w:hint="eastAsia"/>
                <w:sz w:val="24"/>
                <w:szCs w:val="24"/>
                <w:vertAlign w:val="superscript"/>
                <w:lang w:eastAsia="zh-CN"/>
              </w:rPr>
              <w:t>45</w:t>
            </w:r>
            <w:r w:rsidRPr="00FC2DDA">
              <w:rPr>
                <w:rFonts w:ascii="Book Antiqua" w:eastAsia="Times New Roman" w:hAnsi="Book Antiqua" w:cs="Times New Roman"/>
                <w:sz w:val="24"/>
                <w:szCs w:val="24"/>
                <w:vertAlign w:val="superscript"/>
              </w:rPr>
              <w:t>]</w:t>
            </w:r>
          </w:p>
        </w:tc>
        <w:tc>
          <w:tcPr>
            <w:tcW w:w="1417" w:type="dxa"/>
          </w:tcPr>
          <w:p w14:paraId="34235EDE" w14:textId="77777777" w:rsidR="00343C47" w:rsidRPr="00FC2DDA" w:rsidRDefault="00343C47" w:rsidP="00B304DF">
            <w:pPr>
              <w:snapToGrid w:val="0"/>
              <w:spacing w:line="360" w:lineRule="auto"/>
              <w:jc w:val="center"/>
              <w:rPr>
                <w:rFonts w:ascii="Book Antiqua" w:hAnsi="Book Antiqua"/>
                <w:sz w:val="24"/>
                <w:szCs w:val="24"/>
              </w:rPr>
            </w:pPr>
            <w:r w:rsidRPr="00FC2DDA">
              <w:rPr>
                <w:rFonts w:ascii="Book Antiqua" w:hAnsi="Book Antiqua"/>
                <w:sz w:val="24"/>
                <w:szCs w:val="24"/>
              </w:rPr>
              <w:t>2016</w:t>
            </w:r>
          </w:p>
        </w:tc>
        <w:tc>
          <w:tcPr>
            <w:tcW w:w="1276" w:type="dxa"/>
          </w:tcPr>
          <w:p w14:paraId="55404E1E" w14:textId="77777777" w:rsidR="00343C47" w:rsidRPr="00FC2DDA" w:rsidRDefault="00343C47" w:rsidP="00B304DF">
            <w:pPr>
              <w:snapToGrid w:val="0"/>
              <w:spacing w:line="360" w:lineRule="auto"/>
              <w:jc w:val="center"/>
              <w:rPr>
                <w:rFonts w:ascii="Book Antiqua" w:hAnsi="Book Antiqua"/>
                <w:sz w:val="24"/>
                <w:szCs w:val="24"/>
              </w:rPr>
            </w:pPr>
            <w:r w:rsidRPr="00FC2DDA">
              <w:rPr>
                <w:rFonts w:ascii="Book Antiqua" w:hAnsi="Book Antiqua"/>
                <w:sz w:val="24"/>
                <w:szCs w:val="24"/>
              </w:rPr>
              <w:t>1.5 T</w:t>
            </w:r>
          </w:p>
        </w:tc>
        <w:tc>
          <w:tcPr>
            <w:tcW w:w="3260" w:type="dxa"/>
            <w:gridSpan w:val="2"/>
          </w:tcPr>
          <w:p w14:paraId="1F01B5EF" w14:textId="3CBCCABE" w:rsidR="00343C47" w:rsidRPr="00FC2DDA" w:rsidRDefault="00343C47" w:rsidP="00B304DF">
            <w:pPr>
              <w:snapToGrid w:val="0"/>
              <w:spacing w:line="360" w:lineRule="auto"/>
              <w:jc w:val="center"/>
              <w:rPr>
                <w:rFonts w:ascii="Book Antiqua" w:hAnsi="Book Antiqua"/>
                <w:sz w:val="24"/>
                <w:szCs w:val="24"/>
              </w:rPr>
            </w:pPr>
            <w:r w:rsidRPr="00FC2DDA">
              <w:rPr>
                <w:rFonts w:ascii="Book Antiqua" w:hAnsi="Book Antiqua"/>
                <w:sz w:val="24"/>
                <w:szCs w:val="24"/>
              </w:rPr>
              <w:t>Gadodiamide</w:t>
            </w:r>
          </w:p>
        </w:tc>
        <w:tc>
          <w:tcPr>
            <w:tcW w:w="2694" w:type="dxa"/>
          </w:tcPr>
          <w:p w14:paraId="1FAD4DEB" w14:textId="77777777" w:rsidR="00343C47" w:rsidRPr="00FC2DDA" w:rsidRDefault="00343C47" w:rsidP="00B304DF">
            <w:pPr>
              <w:snapToGrid w:val="0"/>
              <w:spacing w:line="360" w:lineRule="auto"/>
              <w:jc w:val="center"/>
              <w:rPr>
                <w:rFonts w:ascii="Book Antiqua" w:hAnsi="Book Antiqua"/>
                <w:sz w:val="24"/>
                <w:szCs w:val="24"/>
              </w:rPr>
            </w:pPr>
            <w:r w:rsidRPr="00FC2DDA">
              <w:rPr>
                <w:rFonts w:ascii="Book Antiqua" w:hAnsi="Book Antiqua"/>
                <w:sz w:val="24"/>
                <w:szCs w:val="24"/>
              </w:rPr>
              <w:t>Peak, Slope, AUC, Ktrans, Kep, Ve</w:t>
            </w:r>
          </w:p>
        </w:tc>
      </w:tr>
      <w:tr w:rsidR="00FC2DDA" w:rsidRPr="00FC2DDA" w14:paraId="3BAABDF2" w14:textId="77777777" w:rsidTr="000A3C0A">
        <w:trPr>
          <w:trHeight w:val="931"/>
        </w:trPr>
        <w:tc>
          <w:tcPr>
            <w:tcW w:w="2836" w:type="dxa"/>
          </w:tcPr>
          <w:p w14:paraId="0872C56D" w14:textId="560C4604" w:rsidR="00343C47" w:rsidRPr="00FC2DDA" w:rsidRDefault="00343C47" w:rsidP="00BC4BDE">
            <w:pPr>
              <w:snapToGrid w:val="0"/>
              <w:spacing w:line="360" w:lineRule="auto"/>
              <w:ind w:firstLineChars="100" w:firstLine="240"/>
              <w:rPr>
                <w:rFonts w:ascii="Book Antiqua" w:hAnsi="Book Antiqua"/>
                <w:sz w:val="24"/>
                <w:szCs w:val="24"/>
              </w:rPr>
            </w:pPr>
            <w:r w:rsidRPr="00FC2DDA">
              <w:rPr>
                <w:rFonts w:ascii="Book Antiqua" w:hAnsi="Book Antiqua" w:cs="Times New Roman"/>
                <w:sz w:val="24"/>
                <w:szCs w:val="24"/>
                <w:lang w:val="en-GB"/>
              </w:rPr>
              <w:t>Chen</w:t>
            </w:r>
            <w:r w:rsidRPr="00FC2DDA">
              <w:rPr>
                <w:rFonts w:ascii="Book Antiqua" w:hAnsi="Book Antiqua"/>
                <w:sz w:val="24"/>
                <w:szCs w:val="24"/>
              </w:rPr>
              <w:t xml:space="preserve"> </w:t>
            </w:r>
            <w:r w:rsidRPr="00FC2DDA">
              <w:rPr>
                <w:rFonts w:ascii="Book Antiqua" w:eastAsia="Times New Roman" w:hAnsi="Book Antiqua" w:cs="Times New Roman"/>
                <w:i/>
                <w:sz w:val="24"/>
                <w:szCs w:val="24"/>
              </w:rPr>
              <w:t>et al</w:t>
            </w:r>
            <w:r w:rsidRPr="00FC2DDA">
              <w:rPr>
                <w:rFonts w:ascii="Book Antiqua" w:eastAsia="Times New Roman" w:hAnsi="Book Antiqua" w:cs="Times New Roman"/>
                <w:sz w:val="24"/>
                <w:szCs w:val="24"/>
                <w:vertAlign w:val="superscript"/>
              </w:rPr>
              <w:t>[</w:t>
            </w:r>
            <w:r w:rsidRPr="00FC2DDA">
              <w:rPr>
                <w:rFonts w:ascii="Book Antiqua" w:eastAsiaTheme="minorEastAsia" w:hAnsi="Book Antiqua" w:cs="Times New Roman" w:hint="eastAsia"/>
                <w:sz w:val="24"/>
                <w:szCs w:val="24"/>
                <w:vertAlign w:val="superscript"/>
                <w:lang w:eastAsia="zh-CN"/>
              </w:rPr>
              <w:t>45</w:t>
            </w:r>
            <w:r w:rsidRPr="00FC2DDA">
              <w:rPr>
                <w:rFonts w:ascii="Book Antiqua" w:eastAsia="Times New Roman" w:hAnsi="Book Antiqua" w:cs="Times New Roman"/>
                <w:sz w:val="24"/>
                <w:szCs w:val="24"/>
                <w:vertAlign w:val="superscript"/>
              </w:rPr>
              <w:t>]</w:t>
            </w:r>
          </w:p>
        </w:tc>
        <w:tc>
          <w:tcPr>
            <w:tcW w:w="1417" w:type="dxa"/>
          </w:tcPr>
          <w:p w14:paraId="360C9CFF" w14:textId="77777777" w:rsidR="00343C47" w:rsidRPr="00FC2DDA" w:rsidRDefault="00343C47" w:rsidP="00B304DF">
            <w:pPr>
              <w:snapToGrid w:val="0"/>
              <w:spacing w:line="360" w:lineRule="auto"/>
              <w:jc w:val="center"/>
              <w:rPr>
                <w:rFonts w:ascii="Book Antiqua" w:hAnsi="Book Antiqua"/>
                <w:sz w:val="24"/>
                <w:szCs w:val="24"/>
              </w:rPr>
            </w:pPr>
            <w:r w:rsidRPr="00FC2DDA">
              <w:rPr>
                <w:rFonts w:ascii="Book Antiqua" w:hAnsi="Book Antiqua"/>
                <w:sz w:val="24"/>
                <w:szCs w:val="24"/>
              </w:rPr>
              <w:t>2016</w:t>
            </w:r>
          </w:p>
        </w:tc>
        <w:tc>
          <w:tcPr>
            <w:tcW w:w="1276" w:type="dxa"/>
          </w:tcPr>
          <w:p w14:paraId="3360AE87" w14:textId="77777777" w:rsidR="00343C47" w:rsidRPr="00FC2DDA" w:rsidRDefault="00343C47" w:rsidP="00B304DF">
            <w:pPr>
              <w:snapToGrid w:val="0"/>
              <w:spacing w:line="360" w:lineRule="auto"/>
              <w:jc w:val="center"/>
              <w:rPr>
                <w:rFonts w:ascii="Book Antiqua" w:hAnsi="Book Antiqua"/>
                <w:sz w:val="24"/>
                <w:szCs w:val="24"/>
              </w:rPr>
            </w:pPr>
            <w:r w:rsidRPr="00FC2DDA">
              <w:rPr>
                <w:rFonts w:ascii="Book Antiqua" w:hAnsi="Book Antiqua"/>
                <w:sz w:val="24"/>
                <w:szCs w:val="24"/>
              </w:rPr>
              <w:t>1.5 T</w:t>
            </w:r>
          </w:p>
        </w:tc>
        <w:tc>
          <w:tcPr>
            <w:tcW w:w="3260" w:type="dxa"/>
            <w:gridSpan w:val="2"/>
          </w:tcPr>
          <w:p w14:paraId="1F144DE2" w14:textId="5F581AE2" w:rsidR="00343C47" w:rsidRPr="00FC2DDA" w:rsidRDefault="00343C47" w:rsidP="00B304DF">
            <w:pPr>
              <w:snapToGrid w:val="0"/>
              <w:spacing w:line="360" w:lineRule="auto"/>
              <w:jc w:val="center"/>
              <w:rPr>
                <w:rFonts w:ascii="Book Antiqua" w:hAnsi="Book Antiqua"/>
                <w:sz w:val="24"/>
                <w:szCs w:val="24"/>
              </w:rPr>
            </w:pPr>
            <w:r w:rsidRPr="00FC2DDA">
              <w:rPr>
                <w:rFonts w:ascii="Book Antiqua" w:hAnsi="Book Antiqua"/>
                <w:sz w:val="24"/>
                <w:szCs w:val="24"/>
              </w:rPr>
              <w:t>Gadodiamide</w:t>
            </w:r>
          </w:p>
        </w:tc>
        <w:tc>
          <w:tcPr>
            <w:tcW w:w="2694" w:type="dxa"/>
          </w:tcPr>
          <w:p w14:paraId="68FC8C99" w14:textId="77777777" w:rsidR="00343C47" w:rsidRPr="00FC2DDA" w:rsidRDefault="00343C47" w:rsidP="00B304DF">
            <w:pPr>
              <w:snapToGrid w:val="0"/>
              <w:spacing w:line="360" w:lineRule="auto"/>
              <w:jc w:val="center"/>
              <w:rPr>
                <w:rFonts w:ascii="Book Antiqua" w:hAnsi="Book Antiqua"/>
                <w:sz w:val="24"/>
                <w:szCs w:val="24"/>
              </w:rPr>
            </w:pPr>
            <w:r w:rsidRPr="00FC2DDA">
              <w:rPr>
                <w:rFonts w:ascii="Book Antiqua" w:hAnsi="Book Antiqua"/>
                <w:sz w:val="24"/>
                <w:szCs w:val="24"/>
              </w:rPr>
              <w:t>ART, AF, PF, TF, MTT, DV, PEAK, SLOPE, AUC</w:t>
            </w:r>
          </w:p>
        </w:tc>
      </w:tr>
    </w:tbl>
    <w:p w14:paraId="1C1D8DD7" w14:textId="1250D8D3" w:rsidR="001567E5" w:rsidRPr="00FC2DDA" w:rsidRDefault="001567E5" w:rsidP="00B304DF">
      <w:pPr>
        <w:snapToGrid w:val="0"/>
        <w:spacing w:after="0" w:line="360" w:lineRule="auto"/>
        <w:jc w:val="both"/>
        <w:rPr>
          <w:rFonts w:ascii="Book Antiqua" w:hAnsi="Book Antiqua" w:cs="Times New Roman"/>
          <w:color w:val="auto"/>
          <w:sz w:val="24"/>
          <w:szCs w:val="24"/>
          <w:lang w:eastAsia="zh-CN"/>
        </w:rPr>
      </w:pPr>
      <w:r w:rsidRPr="00FC2DDA">
        <w:rPr>
          <w:rFonts w:ascii="Book Antiqua" w:hAnsi="Book Antiqua" w:cs="Times New Roman"/>
          <w:color w:val="auto"/>
          <w:sz w:val="24"/>
          <w:szCs w:val="24"/>
        </w:rPr>
        <w:t>ART</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a</w:t>
      </w:r>
      <w:r w:rsidR="004E4933" w:rsidRPr="00FC2DDA">
        <w:rPr>
          <w:rFonts w:ascii="Book Antiqua" w:hAnsi="Book Antiqua" w:cs="Times New Roman"/>
          <w:color w:val="auto"/>
          <w:sz w:val="24"/>
          <w:szCs w:val="24"/>
        </w:rPr>
        <w:t>rterial fraction</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olor w:val="auto"/>
          <w:sz w:val="24"/>
          <w:szCs w:val="24"/>
        </w:rPr>
        <w:t>K trans</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c</w:t>
      </w:r>
      <w:r w:rsidRPr="00FC2DDA">
        <w:rPr>
          <w:rFonts w:ascii="Book Antiqua" w:hAnsi="Book Antiqua" w:cs="Times New Roman"/>
          <w:color w:val="auto"/>
          <w:sz w:val="24"/>
          <w:szCs w:val="24"/>
        </w:rPr>
        <w:t>ontrast agent transfer rate constant from plasma to extravascular extracellular space</w:t>
      </w:r>
      <w:r w:rsidR="00B304DF" w:rsidRPr="00FC2DDA">
        <w:rPr>
          <w:rFonts w:ascii="Book Antiqua" w:hAnsi="Book Antiqua" w:cs="Times New Roman" w:hint="eastAsia"/>
          <w:color w:val="auto"/>
          <w:sz w:val="24"/>
          <w:szCs w:val="24"/>
          <w:lang w:eastAsia="zh-CN"/>
        </w:rPr>
        <w:t>;</w:t>
      </w:r>
      <w:r w:rsidRPr="00FC2DDA">
        <w:rPr>
          <w:rFonts w:ascii="Book Antiqua" w:hAnsi="Book Antiqua" w:cs="Times New Roman"/>
          <w:color w:val="auto"/>
          <w:sz w:val="24"/>
          <w:szCs w:val="24"/>
        </w:rPr>
        <w:t xml:space="preserve"> VE</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e</w:t>
      </w:r>
      <w:r w:rsidRPr="00FC2DDA">
        <w:rPr>
          <w:rFonts w:ascii="Book Antiqua" w:hAnsi="Book Antiqua" w:cs="Times New Roman"/>
          <w:color w:val="auto"/>
          <w:sz w:val="24"/>
          <w:szCs w:val="24"/>
        </w:rPr>
        <w:t>xtravascular extracellular volume fraction</w:t>
      </w:r>
      <w:r w:rsidR="00B304DF" w:rsidRPr="00FC2DDA">
        <w:rPr>
          <w:rFonts w:ascii="Book Antiqua" w:hAnsi="Book Antiqua" w:cs="Times New Roman" w:hint="eastAsia"/>
          <w:color w:val="auto"/>
          <w:sz w:val="24"/>
          <w:szCs w:val="24"/>
          <w:lang w:eastAsia="zh-CN"/>
        </w:rPr>
        <w:t>;</w:t>
      </w:r>
      <w:r w:rsidRPr="00FC2DDA">
        <w:rPr>
          <w:rFonts w:ascii="Book Antiqua" w:hAnsi="Book Antiqua" w:cs="Times New Roman"/>
          <w:color w:val="auto"/>
          <w:sz w:val="24"/>
          <w:szCs w:val="24"/>
        </w:rPr>
        <w:t xml:space="preserve"> Kep</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c</w:t>
      </w:r>
      <w:r w:rsidRPr="00FC2DDA">
        <w:rPr>
          <w:rFonts w:ascii="Book Antiqua" w:hAnsi="Book Antiqua" w:cs="Times New Roman"/>
          <w:color w:val="auto"/>
          <w:sz w:val="24"/>
          <w:szCs w:val="24"/>
        </w:rPr>
        <w:t>ontrast agent intravasation rate constant</w:t>
      </w:r>
      <w:r w:rsidR="00B304DF" w:rsidRPr="00FC2DDA">
        <w:rPr>
          <w:rFonts w:ascii="Book Antiqua" w:hAnsi="Book Antiqua" w:cs="Times New Roman" w:hint="eastAsia"/>
          <w:color w:val="auto"/>
          <w:sz w:val="24"/>
          <w:szCs w:val="24"/>
          <w:lang w:eastAsia="zh-CN"/>
        </w:rPr>
        <w:t>;</w:t>
      </w:r>
      <w:r w:rsidRPr="00FC2DDA">
        <w:rPr>
          <w:rFonts w:ascii="Book Antiqua" w:hAnsi="Book Antiqua" w:cs="Times New Roman"/>
          <w:color w:val="auto"/>
          <w:sz w:val="24"/>
          <w:szCs w:val="24"/>
        </w:rPr>
        <w:t xml:space="preserve"> τ</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m</w:t>
      </w:r>
      <w:r w:rsidRPr="00FC2DDA">
        <w:rPr>
          <w:rFonts w:ascii="Book Antiqua" w:hAnsi="Book Antiqua" w:cs="Times New Roman"/>
          <w:color w:val="auto"/>
          <w:sz w:val="24"/>
          <w:szCs w:val="24"/>
        </w:rPr>
        <w:t>ean intracellular water molecule lifetime</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olor w:val="auto"/>
          <w:sz w:val="24"/>
          <w:szCs w:val="24"/>
        </w:rPr>
        <w:lastRenderedPageBreak/>
        <w:t>ME</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m</w:t>
      </w:r>
      <w:r w:rsidRPr="00FC2DDA">
        <w:rPr>
          <w:rFonts w:ascii="Book Antiqua" w:hAnsi="Book Antiqua" w:cs="Times New Roman"/>
          <w:color w:val="auto"/>
          <w:sz w:val="24"/>
          <w:szCs w:val="24"/>
        </w:rPr>
        <w:t>aximum enhancement</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olor w:val="auto"/>
          <w:sz w:val="24"/>
          <w:szCs w:val="24"/>
        </w:rPr>
        <w:t>MRE</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m</w:t>
      </w:r>
      <w:r w:rsidRPr="00FC2DDA">
        <w:rPr>
          <w:rFonts w:ascii="Book Antiqua" w:hAnsi="Book Antiqua" w:cs="Times New Roman"/>
          <w:color w:val="auto"/>
          <w:sz w:val="24"/>
          <w:szCs w:val="24"/>
        </w:rPr>
        <w:t>aximum relative enhancement</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olor w:val="auto"/>
          <w:sz w:val="24"/>
          <w:szCs w:val="24"/>
        </w:rPr>
        <w:t>RAE</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r</w:t>
      </w:r>
      <w:r w:rsidRPr="00FC2DDA">
        <w:rPr>
          <w:rFonts w:ascii="Book Antiqua" w:hAnsi="Book Antiqua" w:cs="Times New Roman"/>
          <w:color w:val="auto"/>
          <w:sz w:val="24"/>
          <w:szCs w:val="24"/>
        </w:rPr>
        <w:t>elative arterial enhancement</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olor w:val="auto"/>
          <w:sz w:val="24"/>
          <w:szCs w:val="24"/>
        </w:rPr>
        <w:t>RE</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r</w:t>
      </w:r>
      <w:r w:rsidRPr="00FC2DDA">
        <w:rPr>
          <w:rFonts w:ascii="Book Antiqua" w:hAnsi="Book Antiqua" w:cs="Times New Roman"/>
          <w:color w:val="auto"/>
          <w:sz w:val="24"/>
          <w:szCs w:val="24"/>
        </w:rPr>
        <w:t>elative enhancement</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olor w:val="auto"/>
          <w:sz w:val="24"/>
          <w:szCs w:val="24"/>
        </w:rPr>
        <w:t>RLE</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r</w:t>
      </w:r>
      <w:r w:rsidRPr="00FC2DDA">
        <w:rPr>
          <w:rFonts w:ascii="Book Antiqua" w:hAnsi="Book Antiqua" w:cs="Times New Roman"/>
          <w:color w:val="auto"/>
          <w:sz w:val="24"/>
          <w:szCs w:val="24"/>
        </w:rPr>
        <w:t>elative late enhancement</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olor w:val="auto"/>
          <w:sz w:val="24"/>
          <w:szCs w:val="24"/>
        </w:rPr>
        <w:t>RVE</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r</w:t>
      </w:r>
      <w:r w:rsidRPr="00FC2DDA">
        <w:rPr>
          <w:rFonts w:ascii="Book Antiqua" w:hAnsi="Book Antiqua" w:cs="Times New Roman"/>
          <w:color w:val="auto"/>
          <w:sz w:val="24"/>
          <w:szCs w:val="24"/>
        </w:rPr>
        <w:t>elative venous enhancement</w:t>
      </w:r>
      <w:r w:rsidR="00B304DF" w:rsidRPr="00FC2DDA">
        <w:rPr>
          <w:rFonts w:ascii="Book Antiqua" w:hAnsi="Book Antiqua" w:cs="Times New Roman" w:hint="eastAsia"/>
          <w:color w:val="auto"/>
          <w:sz w:val="24"/>
          <w:szCs w:val="24"/>
          <w:lang w:eastAsia="zh-CN"/>
        </w:rPr>
        <w:t>;</w:t>
      </w:r>
      <w:r w:rsidRPr="00FC2DDA">
        <w:rPr>
          <w:rFonts w:ascii="Book Antiqua" w:hAnsi="Book Antiqua" w:cs="Times New Roman"/>
          <w:color w:val="auto"/>
          <w:sz w:val="24"/>
          <w:szCs w:val="24"/>
        </w:rPr>
        <w:t xml:space="preserve"> TTP</w:t>
      </w:r>
      <w:r w:rsidR="00B304DF" w:rsidRPr="00FC2DDA">
        <w:rPr>
          <w:rFonts w:ascii="Book Antiqua" w:hAnsi="Book Antiqua" w:cs="Times New Roman" w:hint="eastAsia"/>
          <w:color w:val="auto"/>
          <w:sz w:val="24"/>
          <w:szCs w:val="24"/>
          <w:lang w:eastAsia="zh-CN"/>
        </w:rPr>
        <w:t xml:space="preserve">: </w:t>
      </w:r>
      <w:r w:rsidRPr="00FC2DDA">
        <w:rPr>
          <w:rFonts w:ascii="Book Antiqua" w:hAnsi="Book Antiqua" w:cs="Times New Roman"/>
          <w:caps/>
          <w:color w:val="auto"/>
          <w:sz w:val="24"/>
          <w:szCs w:val="24"/>
        </w:rPr>
        <w:t>t</w:t>
      </w:r>
      <w:r w:rsidRPr="00FC2DDA">
        <w:rPr>
          <w:rFonts w:ascii="Book Antiqua" w:hAnsi="Book Antiqua" w:cs="Times New Roman"/>
          <w:color w:val="auto"/>
          <w:sz w:val="24"/>
          <w:szCs w:val="24"/>
        </w:rPr>
        <w:t>ime to peak</w:t>
      </w:r>
      <w:r w:rsidR="00B304DF" w:rsidRPr="00FC2DDA">
        <w:rPr>
          <w:rFonts w:ascii="Book Antiqua" w:hAnsi="Book Antiqua" w:cs="Times New Roman" w:hint="eastAsia"/>
          <w:color w:val="auto"/>
          <w:sz w:val="24"/>
          <w:szCs w:val="24"/>
          <w:lang w:eastAsia="zh-CN"/>
        </w:rPr>
        <w:t>;</w:t>
      </w:r>
      <w:r w:rsidRPr="00FC2DDA">
        <w:rPr>
          <w:rFonts w:ascii="Book Antiqua" w:hAnsi="Book Antiqua" w:cs="Times New Roman"/>
          <w:color w:val="auto"/>
          <w:sz w:val="24"/>
          <w:szCs w:val="24"/>
        </w:rPr>
        <w:t xml:space="preserve"> </w:t>
      </w:r>
      <w:r w:rsidRPr="00FC2DDA">
        <w:rPr>
          <w:rFonts w:ascii="Book Antiqua" w:eastAsia="Times New Roman" w:hAnsi="Book Antiqua" w:cs="Times New Roman"/>
          <w:color w:val="auto"/>
          <w:sz w:val="24"/>
          <w:szCs w:val="24"/>
        </w:rPr>
        <w:t>HPI</w:t>
      </w:r>
      <w:r w:rsidR="00B304DF"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aps/>
          <w:color w:val="auto"/>
          <w:sz w:val="24"/>
          <w:szCs w:val="24"/>
        </w:rPr>
        <w:t>h</w:t>
      </w:r>
      <w:r w:rsidRPr="00FC2DDA">
        <w:rPr>
          <w:rFonts w:ascii="Book Antiqua" w:eastAsia="Times New Roman" w:hAnsi="Book Antiqua" w:cs="Times New Roman"/>
          <w:color w:val="auto"/>
          <w:sz w:val="24"/>
          <w:szCs w:val="24"/>
        </w:rPr>
        <w:t>epatic perfusion index</w:t>
      </w:r>
      <w:r w:rsidR="00B304DF"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MTT</w:t>
      </w:r>
      <w:r w:rsidR="00B304DF"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aps/>
          <w:color w:val="auto"/>
          <w:sz w:val="24"/>
          <w:szCs w:val="24"/>
        </w:rPr>
        <w:t>m</w:t>
      </w:r>
      <w:r w:rsidRPr="00FC2DDA">
        <w:rPr>
          <w:rFonts w:ascii="Book Antiqua" w:eastAsia="Times New Roman" w:hAnsi="Book Antiqua" w:cs="Times New Roman"/>
          <w:color w:val="auto"/>
          <w:sz w:val="24"/>
          <w:szCs w:val="24"/>
        </w:rPr>
        <w:t>ean transit time</w:t>
      </w:r>
      <w:r w:rsidR="00B304DF" w:rsidRPr="00FC2DDA">
        <w:rPr>
          <w:rFonts w:ascii="Book Antiqua" w:hAnsi="Book Antiqua" w:cs="Times New Roman" w:hint="eastAsia"/>
          <w:color w:val="auto"/>
          <w:sz w:val="24"/>
          <w:szCs w:val="24"/>
          <w:lang w:eastAsia="zh-CN"/>
        </w:rPr>
        <w:t>;</w:t>
      </w:r>
      <w:r w:rsidRPr="00FC2DDA">
        <w:rPr>
          <w:rFonts w:ascii="Book Antiqua" w:eastAsia="Times New Roman" w:hAnsi="Book Antiqua" w:cs="Times New Roman"/>
          <w:color w:val="auto"/>
          <w:sz w:val="24"/>
          <w:szCs w:val="24"/>
        </w:rPr>
        <w:t xml:space="preserve"> DV</w:t>
      </w:r>
      <w:r w:rsidR="00B304DF"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aps/>
          <w:color w:val="auto"/>
          <w:sz w:val="24"/>
          <w:szCs w:val="24"/>
        </w:rPr>
        <w:t>d</w:t>
      </w:r>
      <w:r w:rsidRPr="00FC2DDA">
        <w:rPr>
          <w:rFonts w:ascii="Book Antiqua" w:eastAsia="Times New Roman" w:hAnsi="Book Antiqua" w:cs="Times New Roman"/>
          <w:color w:val="auto"/>
          <w:sz w:val="24"/>
          <w:szCs w:val="24"/>
        </w:rPr>
        <w:t>istribution volume</w:t>
      </w:r>
      <w:r w:rsidR="00B304DF" w:rsidRPr="00FC2DDA">
        <w:rPr>
          <w:rFonts w:ascii="Book Antiqua" w:hAnsi="Book Antiqua" w:cs="Times New Roman" w:hint="eastAsia"/>
          <w:color w:val="auto"/>
          <w:sz w:val="24"/>
          <w:szCs w:val="24"/>
          <w:lang w:eastAsia="zh-CN"/>
        </w:rPr>
        <w:t>;</w:t>
      </w:r>
      <w:r w:rsidRPr="00FC2DDA">
        <w:rPr>
          <w:rFonts w:ascii="Book Antiqua" w:eastAsia="Times New Roman" w:hAnsi="Book Antiqua" w:cs="Times New Roman"/>
          <w:color w:val="auto"/>
          <w:sz w:val="24"/>
          <w:szCs w:val="24"/>
        </w:rPr>
        <w:t xml:space="preserve"> TF</w:t>
      </w:r>
      <w:r w:rsidR="00B304DF"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aps/>
          <w:color w:val="auto"/>
          <w:sz w:val="24"/>
          <w:szCs w:val="24"/>
        </w:rPr>
        <w:t>t</w:t>
      </w:r>
      <w:r w:rsidRPr="00FC2DDA">
        <w:rPr>
          <w:rFonts w:ascii="Book Antiqua" w:eastAsia="Times New Roman" w:hAnsi="Book Antiqua" w:cs="Times New Roman"/>
          <w:color w:val="auto"/>
          <w:sz w:val="24"/>
          <w:szCs w:val="24"/>
        </w:rPr>
        <w:t>otal blood flow</w:t>
      </w:r>
      <w:r w:rsidR="00B304DF"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AF</w:t>
      </w:r>
      <w:r w:rsidR="00B304DF"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aps/>
          <w:color w:val="auto"/>
          <w:sz w:val="24"/>
          <w:szCs w:val="24"/>
        </w:rPr>
        <w:t>a</w:t>
      </w:r>
      <w:r w:rsidRPr="00FC2DDA">
        <w:rPr>
          <w:rFonts w:ascii="Book Antiqua" w:eastAsia="Times New Roman" w:hAnsi="Book Antiqua" w:cs="Times New Roman"/>
          <w:color w:val="auto"/>
          <w:sz w:val="24"/>
          <w:szCs w:val="24"/>
        </w:rPr>
        <w:t>rterial blood flow</w:t>
      </w:r>
      <w:r w:rsidR="00B304DF"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olor w:val="auto"/>
          <w:sz w:val="24"/>
          <w:szCs w:val="24"/>
        </w:rPr>
        <w:t xml:space="preserve"> PF</w:t>
      </w:r>
      <w:r w:rsidR="00B304DF"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aps/>
          <w:color w:val="auto"/>
          <w:sz w:val="24"/>
          <w:szCs w:val="24"/>
        </w:rPr>
        <w:t>p</w:t>
      </w:r>
      <w:r w:rsidRPr="00FC2DDA">
        <w:rPr>
          <w:rFonts w:ascii="Book Antiqua" w:eastAsia="Times New Roman" w:hAnsi="Book Antiqua" w:cs="Times New Roman"/>
          <w:color w:val="auto"/>
          <w:sz w:val="24"/>
          <w:szCs w:val="24"/>
        </w:rPr>
        <w:t>ortal blood flow</w:t>
      </w:r>
      <w:r w:rsidR="00B304DF" w:rsidRPr="00FC2DDA">
        <w:rPr>
          <w:rFonts w:ascii="Book Antiqua" w:hAnsi="Book Antiqua" w:cs="Times New Roman" w:hint="eastAsia"/>
          <w:color w:val="auto"/>
          <w:sz w:val="24"/>
          <w:szCs w:val="24"/>
          <w:lang w:eastAsia="zh-CN"/>
        </w:rPr>
        <w:t>;</w:t>
      </w:r>
      <w:r w:rsidRPr="00FC2DDA">
        <w:rPr>
          <w:rFonts w:ascii="Book Antiqua" w:eastAsia="Times New Roman" w:hAnsi="Book Antiqua" w:cs="Times New Roman"/>
          <w:color w:val="auto"/>
          <w:sz w:val="24"/>
          <w:szCs w:val="24"/>
        </w:rPr>
        <w:t xml:space="preserve"> AUC</w:t>
      </w:r>
      <w:r w:rsidR="00B304DF" w:rsidRPr="00FC2DDA">
        <w:rPr>
          <w:rFonts w:ascii="Book Antiqua" w:hAnsi="Book Antiqua" w:cs="Times New Roman" w:hint="eastAsia"/>
          <w:color w:val="auto"/>
          <w:sz w:val="24"/>
          <w:szCs w:val="24"/>
          <w:lang w:eastAsia="zh-CN"/>
        </w:rPr>
        <w:t xml:space="preserve">: </w:t>
      </w:r>
      <w:r w:rsidRPr="00FC2DDA">
        <w:rPr>
          <w:rFonts w:ascii="Book Antiqua" w:eastAsia="Times New Roman" w:hAnsi="Book Antiqua" w:cs="Times New Roman"/>
          <w:caps/>
          <w:color w:val="auto"/>
          <w:sz w:val="24"/>
          <w:szCs w:val="24"/>
        </w:rPr>
        <w:t>a</w:t>
      </w:r>
      <w:r w:rsidRPr="00FC2DDA">
        <w:rPr>
          <w:rFonts w:ascii="Book Antiqua" w:eastAsia="Times New Roman" w:hAnsi="Book Antiqua" w:cs="Times New Roman"/>
          <w:color w:val="auto"/>
          <w:sz w:val="24"/>
          <w:szCs w:val="24"/>
        </w:rPr>
        <w:t>rea under the gad</w:t>
      </w:r>
      <w:r w:rsidR="00B304DF" w:rsidRPr="00FC2DDA">
        <w:rPr>
          <w:rFonts w:ascii="Book Antiqua" w:eastAsia="Times New Roman" w:hAnsi="Book Antiqua" w:cs="Times New Roman"/>
          <w:color w:val="auto"/>
          <w:sz w:val="24"/>
          <w:szCs w:val="24"/>
        </w:rPr>
        <w:t>olinium distribution-time curve</w:t>
      </w:r>
      <w:r w:rsidRPr="00FC2DDA">
        <w:rPr>
          <w:rFonts w:ascii="Book Antiqua" w:eastAsia="Times New Roman" w:hAnsi="Book Antiqua" w:cs="Times New Roman"/>
          <w:color w:val="auto"/>
          <w:sz w:val="24"/>
          <w:szCs w:val="24"/>
        </w:rPr>
        <w:t>.</w:t>
      </w:r>
    </w:p>
    <w:p w14:paraId="3FEB79E4" w14:textId="77777777" w:rsidR="001567E5" w:rsidRPr="00FC2DDA" w:rsidRDefault="001567E5" w:rsidP="00AF2AB9">
      <w:pPr>
        <w:widowControl w:val="0"/>
        <w:tabs>
          <w:tab w:val="left" w:pos="500"/>
        </w:tabs>
        <w:snapToGrid w:val="0"/>
        <w:spacing w:after="0" w:line="360" w:lineRule="auto"/>
        <w:jc w:val="both"/>
        <w:rPr>
          <w:rFonts w:ascii="Book Antiqua" w:eastAsia="Times New Roman" w:hAnsi="Book Antiqua" w:cs="Times New Roman"/>
          <w:color w:val="auto"/>
          <w:sz w:val="24"/>
          <w:szCs w:val="24"/>
        </w:rPr>
      </w:pPr>
    </w:p>
    <w:sectPr w:rsidR="001567E5" w:rsidRPr="00FC2DDA">
      <w:pgSz w:w="11906" w:h="16838"/>
      <w:pgMar w:top="1417" w:right="1134" w:bottom="1134" w:left="1134"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116367" w16cid:durableId="1E9B1DF5"/>
  <w16cid:commentId w16cid:paraId="672113A1" w16cid:durableId="1E9B1DA3"/>
  <w16cid:commentId w16cid:paraId="30005BF5" w16cid:durableId="1E9B1DA4"/>
  <w16cid:commentId w16cid:paraId="7AB0C95B" w16cid:durableId="1E9B1DB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Regular">
    <w:altName w:val="Times New Roman"/>
    <w:charset w:val="00"/>
    <w:family w:val="roman"/>
    <w:pitch w:val="default"/>
  </w:font>
  <w:font w:name="Times">
    <w:panose1 w:val="02020603050405020304"/>
    <w:charset w:val="00"/>
    <w:family w:val="roman"/>
    <w:pitch w:val="variable"/>
    <w:sig w:usb0="E0002AFF" w:usb1="C0007841" w:usb2="00000009" w:usb3="00000000" w:csb0="000001FF" w:csb1="00000000"/>
  </w:font>
  <w:font w:name="Gungsuh">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5D4517"/>
    <w:multiLevelType w:val="hybridMultilevel"/>
    <w:tmpl w:val="1F0EC788"/>
    <w:lvl w:ilvl="0" w:tplc="EC8C5E54">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74A528E"/>
    <w:multiLevelType w:val="multilevel"/>
    <w:tmpl w:val="BD1A1F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C3E2043"/>
    <w:multiLevelType w:val="hybridMultilevel"/>
    <w:tmpl w:val="6B981D52"/>
    <w:lvl w:ilvl="0" w:tplc="38CA2358">
      <w:numFmt w:val="bullet"/>
      <w:lvlText w:val="-"/>
      <w:lvlJc w:val="left"/>
      <w:pPr>
        <w:ind w:left="720" w:hanging="360"/>
      </w:pPr>
      <w:rPr>
        <w:rFonts w:ascii="Book Antiqua" w:eastAsia="Calibri"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7E909FA"/>
    <w:multiLevelType w:val="multilevel"/>
    <w:tmpl w:val="BC8E4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4E3"/>
    <w:rsid w:val="000267BC"/>
    <w:rsid w:val="0004544A"/>
    <w:rsid w:val="00050698"/>
    <w:rsid w:val="00061CDF"/>
    <w:rsid w:val="00062909"/>
    <w:rsid w:val="00072AF8"/>
    <w:rsid w:val="000823D9"/>
    <w:rsid w:val="000875FA"/>
    <w:rsid w:val="00097534"/>
    <w:rsid w:val="000A3C0A"/>
    <w:rsid w:val="000B2370"/>
    <w:rsid w:val="000C37AA"/>
    <w:rsid w:val="000C4C9F"/>
    <w:rsid w:val="000C539F"/>
    <w:rsid w:val="000D3CC1"/>
    <w:rsid w:val="000F1786"/>
    <w:rsid w:val="001013D7"/>
    <w:rsid w:val="0011141F"/>
    <w:rsid w:val="0012749A"/>
    <w:rsid w:val="00137D76"/>
    <w:rsid w:val="00140C79"/>
    <w:rsid w:val="001410DF"/>
    <w:rsid w:val="001501C6"/>
    <w:rsid w:val="001567E5"/>
    <w:rsid w:val="0016579E"/>
    <w:rsid w:val="00166A17"/>
    <w:rsid w:val="00167C10"/>
    <w:rsid w:val="001828F2"/>
    <w:rsid w:val="00183953"/>
    <w:rsid w:val="001873AE"/>
    <w:rsid w:val="001963E2"/>
    <w:rsid w:val="001B04E3"/>
    <w:rsid w:val="001B759F"/>
    <w:rsid w:val="001C2FFE"/>
    <w:rsid w:val="001D18C4"/>
    <w:rsid w:val="001D5833"/>
    <w:rsid w:val="001D6180"/>
    <w:rsid w:val="001F44DA"/>
    <w:rsid w:val="00204152"/>
    <w:rsid w:val="00232403"/>
    <w:rsid w:val="00235A9D"/>
    <w:rsid w:val="00235E3F"/>
    <w:rsid w:val="00245A8F"/>
    <w:rsid w:val="0025147B"/>
    <w:rsid w:val="00261B58"/>
    <w:rsid w:val="00265429"/>
    <w:rsid w:val="00267F9B"/>
    <w:rsid w:val="0028223A"/>
    <w:rsid w:val="00282F40"/>
    <w:rsid w:val="00283D8F"/>
    <w:rsid w:val="002A4C0C"/>
    <w:rsid w:val="002A7BEC"/>
    <w:rsid w:val="002E39AC"/>
    <w:rsid w:val="002F4880"/>
    <w:rsid w:val="003110BC"/>
    <w:rsid w:val="00331DA5"/>
    <w:rsid w:val="00332A9A"/>
    <w:rsid w:val="00343C47"/>
    <w:rsid w:val="00346277"/>
    <w:rsid w:val="003513AB"/>
    <w:rsid w:val="003532E7"/>
    <w:rsid w:val="003542C3"/>
    <w:rsid w:val="00356160"/>
    <w:rsid w:val="0036376C"/>
    <w:rsid w:val="00377269"/>
    <w:rsid w:val="003871FB"/>
    <w:rsid w:val="0039481B"/>
    <w:rsid w:val="003A508F"/>
    <w:rsid w:val="003B60ED"/>
    <w:rsid w:val="003C29E4"/>
    <w:rsid w:val="003C2F6B"/>
    <w:rsid w:val="003C6843"/>
    <w:rsid w:val="003D0487"/>
    <w:rsid w:val="003D09D1"/>
    <w:rsid w:val="003E131F"/>
    <w:rsid w:val="003E3307"/>
    <w:rsid w:val="003E4CBA"/>
    <w:rsid w:val="003F7436"/>
    <w:rsid w:val="00401DA8"/>
    <w:rsid w:val="00405BEF"/>
    <w:rsid w:val="00410F47"/>
    <w:rsid w:val="00425B2E"/>
    <w:rsid w:val="0044088E"/>
    <w:rsid w:val="004448E8"/>
    <w:rsid w:val="00452AF1"/>
    <w:rsid w:val="00456461"/>
    <w:rsid w:val="004569A6"/>
    <w:rsid w:val="004652E2"/>
    <w:rsid w:val="004676CA"/>
    <w:rsid w:val="00482697"/>
    <w:rsid w:val="00493AD9"/>
    <w:rsid w:val="00495CC6"/>
    <w:rsid w:val="004B116F"/>
    <w:rsid w:val="004C0887"/>
    <w:rsid w:val="004C15F4"/>
    <w:rsid w:val="004C53E6"/>
    <w:rsid w:val="004E4933"/>
    <w:rsid w:val="0050340B"/>
    <w:rsid w:val="005322AE"/>
    <w:rsid w:val="0054308C"/>
    <w:rsid w:val="005571C4"/>
    <w:rsid w:val="00566E1F"/>
    <w:rsid w:val="00572FBE"/>
    <w:rsid w:val="005A23B5"/>
    <w:rsid w:val="005A6779"/>
    <w:rsid w:val="005B430F"/>
    <w:rsid w:val="005C440D"/>
    <w:rsid w:val="005C7755"/>
    <w:rsid w:val="005D058F"/>
    <w:rsid w:val="005D7B7B"/>
    <w:rsid w:val="005E1DF8"/>
    <w:rsid w:val="00622C36"/>
    <w:rsid w:val="00627B6E"/>
    <w:rsid w:val="00633219"/>
    <w:rsid w:val="00636F70"/>
    <w:rsid w:val="006417DA"/>
    <w:rsid w:val="00646F5A"/>
    <w:rsid w:val="00670831"/>
    <w:rsid w:val="00683F0C"/>
    <w:rsid w:val="006928EE"/>
    <w:rsid w:val="006A6A33"/>
    <w:rsid w:val="006A6E24"/>
    <w:rsid w:val="006B593A"/>
    <w:rsid w:val="006D0C7A"/>
    <w:rsid w:val="006D1E22"/>
    <w:rsid w:val="006D7B0B"/>
    <w:rsid w:val="006E018C"/>
    <w:rsid w:val="006E4C11"/>
    <w:rsid w:val="006F4C62"/>
    <w:rsid w:val="0070227D"/>
    <w:rsid w:val="007043AC"/>
    <w:rsid w:val="007101D2"/>
    <w:rsid w:val="00733B20"/>
    <w:rsid w:val="00740876"/>
    <w:rsid w:val="00740AD8"/>
    <w:rsid w:val="007469BA"/>
    <w:rsid w:val="00756D42"/>
    <w:rsid w:val="0076292E"/>
    <w:rsid w:val="00781F7D"/>
    <w:rsid w:val="00782C99"/>
    <w:rsid w:val="00785031"/>
    <w:rsid w:val="00791DED"/>
    <w:rsid w:val="00795617"/>
    <w:rsid w:val="007B0F24"/>
    <w:rsid w:val="007B791D"/>
    <w:rsid w:val="007C5DA8"/>
    <w:rsid w:val="007D05C0"/>
    <w:rsid w:val="007D76D9"/>
    <w:rsid w:val="007E7040"/>
    <w:rsid w:val="007F65DB"/>
    <w:rsid w:val="00803DB9"/>
    <w:rsid w:val="00807D3A"/>
    <w:rsid w:val="00841FAC"/>
    <w:rsid w:val="00850652"/>
    <w:rsid w:val="008812EF"/>
    <w:rsid w:val="00881729"/>
    <w:rsid w:val="008955AE"/>
    <w:rsid w:val="008A0E66"/>
    <w:rsid w:val="008A2FCA"/>
    <w:rsid w:val="008A5D94"/>
    <w:rsid w:val="008C6B85"/>
    <w:rsid w:val="008D6A6C"/>
    <w:rsid w:val="008E1117"/>
    <w:rsid w:val="008F3830"/>
    <w:rsid w:val="00934F94"/>
    <w:rsid w:val="00937E90"/>
    <w:rsid w:val="00937F23"/>
    <w:rsid w:val="00941B1C"/>
    <w:rsid w:val="009440BB"/>
    <w:rsid w:val="00970478"/>
    <w:rsid w:val="009750BF"/>
    <w:rsid w:val="0097682C"/>
    <w:rsid w:val="009934CC"/>
    <w:rsid w:val="0099457A"/>
    <w:rsid w:val="009E5106"/>
    <w:rsid w:val="00A05E36"/>
    <w:rsid w:val="00A14A68"/>
    <w:rsid w:val="00A23189"/>
    <w:rsid w:val="00A32EB8"/>
    <w:rsid w:val="00A37185"/>
    <w:rsid w:val="00A50B93"/>
    <w:rsid w:val="00A50BD9"/>
    <w:rsid w:val="00A67619"/>
    <w:rsid w:val="00A7041D"/>
    <w:rsid w:val="00A70A5C"/>
    <w:rsid w:val="00A72EB1"/>
    <w:rsid w:val="00A77946"/>
    <w:rsid w:val="00A81DA5"/>
    <w:rsid w:val="00A81EAC"/>
    <w:rsid w:val="00AB70A8"/>
    <w:rsid w:val="00AD1905"/>
    <w:rsid w:val="00AD244A"/>
    <w:rsid w:val="00AE7F52"/>
    <w:rsid w:val="00AF2118"/>
    <w:rsid w:val="00AF2AB9"/>
    <w:rsid w:val="00AF5809"/>
    <w:rsid w:val="00B04AF6"/>
    <w:rsid w:val="00B12872"/>
    <w:rsid w:val="00B304DF"/>
    <w:rsid w:val="00B366E4"/>
    <w:rsid w:val="00B43DD5"/>
    <w:rsid w:val="00B44C63"/>
    <w:rsid w:val="00B57390"/>
    <w:rsid w:val="00B57775"/>
    <w:rsid w:val="00B664DE"/>
    <w:rsid w:val="00BA3407"/>
    <w:rsid w:val="00BC2E28"/>
    <w:rsid w:val="00BC4BDE"/>
    <w:rsid w:val="00BC5FD7"/>
    <w:rsid w:val="00BD2766"/>
    <w:rsid w:val="00BD5226"/>
    <w:rsid w:val="00BF10A8"/>
    <w:rsid w:val="00BF3644"/>
    <w:rsid w:val="00BF7AA6"/>
    <w:rsid w:val="00C063E2"/>
    <w:rsid w:val="00C17475"/>
    <w:rsid w:val="00C26503"/>
    <w:rsid w:val="00C45786"/>
    <w:rsid w:val="00C5218E"/>
    <w:rsid w:val="00C614F7"/>
    <w:rsid w:val="00C70ED4"/>
    <w:rsid w:val="00C838DD"/>
    <w:rsid w:val="00C904B2"/>
    <w:rsid w:val="00CB1B0E"/>
    <w:rsid w:val="00CB4616"/>
    <w:rsid w:val="00CD6107"/>
    <w:rsid w:val="00CE0FE0"/>
    <w:rsid w:val="00CF2825"/>
    <w:rsid w:val="00D04CB1"/>
    <w:rsid w:val="00D07B68"/>
    <w:rsid w:val="00D4205D"/>
    <w:rsid w:val="00D42441"/>
    <w:rsid w:val="00D55FF7"/>
    <w:rsid w:val="00D56170"/>
    <w:rsid w:val="00D56555"/>
    <w:rsid w:val="00D60EE5"/>
    <w:rsid w:val="00D91FD5"/>
    <w:rsid w:val="00DA41A1"/>
    <w:rsid w:val="00DA6934"/>
    <w:rsid w:val="00DA731A"/>
    <w:rsid w:val="00DB5266"/>
    <w:rsid w:val="00DC4452"/>
    <w:rsid w:val="00DD03A0"/>
    <w:rsid w:val="00DD22E4"/>
    <w:rsid w:val="00E000EC"/>
    <w:rsid w:val="00E0463F"/>
    <w:rsid w:val="00E202EA"/>
    <w:rsid w:val="00E21FFD"/>
    <w:rsid w:val="00E246A4"/>
    <w:rsid w:val="00E3579A"/>
    <w:rsid w:val="00E652AF"/>
    <w:rsid w:val="00E86040"/>
    <w:rsid w:val="00E93658"/>
    <w:rsid w:val="00E96F7C"/>
    <w:rsid w:val="00EB7E10"/>
    <w:rsid w:val="00EC0DC0"/>
    <w:rsid w:val="00EC5F74"/>
    <w:rsid w:val="00ED1089"/>
    <w:rsid w:val="00EE19DE"/>
    <w:rsid w:val="00EE527C"/>
    <w:rsid w:val="00EE532F"/>
    <w:rsid w:val="00EF0317"/>
    <w:rsid w:val="00EF07A8"/>
    <w:rsid w:val="00EF1F0E"/>
    <w:rsid w:val="00F0651A"/>
    <w:rsid w:val="00F23569"/>
    <w:rsid w:val="00F278C1"/>
    <w:rsid w:val="00F525E0"/>
    <w:rsid w:val="00F75C5E"/>
    <w:rsid w:val="00F839C6"/>
    <w:rsid w:val="00F879C3"/>
    <w:rsid w:val="00F97061"/>
    <w:rsid w:val="00FA539B"/>
    <w:rsid w:val="00FA5412"/>
    <w:rsid w:val="00FA60F2"/>
    <w:rsid w:val="00FA7A0E"/>
    <w:rsid w:val="00FB4404"/>
    <w:rsid w:val="00FC2DDA"/>
    <w:rsid w:val="00FE0817"/>
    <w:rsid w:val="00FE0CD4"/>
    <w:rsid w:val="00FF138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6656E"/>
  <w15:docId w15:val="{694B8D6F-09F1-406C-A9B0-6F4E885E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color w:val="000000"/>
        <w:sz w:val="22"/>
        <w:szCs w:val="22"/>
        <w:lang w:val="en-GB" w:eastAsia="it-IT"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character" w:styleId="CommentReference">
    <w:name w:val="annotation reference"/>
    <w:basedOn w:val="DefaultParagraphFont"/>
    <w:uiPriority w:val="99"/>
    <w:semiHidden/>
    <w:unhideWhenUsed/>
    <w:rsid w:val="007B0F24"/>
    <w:rPr>
      <w:sz w:val="16"/>
      <w:szCs w:val="16"/>
    </w:rPr>
  </w:style>
  <w:style w:type="paragraph" w:styleId="CommentText">
    <w:name w:val="annotation text"/>
    <w:basedOn w:val="Normal"/>
    <w:link w:val="CommentTextChar"/>
    <w:uiPriority w:val="99"/>
    <w:unhideWhenUsed/>
    <w:rsid w:val="007B0F24"/>
    <w:pPr>
      <w:spacing w:line="240" w:lineRule="auto"/>
    </w:pPr>
    <w:rPr>
      <w:sz w:val="20"/>
      <w:szCs w:val="20"/>
    </w:rPr>
  </w:style>
  <w:style w:type="character" w:customStyle="1" w:styleId="CommentTextChar">
    <w:name w:val="Comment Text Char"/>
    <w:basedOn w:val="DefaultParagraphFont"/>
    <w:link w:val="CommentText"/>
    <w:uiPriority w:val="99"/>
    <w:semiHidden/>
    <w:rsid w:val="007B0F24"/>
    <w:rPr>
      <w:sz w:val="20"/>
      <w:szCs w:val="20"/>
    </w:rPr>
  </w:style>
  <w:style w:type="paragraph" w:styleId="CommentSubject">
    <w:name w:val="annotation subject"/>
    <w:basedOn w:val="CommentText"/>
    <w:next w:val="CommentText"/>
    <w:link w:val="CommentSubjectChar"/>
    <w:uiPriority w:val="99"/>
    <w:semiHidden/>
    <w:unhideWhenUsed/>
    <w:rsid w:val="007B0F24"/>
    <w:rPr>
      <w:b/>
      <w:bCs/>
    </w:rPr>
  </w:style>
  <w:style w:type="character" w:customStyle="1" w:styleId="CommentSubjectChar">
    <w:name w:val="Comment Subject Char"/>
    <w:basedOn w:val="CommentTextChar"/>
    <w:link w:val="CommentSubject"/>
    <w:uiPriority w:val="99"/>
    <w:semiHidden/>
    <w:rsid w:val="007B0F24"/>
    <w:rPr>
      <w:b/>
      <w:bCs/>
      <w:sz w:val="20"/>
      <w:szCs w:val="20"/>
    </w:rPr>
  </w:style>
  <w:style w:type="paragraph" w:styleId="BalloonText">
    <w:name w:val="Balloon Text"/>
    <w:basedOn w:val="Normal"/>
    <w:link w:val="BalloonTextChar"/>
    <w:uiPriority w:val="99"/>
    <w:semiHidden/>
    <w:unhideWhenUsed/>
    <w:rsid w:val="007B0F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F24"/>
    <w:rPr>
      <w:rFonts w:ascii="Segoe UI" w:hAnsi="Segoe UI" w:cs="Segoe UI"/>
      <w:sz w:val="18"/>
      <w:szCs w:val="18"/>
    </w:rPr>
  </w:style>
  <w:style w:type="paragraph" w:styleId="ListParagraph">
    <w:name w:val="List Paragraph"/>
    <w:basedOn w:val="Normal"/>
    <w:uiPriority w:val="34"/>
    <w:qFormat/>
    <w:rsid w:val="00A23189"/>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lang w:val="it-IT" w:eastAsia="en-US"/>
    </w:rPr>
  </w:style>
  <w:style w:type="character" w:styleId="Hyperlink">
    <w:name w:val="Hyperlink"/>
    <w:basedOn w:val="DefaultParagraphFont"/>
    <w:uiPriority w:val="99"/>
    <w:unhideWhenUsed/>
    <w:rsid w:val="00A23189"/>
    <w:rPr>
      <w:color w:val="0000FF" w:themeColor="hyperlink"/>
      <w:u w:val="single"/>
    </w:rPr>
  </w:style>
  <w:style w:type="table" w:styleId="TableGrid">
    <w:name w:val="Table Grid"/>
    <w:basedOn w:val="TableNormal"/>
    <w:uiPriority w:val="39"/>
    <w:rsid w:val="0025147B"/>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636F70"/>
    <w:pPr>
      <w:pBdr>
        <w:top w:val="none" w:sz="0" w:space="0" w:color="auto"/>
        <w:left w:val="none" w:sz="0" w:space="0" w:color="auto"/>
        <w:bottom w:val="none" w:sz="0" w:space="0" w:color="auto"/>
        <w:right w:val="none" w:sz="0" w:space="0" w:color="auto"/>
        <w:between w:val="none" w:sz="0" w:space="0" w:color="auto"/>
      </w:pBdr>
      <w:tabs>
        <w:tab w:val="center" w:pos="4819"/>
        <w:tab w:val="right" w:pos="9638"/>
      </w:tabs>
      <w:suppressAutoHyphens/>
      <w:spacing w:after="200" w:line="276" w:lineRule="auto"/>
    </w:pPr>
    <w:rPr>
      <w:rFonts w:cs="Times New Roman"/>
      <w:color w:val="auto"/>
      <w:sz w:val="20"/>
      <w:szCs w:val="20"/>
      <w:lang w:val="x-none" w:eastAsia="ar-SA"/>
    </w:rPr>
  </w:style>
  <w:style w:type="character" w:customStyle="1" w:styleId="FooterChar">
    <w:name w:val="Footer Char"/>
    <w:basedOn w:val="DefaultParagraphFont"/>
    <w:link w:val="Footer"/>
    <w:rsid w:val="00636F70"/>
    <w:rPr>
      <w:rFonts w:cs="Times New Roman"/>
      <w:color w:val="auto"/>
      <w:sz w:val="20"/>
      <w:szCs w:val="20"/>
      <w:lang w:val="x-none" w:eastAsia="ar-SA"/>
    </w:rPr>
  </w:style>
  <w:style w:type="character" w:styleId="Strong">
    <w:name w:val="Strong"/>
    <w:qFormat/>
    <w:rsid w:val="00636F70"/>
    <w:rPr>
      <w:b/>
      <w:bCs/>
    </w:rPr>
  </w:style>
  <w:style w:type="character" w:styleId="FootnoteReference">
    <w:name w:val="footnote reference"/>
    <w:semiHidden/>
    <w:rsid w:val="00636F70"/>
    <w:rPr>
      <w:vertAlign w:val="superscript"/>
    </w:rPr>
  </w:style>
  <w:style w:type="paragraph" w:styleId="Revision">
    <w:name w:val="Revision"/>
    <w:hidden/>
    <w:uiPriority w:val="99"/>
    <w:semiHidden/>
    <w:rsid w:val="00283D8F"/>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customStyle="1" w:styleId="orcid-id-https">
    <w:name w:val="orcid-id-https"/>
    <w:basedOn w:val="DefaultParagraphFont"/>
    <w:rsid w:val="00346277"/>
  </w:style>
  <w:style w:type="paragraph" w:customStyle="1" w:styleId="1">
    <w:name w:val="正文1"/>
    <w:uiPriority w:val="99"/>
    <w:rsid w:val="005C7755"/>
    <w:pPr>
      <w:pBdr>
        <w:top w:val="none" w:sz="0" w:space="0" w:color="auto"/>
        <w:left w:val="none" w:sz="0" w:space="0" w:color="auto"/>
        <w:bottom w:val="none" w:sz="0" w:space="0" w:color="auto"/>
        <w:right w:val="none" w:sz="0" w:space="0" w:color="auto"/>
        <w:between w:val="none" w:sz="0" w:space="0" w:color="auto"/>
      </w:pBdr>
      <w:spacing w:after="0" w:line="276" w:lineRule="auto"/>
    </w:pPr>
    <w:rPr>
      <w:rFonts w:ascii="Arial" w:eastAsia="SimSun" w:hAnsi="Arial" w:cs="Arial"/>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0590">
      <w:bodyDiv w:val="1"/>
      <w:marLeft w:val="0"/>
      <w:marRight w:val="0"/>
      <w:marTop w:val="0"/>
      <w:marBottom w:val="0"/>
      <w:divBdr>
        <w:top w:val="none" w:sz="0" w:space="0" w:color="auto"/>
        <w:left w:val="none" w:sz="0" w:space="0" w:color="auto"/>
        <w:bottom w:val="none" w:sz="0" w:space="0" w:color="auto"/>
        <w:right w:val="none" w:sz="0" w:space="0" w:color="auto"/>
      </w:divBdr>
    </w:div>
    <w:div w:id="388843116">
      <w:bodyDiv w:val="1"/>
      <w:marLeft w:val="0"/>
      <w:marRight w:val="0"/>
      <w:marTop w:val="0"/>
      <w:marBottom w:val="0"/>
      <w:divBdr>
        <w:top w:val="none" w:sz="0" w:space="0" w:color="auto"/>
        <w:left w:val="none" w:sz="0" w:space="0" w:color="auto"/>
        <w:bottom w:val="none" w:sz="0" w:space="0" w:color="auto"/>
        <w:right w:val="none" w:sz="0" w:space="0" w:color="auto"/>
      </w:divBdr>
    </w:div>
    <w:div w:id="923534081">
      <w:bodyDiv w:val="1"/>
      <w:marLeft w:val="0"/>
      <w:marRight w:val="0"/>
      <w:marTop w:val="0"/>
      <w:marBottom w:val="0"/>
      <w:divBdr>
        <w:top w:val="none" w:sz="0" w:space="0" w:color="auto"/>
        <w:left w:val="none" w:sz="0" w:space="0" w:color="auto"/>
        <w:bottom w:val="none" w:sz="0" w:space="0" w:color="auto"/>
        <w:right w:val="none" w:sz="0" w:space="0" w:color="auto"/>
      </w:divBdr>
    </w:div>
    <w:div w:id="943146969">
      <w:bodyDiv w:val="1"/>
      <w:marLeft w:val="0"/>
      <w:marRight w:val="0"/>
      <w:marTop w:val="0"/>
      <w:marBottom w:val="0"/>
      <w:divBdr>
        <w:top w:val="none" w:sz="0" w:space="0" w:color="auto"/>
        <w:left w:val="none" w:sz="0" w:space="0" w:color="auto"/>
        <w:bottom w:val="none" w:sz="0" w:space="0" w:color="auto"/>
        <w:right w:val="none" w:sz="0" w:space="0" w:color="auto"/>
      </w:divBdr>
    </w:div>
    <w:div w:id="1304968224">
      <w:bodyDiv w:val="1"/>
      <w:marLeft w:val="0"/>
      <w:marRight w:val="0"/>
      <w:marTop w:val="0"/>
      <w:marBottom w:val="0"/>
      <w:divBdr>
        <w:top w:val="none" w:sz="0" w:space="0" w:color="auto"/>
        <w:left w:val="none" w:sz="0" w:space="0" w:color="auto"/>
        <w:bottom w:val="none" w:sz="0" w:space="0" w:color="auto"/>
        <w:right w:val="none" w:sz="0" w:space="0" w:color="auto"/>
      </w:divBdr>
    </w:div>
    <w:div w:id="1518881317">
      <w:bodyDiv w:val="1"/>
      <w:marLeft w:val="0"/>
      <w:marRight w:val="0"/>
      <w:marTop w:val="0"/>
      <w:marBottom w:val="0"/>
      <w:divBdr>
        <w:top w:val="none" w:sz="0" w:space="0" w:color="auto"/>
        <w:left w:val="none" w:sz="0" w:space="0" w:color="auto"/>
        <w:bottom w:val="none" w:sz="0" w:space="0" w:color="auto"/>
        <w:right w:val="none" w:sz="0" w:space="0" w:color="auto"/>
      </w:divBdr>
    </w:div>
    <w:div w:id="1611203939">
      <w:bodyDiv w:val="1"/>
      <w:marLeft w:val="0"/>
      <w:marRight w:val="0"/>
      <w:marTop w:val="0"/>
      <w:marBottom w:val="0"/>
      <w:divBdr>
        <w:top w:val="none" w:sz="0" w:space="0" w:color="auto"/>
        <w:left w:val="none" w:sz="0" w:space="0" w:color="auto"/>
        <w:bottom w:val="none" w:sz="0" w:space="0" w:color="auto"/>
        <w:right w:val="none" w:sz="0" w:space="0" w:color="auto"/>
      </w:divBdr>
    </w:div>
    <w:div w:id="1814252940">
      <w:bodyDiv w:val="1"/>
      <w:marLeft w:val="0"/>
      <w:marRight w:val="0"/>
      <w:marTop w:val="0"/>
      <w:marBottom w:val="0"/>
      <w:divBdr>
        <w:top w:val="none" w:sz="0" w:space="0" w:color="auto"/>
        <w:left w:val="none" w:sz="0" w:space="0" w:color="auto"/>
        <w:bottom w:val="none" w:sz="0" w:space="0" w:color="auto"/>
        <w:right w:val="none" w:sz="0" w:space="0" w:color="auto"/>
      </w:divBdr>
    </w:div>
    <w:div w:id="2115245877">
      <w:bodyDiv w:val="1"/>
      <w:marLeft w:val="0"/>
      <w:marRight w:val="0"/>
      <w:marTop w:val="0"/>
      <w:marBottom w:val="0"/>
      <w:divBdr>
        <w:top w:val="none" w:sz="0" w:space="0" w:color="auto"/>
        <w:left w:val="none" w:sz="0" w:space="0" w:color="auto"/>
        <w:bottom w:val="none" w:sz="0" w:space="0" w:color="auto"/>
        <w:right w:val="none" w:sz="0" w:space="0" w:color="auto"/>
      </w:divBdr>
    </w:div>
    <w:div w:id="2135707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erpile.com/c/XJSxgM/6M6p" TargetMode="External"/><Relationship Id="rId13" Type="http://schemas.openxmlformats.org/officeDocument/2006/relationships/hyperlink" Target="https://paperpile.com/c/XJSxgM/3xpK+b02w" TargetMode="External"/><Relationship Id="rId18" Type="http://schemas.openxmlformats.org/officeDocument/2006/relationships/hyperlink" Target="https://paperpile.com/c/XJSxgM/ZjLn+5kRj+KDfe+kNA1+pMHj" TargetMode="External"/><Relationship Id="rId3" Type="http://schemas.openxmlformats.org/officeDocument/2006/relationships/settings" Target="settings.xml"/><Relationship Id="rId21" Type="http://schemas.openxmlformats.org/officeDocument/2006/relationships/image" Target="media/image3.tif"/><Relationship Id="rId7" Type="http://schemas.openxmlformats.org/officeDocument/2006/relationships/hyperlink" Target="mailto:davide.atena@tiscalinet.it" TargetMode="External"/><Relationship Id="rId12" Type="http://schemas.openxmlformats.org/officeDocument/2006/relationships/hyperlink" Target="https://paperpile.com/c/XJSxgM/3xpK+b02w" TargetMode="External"/><Relationship Id="rId17" Type="http://schemas.openxmlformats.org/officeDocument/2006/relationships/hyperlink" Target="https://paperpile.com/c/XJSxgM/ZjLn+5kRj+KDfe+kNA1+pMHj" TargetMode="External"/><Relationship Id="rId2" Type="http://schemas.openxmlformats.org/officeDocument/2006/relationships/styles" Target="styles.xml"/><Relationship Id="rId16" Type="http://schemas.openxmlformats.org/officeDocument/2006/relationships/hyperlink" Target="https://paperpile.com/c/XJSxgM/5Lsn"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creativecommons.org/licenses/by-nc/4.0/" TargetMode="External"/><Relationship Id="rId11" Type="http://schemas.openxmlformats.org/officeDocument/2006/relationships/hyperlink" Target="https://paperpile.com/c/XJSxgM/3xpK+b02w" TargetMode="External"/><Relationship Id="rId24" Type="http://schemas.openxmlformats.org/officeDocument/2006/relationships/theme" Target="theme/theme1.xml"/><Relationship Id="rId5" Type="http://schemas.openxmlformats.org/officeDocument/2006/relationships/hyperlink" Target="https://orcid.org/0000-0003-3569-2118" TargetMode="External"/><Relationship Id="rId15" Type="http://schemas.openxmlformats.org/officeDocument/2006/relationships/hyperlink" Target="https://paperpile.com/c/XJSxgM/5Lsn" TargetMode="External"/><Relationship Id="rId23" Type="http://schemas.openxmlformats.org/officeDocument/2006/relationships/fontTable" Target="fontTable.xml"/><Relationship Id="rId10" Type="http://schemas.openxmlformats.org/officeDocument/2006/relationships/hyperlink" Target="https://paperpile.com/c/XJSxgM/6M6p"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paperpile.com/c/XJSxgM/6M6p" TargetMode="External"/><Relationship Id="rId14" Type="http://schemas.openxmlformats.org/officeDocument/2006/relationships/hyperlink" Target="https://paperpile.com/c/XJSxgM/5Lsn" TargetMode="External"/><Relationship Id="rId22" Type="http://schemas.openxmlformats.org/officeDocument/2006/relationships/image" Target="media/image4.tif"/><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10777</Words>
  <Characters>61431</Characters>
  <Application>Microsoft Office Word</Application>
  <DocSecurity>0</DocSecurity>
  <Lines>511</Lines>
  <Paragraphs>144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dc:creator>
  <cp:lastModifiedBy>Na Ma</cp:lastModifiedBy>
  <cp:revision>2</cp:revision>
  <dcterms:created xsi:type="dcterms:W3CDTF">2018-05-12T15:08:00Z</dcterms:created>
  <dcterms:modified xsi:type="dcterms:W3CDTF">2018-05-12T15:08:00Z</dcterms:modified>
</cp:coreProperties>
</file>